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rFonts w:ascii="Times New Roman" w:eastAsia="Times New Roman" w:hAnsi="Times New Roman" w:cs="Times New Roman"/>
          <w:color w:val="auto"/>
          <w:sz w:val="24"/>
          <w:szCs w:val="24"/>
          <w:lang w:eastAsia="en-GB"/>
        </w:rPr>
      </w:sdtEndPr>
      <w:sdtContent>
        <w:p w14:paraId="5384490A" w14:textId="77777777" w:rsidR="007D1947" w:rsidRDefault="007D1947">
          <w:pPr>
            <w:pStyle w:val="Frspaiere"/>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1DE1A367" w:rsidR="007D1947" w:rsidRDefault="00B10E46">
              <w:pPr>
                <w:pStyle w:val="Frspaiere"/>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Knowledge management of hospital sector in wales</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24CF3E28" w:rsidR="007D1947" w:rsidRDefault="00B10E46">
              <w:pPr>
                <w:pStyle w:val="Frspaiere"/>
                <w:jc w:val="center"/>
                <w:rPr>
                  <w:color w:val="5B9BD5" w:themeColor="accent1"/>
                  <w:sz w:val="28"/>
                  <w:szCs w:val="28"/>
                </w:rPr>
              </w:pPr>
              <w:r>
                <w:rPr>
                  <w:color w:val="5B9BD5" w:themeColor="accent1"/>
                  <w:sz w:val="28"/>
                  <w:szCs w:val="28"/>
                </w:rPr>
                <w:t xml:space="preserve">Adrian Anghel </w:t>
              </w:r>
              <w:proofErr w:type="spellStart"/>
              <w:r>
                <w:rPr>
                  <w:color w:val="5B9BD5" w:themeColor="accent1"/>
                  <w:sz w:val="28"/>
                  <w:szCs w:val="28"/>
                </w:rPr>
                <w:t>Brezeanu</w:t>
              </w:r>
              <w:proofErr w:type="spellEnd"/>
              <w:r>
                <w:rPr>
                  <w:color w:val="5B9BD5" w:themeColor="accent1"/>
                  <w:sz w:val="28"/>
                  <w:szCs w:val="28"/>
                </w:rPr>
                <w:t xml:space="preserve"> 1918103</w:t>
              </w:r>
            </w:p>
          </w:sdtContent>
        </w:sdt>
        <w:p w14:paraId="1ADC1124" w14:textId="77777777" w:rsidR="007D1947" w:rsidRDefault="007D1947">
          <w:pPr>
            <w:pStyle w:val="Frspaiere"/>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7-08T00:00:00Z">
                                    <w:dateFormat w:val="MMMM d, yyyy"/>
                                    <w:lid w:val="en-US"/>
                                    <w:storeMappedDataAs w:val="dateTime"/>
                                    <w:calendar w:val="gregorian"/>
                                  </w:date>
                                </w:sdtPr>
                                <w:sdtContent>
                                  <w:p w14:paraId="52BAF8D9" w14:textId="0F018715" w:rsidR="007D1947" w:rsidRDefault="00B10E46">
                                    <w:pPr>
                                      <w:pStyle w:val="Frspaiere"/>
                                      <w:spacing w:after="40"/>
                                      <w:jc w:val="center"/>
                                      <w:rPr>
                                        <w:caps/>
                                        <w:color w:val="5B9BD5" w:themeColor="accent1"/>
                                        <w:sz w:val="28"/>
                                        <w:szCs w:val="28"/>
                                      </w:rPr>
                                    </w:pPr>
                                    <w:r>
                                      <w:rPr>
                                        <w:caps/>
                                        <w:color w:val="5B9BD5" w:themeColor="accent1"/>
                                        <w:sz w:val="28"/>
                                        <w:szCs w:val="28"/>
                                      </w:rPr>
                                      <w:t>July 8, 2022</w:t>
                                    </w:r>
                                  </w:p>
                                </w:sdtContent>
                              </w:sdt>
                              <w:p w14:paraId="69E98CB3" w14:textId="77777777" w:rsidR="007D1947" w:rsidRDefault="00000000">
                                <w:pPr>
                                  <w:pStyle w:val="Frspaiere"/>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Frspaiere"/>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7-08T00:00:00Z">
                              <w:dateFormat w:val="MMMM d, yyyy"/>
                              <w:lid w:val="en-US"/>
                              <w:storeMappedDataAs w:val="dateTime"/>
                              <w:calendar w:val="gregorian"/>
                            </w:date>
                          </w:sdtPr>
                          <w:sdtContent>
                            <w:p w14:paraId="52BAF8D9" w14:textId="0F018715" w:rsidR="007D1947" w:rsidRDefault="00B10E46">
                              <w:pPr>
                                <w:pStyle w:val="Frspaiere"/>
                                <w:spacing w:after="40"/>
                                <w:jc w:val="center"/>
                                <w:rPr>
                                  <w:caps/>
                                  <w:color w:val="5B9BD5" w:themeColor="accent1"/>
                                  <w:sz w:val="28"/>
                                  <w:szCs w:val="28"/>
                                </w:rPr>
                              </w:pPr>
                              <w:r>
                                <w:rPr>
                                  <w:caps/>
                                  <w:color w:val="5B9BD5" w:themeColor="accent1"/>
                                  <w:sz w:val="28"/>
                                  <w:szCs w:val="28"/>
                                </w:rPr>
                                <w:t>July 8, 2022</w:t>
                              </w:r>
                            </w:p>
                          </w:sdtContent>
                        </w:sdt>
                        <w:p w14:paraId="69E98CB3" w14:textId="77777777" w:rsidR="007D1947" w:rsidRDefault="00000000">
                          <w:pPr>
                            <w:pStyle w:val="Frspaiere"/>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Frspaiere"/>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F74C4EB" w14:textId="785CBD70" w:rsidR="00B10E46" w:rsidRDefault="00B10E46"/>
        <w:p w14:paraId="18DC598A" w14:textId="5863D3AE" w:rsidR="00342948" w:rsidRDefault="00342948"/>
        <w:p w14:paraId="08BC9E2B" w14:textId="470C96EF" w:rsidR="00342948" w:rsidRDefault="00342948"/>
        <w:p w14:paraId="49073B52" w14:textId="357B933A" w:rsidR="00342948" w:rsidRDefault="00342948"/>
        <w:p w14:paraId="60CBFB20" w14:textId="0C6DD96A" w:rsidR="00342948" w:rsidRDefault="00342948"/>
        <w:p w14:paraId="6D3A625D" w14:textId="73DC8617" w:rsidR="00342948" w:rsidRDefault="00342948"/>
        <w:p w14:paraId="6E110761" w14:textId="1E550B27" w:rsidR="00342948" w:rsidRDefault="00342948"/>
        <w:p w14:paraId="3F9994D6" w14:textId="01EF9C07" w:rsidR="00342948" w:rsidRDefault="00342948"/>
        <w:p w14:paraId="60417A8E" w14:textId="4B077467" w:rsidR="00342948" w:rsidRDefault="00342948"/>
        <w:p w14:paraId="78096397" w14:textId="1B3E7F56" w:rsidR="00342948" w:rsidRDefault="00342948"/>
        <w:p w14:paraId="47A7B3E0" w14:textId="07AC639B" w:rsidR="00342948" w:rsidRDefault="00342948"/>
        <w:p w14:paraId="7B75F2DE" w14:textId="76F32C60" w:rsidR="00342948" w:rsidRDefault="00342948"/>
        <w:p w14:paraId="69FA5748" w14:textId="43F36176" w:rsidR="00342948" w:rsidRDefault="00342948"/>
        <w:p w14:paraId="6AEED2D1" w14:textId="77777777" w:rsidR="00342948" w:rsidRDefault="00342948"/>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itlucuprins"/>
              </w:pPr>
              <w:r>
                <w:t>Table of Contents</w:t>
              </w:r>
            </w:p>
            <w:p w14:paraId="05641341" w14:textId="70EEF624" w:rsidR="00506BB7" w:rsidRDefault="007D1947">
              <w:pPr>
                <w:pStyle w:val="Cuprins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8181945" w:history="1">
                <w:r w:rsidR="00506BB7" w:rsidRPr="00A96C17">
                  <w:rPr>
                    <w:rStyle w:val="Hyperlink"/>
                    <w:noProof/>
                  </w:rPr>
                  <w:t>Introduction</w:t>
                </w:r>
                <w:r w:rsidR="00506BB7">
                  <w:rPr>
                    <w:noProof/>
                    <w:webHidden/>
                  </w:rPr>
                  <w:tab/>
                </w:r>
                <w:r w:rsidR="00506BB7">
                  <w:rPr>
                    <w:noProof/>
                    <w:webHidden/>
                  </w:rPr>
                  <w:fldChar w:fldCharType="begin"/>
                </w:r>
                <w:r w:rsidR="00506BB7">
                  <w:rPr>
                    <w:noProof/>
                    <w:webHidden/>
                  </w:rPr>
                  <w:instrText xml:space="preserve"> PAGEREF _Toc108181945 \h </w:instrText>
                </w:r>
                <w:r w:rsidR="00506BB7">
                  <w:rPr>
                    <w:noProof/>
                    <w:webHidden/>
                  </w:rPr>
                </w:r>
                <w:r w:rsidR="00506BB7">
                  <w:rPr>
                    <w:noProof/>
                    <w:webHidden/>
                  </w:rPr>
                  <w:fldChar w:fldCharType="separate"/>
                </w:r>
                <w:r w:rsidR="00506BB7">
                  <w:rPr>
                    <w:noProof/>
                    <w:webHidden/>
                  </w:rPr>
                  <w:t>3</w:t>
                </w:r>
                <w:r w:rsidR="00506BB7">
                  <w:rPr>
                    <w:noProof/>
                    <w:webHidden/>
                  </w:rPr>
                  <w:fldChar w:fldCharType="end"/>
                </w:r>
              </w:hyperlink>
            </w:p>
            <w:p w14:paraId="6B435876" w14:textId="6BF27D83" w:rsidR="00506BB7" w:rsidRDefault="00506BB7">
              <w:pPr>
                <w:pStyle w:val="Cuprins1"/>
                <w:tabs>
                  <w:tab w:val="right" w:leader="dot" w:pos="9016"/>
                </w:tabs>
                <w:rPr>
                  <w:rFonts w:eastAsiaTheme="minorEastAsia"/>
                  <w:noProof/>
                  <w:lang w:eastAsia="en-GB"/>
                </w:rPr>
              </w:pPr>
              <w:hyperlink w:anchor="_Toc108181946" w:history="1">
                <w:r w:rsidRPr="00A96C17">
                  <w:rPr>
                    <w:rStyle w:val="Hyperlink"/>
                    <w:noProof/>
                  </w:rPr>
                  <w:t>Main Findings</w:t>
                </w:r>
                <w:r>
                  <w:rPr>
                    <w:noProof/>
                    <w:webHidden/>
                  </w:rPr>
                  <w:tab/>
                </w:r>
                <w:r>
                  <w:rPr>
                    <w:noProof/>
                    <w:webHidden/>
                  </w:rPr>
                  <w:fldChar w:fldCharType="begin"/>
                </w:r>
                <w:r>
                  <w:rPr>
                    <w:noProof/>
                    <w:webHidden/>
                  </w:rPr>
                  <w:instrText xml:space="preserve"> PAGEREF _Toc108181946 \h </w:instrText>
                </w:r>
                <w:r>
                  <w:rPr>
                    <w:noProof/>
                    <w:webHidden/>
                  </w:rPr>
                </w:r>
                <w:r>
                  <w:rPr>
                    <w:noProof/>
                    <w:webHidden/>
                  </w:rPr>
                  <w:fldChar w:fldCharType="separate"/>
                </w:r>
                <w:r>
                  <w:rPr>
                    <w:noProof/>
                    <w:webHidden/>
                  </w:rPr>
                  <w:t>3</w:t>
                </w:r>
                <w:r>
                  <w:rPr>
                    <w:noProof/>
                    <w:webHidden/>
                  </w:rPr>
                  <w:fldChar w:fldCharType="end"/>
                </w:r>
              </w:hyperlink>
            </w:p>
            <w:p w14:paraId="11A59B62" w14:textId="7003BE27" w:rsidR="00506BB7" w:rsidRDefault="00506BB7">
              <w:pPr>
                <w:pStyle w:val="Cuprins2"/>
                <w:tabs>
                  <w:tab w:val="right" w:leader="dot" w:pos="9016"/>
                </w:tabs>
                <w:rPr>
                  <w:rFonts w:eastAsiaTheme="minorEastAsia"/>
                  <w:noProof/>
                  <w:lang w:eastAsia="en-GB"/>
                </w:rPr>
              </w:pPr>
              <w:hyperlink w:anchor="_Toc108181947" w:history="1">
                <w:r w:rsidRPr="00A96C17">
                  <w:rPr>
                    <w:rStyle w:val="Hyperlink"/>
                    <w:noProof/>
                  </w:rPr>
                  <w:t>About Hospital Sector in Wales</w:t>
                </w:r>
                <w:r>
                  <w:rPr>
                    <w:noProof/>
                    <w:webHidden/>
                  </w:rPr>
                  <w:tab/>
                </w:r>
                <w:r>
                  <w:rPr>
                    <w:noProof/>
                    <w:webHidden/>
                  </w:rPr>
                  <w:fldChar w:fldCharType="begin"/>
                </w:r>
                <w:r>
                  <w:rPr>
                    <w:noProof/>
                    <w:webHidden/>
                  </w:rPr>
                  <w:instrText xml:space="preserve"> PAGEREF _Toc108181947 \h </w:instrText>
                </w:r>
                <w:r>
                  <w:rPr>
                    <w:noProof/>
                    <w:webHidden/>
                  </w:rPr>
                </w:r>
                <w:r>
                  <w:rPr>
                    <w:noProof/>
                    <w:webHidden/>
                  </w:rPr>
                  <w:fldChar w:fldCharType="separate"/>
                </w:r>
                <w:r>
                  <w:rPr>
                    <w:noProof/>
                    <w:webHidden/>
                  </w:rPr>
                  <w:t>3</w:t>
                </w:r>
                <w:r>
                  <w:rPr>
                    <w:noProof/>
                    <w:webHidden/>
                  </w:rPr>
                  <w:fldChar w:fldCharType="end"/>
                </w:r>
              </w:hyperlink>
            </w:p>
            <w:p w14:paraId="1946C377" w14:textId="036D25E6" w:rsidR="00506BB7" w:rsidRDefault="00506BB7">
              <w:pPr>
                <w:pStyle w:val="Cuprins2"/>
                <w:tabs>
                  <w:tab w:val="right" w:leader="dot" w:pos="9016"/>
                </w:tabs>
                <w:rPr>
                  <w:rFonts w:eastAsiaTheme="minorEastAsia"/>
                  <w:noProof/>
                  <w:lang w:eastAsia="en-GB"/>
                </w:rPr>
              </w:pPr>
              <w:hyperlink w:anchor="_Toc108181948" w:history="1">
                <w:r w:rsidRPr="00A96C17">
                  <w:rPr>
                    <w:rStyle w:val="Hyperlink"/>
                    <w:noProof/>
                  </w:rPr>
                  <w:t>SWOT Analysis</w:t>
                </w:r>
                <w:r>
                  <w:rPr>
                    <w:noProof/>
                    <w:webHidden/>
                  </w:rPr>
                  <w:tab/>
                </w:r>
                <w:r>
                  <w:rPr>
                    <w:noProof/>
                    <w:webHidden/>
                  </w:rPr>
                  <w:fldChar w:fldCharType="begin"/>
                </w:r>
                <w:r>
                  <w:rPr>
                    <w:noProof/>
                    <w:webHidden/>
                  </w:rPr>
                  <w:instrText xml:space="preserve"> PAGEREF _Toc108181948 \h </w:instrText>
                </w:r>
                <w:r>
                  <w:rPr>
                    <w:noProof/>
                    <w:webHidden/>
                  </w:rPr>
                </w:r>
                <w:r>
                  <w:rPr>
                    <w:noProof/>
                    <w:webHidden/>
                  </w:rPr>
                  <w:fldChar w:fldCharType="separate"/>
                </w:r>
                <w:r>
                  <w:rPr>
                    <w:noProof/>
                    <w:webHidden/>
                  </w:rPr>
                  <w:t>3</w:t>
                </w:r>
                <w:r>
                  <w:rPr>
                    <w:noProof/>
                    <w:webHidden/>
                  </w:rPr>
                  <w:fldChar w:fldCharType="end"/>
                </w:r>
              </w:hyperlink>
            </w:p>
            <w:p w14:paraId="4AC55CEF" w14:textId="37610D65" w:rsidR="00506BB7" w:rsidRDefault="00506BB7">
              <w:pPr>
                <w:pStyle w:val="Cuprins2"/>
                <w:tabs>
                  <w:tab w:val="right" w:leader="dot" w:pos="9016"/>
                </w:tabs>
                <w:rPr>
                  <w:rFonts w:eastAsiaTheme="minorEastAsia"/>
                  <w:noProof/>
                  <w:lang w:eastAsia="en-GB"/>
                </w:rPr>
              </w:pPr>
              <w:hyperlink w:anchor="_Toc108181949" w:history="1">
                <w:r w:rsidRPr="00A96C17">
                  <w:rPr>
                    <w:rStyle w:val="Hyperlink"/>
                    <w:noProof/>
                  </w:rPr>
                  <w:t>Knowledge Management Value Chain in Welsh Hospitals</w:t>
                </w:r>
                <w:r>
                  <w:rPr>
                    <w:noProof/>
                    <w:webHidden/>
                  </w:rPr>
                  <w:tab/>
                </w:r>
                <w:r>
                  <w:rPr>
                    <w:noProof/>
                    <w:webHidden/>
                  </w:rPr>
                  <w:fldChar w:fldCharType="begin"/>
                </w:r>
                <w:r>
                  <w:rPr>
                    <w:noProof/>
                    <w:webHidden/>
                  </w:rPr>
                  <w:instrText xml:space="preserve"> PAGEREF _Toc108181949 \h </w:instrText>
                </w:r>
                <w:r>
                  <w:rPr>
                    <w:noProof/>
                    <w:webHidden/>
                  </w:rPr>
                </w:r>
                <w:r>
                  <w:rPr>
                    <w:noProof/>
                    <w:webHidden/>
                  </w:rPr>
                  <w:fldChar w:fldCharType="separate"/>
                </w:r>
                <w:r>
                  <w:rPr>
                    <w:noProof/>
                    <w:webHidden/>
                  </w:rPr>
                  <w:t>5</w:t>
                </w:r>
                <w:r>
                  <w:rPr>
                    <w:noProof/>
                    <w:webHidden/>
                  </w:rPr>
                  <w:fldChar w:fldCharType="end"/>
                </w:r>
              </w:hyperlink>
            </w:p>
            <w:p w14:paraId="108B1937" w14:textId="1442ACAD" w:rsidR="00506BB7" w:rsidRDefault="00506BB7">
              <w:pPr>
                <w:pStyle w:val="Cuprins1"/>
                <w:tabs>
                  <w:tab w:val="right" w:leader="dot" w:pos="9016"/>
                </w:tabs>
                <w:rPr>
                  <w:rFonts w:eastAsiaTheme="minorEastAsia"/>
                  <w:noProof/>
                  <w:lang w:eastAsia="en-GB"/>
                </w:rPr>
              </w:pPr>
              <w:hyperlink w:anchor="_Toc108181950" w:history="1">
                <w:r w:rsidRPr="00A96C17">
                  <w:rPr>
                    <w:rStyle w:val="Hyperlink"/>
                    <w:noProof/>
                  </w:rPr>
                  <w:t>Conclusion</w:t>
                </w:r>
                <w:r>
                  <w:rPr>
                    <w:noProof/>
                    <w:webHidden/>
                  </w:rPr>
                  <w:tab/>
                </w:r>
                <w:r>
                  <w:rPr>
                    <w:noProof/>
                    <w:webHidden/>
                  </w:rPr>
                  <w:fldChar w:fldCharType="begin"/>
                </w:r>
                <w:r>
                  <w:rPr>
                    <w:noProof/>
                    <w:webHidden/>
                  </w:rPr>
                  <w:instrText xml:space="preserve"> PAGEREF _Toc108181950 \h </w:instrText>
                </w:r>
                <w:r>
                  <w:rPr>
                    <w:noProof/>
                    <w:webHidden/>
                  </w:rPr>
                </w:r>
                <w:r>
                  <w:rPr>
                    <w:noProof/>
                    <w:webHidden/>
                  </w:rPr>
                  <w:fldChar w:fldCharType="separate"/>
                </w:r>
                <w:r>
                  <w:rPr>
                    <w:noProof/>
                    <w:webHidden/>
                  </w:rPr>
                  <w:t>7</w:t>
                </w:r>
                <w:r>
                  <w:rPr>
                    <w:noProof/>
                    <w:webHidden/>
                  </w:rPr>
                  <w:fldChar w:fldCharType="end"/>
                </w:r>
              </w:hyperlink>
            </w:p>
            <w:p w14:paraId="43530508" w14:textId="16B0054E" w:rsidR="00506BB7" w:rsidRDefault="00506BB7">
              <w:pPr>
                <w:pStyle w:val="Cuprins1"/>
                <w:tabs>
                  <w:tab w:val="right" w:leader="dot" w:pos="9016"/>
                </w:tabs>
                <w:rPr>
                  <w:rFonts w:eastAsiaTheme="minorEastAsia"/>
                  <w:noProof/>
                  <w:lang w:eastAsia="en-GB"/>
                </w:rPr>
              </w:pPr>
              <w:hyperlink w:anchor="_Toc108181951" w:history="1">
                <w:r w:rsidRPr="00A96C17">
                  <w:rPr>
                    <w:rStyle w:val="Hyperlink"/>
                    <w:noProof/>
                  </w:rPr>
                  <w:t>Bibliography</w:t>
                </w:r>
                <w:r>
                  <w:rPr>
                    <w:noProof/>
                    <w:webHidden/>
                  </w:rPr>
                  <w:tab/>
                </w:r>
                <w:r>
                  <w:rPr>
                    <w:noProof/>
                    <w:webHidden/>
                  </w:rPr>
                  <w:fldChar w:fldCharType="begin"/>
                </w:r>
                <w:r>
                  <w:rPr>
                    <w:noProof/>
                    <w:webHidden/>
                  </w:rPr>
                  <w:instrText xml:space="preserve"> PAGEREF _Toc108181951 \h </w:instrText>
                </w:r>
                <w:r>
                  <w:rPr>
                    <w:noProof/>
                    <w:webHidden/>
                  </w:rPr>
                </w:r>
                <w:r>
                  <w:rPr>
                    <w:noProof/>
                    <w:webHidden/>
                  </w:rPr>
                  <w:fldChar w:fldCharType="separate"/>
                </w:r>
                <w:r>
                  <w:rPr>
                    <w:noProof/>
                    <w:webHidden/>
                  </w:rPr>
                  <w:t>7</w:t>
                </w:r>
                <w:r>
                  <w:rPr>
                    <w:noProof/>
                    <w:webHidden/>
                  </w:rPr>
                  <w:fldChar w:fldCharType="end"/>
                </w:r>
              </w:hyperlink>
            </w:p>
            <w:p w14:paraId="05194699" w14:textId="62F4EAA2" w:rsidR="007D1947" w:rsidRDefault="007D1947">
              <w:r>
                <w:rPr>
                  <w:b/>
                  <w:bCs/>
                  <w:noProof/>
                </w:rPr>
                <w:fldChar w:fldCharType="end"/>
              </w:r>
              <w:r w:rsidR="00B10E46">
                <w:rPr>
                  <w:b/>
                  <w:bCs/>
                  <w:noProof/>
                </w:rPr>
                <w:t xml:space="preserve"> </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77777777" w:rsidR="007D1947" w:rsidRDefault="007D1947"/>
        <w:p w14:paraId="5CD1CE9F" w14:textId="77777777" w:rsidR="007D1947" w:rsidRDefault="007D1947"/>
        <w:p w14:paraId="77F0A10B" w14:textId="17448544" w:rsidR="007D1947" w:rsidRDefault="007D1947"/>
        <w:p w14:paraId="3AB93CD2" w14:textId="6F5F2A30" w:rsidR="00B10E46" w:rsidRDefault="00B10E46"/>
        <w:p w14:paraId="30E274D7" w14:textId="7AA92A41" w:rsidR="00B10E46" w:rsidRDefault="00B10E46"/>
        <w:p w14:paraId="46C6EAC3" w14:textId="58290B16" w:rsidR="00B10E46" w:rsidRDefault="00B10E46"/>
        <w:p w14:paraId="399B3970" w14:textId="12F74D7D" w:rsidR="00B10E46" w:rsidRDefault="00B10E46"/>
        <w:p w14:paraId="3464790C" w14:textId="0D848386" w:rsidR="00B10E46" w:rsidRDefault="00B10E46"/>
        <w:p w14:paraId="2FB66E11" w14:textId="04A95979" w:rsidR="00B10E46" w:rsidRDefault="00B10E46"/>
        <w:p w14:paraId="6FDA1B85" w14:textId="77777777" w:rsidR="00B10E46" w:rsidRDefault="00B10E46"/>
        <w:p w14:paraId="655F29CA" w14:textId="77777777" w:rsidR="007D1947" w:rsidRDefault="007D1947"/>
        <w:p w14:paraId="0ED321E6" w14:textId="548880DC" w:rsidR="007D1947" w:rsidRDefault="007D1947" w:rsidP="00A12B58">
          <w:pPr>
            <w:pStyle w:val="Titlu1"/>
          </w:pPr>
          <w:bookmarkStart w:id="0" w:name="_Toc108181945"/>
          <w:r>
            <w:t>Introduction</w:t>
          </w:r>
          <w:bookmarkEnd w:id="0"/>
          <w:r w:rsidR="00480872">
            <w:t xml:space="preserve"> </w:t>
          </w:r>
        </w:p>
        <w:p w14:paraId="5DBAD65B" w14:textId="6B73EF90" w:rsidR="004A11F6" w:rsidRDefault="00B10E46" w:rsidP="00084CC9">
          <w:pPr>
            <w:jc w:val="both"/>
          </w:pPr>
          <w:r>
            <w:t xml:space="preserve">There are many people that believe that data and information are synonymous with knowledge, but they could not be more wrong. In simple terms, the knowledge means an accumulation of information, whereas information represents an accumulation of data, and data is represented by </w:t>
          </w:r>
          <w:r w:rsidR="003C3992">
            <w:t>simple characters which, quite often, does not have any meaning behind them</w:t>
          </w:r>
          <w:r w:rsidR="00342948">
            <w:t xml:space="preserve"> (</w:t>
          </w:r>
          <w:r w:rsidR="00342948">
            <w:rPr>
              <w:rFonts w:ascii="Calibri" w:hAnsi="Calibri" w:cs="Calibri"/>
              <w:color w:val="222222"/>
            </w:rPr>
            <w:t>Cerchione</w:t>
          </w:r>
          <w:r w:rsidR="00342948">
            <w:rPr>
              <w:rFonts w:ascii="Calibri" w:hAnsi="Calibri" w:cs="Calibri"/>
              <w:color w:val="222222"/>
            </w:rPr>
            <w:t>, Esposito, 2016)</w:t>
          </w:r>
          <w:r w:rsidR="003C3992">
            <w:t>. At a more complex level, the knowledge is a blend between similar information that offer an overview or an in-depth understanding of a certain subject</w:t>
          </w:r>
          <w:r w:rsidR="00342948">
            <w:t xml:space="preserve"> (</w:t>
          </w:r>
          <w:r w:rsidR="00342948" w:rsidRPr="00342948">
            <w:t>Schniederjans</w:t>
          </w:r>
          <w:r w:rsidR="00342948">
            <w:rPr>
              <w:rFonts w:ascii="Calibri" w:hAnsi="Calibri" w:cs="Calibri"/>
              <w:color w:val="222222"/>
            </w:rPr>
            <w:t xml:space="preserve"> et al, 2020)</w:t>
          </w:r>
          <w:r w:rsidR="003C3992">
            <w:t xml:space="preserve">. Looking further into the idea of knowledge, it is argued that the knowledge is one of the most powerful resources there is, and that by possessing knowledge over a certain subject, </w:t>
          </w:r>
          <w:r w:rsidR="00084CC9">
            <w:t>the power is increased</w:t>
          </w:r>
          <w:r w:rsidR="00342948">
            <w:t xml:space="preserve"> (</w:t>
          </w:r>
          <w:r w:rsidR="00342948">
            <w:rPr>
              <w:rFonts w:ascii="Calibri" w:hAnsi="Calibri" w:cs="Calibri"/>
              <w:color w:val="222222"/>
            </w:rPr>
            <w:t>Nwankpa</w:t>
          </w:r>
          <w:r w:rsidR="00342948">
            <w:rPr>
              <w:rFonts w:ascii="Calibri" w:hAnsi="Calibri" w:cs="Calibri"/>
              <w:color w:val="222222"/>
            </w:rPr>
            <w:t xml:space="preserve"> et al, 2022)</w:t>
          </w:r>
          <w:r w:rsidR="00084CC9">
            <w:t xml:space="preserve">. </w:t>
          </w:r>
        </w:p>
        <w:p w14:paraId="1C0CE9C2" w14:textId="2D88FDB2" w:rsidR="00084CC9" w:rsidRDefault="00084CC9" w:rsidP="00084CC9">
          <w:pPr>
            <w:jc w:val="both"/>
          </w:pPr>
          <w:r>
            <w:t>Giving the fact that the knowledge is such an important resource</w:t>
          </w:r>
          <w:r w:rsidR="007124F5">
            <w:t xml:space="preserve"> </w:t>
          </w:r>
          <w:r w:rsidR="007124F5">
            <w:t>(</w:t>
          </w:r>
          <w:r w:rsidR="007124F5">
            <w:rPr>
              <w:rFonts w:ascii="Calibri" w:hAnsi="Calibri" w:cs="Calibri"/>
              <w:color w:val="222222"/>
            </w:rPr>
            <w:t>Nwankpa et al, 2022)</w:t>
          </w:r>
          <w:r>
            <w:t>, it must be managed with care, and this is the main reason why the notion of knowledge management has been invented</w:t>
          </w:r>
          <w:r w:rsidR="007124F5">
            <w:t xml:space="preserve"> (</w:t>
          </w:r>
          <w:r w:rsidR="007124F5" w:rsidRPr="007124F5">
            <w:t>Hussain</w:t>
          </w:r>
          <w:r w:rsidR="007124F5">
            <w:t>, Li, 2022)</w:t>
          </w:r>
          <w:r>
            <w:t xml:space="preserve">. Knowledge management is the term which represents </w:t>
          </w:r>
          <w:r w:rsidR="00591166">
            <w:t>all the events that involve the handling of knowledge, but it usually rotates around the strategies of using knowledge in a specific way in order to maximise its benefits</w:t>
          </w:r>
          <w:r w:rsidR="007124F5">
            <w:t xml:space="preserve"> (</w:t>
          </w:r>
          <w:r w:rsidR="007124F5" w:rsidRPr="007124F5">
            <w:t>Holsapple</w:t>
          </w:r>
          <w:r w:rsidR="007124F5">
            <w:t>, 2003)</w:t>
          </w:r>
          <w:r w:rsidR="00591166">
            <w:t xml:space="preserve">.  </w:t>
          </w:r>
          <w:r w:rsidR="00BC3756">
            <w:t xml:space="preserve">The notion of knowledge management evolved from a simple concept in the 1970s, to </w:t>
          </w:r>
          <w:r w:rsidR="00DB5FF9">
            <w:t>being one of the most used concept in the top companies and the most known concept which offer maximum of benefits</w:t>
          </w:r>
          <w:r w:rsidR="007124F5">
            <w:t xml:space="preserve"> (</w:t>
          </w:r>
          <w:r w:rsidR="007124F5" w:rsidRPr="007124F5">
            <w:t>Oihab</w:t>
          </w:r>
          <w:r w:rsidR="007124F5">
            <w:t>, Mohamed, 2016)</w:t>
          </w:r>
          <w:r w:rsidR="00DB5FF9">
            <w:t xml:space="preserve">. However, it is argued that the knowledge management is such </w:t>
          </w:r>
          <w:r w:rsidR="005C5E1C">
            <w:t>a</w:t>
          </w:r>
          <w:r w:rsidR="00DB5FF9">
            <w:t xml:space="preserve"> successful notion because behind it there are lots of financial and resources investments, which makes it accessible to the higher revenue companies</w:t>
          </w:r>
          <w:r w:rsidR="007124F5">
            <w:t xml:space="preserve"> (Bandera et al, 2017)</w:t>
          </w:r>
          <w:r w:rsidR="00DB5FF9">
            <w:t xml:space="preserve">. </w:t>
          </w:r>
        </w:p>
        <w:p w14:paraId="6DF73EDF" w14:textId="6C62E994" w:rsidR="00480872" w:rsidRDefault="00480872" w:rsidP="00AA2A91">
          <w:pPr>
            <w:pStyle w:val="Titlu1"/>
          </w:pPr>
          <w:bookmarkStart w:id="1" w:name="_Toc108181946"/>
          <w:r>
            <w:t>Main Findings</w:t>
          </w:r>
          <w:bookmarkEnd w:id="1"/>
        </w:p>
        <w:p w14:paraId="4133DA70" w14:textId="153CC51F" w:rsidR="00480872" w:rsidRDefault="00DB5FF9" w:rsidP="00480872">
          <w:pPr>
            <w:pStyle w:val="Titlu2"/>
          </w:pPr>
          <w:bookmarkStart w:id="2" w:name="_Toc108181947"/>
          <w:r>
            <w:t>About Hospital Sector in Wales</w:t>
          </w:r>
          <w:bookmarkEnd w:id="2"/>
        </w:p>
        <w:p w14:paraId="269D44B6" w14:textId="72012121" w:rsidR="00427EA1" w:rsidRDefault="005C5E1C" w:rsidP="00427EA1">
          <w:pPr>
            <w:jc w:val="both"/>
          </w:pPr>
          <w:r>
            <w:t>The health industry is the one in which the hospital sector operates, and all its activities are happening in Wales</w:t>
          </w:r>
          <w:r w:rsidR="007124F5">
            <w:t xml:space="preserve"> (Griffiths, 1998)</w:t>
          </w:r>
          <w:r>
            <w:t>. The most accurate history of the hospital sector in Wales is available since 1940, when NHS has been created and implemented in the entire United Kingdom</w:t>
          </w:r>
          <w:r w:rsidR="007124F5">
            <w:t xml:space="preserve"> </w:t>
          </w:r>
          <w:r w:rsidR="007124F5">
            <w:t>(Griffiths, 1998)</w:t>
          </w:r>
          <w:r>
            <w:t xml:space="preserve">. The hospitals appeared because there were a necessity after the war, as many people </w:t>
          </w:r>
          <w:r w:rsidR="00427EA1">
            <w:t>urgently needed medical attention</w:t>
          </w:r>
          <w:r w:rsidR="007124F5">
            <w:t xml:space="preserve"> </w:t>
          </w:r>
          <w:r w:rsidR="007124F5">
            <w:t>(Griffiths, 1998)</w:t>
          </w:r>
          <w:r w:rsidR="00427EA1">
            <w:t>. Nowadays, the hospitals in Wales are providing the same medical attention, the only difference is that along the years, the processes of providing medical care has evolved, along with the knowledge that has been acquired and applied in order to perfect the procedures and be able to help more patients</w:t>
          </w:r>
          <w:r w:rsidR="007124F5">
            <w:t xml:space="preserve"> </w:t>
          </w:r>
          <w:r w:rsidR="007124F5">
            <w:t>(Griffiths, 1998)</w:t>
          </w:r>
          <w:r w:rsidR="00427EA1">
            <w:t xml:space="preserve">. Following this principle, nowadays the hospital sector in Wales has more than 80 hospitals, where some offer emergency healthcare, others are private, and seven of them are above them all, because they </w:t>
          </w:r>
          <w:r w:rsidR="00612572">
            <w:t>can make decisions, solve problems, and dictate which processes will be implemented, modified or erased</w:t>
          </w:r>
          <w:r w:rsidR="007124F5">
            <w:t xml:space="preserve"> (Michael, 2003)</w:t>
          </w:r>
          <w:r w:rsidR="00612572">
            <w:t xml:space="preserve">. </w:t>
          </w:r>
        </w:p>
        <w:p w14:paraId="277C21D7" w14:textId="35B3854F" w:rsidR="00612572" w:rsidRDefault="00612572" w:rsidP="00427EA1">
          <w:pPr>
            <w:jc w:val="both"/>
          </w:pPr>
          <w:r>
            <w:t>Across the hospitals in Wales there a high number of employees, but they are not able to keep up with the workload, and the services have started to be less qualitative. However, the staff that is hired in present is mainly constituted by women, with a very low percentage of men, and the majority of hospital workers are aged between 31 and 50 years old, and more than 80% of the employees are having white heritage</w:t>
          </w:r>
          <w:r w:rsidR="007124F5">
            <w:t xml:space="preserve"> (Health in Wales, 2022)</w:t>
          </w:r>
          <w:r>
            <w:t xml:space="preserve">. </w:t>
          </w:r>
        </w:p>
        <w:p w14:paraId="47215979" w14:textId="03D543DA" w:rsidR="00612572" w:rsidRDefault="00612572" w:rsidP="00612572">
          <w:pPr>
            <w:pStyle w:val="Titlu2"/>
          </w:pPr>
          <w:bookmarkStart w:id="3" w:name="_Toc108181948"/>
          <w:r>
            <w:t>SWOT Analysis</w:t>
          </w:r>
          <w:bookmarkEnd w:id="3"/>
        </w:p>
        <w:p w14:paraId="2798BFF0" w14:textId="4FF58D08" w:rsidR="00612572" w:rsidRDefault="007F3B69" w:rsidP="00427EA1">
          <w:pPr>
            <w:jc w:val="both"/>
          </w:pPr>
          <w:r>
            <w:t xml:space="preserve"> The SWOT Analysis is being used in this situation to </w:t>
          </w:r>
          <w:r w:rsidR="002F0533">
            <w:t xml:space="preserve">critically analyse all the elements of the knowledge management in the hospital sector in Wales, by identifying the strengths, weaknesses, opportunities and threats. Furthermore, the RBV theory and the VRIO theory in relation to the knowledge management of the hospital sector in Wales will be assessed as well to see in which of the SWOT’s element can these be found and to assess the competitive advantage </w:t>
          </w:r>
          <w:r w:rsidR="00B32D05">
            <w:t xml:space="preserve">(Kraus et al, 2020) </w:t>
          </w:r>
          <w:r w:rsidR="002F0533">
            <w:t xml:space="preserve">that the knowledge management is giving or not to the hospital sector in Wales. </w:t>
          </w:r>
        </w:p>
        <w:p w14:paraId="3CD1EB47" w14:textId="37BAA023" w:rsidR="006863D9" w:rsidRDefault="00087B33" w:rsidP="00427EA1">
          <w:pPr>
            <w:jc w:val="both"/>
          </w:pPr>
          <w:r>
            <w:t xml:space="preserve">The knowledge management system in the hospital sector in Wales has created a more organised company with processes clearly set for every procedure, and policies and guidelines which became practiced by everyone in the organisation, and this is one of the strengths. Furthermore, there are technological systems implemented to ease the work for the employees but to also help them to safely handle all the knowledge about patients, treatments or medical services, such as the Welsh Clinical Portal, which is the most known and appreciate knowledge system in the United Kingdom. From this, it is clear that the hospitals in Wales have all adopted </w:t>
          </w:r>
          <w:r w:rsidR="0042795C">
            <w:t>a Resource Based View, with the knowledge as main resource, in order to be able to highly perform but to also gain competitive advantage</w:t>
          </w:r>
          <w:r w:rsidR="00B32D05">
            <w:t xml:space="preserve"> (Kraus et al. 2020)</w:t>
          </w:r>
          <w:r w:rsidR="0042795C">
            <w:t xml:space="preserve"> in front of similar sectors from other locations</w:t>
          </w:r>
          <w:r w:rsidR="003D5E47">
            <w:t xml:space="preserve"> </w:t>
          </w:r>
          <w:r w:rsidR="003D5E47">
            <w:t>(Health in Wales, 2022)</w:t>
          </w:r>
          <w:r w:rsidR="0042795C">
            <w:t>. By applying the VRIO framework, it will be assessed if indeed the knowledge management system has been able to create a competitive advantage that can be sustained or not</w:t>
          </w:r>
          <w:r w:rsidR="00B32D05">
            <w:t xml:space="preserve"> (Kraus et al, 2020)</w:t>
          </w:r>
          <w:r w:rsidR="0042795C">
            <w:t xml:space="preserve">, and for this reason, the knowledge management system will pass through four factors in order to come to a conclusion regarding the competitive advantage held. </w:t>
          </w:r>
          <w:r w:rsidR="00CC4BA6">
            <w:t>The first element of VRIO is the value, and as it was already established, the knowledge management systems are very valuable for the Welsh hospitals because they have invested in creating personalised systems that have the role of helping utilise the knowledge in a productive way</w:t>
          </w:r>
          <w:r w:rsidR="003D5E47">
            <w:t xml:space="preserve"> </w:t>
          </w:r>
          <w:r w:rsidR="003D5E47">
            <w:t>(Health in Wales, 2022)</w:t>
          </w:r>
          <w:r w:rsidR="00CC4BA6">
            <w:t>. The second element is the rarity, and in this case, the Welsh Clinical Portal is a unique system in the United Kingdom, and no other country has a similar system</w:t>
          </w:r>
          <w:r w:rsidR="003D5E47">
            <w:t xml:space="preserve"> </w:t>
          </w:r>
          <w:r w:rsidR="003D5E47">
            <w:t>(Health in Wales, 2022)</w:t>
          </w:r>
          <w:r w:rsidR="00CC4BA6">
            <w:t xml:space="preserve">. The following element is represented by </w:t>
          </w:r>
          <w:r w:rsidR="00810237">
            <w:t>the</w:t>
          </w:r>
          <w:r w:rsidR="00CC4BA6">
            <w:t xml:space="preserve"> imitability, and the knowledge management systems that are currently in the hospital sector in Wales are very difficult to imitate because they represent years of knowledge and innovation</w:t>
          </w:r>
          <w:r w:rsidR="003D5E47">
            <w:t xml:space="preserve"> </w:t>
          </w:r>
          <w:r w:rsidR="003D5E47">
            <w:t>(Health in Wales, 2022)</w:t>
          </w:r>
          <w:r w:rsidR="00CC4BA6">
            <w:t xml:space="preserve">, apart from the </w:t>
          </w:r>
          <w:r w:rsidR="00810237">
            <w:t>rest of the tangible resources used to produce these systems, such as IT systems and IT specialists</w:t>
          </w:r>
          <w:r w:rsidR="003D5E47">
            <w:t xml:space="preserve"> (Digital Health and Care Wales, 2022)</w:t>
          </w:r>
          <w:r w:rsidR="00810237">
            <w:t xml:space="preserve">. Lastly, the organisation is the final part of VRIO, and here the organisation is not able to operate anymore without the knowledge management systems in place, which means that the investment that has been made is being constantly used. Following the assessment of each of the VRIO factors, it has been determined that the hospital sector in Wales definitely has created a sustained competitive advantage, which represents a major strength for the sector. </w:t>
          </w:r>
        </w:p>
        <w:p w14:paraId="14DE1D28" w14:textId="6B930774" w:rsidR="00810237" w:rsidRDefault="00FB0890" w:rsidP="00427EA1">
          <w:pPr>
            <w:jc w:val="both"/>
          </w:pPr>
          <w:r>
            <w:t>As mentioned above, there is an issue which can be considered a weakness in the knowledge management in the Wales’ hospital sector, because the knowledge management system is such a complex one, the lack of people that can use it and understand it makes it difficult to be fully successfully used within the organisation</w:t>
          </w:r>
          <w:r w:rsidR="00B32D05">
            <w:t xml:space="preserve"> (Phillips, Bullock, 2020)</w:t>
          </w:r>
          <w:r>
            <w:t xml:space="preserve">. </w:t>
          </w:r>
          <w:r w:rsidR="00F654AB">
            <w:t>Even more than that, even if the hospital sector in Wales has a very strong competitive advantage, there might be something wrong with the application of the knowledge because when compared to other sectors, Wales is constantly in the lowest part of any performance reports, which is concerning because the cause of this cannot be found</w:t>
          </w:r>
          <w:r w:rsidR="003D5E47">
            <w:t xml:space="preserve"> </w:t>
          </w:r>
          <w:r w:rsidR="003D5E47">
            <w:t>(Health in Wales, 2022)</w:t>
          </w:r>
          <w:r w:rsidR="00F654AB">
            <w:t xml:space="preserve">. </w:t>
          </w:r>
        </w:p>
        <w:p w14:paraId="5C7CCE5B" w14:textId="6761CB31" w:rsidR="00F654AB" w:rsidRDefault="00F654AB" w:rsidP="00427EA1">
          <w:pPr>
            <w:jc w:val="both"/>
          </w:pPr>
          <w:r>
            <w:t>The opportunities that Welsh hospitals have are represented by technological innovations which can increase the volume of knowledge handles and can improve the current systems and practices, which will increase the productivity of each employee and maybe make up for the fact that there is not enough staff</w:t>
          </w:r>
          <w:r w:rsidR="003D5E47">
            <w:t xml:space="preserve"> </w:t>
          </w:r>
          <w:r w:rsidR="003D5E47">
            <w:t>(Health in Wales, 2022)</w:t>
          </w:r>
          <w:r>
            <w:t>. At the same time, because there is already an established competitive advantage, the Welsh hospitals might try different applications of knowledge in order to increase their performance</w:t>
          </w:r>
          <w:r w:rsidR="003D5E47">
            <w:t xml:space="preserve"> </w:t>
          </w:r>
          <w:r w:rsidR="003D5E47">
            <w:t>(Health in Wales, 2022)</w:t>
          </w:r>
          <w:r>
            <w:t xml:space="preserve">. </w:t>
          </w:r>
        </w:p>
        <w:p w14:paraId="4D205374" w14:textId="7B911E51" w:rsidR="00F654AB" w:rsidRDefault="00F654AB" w:rsidP="00427EA1">
          <w:pPr>
            <w:jc w:val="both"/>
          </w:pPr>
          <w:r>
            <w:t>The threats can negatively impact the knowledge management in Wales, because if the staff that has the best knowledge leaves, the knowledge management system integrated can take a hit and the competitive advantage can be lost</w:t>
          </w:r>
          <w:r w:rsidR="00B32D05">
            <w:t xml:space="preserve"> </w:t>
          </w:r>
          <w:r w:rsidR="00B32D05">
            <w:t>(Health in Wales, 2022)</w:t>
          </w:r>
          <w:r>
            <w:t xml:space="preserve">. </w:t>
          </w:r>
        </w:p>
        <w:p w14:paraId="1B5FE8DB" w14:textId="1E8D2251" w:rsidR="00F654AB" w:rsidRDefault="00F654AB" w:rsidP="00427EA1">
          <w:pPr>
            <w:jc w:val="both"/>
          </w:pPr>
          <w:r>
            <w:t>To sum up the SWOT Analysis of the sector, the RBV and VRIO Framework offers a significant competitive advantage, but the concern is that there might be not enough staff that can handle such a large volume of knowledge and the advantage can be lost, as well as the knowledge management system can be affected in a negative way.</w:t>
          </w:r>
        </w:p>
        <w:p w14:paraId="276A4582" w14:textId="32F95C07" w:rsidR="00F654AB" w:rsidRDefault="00F654AB" w:rsidP="00427EA1">
          <w:pPr>
            <w:jc w:val="both"/>
          </w:pPr>
        </w:p>
        <w:p w14:paraId="234C3D2E" w14:textId="60ECE4F9" w:rsidR="00F654AB" w:rsidRDefault="00F654AB" w:rsidP="00F654AB">
          <w:pPr>
            <w:pStyle w:val="Titlu2"/>
          </w:pPr>
          <w:bookmarkStart w:id="4" w:name="_Toc108181949"/>
          <w:r>
            <w:t>Knowledge Management Value Chain in Welsh Hospitals</w:t>
          </w:r>
          <w:bookmarkEnd w:id="4"/>
        </w:p>
        <w:p w14:paraId="6F7554D5" w14:textId="234846D7" w:rsidR="00F654AB" w:rsidRDefault="00F654AB" w:rsidP="00427EA1">
          <w:pPr>
            <w:jc w:val="both"/>
          </w:pPr>
        </w:p>
        <w:p w14:paraId="26D2680B" w14:textId="79314F29" w:rsidR="00F654AB" w:rsidRDefault="00F654AB" w:rsidP="00427EA1">
          <w:pPr>
            <w:jc w:val="both"/>
          </w:pPr>
          <w:r>
            <w:rPr>
              <w:noProof/>
            </w:rPr>
            <w:drawing>
              <wp:inline distT="0" distB="0" distL="0" distR="0" wp14:anchorId="3C9CDACB" wp14:editId="41B5DECE">
                <wp:extent cx="5731510" cy="3213100"/>
                <wp:effectExtent l="0" t="0" r="2540" b="6350"/>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in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13100"/>
                        </a:xfrm>
                        <a:prstGeom prst="rect">
                          <a:avLst/>
                        </a:prstGeom>
                      </pic:spPr>
                    </pic:pic>
                  </a:graphicData>
                </a:graphic>
              </wp:inline>
            </w:drawing>
          </w:r>
        </w:p>
        <w:p w14:paraId="0B2F20B0" w14:textId="77777777" w:rsidR="00733B58" w:rsidRDefault="00F654AB" w:rsidP="00427EA1">
          <w:pPr>
            <w:jc w:val="both"/>
          </w:pPr>
          <w:r>
            <w:t xml:space="preserve">Knowledge Management Value Chain, also known as KMVC, </w:t>
          </w:r>
          <w:r w:rsidR="00733B58">
            <w:t xml:space="preserve">is a framework that shows that in an organisation, in order to have multiple benefits, the knowledge must successfully be applied in four stages. The stages are known as </w:t>
          </w:r>
        </w:p>
        <w:p w14:paraId="73B6DF4A" w14:textId="77209F4E" w:rsidR="00F654AB" w:rsidRDefault="00733B58" w:rsidP="00733B58">
          <w:pPr>
            <w:pStyle w:val="Listparagraf"/>
            <w:numPr>
              <w:ilvl w:val="0"/>
              <w:numId w:val="1"/>
            </w:numPr>
            <w:jc w:val="both"/>
          </w:pPr>
          <w:r>
            <w:t xml:space="preserve">Knowledge Acquisition – where the knowledge is being searched or not but obtained and verified to be true and useful </w:t>
          </w:r>
          <w:r w:rsidR="00B32D05">
            <w:t>(Malek, Al-</w:t>
          </w:r>
          <w:proofErr w:type="spellStart"/>
          <w:r w:rsidR="00B32D05">
            <w:t>Toubi</w:t>
          </w:r>
          <w:proofErr w:type="spellEnd"/>
          <w:r w:rsidR="00B32D05">
            <w:t>, 2018)</w:t>
          </w:r>
        </w:p>
        <w:p w14:paraId="5BAC25E9" w14:textId="63475E88" w:rsidR="00733B58" w:rsidRDefault="00733B58" w:rsidP="00733B58">
          <w:pPr>
            <w:pStyle w:val="Listparagraf"/>
            <w:numPr>
              <w:ilvl w:val="0"/>
              <w:numId w:val="1"/>
            </w:numPr>
            <w:jc w:val="both"/>
          </w:pPr>
          <w:r>
            <w:t xml:space="preserve">Knowledge Storage – where the knowledge just acquired must be safely kept, usually in digital systems where only the </w:t>
          </w:r>
          <w:r w:rsidR="00B630FC">
            <w:t xml:space="preserve">organisation has access to it </w:t>
          </w:r>
          <w:r w:rsidR="00B32D05">
            <w:t>(Malek, Al-</w:t>
          </w:r>
          <w:proofErr w:type="spellStart"/>
          <w:r w:rsidR="00B32D05">
            <w:t>Toubi</w:t>
          </w:r>
          <w:proofErr w:type="spellEnd"/>
          <w:r w:rsidR="00B32D05">
            <w:t>, 2018)</w:t>
          </w:r>
        </w:p>
        <w:p w14:paraId="36062CFE" w14:textId="44027660" w:rsidR="00B630FC" w:rsidRDefault="00B630FC" w:rsidP="00733B58">
          <w:pPr>
            <w:pStyle w:val="Listparagraf"/>
            <w:numPr>
              <w:ilvl w:val="0"/>
              <w:numId w:val="1"/>
            </w:numPr>
            <w:jc w:val="both"/>
          </w:pPr>
          <w:r>
            <w:t xml:space="preserve">Knowledge Dissemination – where the knowledge must be equally shared with the organisation and its members and employees in order to offer standardised services and have a clean policy </w:t>
          </w:r>
          <w:r w:rsidR="00B32D05">
            <w:t>(Malek, Al-</w:t>
          </w:r>
          <w:proofErr w:type="spellStart"/>
          <w:r w:rsidR="00B32D05">
            <w:t>Toubi</w:t>
          </w:r>
          <w:proofErr w:type="spellEnd"/>
          <w:r w:rsidR="00B32D05">
            <w:t>, 2018)</w:t>
          </w:r>
        </w:p>
        <w:p w14:paraId="3E07B79E" w14:textId="17F34A31" w:rsidR="00B630FC" w:rsidRDefault="00B630FC" w:rsidP="00733B58">
          <w:pPr>
            <w:pStyle w:val="Listparagraf"/>
            <w:numPr>
              <w:ilvl w:val="0"/>
              <w:numId w:val="1"/>
            </w:numPr>
            <w:jc w:val="both"/>
          </w:pPr>
          <w:r>
            <w:t>Knowledge Application – where the knowledge previously shared is utilised for its intended purposes and the organisation is starting to see the benefits of the entire knowledge management</w:t>
          </w:r>
          <w:r w:rsidR="00B32D05">
            <w:t xml:space="preserve"> </w:t>
          </w:r>
          <w:r w:rsidR="00B32D05">
            <w:t>(Malek, Al-</w:t>
          </w:r>
          <w:proofErr w:type="spellStart"/>
          <w:r w:rsidR="00B32D05">
            <w:t>Toubi</w:t>
          </w:r>
          <w:proofErr w:type="spellEnd"/>
          <w:r w:rsidR="00B32D05">
            <w:t>, 2018)</w:t>
          </w:r>
        </w:p>
        <w:p w14:paraId="7727B57A" w14:textId="66FFBE1A" w:rsidR="00B630FC" w:rsidRDefault="00CB0A2B" w:rsidP="00B630FC">
          <w:pPr>
            <w:jc w:val="both"/>
          </w:pPr>
          <w:r>
            <w:t>Knowledge Management is supported by many other theories, but the most noticeable are the Nevis theory and the Quinn theory. Nevis theory contains only three stages, knowledge acquisition, knowledge sharing and knowledge utilisation, and they are very similar to the Knowledge Management Value Chain, as Nevis identified the necessity of each stage, and offered insights about possible actions that might be relevant in a certain stage (Nevis et al, 199</w:t>
          </w:r>
          <w:r w:rsidR="00134B14">
            <w:t>5</w:t>
          </w:r>
          <w:r>
            <w:t xml:space="preserve">). At the same time, the Quinn’s theory is referring at types of knowledge that can be found in each stage, </w:t>
          </w:r>
          <w:r w:rsidR="00E7296C">
            <w:t>from cognitive knowledge</w:t>
          </w:r>
          <w:r>
            <w:t xml:space="preserve"> to advanced skills, system understanding and motivation</w:t>
          </w:r>
          <w:r w:rsidR="000C776E">
            <w:t xml:space="preserve"> (Quinn et al., 1996)</w:t>
          </w:r>
          <w:r>
            <w:t xml:space="preserve">. </w:t>
          </w:r>
          <w:r w:rsidR="00E7296C">
            <w:t>In addition to this, the knowledge creation, which does not a have a specific stage within the Knowledge Management Value Chain, it can be actioned with the help of the SECI model</w:t>
          </w:r>
          <w:r w:rsidR="00400908">
            <w:t xml:space="preserve"> (</w:t>
          </w:r>
          <w:r w:rsidR="00400908" w:rsidRPr="00C31C4D">
            <w:rPr>
              <w:rFonts w:ascii="Calibri" w:hAnsi="Calibri" w:cs="Calibri"/>
              <w:color w:val="222222"/>
            </w:rPr>
            <w:t>Chatzoglou</w:t>
          </w:r>
          <w:r w:rsidR="00400908">
            <w:rPr>
              <w:rFonts w:ascii="Calibri" w:hAnsi="Calibri" w:cs="Calibri"/>
              <w:color w:val="222222"/>
            </w:rPr>
            <w:t xml:space="preserve"> et al, 2018)</w:t>
          </w:r>
          <w:r w:rsidR="00E7296C">
            <w:t xml:space="preserve">, which operated with both tacit and explicit knowledge, and has set up four mains activities that can happen where new knowledge is being produced, and the stages are socialisation, externalisation, combination and internalisation. </w:t>
          </w:r>
        </w:p>
        <w:p w14:paraId="7A1DAE81" w14:textId="04B66D7C" w:rsidR="00134B14" w:rsidRDefault="00134B14" w:rsidP="00B630FC">
          <w:pPr>
            <w:jc w:val="both"/>
          </w:pPr>
          <w:r>
            <w:t>The first step that the knowledge goes though when it comes to the organisation is the Knowledge Acquisition stage. According to Nevis (Nevis et al, 1996)</w:t>
          </w:r>
          <w:r w:rsidR="000C776E">
            <w:t xml:space="preserve"> there are multiple ways in which the knowledge can be attained, and Quinn (Quinn et al, 1995) is completing the theory by adding the knowledge typology which can be acquired, such as the cognitive knowledge through SECI’s socialisations, advanced skills through SECI’s internalisation and the system know how through SECI’s combination. There are opinions that argue that even the Quinn’ self-motivation knowledge typology can be acquired through SECI’s socialisation</w:t>
          </w:r>
          <w:r w:rsidR="00400908">
            <w:t xml:space="preserve"> </w:t>
          </w:r>
          <w:r w:rsidR="00400908">
            <w:t>(</w:t>
          </w:r>
          <w:r w:rsidR="00400908" w:rsidRPr="00C31C4D">
            <w:rPr>
              <w:rFonts w:ascii="Calibri" w:hAnsi="Calibri" w:cs="Calibri"/>
              <w:color w:val="222222"/>
            </w:rPr>
            <w:t>Chatzoglou</w:t>
          </w:r>
          <w:r w:rsidR="00400908">
            <w:rPr>
              <w:rFonts w:ascii="Calibri" w:hAnsi="Calibri" w:cs="Calibri"/>
              <w:color w:val="222222"/>
            </w:rPr>
            <w:t xml:space="preserve"> et al, 2018)</w:t>
          </w:r>
          <w:r w:rsidR="000C776E">
            <w:t xml:space="preserve">, but in the case of the Welsh hospitals, the self-motivation is not an important type of knowledge, so, in consequence, there is little to no information about how this type of knowledge is obtained. </w:t>
          </w:r>
          <w:r w:rsidR="009E21ED">
            <w:t>The Welsh hospitals are receiving most of the cognitive or tacit information directly form the persons that need the hospital services, as this is a mandatory procedure when helping the patients</w:t>
          </w:r>
          <w:r w:rsidR="00B32D05">
            <w:t xml:space="preserve"> </w:t>
          </w:r>
          <w:r w:rsidR="00B32D05">
            <w:t>(Health in Wales, 2022)</w:t>
          </w:r>
          <w:r w:rsidR="009E21ED">
            <w:t>. However, the staff’s advanced skills and system understanding, where the first is their tacit knowledge and the second is the explicit knowledge, both come from specialised training which can be given inside or outside the organisation, as the advanced skills are related to medical knowledge and the system understanding related more with the internal system that the Welsh hospitals are using to manage the knowledge</w:t>
          </w:r>
          <w:r w:rsidR="00B32D05">
            <w:t xml:space="preserve"> </w:t>
          </w:r>
          <w:r w:rsidR="00B32D05">
            <w:t>(Health in Wales, 2022)</w:t>
          </w:r>
          <w:r w:rsidR="009E21ED">
            <w:t xml:space="preserve">. </w:t>
          </w:r>
          <w:r w:rsidR="00506BB7">
            <w:t>The entire organisation support the acquisition of knowledge, especially staff knowledge and skills, this is why there are funding available for the staff to study outside of the hospital to be able to bring new knowledge on the Welsh hospitals premises</w:t>
          </w:r>
          <w:r w:rsidR="00B32D05">
            <w:t xml:space="preserve"> </w:t>
          </w:r>
          <w:r w:rsidR="00B32D05">
            <w:t>(Health in Wales, 2022)</w:t>
          </w:r>
          <w:r w:rsidR="00506BB7">
            <w:t xml:space="preserve">. </w:t>
          </w:r>
        </w:p>
        <w:p w14:paraId="591EEF54" w14:textId="4D92D6DA" w:rsidR="009E21ED" w:rsidRDefault="00BC6446" w:rsidP="00B630FC">
          <w:pPr>
            <w:jc w:val="both"/>
          </w:pPr>
          <w:r>
            <w:t>After the knowledge has been obtained, it must be stores so it can be easily accessed and must be protected because it is valuable and it must be lost, and all this is happening in the second stage of the Knowledge Management Value Chain, the Knowledge Storage. However, this stage is mainly applicable to the explicit knowledge, which, according to Quinn (Quinn et al, 1996) can be seen as the system understanding, because this is the stage where all the technological systems are applied the best. According to the SECI model, this is the stage that combines both tacit and explicit knowledge in order to create new explicit knowledge, and the SECI process is known as combination</w:t>
          </w:r>
          <w:r w:rsidR="00400908">
            <w:t xml:space="preserve"> </w:t>
          </w:r>
          <w:r w:rsidR="00400908">
            <w:t>(</w:t>
          </w:r>
          <w:r w:rsidR="00400908" w:rsidRPr="00C31C4D">
            <w:rPr>
              <w:rFonts w:ascii="Calibri" w:hAnsi="Calibri" w:cs="Calibri"/>
              <w:color w:val="222222"/>
            </w:rPr>
            <w:t>Chatzoglou</w:t>
          </w:r>
          <w:r w:rsidR="00400908">
            <w:rPr>
              <w:rFonts w:ascii="Calibri" w:hAnsi="Calibri" w:cs="Calibri"/>
              <w:color w:val="222222"/>
            </w:rPr>
            <w:t xml:space="preserve"> et al, 2018)</w:t>
          </w:r>
          <w:r w:rsidR="00400908">
            <w:t xml:space="preserve">. </w:t>
          </w:r>
          <w:r w:rsidR="00950152">
            <w:t>The digital system which is used in the most effective way to store knowledge in the Welsh hospital is the Welsh Clinical Portal, which keeps secure the knowledge about millions of patients, and which allows access to such a large volume within seconds from opening, and it is successfully used by all the hospital staff to save the knowledge from patients</w:t>
          </w:r>
          <w:r w:rsidR="00B32D05">
            <w:t xml:space="preserve"> </w:t>
          </w:r>
          <w:r w:rsidR="00B32D05">
            <w:t>(Health in Wales, 2022)</w:t>
          </w:r>
          <w:r w:rsidR="00950152">
            <w:t xml:space="preserve">. </w:t>
          </w:r>
          <w:r w:rsidR="006C30F0">
            <w:t>The IT department is taking care of the knowledge storage systems</w:t>
          </w:r>
          <w:r w:rsidR="00B32D05">
            <w:t xml:space="preserve"> (Digital Health and Care Wales, 2022)</w:t>
          </w:r>
          <w:r w:rsidR="006C30F0">
            <w:t>.</w:t>
          </w:r>
        </w:p>
        <w:p w14:paraId="28117684" w14:textId="06B5951A" w:rsidR="00950152" w:rsidRDefault="00950152" w:rsidP="00B630FC">
          <w:pPr>
            <w:jc w:val="both"/>
          </w:pPr>
          <w:r>
            <w:t xml:space="preserve">After the knowledge has been obtained and safely stored, the natural step is to share it with the relevant employees in the organisation, and this is the stage of the Knowledge Management Value Chain which is known as Knowledge Dissemination. Nevis’ </w:t>
          </w:r>
          <w:r w:rsidR="00342948">
            <w:t xml:space="preserve">(Nevis et al, 1996) </w:t>
          </w:r>
          <w:r w:rsidR="004431BA">
            <w:t xml:space="preserve">take on the knowledge dissemination is that the sharing culture must be existent within any </w:t>
          </w:r>
          <w:r w:rsidR="00A16A2A">
            <w:t>organisation because</w:t>
          </w:r>
          <w:r w:rsidR="004431BA">
            <w:t xml:space="preserve"> it will increase the output of each member of staff, and, according to Quinn</w:t>
          </w:r>
          <w:r w:rsidR="00342948">
            <w:t xml:space="preserve"> (Quinn et al, 1996)</w:t>
          </w:r>
          <w:r w:rsidR="004431BA">
            <w:t xml:space="preserve">, it can also bring into attention the self-motivation to do the job </w:t>
          </w:r>
          <w:r w:rsidR="00A16A2A">
            <w:t>properly.</w:t>
          </w:r>
          <w:r w:rsidR="006D2FBA">
            <w:t xml:space="preserve"> The main SECI model applied within his stage is the internalisation process, as the explicit knowledge becomes tacit</w:t>
          </w:r>
          <w:r w:rsidR="00400908">
            <w:t xml:space="preserve"> </w:t>
          </w:r>
          <w:r w:rsidR="00400908">
            <w:t>(</w:t>
          </w:r>
          <w:r w:rsidR="00400908" w:rsidRPr="00C31C4D">
            <w:rPr>
              <w:rFonts w:ascii="Calibri" w:hAnsi="Calibri" w:cs="Calibri"/>
              <w:color w:val="222222"/>
            </w:rPr>
            <w:t>Chatzoglou</w:t>
          </w:r>
          <w:r w:rsidR="00400908">
            <w:rPr>
              <w:rFonts w:ascii="Calibri" w:hAnsi="Calibri" w:cs="Calibri"/>
              <w:color w:val="222222"/>
            </w:rPr>
            <w:t xml:space="preserve"> et al, 2018)</w:t>
          </w:r>
          <w:r w:rsidR="006D2FBA">
            <w:t>.</w:t>
          </w:r>
          <w:r w:rsidR="00A16A2A">
            <w:t xml:space="preserve"> Given this, these is a very large culture of knowledge sharing within the Welsh hospitals, because there are constant meeting to discuss patients before giving them a treatment, the staff has mandatory training that they </w:t>
          </w:r>
          <w:r w:rsidR="006D2FBA">
            <w:t>must</w:t>
          </w:r>
          <w:r w:rsidR="00A16A2A">
            <w:t>, and even the Welsh Clinical portal can be a way of sharing knowledge from a member of the staff to another</w:t>
          </w:r>
          <w:r w:rsidR="00B32D05">
            <w:t xml:space="preserve"> </w:t>
          </w:r>
          <w:r w:rsidR="00B32D05">
            <w:t>(Health in Wales, 2022)</w:t>
          </w:r>
          <w:r w:rsidR="00A16A2A">
            <w:t xml:space="preserve">.  </w:t>
          </w:r>
        </w:p>
        <w:p w14:paraId="44FDDE96" w14:textId="12EA6BFB" w:rsidR="006D2FBA" w:rsidRDefault="006D2FBA" w:rsidP="00B630FC">
          <w:pPr>
            <w:jc w:val="both"/>
          </w:pPr>
          <w:r>
            <w:t>After the knowledge has become available to everyone who might needs in the organisation, the final step in handling the knowledge is its application, and the stage is called Knowledge Application. Nevis</w:t>
          </w:r>
          <w:r w:rsidR="00342948">
            <w:t xml:space="preserve"> (Nevis et al, 1995)</w:t>
          </w:r>
          <w:r>
            <w:t xml:space="preserve"> is considering this stage to the knowledge utilisation, and Quinn </w:t>
          </w:r>
          <w:r w:rsidR="00342948">
            <w:t xml:space="preserve">(Quinn et al, 1996) </w:t>
          </w:r>
          <w:r>
            <w:t xml:space="preserve">is arguing that this is the only stage that combines all the knowledge typologies discovered. </w:t>
          </w:r>
          <w:r w:rsidR="00506BB7">
            <w:t>While there is not clear which part of the SECI is applicable within this stage</w:t>
          </w:r>
          <w:r w:rsidR="00400908">
            <w:t xml:space="preserve"> </w:t>
          </w:r>
          <w:r w:rsidR="00400908">
            <w:t>(</w:t>
          </w:r>
          <w:r w:rsidR="00400908" w:rsidRPr="00C31C4D">
            <w:rPr>
              <w:rFonts w:ascii="Calibri" w:hAnsi="Calibri" w:cs="Calibri"/>
              <w:color w:val="222222"/>
            </w:rPr>
            <w:t>Chatzoglou</w:t>
          </w:r>
          <w:r w:rsidR="00400908">
            <w:rPr>
              <w:rFonts w:ascii="Calibri" w:hAnsi="Calibri" w:cs="Calibri"/>
              <w:color w:val="222222"/>
            </w:rPr>
            <w:t xml:space="preserve"> et al, 2018)</w:t>
          </w:r>
          <w:r w:rsidR="00506BB7">
            <w:t>, it can be argued that new knowledge is created from the application of a past knowledge, so it might be safe to assume that depending on the organisation, every stage of the SECI model can be found within this stage. The Welsh hospitals apply all their knowledge with the main purpose of healing the local community and find new ways to keep it healthy as long as possible</w:t>
          </w:r>
          <w:r w:rsidR="00B32D05">
            <w:t xml:space="preserve"> </w:t>
          </w:r>
          <w:r w:rsidR="00B32D05">
            <w:t>(Health in Wales, 2022)</w:t>
          </w:r>
          <w:r w:rsidR="00506BB7">
            <w:t xml:space="preserve">. </w:t>
          </w:r>
        </w:p>
        <w:p w14:paraId="5800B3B3" w14:textId="77777777" w:rsidR="00810237" w:rsidRPr="00DB5FF9" w:rsidRDefault="00810237" w:rsidP="00427EA1">
          <w:pPr>
            <w:jc w:val="both"/>
          </w:pPr>
        </w:p>
        <w:p w14:paraId="0ABC39D3" w14:textId="753EC124" w:rsidR="00AA2A91" w:rsidRDefault="00AA2A91" w:rsidP="00B10E46">
          <w:pPr>
            <w:pStyle w:val="Titlu1"/>
          </w:pPr>
          <w:bookmarkStart w:id="5" w:name="_Toc108181950"/>
          <w:r>
            <w:t>Conclusion</w:t>
          </w:r>
          <w:bookmarkEnd w:id="5"/>
          <w:r w:rsidR="00D854A5">
            <w:t xml:space="preserve"> </w:t>
          </w:r>
        </w:p>
        <w:p w14:paraId="7DBDDCB3" w14:textId="461E9FE8" w:rsidR="006C30F0" w:rsidRDefault="006C30F0" w:rsidP="006C30F0">
          <w:pPr>
            <w:jc w:val="both"/>
          </w:pPr>
          <w:r>
            <w:t xml:space="preserve">To conclude, the Welsh hospitals are working very well with the knowledge. Each stage of the Knowledge Management Value Chain is backed up by knowledge management theories such as Nevis, Quinn and the Seci Model, and it is supported by different organisational departments, meaning that the knowledge management is done by everyone in the Welsh hospitals. </w:t>
          </w:r>
        </w:p>
        <w:p w14:paraId="1FE968C4" w14:textId="33ACD222" w:rsidR="006C30F0" w:rsidRDefault="006C30F0" w:rsidP="006C30F0">
          <w:pPr>
            <w:jc w:val="both"/>
          </w:pPr>
          <w:r>
            <w:t>Moreover, the knowledge is the main resource used by the Welsh hospitals, and for this reason they have adopted the Resource Based View to determine is the knowledge can offer the sector a competitive advantage. To determine that, the VRIO framework have been applied to the Resource Based View within the Strengths category of the SWOT Analysis, and it has be</w:t>
          </w:r>
          <w:r w:rsidR="00487F6A">
            <w:t xml:space="preserve">en successfully revealed that the knowledge as a main resource passed each of the VRIO criteria in order to determine the competitive advantage which the Welsh hospital is having over other hospital sectors. </w:t>
          </w:r>
        </w:p>
        <w:p w14:paraId="0806299D" w14:textId="58606585" w:rsidR="00487F6A" w:rsidRPr="00506BB7" w:rsidRDefault="00487F6A" w:rsidP="006C30F0">
          <w:pPr>
            <w:jc w:val="both"/>
          </w:pPr>
          <w:r>
            <w:t xml:space="preserve">Because the hospital sector in Wales has proven that it has a very efficient knowledge management system implemented, it can be recommended that the organisation keep up with its knowledge handling since it is very efficient, and to find new methods to update it so it overcomes the shortage of other resources which are necessary when handling the knowledge, such as the employees. </w:t>
          </w:r>
        </w:p>
        <w:p w14:paraId="7202FDFC" w14:textId="77777777" w:rsidR="00AA2A91" w:rsidRPr="00AA2A91" w:rsidRDefault="00AA2A91" w:rsidP="00AA2A91">
          <w:pPr>
            <w:pStyle w:val="Titlu1"/>
          </w:pPr>
          <w:bookmarkStart w:id="6" w:name="_Toc108181951"/>
          <w:r>
            <w:t>Bibliography</w:t>
          </w:r>
          <w:bookmarkEnd w:id="6"/>
        </w:p>
        <w:p w14:paraId="77D69E6F" w14:textId="77777777" w:rsidR="004A11F6" w:rsidRPr="007D1947" w:rsidRDefault="004A11F6" w:rsidP="007D1947"/>
        <w:p w14:paraId="60BEB4D1" w14:textId="77777777" w:rsidR="00400908" w:rsidRDefault="00000000" w:rsidP="00400908">
          <w:pPr>
            <w:pStyle w:val="NormalWeb"/>
            <w:shd w:val="clear" w:color="auto" w:fill="FFFFFF"/>
            <w:spacing w:line="360" w:lineRule="auto"/>
            <w:ind w:left="720"/>
            <w:jc w:val="both"/>
          </w:pPr>
        </w:p>
      </w:sdtContent>
    </w:sdt>
    <w:p w14:paraId="2CE9E0D6" w14:textId="65509DB2" w:rsidR="00400908" w:rsidRPr="00C31C4D" w:rsidRDefault="00400908" w:rsidP="00400908">
      <w:pPr>
        <w:pStyle w:val="NormalWeb"/>
        <w:shd w:val="clear" w:color="auto" w:fill="FFFFFF"/>
        <w:spacing w:line="360" w:lineRule="auto"/>
        <w:ind w:left="720"/>
        <w:jc w:val="both"/>
        <w:rPr>
          <w:rFonts w:ascii="Calibri" w:hAnsi="Calibri" w:cs="Calibri"/>
          <w:color w:val="222222"/>
          <w:sz w:val="22"/>
          <w:szCs w:val="22"/>
        </w:rPr>
      </w:pPr>
      <w:r w:rsidRPr="00400908">
        <w:rPr>
          <w:rFonts w:ascii="Calibri" w:hAnsi="Calibri" w:cs="Calibri"/>
          <w:color w:val="222222"/>
        </w:rPr>
        <w:t xml:space="preserve"> </w:t>
      </w:r>
      <w:r w:rsidRPr="00C31C4D">
        <w:rPr>
          <w:rFonts w:ascii="Calibri" w:hAnsi="Calibri" w:cs="Calibri"/>
          <w:color w:val="222222"/>
          <w:sz w:val="22"/>
          <w:szCs w:val="22"/>
        </w:rPr>
        <w:t>Addis, S., Holland‐Hart, D., Edwards, A., Neal, R.D. and Wood, F., 2019. Implementing Prudent Healthcare in the NHS in Wales; what are the barriers and enablers for clinicians? Journal of evaluation in clinical practice, 25(1), pp.104-110.</w:t>
      </w:r>
    </w:p>
    <w:p w14:paraId="23634105" w14:textId="77777777" w:rsidR="00400908" w:rsidRPr="00C31C4D" w:rsidRDefault="00400908" w:rsidP="00400908">
      <w:pPr>
        <w:pStyle w:val="NormalWeb"/>
        <w:shd w:val="clear" w:color="auto" w:fill="FFFFFF"/>
        <w:spacing w:line="360" w:lineRule="auto"/>
        <w:ind w:left="720"/>
        <w:jc w:val="both"/>
        <w:rPr>
          <w:rFonts w:ascii="Calibri" w:hAnsi="Calibri" w:cs="Calibri"/>
          <w:color w:val="222222"/>
          <w:sz w:val="22"/>
          <w:szCs w:val="22"/>
        </w:rPr>
      </w:pPr>
      <w:r w:rsidRPr="00C31C4D">
        <w:rPr>
          <w:rFonts w:ascii="Calibri" w:hAnsi="Calibri" w:cs="Calibri"/>
          <w:color w:val="222222"/>
          <w:sz w:val="22"/>
          <w:szCs w:val="22"/>
        </w:rPr>
        <w:t xml:space="preserve">Balasubramanian, S., Al-Ahbabi, S. and Sreejith, S. (2020), "Knowledge management processes and performance: The impact of ownership of public sector organizations", International Journal of Public Sector Management, Vol. 33 No. 1, pp. 1-21. </w:t>
      </w:r>
      <w:hyperlink r:id="rId10" w:history="1">
        <w:r w:rsidRPr="00C31C4D">
          <w:rPr>
            <w:rStyle w:val="Hyperlink"/>
            <w:rFonts w:ascii="Calibri" w:hAnsi="Calibri" w:cs="Calibri"/>
            <w:color w:val="0563C1"/>
            <w:sz w:val="22"/>
            <w:szCs w:val="22"/>
          </w:rPr>
          <w:t>https://doi.org/10.1108/IJPSM-05-2019-0131</w:t>
        </w:r>
      </w:hyperlink>
    </w:p>
    <w:p w14:paraId="31C21709" w14:textId="77777777" w:rsidR="00400908" w:rsidRPr="00C31C4D" w:rsidRDefault="00400908" w:rsidP="00400908">
      <w:pPr>
        <w:pStyle w:val="NormalWeb"/>
        <w:shd w:val="clear" w:color="auto" w:fill="FFFFFF"/>
        <w:spacing w:before="0" w:beforeAutospacing="0" w:after="0" w:afterAutospacing="0" w:line="360" w:lineRule="auto"/>
        <w:ind w:left="720"/>
        <w:jc w:val="both"/>
        <w:rPr>
          <w:rFonts w:ascii="Calibri" w:hAnsi="Calibri" w:cs="Calibri"/>
          <w:color w:val="222222"/>
          <w:sz w:val="22"/>
          <w:szCs w:val="22"/>
        </w:rPr>
      </w:pPr>
      <w:r w:rsidRPr="00C31C4D">
        <w:rPr>
          <w:rFonts w:ascii="Calibri" w:hAnsi="Calibri" w:cs="Calibri"/>
          <w:color w:val="222222"/>
          <w:sz w:val="22"/>
          <w:szCs w:val="22"/>
        </w:rPr>
        <w:t xml:space="preserve">Bandera et al, (2017), Knowledge management and the entrepreneur: Insights from </w:t>
      </w:r>
      <w:proofErr w:type="spellStart"/>
      <w:r w:rsidRPr="00C31C4D">
        <w:rPr>
          <w:rFonts w:ascii="Calibri" w:hAnsi="Calibri" w:cs="Calibri"/>
          <w:color w:val="222222"/>
          <w:sz w:val="22"/>
          <w:szCs w:val="22"/>
        </w:rPr>
        <w:t>Ikujiro</w:t>
      </w:r>
      <w:proofErr w:type="spellEnd"/>
      <w:r w:rsidRPr="00C31C4D">
        <w:rPr>
          <w:rFonts w:ascii="Calibri" w:hAnsi="Calibri" w:cs="Calibri"/>
          <w:color w:val="222222"/>
          <w:sz w:val="22"/>
          <w:szCs w:val="22"/>
        </w:rPr>
        <w:t xml:space="preserve"> Nonaka's Dynamic Knowledge Creation model (SECI), </w:t>
      </w:r>
      <w:r w:rsidRPr="00C31C4D">
        <w:rPr>
          <w:rFonts w:ascii="Calibri" w:hAnsi="Calibri" w:cs="Calibri"/>
          <w:i/>
          <w:iCs/>
          <w:color w:val="222222"/>
          <w:sz w:val="22"/>
          <w:szCs w:val="22"/>
        </w:rPr>
        <w:t>International Journal of Innovation Studies, </w:t>
      </w:r>
      <w:r w:rsidRPr="00C31C4D">
        <w:rPr>
          <w:rFonts w:ascii="Calibri" w:hAnsi="Calibri" w:cs="Calibri"/>
          <w:color w:val="222222"/>
          <w:sz w:val="22"/>
          <w:szCs w:val="22"/>
        </w:rPr>
        <w:t>Volume 1, issue 3, pages 163-174, available at </w:t>
      </w:r>
      <w:hyperlink r:id="rId11" w:tgtFrame="_blank" w:history="1">
        <w:r w:rsidRPr="00C31C4D">
          <w:rPr>
            <w:rStyle w:val="Hyperlink"/>
            <w:rFonts w:ascii="Calibri" w:eastAsiaTheme="majorEastAsia" w:hAnsi="Calibri" w:cs="Calibri"/>
            <w:color w:val="0563C1"/>
            <w:sz w:val="22"/>
            <w:szCs w:val="22"/>
          </w:rPr>
          <w:t xml:space="preserve">Knowledge management and the entrepreneur: Insights from </w:t>
        </w:r>
        <w:proofErr w:type="spellStart"/>
        <w:r w:rsidRPr="00C31C4D">
          <w:rPr>
            <w:rStyle w:val="Hyperlink"/>
            <w:rFonts w:ascii="Calibri" w:eastAsiaTheme="majorEastAsia" w:hAnsi="Calibri" w:cs="Calibri"/>
            <w:color w:val="0563C1"/>
            <w:sz w:val="22"/>
            <w:szCs w:val="22"/>
          </w:rPr>
          <w:t>Ikujiro</w:t>
        </w:r>
        <w:proofErr w:type="spellEnd"/>
        <w:r w:rsidRPr="00C31C4D">
          <w:rPr>
            <w:rStyle w:val="Hyperlink"/>
            <w:rFonts w:ascii="Calibri" w:eastAsiaTheme="majorEastAsia" w:hAnsi="Calibri" w:cs="Calibri"/>
            <w:color w:val="0563C1"/>
            <w:sz w:val="22"/>
            <w:szCs w:val="22"/>
          </w:rPr>
          <w:t xml:space="preserve"> Nonaka's Dynamic Knowledge Creation model (SECI) - ScienceDirect</w:t>
        </w:r>
      </w:hyperlink>
      <w:r w:rsidRPr="00C31C4D">
        <w:rPr>
          <w:rFonts w:ascii="Calibri" w:hAnsi="Calibri" w:cs="Calibri"/>
          <w:color w:val="222222"/>
          <w:sz w:val="22"/>
          <w:szCs w:val="22"/>
        </w:rPr>
        <w:t>, accessed on 06.07.2022</w:t>
      </w:r>
    </w:p>
    <w:p w14:paraId="7DFA9346" w14:textId="77777777" w:rsidR="00400908" w:rsidRPr="00C31C4D" w:rsidRDefault="00400908" w:rsidP="00400908">
      <w:pPr>
        <w:pStyle w:val="NormalWeb"/>
        <w:shd w:val="clear" w:color="auto" w:fill="FFFFFF"/>
        <w:spacing w:before="0" w:beforeAutospacing="0" w:after="0" w:afterAutospacing="0" w:line="360" w:lineRule="auto"/>
        <w:ind w:left="720"/>
        <w:jc w:val="both"/>
        <w:rPr>
          <w:rFonts w:ascii="Calibri" w:hAnsi="Calibri" w:cs="Calibri"/>
          <w:color w:val="222222"/>
          <w:sz w:val="22"/>
          <w:szCs w:val="22"/>
        </w:rPr>
      </w:pPr>
      <w:r w:rsidRPr="00C31C4D">
        <w:rPr>
          <w:rFonts w:ascii="Calibri" w:hAnsi="Calibri" w:cs="Calibri"/>
          <w:color w:val="222222"/>
          <w:sz w:val="22"/>
          <w:szCs w:val="22"/>
        </w:rPr>
        <w:t>Bandera, C., Bartolacci, M.R. and Passerini, K., 2016. Knowledge management and entrepreneurship: A contradictory recipe. International Journal of Knowledge Management (IJKM), 12(3), pp.1-14.</w:t>
      </w:r>
    </w:p>
    <w:p w14:paraId="10F0F0EC" w14:textId="77777777" w:rsidR="00400908" w:rsidRPr="00C31C4D" w:rsidRDefault="00400908" w:rsidP="00400908">
      <w:pPr>
        <w:pStyle w:val="NormalWeb"/>
        <w:shd w:val="clear" w:color="auto" w:fill="FFFFFF"/>
        <w:spacing w:before="0" w:beforeAutospacing="0" w:after="0" w:afterAutospacing="0" w:line="360" w:lineRule="auto"/>
        <w:ind w:left="720"/>
        <w:jc w:val="both"/>
        <w:rPr>
          <w:rFonts w:ascii="Calibri" w:hAnsi="Calibri" w:cs="Calibri"/>
          <w:color w:val="222222"/>
          <w:sz w:val="22"/>
          <w:szCs w:val="22"/>
        </w:rPr>
      </w:pPr>
      <w:r w:rsidRPr="00C31C4D">
        <w:rPr>
          <w:rFonts w:ascii="Calibri" w:hAnsi="Calibri" w:cs="Calibri"/>
          <w:color w:val="222222"/>
          <w:sz w:val="22"/>
          <w:szCs w:val="22"/>
        </w:rPr>
        <w:t>Cerchione, R, Esposito, E, 2016, A systematic review of supply chain knowledge management research: State of the art and research opportunities, </w:t>
      </w:r>
      <w:r w:rsidRPr="00C31C4D">
        <w:rPr>
          <w:rFonts w:ascii="Calibri" w:hAnsi="Calibri" w:cs="Calibri"/>
          <w:i/>
          <w:iCs/>
          <w:color w:val="222222"/>
          <w:sz w:val="22"/>
          <w:szCs w:val="22"/>
        </w:rPr>
        <w:t>International Journal of Production Economics, </w:t>
      </w:r>
      <w:r w:rsidRPr="00C31C4D">
        <w:rPr>
          <w:rFonts w:ascii="Calibri" w:hAnsi="Calibri" w:cs="Calibri"/>
          <w:color w:val="222222"/>
          <w:sz w:val="22"/>
          <w:szCs w:val="22"/>
        </w:rPr>
        <w:t>Volume 182, p 276-292</w:t>
      </w:r>
    </w:p>
    <w:p w14:paraId="06575765" w14:textId="77777777" w:rsidR="00400908" w:rsidRPr="00C31C4D" w:rsidRDefault="00400908" w:rsidP="00400908">
      <w:pPr>
        <w:pStyle w:val="NormalWeb"/>
        <w:shd w:val="clear" w:color="auto" w:fill="FFFFFF"/>
        <w:spacing w:before="0" w:beforeAutospacing="0" w:after="160" w:afterAutospacing="0" w:line="360" w:lineRule="auto"/>
        <w:ind w:left="720"/>
        <w:jc w:val="both"/>
        <w:rPr>
          <w:rFonts w:ascii="Calibri" w:hAnsi="Calibri" w:cs="Calibri"/>
          <w:color w:val="222222"/>
          <w:sz w:val="22"/>
          <w:szCs w:val="22"/>
        </w:rPr>
      </w:pPr>
      <w:r w:rsidRPr="00C31C4D">
        <w:rPr>
          <w:rFonts w:ascii="Calibri" w:hAnsi="Calibri" w:cs="Calibri"/>
          <w:color w:val="222222"/>
          <w:sz w:val="22"/>
          <w:szCs w:val="22"/>
        </w:rPr>
        <w:t>Chatzoglou et al, (2018), The role of firm-specific factors in the strategy-performance relationship: Revisiting the resource-based view of the firm and the VRIO framework, Management Research Review, Vol. 41 No. 1, pp. 46-73. </w:t>
      </w:r>
      <w:hyperlink r:id="rId12" w:tgtFrame="_blank" w:history="1">
        <w:r w:rsidRPr="00C31C4D">
          <w:rPr>
            <w:rStyle w:val="Hyperlink"/>
            <w:rFonts w:ascii="Calibri" w:eastAsiaTheme="majorEastAsia" w:hAnsi="Calibri" w:cs="Calibri"/>
            <w:color w:val="0563C1"/>
            <w:sz w:val="22"/>
            <w:szCs w:val="22"/>
          </w:rPr>
          <w:t>https://doi.org/10.1108/MRR-10-2016-0243</w:t>
        </w:r>
      </w:hyperlink>
    </w:p>
    <w:p w14:paraId="5FC06002" w14:textId="77777777" w:rsidR="00400908" w:rsidRPr="00C31C4D" w:rsidRDefault="00400908" w:rsidP="00400908">
      <w:pPr>
        <w:pStyle w:val="NormalWeb"/>
        <w:shd w:val="clear" w:color="auto" w:fill="FFFFFF"/>
        <w:spacing w:before="0" w:beforeAutospacing="0" w:after="0" w:afterAutospacing="0" w:line="360" w:lineRule="auto"/>
        <w:ind w:left="720"/>
        <w:jc w:val="both"/>
        <w:rPr>
          <w:rFonts w:ascii="Calibri" w:hAnsi="Calibri" w:cs="Calibri"/>
          <w:color w:val="222222"/>
          <w:sz w:val="22"/>
          <w:szCs w:val="22"/>
        </w:rPr>
      </w:pPr>
      <w:r w:rsidRPr="00C31C4D">
        <w:rPr>
          <w:rFonts w:ascii="Calibri" w:hAnsi="Calibri" w:cs="Calibri"/>
          <w:color w:val="222222"/>
          <w:sz w:val="22"/>
          <w:szCs w:val="22"/>
        </w:rPr>
        <w:t>Digital Health and Care Wales, (2022) DHCW Strategies and Frameworks, available at </w:t>
      </w:r>
      <w:hyperlink r:id="rId13" w:tgtFrame="_blank" w:history="1">
        <w:r w:rsidRPr="00C31C4D">
          <w:rPr>
            <w:rFonts w:ascii="Calibri" w:eastAsiaTheme="majorEastAsia" w:hAnsi="Calibri" w:cs="Calibri"/>
            <w:color w:val="222222"/>
            <w:sz w:val="22"/>
            <w:szCs w:val="22"/>
          </w:rPr>
          <w:t>FRA - Framework (</w:t>
        </w:r>
        <w:proofErr w:type="spellStart"/>
        <w:r w:rsidRPr="00C31C4D">
          <w:rPr>
            <w:rStyle w:val="Hyperlink"/>
            <w:rFonts w:ascii="Calibri" w:eastAsiaTheme="majorEastAsia" w:hAnsi="Calibri" w:cs="Calibri"/>
            <w:color w:val="0563C1"/>
            <w:sz w:val="22"/>
            <w:szCs w:val="22"/>
          </w:rPr>
          <w:t>nhs.wales</w:t>
        </w:r>
        <w:proofErr w:type="spellEnd"/>
        <w:r w:rsidRPr="00C31C4D">
          <w:rPr>
            <w:rFonts w:ascii="Calibri" w:eastAsiaTheme="majorEastAsia" w:hAnsi="Calibri" w:cs="Calibri"/>
            <w:color w:val="222222"/>
            <w:sz w:val="22"/>
            <w:szCs w:val="22"/>
          </w:rPr>
          <w:t>)</w:t>
        </w:r>
      </w:hyperlink>
      <w:r w:rsidRPr="00C31C4D">
        <w:rPr>
          <w:rFonts w:ascii="Calibri" w:hAnsi="Calibri" w:cs="Calibri"/>
          <w:color w:val="222222"/>
          <w:sz w:val="22"/>
          <w:szCs w:val="22"/>
        </w:rPr>
        <w:t xml:space="preserve">, accessed 07.07.2022 </w:t>
      </w:r>
    </w:p>
    <w:p w14:paraId="72300DE8" w14:textId="77777777" w:rsidR="00400908" w:rsidRPr="00C31C4D" w:rsidRDefault="00400908" w:rsidP="00400908">
      <w:pPr>
        <w:pStyle w:val="NormalWeb"/>
        <w:shd w:val="clear" w:color="auto" w:fill="FFFFFF"/>
        <w:spacing w:before="0" w:beforeAutospacing="0" w:after="0" w:afterAutospacing="0" w:line="360" w:lineRule="auto"/>
        <w:ind w:left="720"/>
        <w:jc w:val="both"/>
        <w:rPr>
          <w:rFonts w:ascii="Calibri" w:hAnsi="Calibri" w:cs="Calibri"/>
          <w:color w:val="222222"/>
          <w:sz w:val="22"/>
          <w:szCs w:val="22"/>
        </w:rPr>
      </w:pPr>
      <w:r w:rsidRPr="00C31C4D">
        <w:rPr>
          <w:rFonts w:ascii="Calibri" w:hAnsi="Calibri" w:cs="Calibri"/>
          <w:color w:val="222222"/>
          <w:sz w:val="22"/>
          <w:szCs w:val="22"/>
        </w:rPr>
        <w:t>Griffiths, D, (1998), 50 Years of the National Health Service Estate in Wales 1948-1998, Bigwood and Staple, available at </w:t>
      </w:r>
      <w:hyperlink r:id="rId14" w:tgtFrame="_blank" w:history="1">
        <w:r w:rsidRPr="00C31C4D">
          <w:rPr>
            <w:rFonts w:ascii="Calibri" w:eastAsiaTheme="majorEastAsia" w:hAnsi="Calibri" w:cs="Calibri"/>
            <w:color w:val="222222"/>
            <w:sz w:val="22"/>
            <w:szCs w:val="22"/>
          </w:rPr>
          <w:t>50 years of the NHS in Wales.pdf</w:t>
        </w:r>
      </w:hyperlink>
      <w:r w:rsidRPr="00C31C4D">
        <w:rPr>
          <w:rFonts w:ascii="Calibri" w:hAnsi="Calibri" w:cs="Calibri"/>
          <w:color w:val="222222"/>
          <w:sz w:val="22"/>
          <w:szCs w:val="22"/>
        </w:rPr>
        <w:t>, accessed 07.07.2022</w:t>
      </w:r>
    </w:p>
    <w:p w14:paraId="38926DAD" w14:textId="77777777" w:rsidR="00400908" w:rsidRPr="00C31C4D" w:rsidRDefault="00400908" w:rsidP="00400908">
      <w:pPr>
        <w:pStyle w:val="NormalWeb"/>
        <w:shd w:val="clear" w:color="auto" w:fill="FFFFFF"/>
        <w:spacing w:before="0" w:beforeAutospacing="0" w:after="0" w:afterAutospacing="0" w:line="360" w:lineRule="auto"/>
        <w:ind w:left="720"/>
        <w:jc w:val="both"/>
        <w:rPr>
          <w:rFonts w:ascii="Calibri" w:hAnsi="Calibri" w:cs="Calibri"/>
          <w:color w:val="222222"/>
          <w:sz w:val="22"/>
          <w:szCs w:val="22"/>
        </w:rPr>
      </w:pPr>
      <w:r w:rsidRPr="00C31C4D">
        <w:rPr>
          <w:rFonts w:ascii="Calibri" w:hAnsi="Calibri" w:cs="Calibri"/>
          <w:color w:val="222222"/>
          <w:sz w:val="22"/>
          <w:szCs w:val="22"/>
        </w:rPr>
        <w:t>Health in Wales, (2022), NHS Wales- About us, available at </w:t>
      </w:r>
      <w:hyperlink r:id="rId15" w:tgtFrame="_blank" w:history="1">
        <w:r w:rsidRPr="00C31C4D">
          <w:rPr>
            <w:rFonts w:ascii="Calibri" w:eastAsiaTheme="majorEastAsia" w:hAnsi="Calibri" w:cs="Calibri"/>
            <w:color w:val="222222"/>
            <w:sz w:val="22"/>
            <w:szCs w:val="22"/>
          </w:rPr>
          <w:t>Health in Wales | NHS Wales - About Us</w:t>
        </w:r>
      </w:hyperlink>
      <w:r w:rsidRPr="00C31C4D">
        <w:rPr>
          <w:rFonts w:ascii="Calibri" w:hAnsi="Calibri" w:cs="Calibri"/>
          <w:color w:val="222222"/>
          <w:sz w:val="22"/>
          <w:szCs w:val="22"/>
        </w:rPr>
        <w:t xml:space="preserve">, accessed 07.07.2022 </w:t>
      </w:r>
    </w:p>
    <w:p w14:paraId="64864B01" w14:textId="77777777" w:rsidR="00400908" w:rsidRPr="00C31C4D" w:rsidRDefault="00400908" w:rsidP="00400908">
      <w:pPr>
        <w:pStyle w:val="NormalWeb"/>
        <w:shd w:val="clear" w:color="auto" w:fill="FFFFFF"/>
        <w:spacing w:before="0" w:beforeAutospacing="0" w:after="0" w:afterAutospacing="0" w:line="360" w:lineRule="auto"/>
        <w:ind w:left="720"/>
        <w:jc w:val="both"/>
        <w:rPr>
          <w:rFonts w:ascii="Calibri" w:hAnsi="Calibri" w:cs="Calibri"/>
          <w:color w:val="222222"/>
          <w:sz w:val="22"/>
          <w:szCs w:val="22"/>
        </w:rPr>
      </w:pPr>
      <w:r w:rsidRPr="00C31C4D">
        <w:rPr>
          <w:rFonts w:ascii="Calibri" w:hAnsi="Calibri" w:cs="Calibri"/>
          <w:color w:val="222222"/>
          <w:sz w:val="22"/>
          <w:szCs w:val="22"/>
        </w:rPr>
        <w:t>Health in Wales, (2022), The core principles of NHS Wales, available at </w:t>
      </w:r>
      <w:hyperlink r:id="rId16" w:tgtFrame="_blank" w:history="1">
        <w:r w:rsidRPr="00C31C4D">
          <w:rPr>
            <w:rFonts w:ascii="Calibri" w:eastAsiaTheme="majorEastAsia" w:hAnsi="Calibri" w:cs="Calibri"/>
            <w:color w:val="222222"/>
            <w:sz w:val="22"/>
            <w:szCs w:val="22"/>
          </w:rPr>
          <w:t>Health in Wales | The core principles of NHS Wales</w:t>
        </w:r>
      </w:hyperlink>
      <w:r w:rsidRPr="00C31C4D">
        <w:rPr>
          <w:rFonts w:ascii="Calibri" w:hAnsi="Calibri" w:cs="Calibri"/>
          <w:color w:val="222222"/>
          <w:sz w:val="22"/>
          <w:szCs w:val="22"/>
        </w:rPr>
        <w:t>, accessed 07.07.2022</w:t>
      </w:r>
    </w:p>
    <w:p w14:paraId="0EF8584E" w14:textId="77777777" w:rsidR="00400908" w:rsidRPr="00C31C4D" w:rsidRDefault="00400908" w:rsidP="00400908">
      <w:pPr>
        <w:pStyle w:val="NormalWeb"/>
        <w:shd w:val="clear" w:color="auto" w:fill="FFFFFF"/>
        <w:spacing w:before="0" w:beforeAutospacing="0" w:after="160" w:afterAutospacing="0" w:line="360" w:lineRule="auto"/>
        <w:ind w:left="720"/>
        <w:jc w:val="both"/>
        <w:rPr>
          <w:rFonts w:ascii="Calibri" w:hAnsi="Calibri" w:cs="Calibri"/>
          <w:color w:val="222222"/>
          <w:sz w:val="22"/>
          <w:szCs w:val="22"/>
        </w:rPr>
      </w:pPr>
      <w:r w:rsidRPr="00C31C4D">
        <w:rPr>
          <w:rFonts w:ascii="Calibri" w:hAnsi="Calibri" w:cs="Calibri"/>
          <w:color w:val="222222"/>
          <w:sz w:val="22"/>
          <w:szCs w:val="22"/>
        </w:rPr>
        <w:t>Health in Wales, 2022, Sources of data, available at </w:t>
      </w:r>
      <w:hyperlink r:id="rId17" w:tgtFrame="_blank" w:history="1">
        <w:r w:rsidRPr="00C31C4D">
          <w:rPr>
            <w:rFonts w:ascii="Calibri" w:eastAsiaTheme="majorEastAsia" w:hAnsi="Calibri" w:cs="Calibri"/>
            <w:color w:val="222222"/>
            <w:sz w:val="22"/>
            <w:szCs w:val="22"/>
          </w:rPr>
          <w:t>Health in Wales | Sources of Data</w:t>
        </w:r>
      </w:hyperlink>
      <w:r w:rsidRPr="00C31C4D">
        <w:rPr>
          <w:rFonts w:ascii="Calibri" w:hAnsi="Calibri" w:cs="Calibri"/>
          <w:color w:val="222222"/>
          <w:sz w:val="22"/>
          <w:szCs w:val="22"/>
        </w:rPr>
        <w:t>, accessed 07.07.2022</w:t>
      </w:r>
    </w:p>
    <w:p w14:paraId="6860743C" w14:textId="77777777" w:rsidR="00400908" w:rsidRPr="00C31C4D" w:rsidRDefault="00400908" w:rsidP="00400908">
      <w:pPr>
        <w:pStyle w:val="NormalWeb"/>
        <w:shd w:val="clear" w:color="auto" w:fill="FFFFFF"/>
        <w:spacing w:before="0" w:beforeAutospacing="0" w:after="0" w:afterAutospacing="0" w:line="360" w:lineRule="auto"/>
        <w:ind w:left="720"/>
        <w:jc w:val="both"/>
        <w:rPr>
          <w:rFonts w:ascii="Calibri" w:hAnsi="Calibri" w:cs="Calibri"/>
          <w:color w:val="222222"/>
          <w:sz w:val="22"/>
          <w:szCs w:val="22"/>
        </w:rPr>
      </w:pPr>
      <w:r w:rsidRPr="00C31C4D">
        <w:rPr>
          <w:rFonts w:ascii="Calibri" w:hAnsi="Calibri" w:cs="Calibri"/>
          <w:color w:val="222222"/>
          <w:sz w:val="22"/>
          <w:szCs w:val="22"/>
        </w:rPr>
        <w:t>Health in Wales, 2022, Structure, available at </w:t>
      </w:r>
      <w:r>
        <w:rPr>
          <w:rFonts w:ascii="Calibri" w:hAnsi="Calibri" w:cs="Calibri"/>
          <w:color w:val="222222"/>
          <w:sz w:val="22"/>
          <w:szCs w:val="22"/>
        </w:rPr>
        <w:t xml:space="preserve"> </w:t>
      </w:r>
      <w:hyperlink r:id="rId18" w:tgtFrame="_blank" w:history="1">
        <w:r w:rsidRPr="00C31C4D">
          <w:rPr>
            <w:rFonts w:ascii="Calibri" w:eastAsiaTheme="majorEastAsia" w:hAnsi="Calibri" w:cs="Calibri"/>
            <w:color w:val="222222"/>
            <w:sz w:val="22"/>
            <w:szCs w:val="22"/>
          </w:rPr>
          <w:t>Health in Wales | Structure</w:t>
        </w:r>
      </w:hyperlink>
      <w:r w:rsidRPr="00C31C4D">
        <w:rPr>
          <w:rFonts w:ascii="Calibri" w:hAnsi="Calibri" w:cs="Calibri"/>
          <w:color w:val="222222"/>
          <w:sz w:val="22"/>
          <w:szCs w:val="22"/>
        </w:rPr>
        <w:t>, accessed 07.07.2022</w:t>
      </w:r>
    </w:p>
    <w:p w14:paraId="57582213" w14:textId="77777777" w:rsidR="00400908" w:rsidRPr="00C31C4D" w:rsidRDefault="00400908" w:rsidP="00400908">
      <w:pPr>
        <w:pStyle w:val="NormalWeb"/>
        <w:shd w:val="clear" w:color="auto" w:fill="FFFFFF"/>
        <w:spacing w:before="0" w:beforeAutospacing="0" w:after="0" w:afterAutospacing="0" w:line="360" w:lineRule="auto"/>
        <w:ind w:left="720"/>
        <w:jc w:val="both"/>
        <w:rPr>
          <w:rFonts w:ascii="Calibri" w:hAnsi="Calibri" w:cs="Calibri"/>
          <w:color w:val="222222"/>
          <w:sz w:val="22"/>
          <w:szCs w:val="22"/>
        </w:rPr>
      </w:pPr>
      <w:r w:rsidRPr="00C31C4D">
        <w:rPr>
          <w:rFonts w:ascii="Calibri" w:hAnsi="Calibri" w:cs="Calibri"/>
          <w:color w:val="222222"/>
          <w:sz w:val="22"/>
          <w:szCs w:val="22"/>
        </w:rPr>
        <w:t>Health in Wales, 2022, The core principles of NHS Wales, available at </w:t>
      </w:r>
      <w:hyperlink r:id="rId19" w:tgtFrame="_blank" w:history="1">
        <w:r w:rsidRPr="00C31C4D">
          <w:rPr>
            <w:rFonts w:ascii="Calibri" w:eastAsiaTheme="majorEastAsia" w:hAnsi="Calibri" w:cs="Calibri"/>
            <w:color w:val="222222"/>
            <w:sz w:val="22"/>
            <w:szCs w:val="22"/>
          </w:rPr>
          <w:t>Health in Wales | The core principles of NHS Wales</w:t>
        </w:r>
      </w:hyperlink>
      <w:r w:rsidRPr="00C31C4D">
        <w:rPr>
          <w:rFonts w:ascii="Calibri" w:hAnsi="Calibri" w:cs="Calibri"/>
          <w:color w:val="222222"/>
          <w:sz w:val="22"/>
          <w:szCs w:val="22"/>
        </w:rPr>
        <w:t>, accessed 07.07.2022</w:t>
      </w:r>
    </w:p>
    <w:p w14:paraId="6B200B8A" w14:textId="77777777" w:rsidR="00400908" w:rsidRPr="00C31C4D" w:rsidRDefault="00400908" w:rsidP="00400908">
      <w:pPr>
        <w:pStyle w:val="NormalWeb"/>
        <w:shd w:val="clear" w:color="auto" w:fill="FFFFFF"/>
        <w:spacing w:before="0" w:beforeAutospacing="0" w:after="0" w:afterAutospacing="0" w:line="360" w:lineRule="auto"/>
        <w:ind w:left="720"/>
        <w:jc w:val="both"/>
        <w:rPr>
          <w:rFonts w:ascii="Calibri" w:hAnsi="Calibri" w:cs="Calibri"/>
          <w:color w:val="222222"/>
          <w:sz w:val="22"/>
          <w:szCs w:val="22"/>
        </w:rPr>
      </w:pPr>
      <w:r w:rsidRPr="00C31C4D">
        <w:rPr>
          <w:rFonts w:ascii="Calibri" w:hAnsi="Calibri" w:cs="Calibri"/>
          <w:color w:val="222222"/>
          <w:sz w:val="22"/>
          <w:szCs w:val="22"/>
        </w:rPr>
        <w:t xml:space="preserve">Holsapple, C. (2003) Handbook on Knowledge Management 2 Knowledge Directions. 1st ed. 2003. Edited by C. Holsapple. Berlin, Heidelberg: Springer Berlin Heidelberg. Available at </w:t>
      </w:r>
      <w:r w:rsidRPr="00C31C4D">
        <w:rPr>
          <w:rStyle w:val="Hyperlink"/>
          <w:rFonts w:ascii="Calibri" w:hAnsi="Calibri" w:cs="Calibri"/>
          <w:color w:val="0563C1"/>
          <w:sz w:val="22"/>
          <w:szCs w:val="22"/>
        </w:rPr>
        <w:t>doi:10.1007/978-3-540-</w:t>
      </w:r>
      <w:r w:rsidRPr="00C31C4D">
        <w:rPr>
          <w:rStyle w:val="Hyperlink"/>
          <w:rFonts w:ascii="Calibri" w:hAnsi="Calibri" w:cs="Calibri"/>
          <w:color w:val="0563C1"/>
          <w:sz w:val="22"/>
          <w:szCs w:val="22"/>
          <w:u w:val="none"/>
        </w:rPr>
        <w:t>24748</w:t>
      </w:r>
      <w:r w:rsidRPr="00C31C4D">
        <w:rPr>
          <w:rStyle w:val="Hyperlink"/>
          <w:rFonts w:ascii="Calibri" w:hAnsi="Calibri" w:cs="Calibri"/>
          <w:color w:val="0563C1"/>
          <w:sz w:val="22"/>
          <w:szCs w:val="22"/>
        </w:rPr>
        <w:t>-7</w:t>
      </w:r>
      <w:r w:rsidRPr="00C31C4D">
        <w:rPr>
          <w:rFonts w:ascii="Calibri" w:hAnsi="Calibri" w:cs="Calibri"/>
          <w:color w:val="222222"/>
          <w:sz w:val="22"/>
          <w:szCs w:val="22"/>
        </w:rPr>
        <w:t>, accessed 05.07.2022</w:t>
      </w:r>
    </w:p>
    <w:p w14:paraId="4767A8C4" w14:textId="77777777" w:rsidR="00400908" w:rsidRPr="00C31C4D" w:rsidRDefault="00400908" w:rsidP="00400908">
      <w:pPr>
        <w:pStyle w:val="NormalWeb"/>
        <w:shd w:val="clear" w:color="auto" w:fill="FFFFFF"/>
        <w:spacing w:before="0" w:beforeAutospacing="0" w:after="0" w:afterAutospacing="0" w:line="360" w:lineRule="auto"/>
        <w:ind w:left="720"/>
        <w:jc w:val="both"/>
        <w:rPr>
          <w:rFonts w:ascii="Calibri" w:hAnsi="Calibri" w:cs="Calibri"/>
          <w:color w:val="222222"/>
          <w:sz w:val="22"/>
          <w:szCs w:val="22"/>
        </w:rPr>
      </w:pPr>
      <w:r w:rsidRPr="00C31C4D">
        <w:rPr>
          <w:rFonts w:ascii="Calibri" w:hAnsi="Calibri" w:cs="Calibri"/>
          <w:color w:val="222222"/>
          <w:sz w:val="22"/>
          <w:szCs w:val="22"/>
        </w:rPr>
        <w:t>Hussain, N, Li, B, (2022), Entrepreneurial Leadership and Entrepreneurial Success: The Role of Knowledge Management Processes and Knowledge Entrepreneurship, </w:t>
      </w:r>
      <w:r w:rsidRPr="00C31C4D">
        <w:rPr>
          <w:rFonts w:ascii="Calibri" w:hAnsi="Calibri" w:cs="Calibri"/>
          <w:i/>
          <w:iCs/>
          <w:color w:val="222222"/>
          <w:sz w:val="22"/>
          <w:szCs w:val="22"/>
        </w:rPr>
        <w:t>Frontiers in Psychology</w:t>
      </w:r>
      <w:r w:rsidRPr="00C31C4D">
        <w:rPr>
          <w:rFonts w:ascii="Calibri" w:hAnsi="Calibri" w:cs="Calibri"/>
          <w:color w:val="222222"/>
          <w:sz w:val="22"/>
          <w:szCs w:val="22"/>
        </w:rPr>
        <w:t>, Volume 13, available at </w:t>
      </w:r>
      <w:hyperlink r:id="rId20" w:tgtFrame="_blank" w:history="1">
        <w:r w:rsidRPr="00C31C4D">
          <w:rPr>
            <w:rStyle w:val="Hyperlink"/>
            <w:rFonts w:ascii="Calibri" w:eastAsiaTheme="majorEastAsia" w:hAnsi="Calibri" w:cs="Calibri"/>
            <w:color w:val="0563C1"/>
            <w:sz w:val="22"/>
            <w:szCs w:val="22"/>
          </w:rPr>
          <w:t>https://doi.org/10.3389/fpsyg.2022.829959</w:t>
        </w:r>
      </w:hyperlink>
      <w:r w:rsidRPr="00C31C4D">
        <w:rPr>
          <w:rFonts w:ascii="Calibri" w:hAnsi="Calibri" w:cs="Calibri"/>
          <w:color w:val="222222"/>
          <w:sz w:val="22"/>
          <w:szCs w:val="22"/>
        </w:rPr>
        <w:t>, accessed 05.07.2022</w:t>
      </w:r>
    </w:p>
    <w:p w14:paraId="6EC235F3" w14:textId="77777777" w:rsidR="00400908" w:rsidRPr="00C31C4D" w:rsidRDefault="00400908" w:rsidP="00400908">
      <w:pPr>
        <w:pStyle w:val="NormalWeb"/>
        <w:shd w:val="clear" w:color="auto" w:fill="FFFFFF"/>
        <w:spacing w:before="0" w:beforeAutospacing="0" w:after="0" w:afterAutospacing="0" w:line="360" w:lineRule="auto"/>
        <w:ind w:left="720"/>
        <w:jc w:val="both"/>
        <w:rPr>
          <w:rFonts w:ascii="Calibri" w:hAnsi="Calibri" w:cs="Calibri"/>
          <w:color w:val="222222"/>
          <w:sz w:val="22"/>
          <w:szCs w:val="22"/>
        </w:rPr>
      </w:pPr>
      <w:r w:rsidRPr="00C31C4D">
        <w:rPr>
          <w:rFonts w:ascii="Calibri" w:hAnsi="Calibri" w:cs="Calibri"/>
          <w:color w:val="222222"/>
          <w:sz w:val="22"/>
          <w:szCs w:val="22"/>
        </w:rPr>
        <w:t xml:space="preserve">Koenig, M.E., 2012. What is KM? Knowledge management explained. </w:t>
      </w:r>
      <w:proofErr w:type="spellStart"/>
      <w:r w:rsidRPr="00C31C4D">
        <w:rPr>
          <w:rFonts w:ascii="Calibri" w:hAnsi="Calibri" w:cs="Calibri"/>
          <w:color w:val="222222"/>
          <w:sz w:val="22"/>
          <w:szCs w:val="22"/>
        </w:rPr>
        <w:t>KMWorld</w:t>
      </w:r>
      <w:proofErr w:type="spellEnd"/>
      <w:r w:rsidRPr="00C31C4D">
        <w:rPr>
          <w:rFonts w:ascii="Calibri" w:hAnsi="Calibri" w:cs="Calibri"/>
          <w:color w:val="222222"/>
          <w:sz w:val="22"/>
          <w:szCs w:val="22"/>
        </w:rPr>
        <w:t>. </w:t>
      </w:r>
      <w:r w:rsidRPr="00C31C4D">
        <w:rPr>
          <w:rFonts w:ascii="Calibri" w:hAnsi="Calibri" w:cs="Calibri"/>
          <w:i/>
          <w:iCs/>
          <w:color w:val="222222"/>
          <w:sz w:val="22"/>
          <w:szCs w:val="22"/>
        </w:rPr>
        <w:t>Inf. Today, Inc</w:t>
      </w:r>
      <w:r w:rsidRPr="00C31C4D">
        <w:rPr>
          <w:rFonts w:ascii="Calibri" w:hAnsi="Calibri" w:cs="Calibri"/>
          <w:color w:val="222222"/>
          <w:sz w:val="22"/>
          <w:szCs w:val="22"/>
        </w:rPr>
        <w:t>, </w:t>
      </w:r>
      <w:r w:rsidRPr="00C31C4D">
        <w:rPr>
          <w:rFonts w:ascii="Calibri" w:hAnsi="Calibri" w:cs="Calibri"/>
          <w:i/>
          <w:iCs/>
          <w:color w:val="222222"/>
          <w:sz w:val="22"/>
          <w:szCs w:val="22"/>
        </w:rPr>
        <w:t>4</w:t>
      </w:r>
      <w:r w:rsidRPr="00C31C4D">
        <w:rPr>
          <w:rFonts w:ascii="Calibri" w:hAnsi="Calibri" w:cs="Calibri"/>
          <w:color w:val="222222"/>
          <w:sz w:val="22"/>
          <w:szCs w:val="22"/>
        </w:rPr>
        <w:t>.</w:t>
      </w:r>
    </w:p>
    <w:p w14:paraId="2B9CA7CF" w14:textId="77777777" w:rsidR="00400908" w:rsidRPr="00C31C4D" w:rsidRDefault="00400908" w:rsidP="00400908">
      <w:pPr>
        <w:pStyle w:val="NormalWeb"/>
        <w:shd w:val="clear" w:color="auto" w:fill="FFFFFF"/>
        <w:spacing w:before="0" w:beforeAutospacing="0" w:after="0" w:afterAutospacing="0" w:line="360" w:lineRule="auto"/>
        <w:ind w:left="720"/>
        <w:jc w:val="both"/>
        <w:rPr>
          <w:rFonts w:ascii="Calibri" w:hAnsi="Calibri" w:cs="Calibri"/>
          <w:color w:val="222222"/>
          <w:sz w:val="22"/>
          <w:szCs w:val="22"/>
        </w:rPr>
      </w:pPr>
      <w:r w:rsidRPr="00C31C4D">
        <w:rPr>
          <w:rFonts w:ascii="Calibri" w:hAnsi="Calibri" w:cs="Calibri"/>
          <w:color w:val="222222"/>
          <w:sz w:val="22"/>
          <w:szCs w:val="22"/>
        </w:rPr>
        <w:t>Kraus et al, (2020), The ambidextrous interaction of RBV-KBV and regional social capital and their impact on SME management, Journal of Business Research, Volume 142, p 762-774, available at </w:t>
      </w:r>
      <w:hyperlink r:id="rId21" w:tgtFrame="_blank" w:history="1">
        <w:r w:rsidRPr="00C31C4D">
          <w:rPr>
            <w:rFonts w:ascii="Calibri" w:eastAsiaTheme="majorEastAsia" w:hAnsi="Calibri" w:cs="Calibri"/>
            <w:color w:val="222222"/>
            <w:sz w:val="22"/>
            <w:szCs w:val="22"/>
          </w:rPr>
          <w:t>The ambidextrous interaction of RBV-KBV and regional social capital and their impact on SME management - ScienceDirect</w:t>
        </w:r>
      </w:hyperlink>
    </w:p>
    <w:p w14:paraId="33DE85D8" w14:textId="77777777" w:rsidR="00400908" w:rsidRPr="00C31C4D" w:rsidRDefault="00400908" w:rsidP="00400908">
      <w:pPr>
        <w:pStyle w:val="NormalWeb"/>
        <w:shd w:val="clear" w:color="auto" w:fill="FFFFFF"/>
        <w:spacing w:line="360" w:lineRule="auto"/>
        <w:ind w:left="720"/>
        <w:jc w:val="both"/>
        <w:rPr>
          <w:rFonts w:ascii="Calibri" w:hAnsi="Calibri" w:cs="Calibri"/>
          <w:color w:val="222222"/>
          <w:sz w:val="22"/>
          <w:szCs w:val="22"/>
        </w:rPr>
      </w:pPr>
      <w:r w:rsidRPr="00C31C4D">
        <w:rPr>
          <w:rFonts w:ascii="Calibri" w:hAnsi="Calibri" w:cs="Calibri"/>
          <w:color w:val="222222"/>
          <w:sz w:val="22"/>
          <w:szCs w:val="22"/>
        </w:rPr>
        <w:t>Malik, H. and Al-</w:t>
      </w:r>
      <w:proofErr w:type="spellStart"/>
      <w:r w:rsidRPr="00C31C4D">
        <w:rPr>
          <w:rFonts w:ascii="Calibri" w:hAnsi="Calibri" w:cs="Calibri"/>
          <w:color w:val="222222"/>
          <w:sz w:val="22"/>
          <w:szCs w:val="22"/>
        </w:rPr>
        <w:t>Toubi</w:t>
      </w:r>
      <w:proofErr w:type="spellEnd"/>
      <w:r w:rsidRPr="00C31C4D">
        <w:rPr>
          <w:rFonts w:ascii="Calibri" w:hAnsi="Calibri" w:cs="Calibri"/>
          <w:color w:val="222222"/>
          <w:sz w:val="22"/>
          <w:szCs w:val="22"/>
        </w:rPr>
        <w:t>, S., 2018. Knowledge management in the public sector. In The Palgrave Handbook of Knowledge Management (pp. 515-538). Palgrave Macmillan, Cham.</w:t>
      </w:r>
    </w:p>
    <w:p w14:paraId="7AC17A8B" w14:textId="77777777" w:rsidR="00400908" w:rsidRPr="00C31C4D" w:rsidRDefault="00400908" w:rsidP="00400908">
      <w:pPr>
        <w:pStyle w:val="NormalWeb"/>
        <w:shd w:val="clear" w:color="auto" w:fill="FFFFFF"/>
        <w:spacing w:before="0" w:beforeAutospacing="0" w:after="0" w:afterAutospacing="0" w:line="360" w:lineRule="auto"/>
        <w:ind w:left="720"/>
        <w:jc w:val="both"/>
        <w:rPr>
          <w:rFonts w:ascii="Calibri" w:hAnsi="Calibri" w:cs="Calibri"/>
          <w:color w:val="222222"/>
          <w:sz w:val="22"/>
          <w:szCs w:val="22"/>
        </w:rPr>
      </w:pPr>
      <w:r w:rsidRPr="00C31C4D">
        <w:rPr>
          <w:rFonts w:ascii="Calibri" w:hAnsi="Calibri" w:cs="Calibri"/>
          <w:color w:val="222222"/>
          <w:sz w:val="22"/>
          <w:szCs w:val="22"/>
        </w:rPr>
        <w:t>Michael, P, (2003), Public Health in Wales (1800-2000)- A Brief History, available at </w:t>
      </w:r>
      <w:hyperlink r:id="rId22" w:tgtFrame="_blank" w:history="1">
        <w:r w:rsidRPr="00C31C4D">
          <w:rPr>
            <w:rFonts w:ascii="Calibri" w:eastAsiaTheme="majorEastAsia" w:hAnsi="Calibri" w:cs="Calibri"/>
            <w:color w:val="222222"/>
            <w:sz w:val="22"/>
            <w:szCs w:val="22"/>
          </w:rPr>
          <w:t>Public Health in Wales</w:t>
        </w:r>
      </w:hyperlink>
      <w:r w:rsidRPr="00C31C4D">
        <w:rPr>
          <w:rFonts w:ascii="Calibri" w:hAnsi="Calibri" w:cs="Calibri"/>
          <w:color w:val="222222"/>
          <w:sz w:val="22"/>
          <w:szCs w:val="22"/>
        </w:rPr>
        <w:t>, accessed 07.07.2022</w:t>
      </w:r>
    </w:p>
    <w:p w14:paraId="6B8726D9" w14:textId="77777777" w:rsidR="00400908" w:rsidRPr="00C31C4D" w:rsidRDefault="00400908" w:rsidP="00400908">
      <w:pPr>
        <w:pStyle w:val="NormalWeb"/>
        <w:shd w:val="clear" w:color="auto" w:fill="FFFFFF"/>
        <w:spacing w:line="360" w:lineRule="auto"/>
        <w:ind w:left="720"/>
        <w:jc w:val="both"/>
        <w:rPr>
          <w:rFonts w:ascii="Calibri" w:hAnsi="Calibri" w:cs="Calibri"/>
          <w:color w:val="222222"/>
          <w:sz w:val="22"/>
          <w:szCs w:val="22"/>
        </w:rPr>
      </w:pPr>
      <w:r w:rsidRPr="00C31C4D">
        <w:rPr>
          <w:rFonts w:ascii="Calibri" w:hAnsi="Calibri" w:cs="Calibri"/>
          <w:color w:val="222222"/>
          <w:sz w:val="22"/>
          <w:szCs w:val="22"/>
        </w:rPr>
        <w:t xml:space="preserve">Morgan, K., Munday, M. and Roberts, A. (2017) ‘Local economic development opportunities from NHS spending: Evidence from Wales’, Urban studies (Edinburgh, Scotland), 54(13), pp. </w:t>
      </w:r>
      <w:r w:rsidRPr="00C31C4D">
        <w:rPr>
          <w:rStyle w:val="Hyperlink"/>
          <w:rFonts w:ascii="Calibri" w:hAnsi="Calibri" w:cs="Calibri"/>
          <w:color w:val="0563C1"/>
          <w:sz w:val="22"/>
          <w:szCs w:val="22"/>
        </w:rPr>
        <w:t>3138–3156. doi:10.1177/0042098016658248</w:t>
      </w:r>
      <w:r w:rsidRPr="00C31C4D">
        <w:rPr>
          <w:rFonts w:ascii="Calibri" w:hAnsi="Calibri" w:cs="Calibri"/>
          <w:color w:val="222222"/>
          <w:sz w:val="22"/>
          <w:szCs w:val="22"/>
        </w:rPr>
        <w:t xml:space="preserve">  </w:t>
      </w:r>
    </w:p>
    <w:p w14:paraId="3AEA3284" w14:textId="77777777" w:rsidR="00400908" w:rsidRPr="00C31C4D" w:rsidRDefault="00400908" w:rsidP="00400908">
      <w:pPr>
        <w:pStyle w:val="NormalWeb"/>
        <w:shd w:val="clear" w:color="auto" w:fill="FFFFFF"/>
        <w:spacing w:before="0" w:beforeAutospacing="0" w:after="160" w:afterAutospacing="0" w:line="360" w:lineRule="auto"/>
        <w:ind w:left="720"/>
        <w:jc w:val="both"/>
        <w:rPr>
          <w:rFonts w:ascii="Calibri" w:hAnsi="Calibri" w:cs="Calibri"/>
          <w:color w:val="222222"/>
          <w:sz w:val="22"/>
          <w:szCs w:val="22"/>
        </w:rPr>
      </w:pPr>
      <w:r w:rsidRPr="00C31C4D">
        <w:rPr>
          <w:rFonts w:ascii="Calibri" w:hAnsi="Calibri" w:cs="Calibri"/>
          <w:color w:val="222222"/>
          <w:sz w:val="22"/>
          <w:szCs w:val="22"/>
        </w:rPr>
        <w:t xml:space="preserve">Nevis, E.C., DiBella, J.A., Gould, J.M., 1995, Understanding Organizations as Learning Systems, available at: </w:t>
      </w:r>
      <w:hyperlink r:id="rId23" w:history="1">
        <w:r w:rsidRPr="00C31C4D">
          <w:rPr>
            <w:rStyle w:val="Hyperlink"/>
            <w:rFonts w:ascii="Calibri" w:hAnsi="Calibri" w:cs="Calibri"/>
            <w:color w:val="0563C1"/>
            <w:sz w:val="22"/>
            <w:szCs w:val="22"/>
          </w:rPr>
          <w:t>https://sloanreview.mit.edu/article/understanding-organizations-as-learning-systems/</w:t>
        </w:r>
      </w:hyperlink>
      <w:r w:rsidRPr="00C31C4D">
        <w:rPr>
          <w:rFonts w:ascii="Calibri" w:hAnsi="Calibri" w:cs="Calibri"/>
          <w:color w:val="222222"/>
          <w:sz w:val="22"/>
          <w:szCs w:val="22"/>
        </w:rPr>
        <w:t xml:space="preserve"> , accessed 07.07.2022</w:t>
      </w:r>
    </w:p>
    <w:p w14:paraId="45A0CA25" w14:textId="77777777" w:rsidR="00400908" w:rsidRPr="00C31C4D" w:rsidRDefault="00400908" w:rsidP="00400908">
      <w:pPr>
        <w:pStyle w:val="NormalWeb"/>
        <w:shd w:val="clear" w:color="auto" w:fill="FFFFFF"/>
        <w:spacing w:before="0" w:beforeAutospacing="0" w:after="0" w:afterAutospacing="0" w:line="360" w:lineRule="auto"/>
        <w:ind w:left="720"/>
        <w:jc w:val="both"/>
        <w:rPr>
          <w:rFonts w:ascii="Calibri" w:hAnsi="Calibri" w:cs="Calibri"/>
          <w:color w:val="222222"/>
          <w:sz w:val="22"/>
          <w:szCs w:val="22"/>
        </w:rPr>
      </w:pPr>
      <w:r w:rsidRPr="00C31C4D">
        <w:rPr>
          <w:rFonts w:ascii="Calibri" w:hAnsi="Calibri" w:cs="Calibri"/>
          <w:color w:val="222222"/>
          <w:sz w:val="22"/>
          <w:szCs w:val="22"/>
        </w:rPr>
        <w:t xml:space="preserve">Nwankpa, J.K., </w:t>
      </w:r>
      <w:proofErr w:type="spellStart"/>
      <w:r w:rsidRPr="00C31C4D">
        <w:rPr>
          <w:rFonts w:ascii="Calibri" w:hAnsi="Calibri" w:cs="Calibri"/>
          <w:color w:val="222222"/>
          <w:sz w:val="22"/>
          <w:szCs w:val="22"/>
        </w:rPr>
        <w:t>Roumani</w:t>
      </w:r>
      <w:proofErr w:type="spellEnd"/>
      <w:r w:rsidRPr="00C31C4D">
        <w:rPr>
          <w:rFonts w:ascii="Calibri" w:hAnsi="Calibri" w:cs="Calibri"/>
          <w:color w:val="222222"/>
          <w:sz w:val="22"/>
          <w:szCs w:val="22"/>
        </w:rPr>
        <w:t>, Y. and Datta, P. (2022), Process innovation in the digital age of business: the role of digital business intensity and knowledge management,</w:t>
      </w:r>
      <w:r w:rsidRPr="00C31C4D">
        <w:rPr>
          <w:rFonts w:ascii="Calibri" w:hAnsi="Calibri" w:cs="Calibri"/>
          <w:i/>
          <w:iCs/>
          <w:color w:val="222222"/>
          <w:sz w:val="22"/>
          <w:szCs w:val="22"/>
        </w:rPr>
        <w:t> Journal of Knowledge Management, </w:t>
      </w:r>
      <w:r w:rsidRPr="00C31C4D">
        <w:rPr>
          <w:rFonts w:ascii="Calibri" w:hAnsi="Calibri" w:cs="Calibri"/>
          <w:color w:val="222222"/>
          <w:sz w:val="22"/>
          <w:szCs w:val="22"/>
        </w:rPr>
        <w:t>Vol. 26 No. 5, pp. 1319-1341. </w:t>
      </w:r>
      <w:hyperlink r:id="rId24" w:tgtFrame="_blank" w:history="1">
        <w:r w:rsidRPr="00C31C4D">
          <w:rPr>
            <w:rStyle w:val="Hyperlink"/>
            <w:rFonts w:ascii="Calibri" w:eastAsiaTheme="majorEastAsia" w:hAnsi="Calibri" w:cs="Calibri"/>
            <w:color w:val="0563C1"/>
            <w:sz w:val="22"/>
            <w:szCs w:val="22"/>
          </w:rPr>
          <w:t>https://doi.org/10.1108/JKM-04-2021-0277</w:t>
        </w:r>
      </w:hyperlink>
    </w:p>
    <w:p w14:paraId="4477BF43" w14:textId="77777777" w:rsidR="00400908" w:rsidRPr="00C31C4D" w:rsidRDefault="00400908" w:rsidP="00400908">
      <w:pPr>
        <w:pStyle w:val="NormalWeb"/>
        <w:shd w:val="clear" w:color="auto" w:fill="FFFFFF"/>
        <w:spacing w:before="0" w:beforeAutospacing="0" w:after="0" w:afterAutospacing="0" w:line="360" w:lineRule="auto"/>
        <w:ind w:left="720"/>
        <w:jc w:val="both"/>
        <w:rPr>
          <w:rFonts w:ascii="Calibri" w:hAnsi="Calibri" w:cs="Calibri"/>
          <w:color w:val="222222"/>
          <w:sz w:val="22"/>
          <w:szCs w:val="22"/>
        </w:rPr>
      </w:pPr>
      <w:r w:rsidRPr="00C31C4D">
        <w:rPr>
          <w:rFonts w:ascii="Calibri" w:hAnsi="Calibri" w:cs="Calibri"/>
          <w:color w:val="222222"/>
          <w:sz w:val="22"/>
          <w:szCs w:val="22"/>
        </w:rPr>
        <w:t>Oihab A, Mohamed M, (2016), Using serious games to manage knowledge: The SECI model perspective, </w:t>
      </w:r>
      <w:r w:rsidRPr="00C31C4D">
        <w:rPr>
          <w:rFonts w:ascii="Calibri" w:hAnsi="Calibri" w:cs="Calibri"/>
          <w:i/>
          <w:iCs/>
          <w:color w:val="222222"/>
          <w:sz w:val="22"/>
          <w:szCs w:val="22"/>
        </w:rPr>
        <w:t>Journal of Business Research</w:t>
      </w:r>
      <w:r w:rsidRPr="00C31C4D">
        <w:rPr>
          <w:rFonts w:ascii="Calibri" w:hAnsi="Calibri" w:cs="Calibri"/>
          <w:color w:val="222222"/>
          <w:sz w:val="22"/>
          <w:szCs w:val="22"/>
        </w:rPr>
        <w:t>, Volume 69, Issue 5, Pages 1539-1543, available at (</w:t>
      </w:r>
      <w:hyperlink r:id="rId25" w:tgtFrame="_blank" w:history="1">
        <w:r w:rsidRPr="00C31C4D">
          <w:rPr>
            <w:rStyle w:val="Hyperlink"/>
            <w:rFonts w:ascii="Calibri" w:eastAsiaTheme="majorEastAsia" w:hAnsi="Calibri" w:cs="Calibri"/>
            <w:color w:val="0563C1"/>
            <w:sz w:val="22"/>
            <w:szCs w:val="22"/>
          </w:rPr>
          <w:t>https://www.sciencedirect.com/science/article/pii/S0148296315004361</w:t>
        </w:r>
      </w:hyperlink>
      <w:r w:rsidRPr="00C31C4D">
        <w:rPr>
          <w:rFonts w:ascii="Calibri" w:hAnsi="Calibri" w:cs="Calibri"/>
          <w:color w:val="222222"/>
          <w:sz w:val="22"/>
          <w:szCs w:val="22"/>
        </w:rPr>
        <w:t>), accessed on 06.07.2022</w:t>
      </w:r>
    </w:p>
    <w:p w14:paraId="40F154AB" w14:textId="77777777" w:rsidR="00400908" w:rsidRPr="00C31C4D" w:rsidRDefault="00400908" w:rsidP="00400908">
      <w:pPr>
        <w:pStyle w:val="NormalWeb"/>
        <w:shd w:val="clear" w:color="auto" w:fill="FFFFFF"/>
        <w:spacing w:line="360" w:lineRule="auto"/>
        <w:ind w:left="720"/>
        <w:jc w:val="both"/>
        <w:rPr>
          <w:rFonts w:ascii="Calibri" w:hAnsi="Calibri" w:cs="Calibri"/>
          <w:color w:val="222222"/>
          <w:sz w:val="22"/>
          <w:szCs w:val="22"/>
        </w:rPr>
      </w:pPr>
      <w:proofErr w:type="spellStart"/>
      <w:r w:rsidRPr="00C31C4D">
        <w:rPr>
          <w:rFonts w:ascii="Calibri" w:hAnsi="Calibri" w:cs="Calibri"/>
          <w:color w:val="222222"/>
          <w:sz w:val="22"/>
          <w:szCs w:val="22"/>
        </w:rPr>
        <w:t>Papanagnou</w:t>
      </w:r>
      <w:proofErr w:type="spellEnd"/>
      <w:r w:rsidRPr="00C31C4D">
        <w:rPr>
          <w:rFonts w:ascii="Calibri" w:hAnsi="Calibri" w:cs="Calibri"/>
          <w:color w:val="222222"/>
          <w:sz w:val="22"/>
          <w:szCs w:val="22"/>
        </w:rPr>
        <w:t xml:space="preserve">, C, </w:t>
      </w:r>
      <w:proofErr w:type="spellStart"/>
      <w:r w:rsidRPr="00C31C4D">
        <w:rPr>
          <w:rFonts w:ascii="Calibri" w:hAnsi="Calibri" w:cs="Calibri"/>
          <w:color w:val="222222"/>
          <w:sz w:val="22"/>
          <w:szCs w:val="22"/>
        </w:rPr>
        <w:t>Shchaveleva</w:t>
      </w:r>
      <w:proofErr w:type="spellEnd"/>
      <w:r w:rsidRPr="00C31C4D">
        <w:rPr>
          <w:rFonts w:ascii="Calibri" w:hAnsi="Calibri" w:cs="Calibri"/>
          <w:color w:val="222222"/>
          <w:sz w:val="22"/>
          <w:szCs w:val="22"/>
        </w:rPr>
        <w:t>, N, (2018), Investigation of current perspectives for NHS Wales sustainable development through procurement policies, Journal of Public Money and Management, Volume 38, Issue 7, available at Citations: Investigation of current perspectives for NHS Wales sustainable development through procurement policies (</w:t>
      </w:r>
      <w:hyperlink r:id="rId26" w:history="1">
        <w:r w:rsidRPr="00C31C4D">
          <w:rPr>
            <w:rStyle w:val="Hyperlink"/>
            <w:rFonts w:ascii="Calibri" w:hAnsi="Calibri" w:cs="Calibri"/>
            <w:color w:val="0563C1"/>
            <w:sz w:val="22"/>
            <w:szCs w:val="22"/>
          </w:rPr>
          <w:t>www.tandfonline.com</w:t>
        </w:r>
      </w:hyperlink>
      <w:r w:rsidRPr="00C31C4D">
        <w:rPr>
          <w:rFonts w:ascii="Calibri" w:hAnsi="Calibri" w:cs="Calibri"/>
          <w:color w:val="222222"/>
          <w:sz w:val="22"/>
          <w:szCs w:val="22"/>
        </w:rPr>
        <w:t xml:space="preserve"> ), accessed 06.07.2022</w:t>
      </w:r>
    </w:p>
    <w:p w14:paraId="0549EA1C" w14:textId="77777777" w:rsidR="00400908" w:rsidRPr="00C31C4D" w:rsidRDefault="00400908" w:rsidP="00400908">
      <w:pPr>
        <w:pStyle w:val="NormalWeb"/>
        <w:shd w:val="clear" w:color="auto" w:fill="FFFFFF"/>
        <w:spacing w:before="0" w:beforeAutospacing="0" w:after="160" w:afterAutospacing="0" w:line="360" w:lineRule="auto"/>
        <w:ind w:left="720"/>
        <w:jc w:val="both"/>
        <w:rPr>
          <w:rFonts w:ascii="Calibri" w:hAnsi="Calibri" w:cs="Calibri"/>
          <w:color w:val="222222"/>
          <w:sz w:val="22"/>
          <w:szCs w:val="22"/>
        </w:rPr>
      </w:pPr>
      <w:r w:rsidRPr="00C31C4D">
        <w:rPr>
          <w:rFonts w:ascii="Calibri" w:hAnsi="Calibri" w:cs="Calibri"/>
          <w:color w:val="222222"/>
          <w:sz w:val="22"/>
          <w:szCs w:val="22"/>
        </w:rPr>
        <w:t xml:space="preserve">Phillips, S. and Bullock, A. (2018) ‘Clinical leadership training: an evaluation of the Welsh Fellowship programme’, International journal of health care quality assurance incorporating Leadership in health services, 31(2), pp. 226–237. </w:t>
      </w:r>
      <w:r w:rsidRPr="00C31C4D">
        <w:rPr>
          <w:rStyle w:val="Hyperlink"/>
          <w:rFonts w:ascii="Calibri" w:hAnsi="Calibri" w:cs="Calibri"/>
          <w:color w:val="0563C1"/>
          <w:sz w:val="22"/>
          <w:szCs w:val="22"/>
        </w:rPr>
        <w:t>doi:10.1108/LHS-06-2017-0038</w:t>
      </w:r>
      <w:r w:rsidRPr="00C31C4D">
        <w:rPr>
          <w:rFonts w:ascii="Calibri" w:hAnsi="Calibri" w:cs="Calibri"/>
          <w:color w:val="222222"/>
          <w:sz w:val="22"/>
          <w:szCs w:val="22"/>
        </w:rPr>
        <w:t>.</w:t>
      </w:r>
    </w:p>
    <w:p w14:paraId="7FA6DA4F" w14:textId="77777777" w:rsidR="00400908" w:rsidRPr="00C31C4D" w:rsidRDefault="00400908" w:rsidP="00400908">
      <w:pPr>
        <w:pStyle w:val="NormalWeb"/>
        <w:shd w:val="clear" w:color="auto" w:fill="FFFFFF"/>
        <w:spacing w:before="0" w:beforeAutospacing="0" w:after="0" w:afterAutospacing="0" w:line="360" w:lineRule="auto"/>
        <w:ind w:left="720"/>
        <w:jc w:val="both"/>
        <w:rPr>
          <w:rFonts w:ascii="Calibri" w:hAnsi="Calibri" w:cs="Calibri"/>
          <w:color w:val="222222"/>
          <w:sz w:val="22"/>
          <w:szCs w:val="22"/>
        </w:rPr>
      </w:pPr>
      <w:r w:rsidRPr="00C31C4D">
        <w:rPr>
          <w:rFonts w:ascii="Calibri" w:hAnsi="Calibri" w:cs="Calibri"/>
          <w:color w:val="222222"/>
          <w:sz w:val="22"/>
          <w:szCs w:val="22"/>
        </w:rPr>
        <w:t xml:space="preserve">Phillips, S. and Bullock, A. (2020) ‘Longitudinal impact of Welsh clinical leadership fellowship’, International journal of health care quality assurance incorporating Leadership in health services, 33(1), pp. 1–11. </w:t>
      </w:r>
      <w:r w:rsidRPr="00C31C4D">
        <w:rPr>
          <w:rStyle w:val="Hyperlink"/>
          <w:rFonts w:ascii="Calibri" w:hAnsi="Calibri" w:cs="Calibri"/>
          <w:color w:val="0563C1"/>
          <w:sz w:val="22"/>
          <w:szCs w:val="22"/>
        </w:rPr>
        <w:t>doi:10.1108/LHS-06-2019-0033.</w:t>
      </w:r>
    </w:p>
    <w:p w14:paraId="3F11F3FF" w14:textId="77777777" w:rsidR="00400908" w:rsidRPr="00C31C4D" w:rsidRDefault="00400908" w:rsidP="00400908">
      <w:pPr>
        <w:pStyle w:val="NormalWeb"/>
        <w:shd w:val="clear" w:color="auto" w:fill="FFFFFF"/>
        <w:spacing w:before="0" w:beforeAutospacing="0" w:after="160" w:afterAutospacing="0" w:line="360" w:lineRule="auto"/>
        <w:ind w:left="720"/>
        <w:jc w:val="both"/>
        <w:rPr>
          <w:rFonts w:ascii="Calibri" w:hAnsi="Calibri" w:cs="Calibri"/>
          <w:color w:val="222222"/>
          <w:sz w:val="22"/>
          <w:szCs w:val="22"/>
        </w:rPr>
      </w:pPr>
      <w:r w:rsidRPr="00C31C4D">
        <w:rPr>
          <w:rFonts w:ascii="Calibri" w:hAnsi="Calibri" w:cs="Calibri"/>
          <w:color w:val="222222"/>
          <w:sz w:val="22"/>
          <w:szCs w:val="22"/>
        </w:rPr>
        <w:t xml:space="preserve">Quinn, J.B., Anderson, P., Finkelstein, S., 1996, Making the Most of the Best, available at: </w:t>
      </w:r>
      <w:hyperlink r:id="rId27" w:history="1">
        <w:r w:rsidRPr="00C31C4D">
          <w:rPr>
            <w:rStyle w:val="Hyperlink"/>
            <w:rFonts w:ascii="Calibri" w:hAnsi="Calibri" w:cs="Calibri"/>
            <w:color w:val="0563C1"/>
            <w:sz w:val="22"/>
            <w:szCs w:val="22"/>
          </w:rPr>
          <w:t>https://hbr.org/1996/03/making-the-most-of-the-best</w:t>
        </w:r>
      </w:hyperlink>
      <w:r w:rsidRPr="00C31C4D">
        <w:rPr>
          <w:rFonts w:ascii="Calibri" w:hAnsi="Calibri" w:cs="Calibri"/>
          <w:color w:val="222222"/>
          <w:sz w:val="22"/>
          <w:szCs w:val="22"/>
        </w:rPr>
        <w:t>, accessed 07.07.2022</w:t>
      </w:r>
    </w:p>
    <w:p w14:paraId="2ECA5BAC" w14:textId="77777777" w:rsidR="00400908" w:rsidRPr="00C31C4D" w:rsidRDefault="00400908" w:rsidP="00400908">
      <w:pPr>
        <w:pStyle w:val="NormalWeb"/>
        <w:shd w:val="clear" w:color="auto" w:fill="FFFFFF"/>
        <w:spacing w:line="360" w:lineRule="auto"/>
        <w:ind w:left="720"/>
        <w:jc w:val="both"/>
        <w:rPr>
          <w:rFonts w:ascii="Calibri" w:hAnsi="Calibri" w:cs="Calibri"/>
          <w:color w:val="222222"/>
          <w:sz w:val="22"/>
          <w:szCs w:val="22"/>
        </w:rPr>
      </w:pPr>
      <w:proofErr w:type="spellStart"/>
      <w:r w:rsidRPr="00C31C4D">
        <w:rPr>
          <w:rFonts w:ascii="Calibri" w:hAnsi="Calibri" w:cs="Calibri"/>
          <w:color w:val="222222"/>
          <w:sz w:val="22"/>
          <w:szCs w:val="22"/>
        </w:rPr>
        <w:t>Radević</w:t>
      </w:r>
      <w:proofErr w:type="spellEnd"/>
      <w:r w:rsidRPr="00C31C4D">
        <w:rPr>
          <w:rFonts w:ascii="Calibri" w:hAnsi="Calibri" w:cs="Calibri"/>
          <w:color w:val="222222"/>
          <w:sz w:val="22"/>
          <w:szCs w:val="22"/>
        </w:rPr>
        <w:t xml:space="preserve">, I., Dimovski, V., </w:t>
      </w:r>
      <w:proofErr w:type="spellStart"/>
      <w:r w:rsidRPr="00C31C4D">
        <w:rPr>
          <w:rFonts w:ascii="Calibri" w:hAnsi="Calibri" w:cs="Calibri"/>
          <w:color w:val="222222"/>
          <w:sz w:val="22"/>
          <w:szCs w:val="22"/>
        </w:rPr>
        <w:t>Lojpur</w:t>
      </w:r>
      <w:proofErr w:type="spellEnd"/>
      <w:r w:rsidRPr="00C31C4D">
        <w:rPr>
          <w:rFonts w:ascii="Calibri" w:hAnsi="Calibri" w:cs="Calibri"/>
          <w:color w:val="222222"/>
          <w:sz w:val="22"/>
          <w:szCs w:val="22"/>
        </w:rPr>
        <w:t xml:space="preserve">, A. and </w:t>
      </w:r>
      <w:proofErr w:type="spellStart"/>
      <w:r w:rsidRPr="00C31C4D">
        <w:rPr>
          <w:rFonts w:ascii="Calibri" w:hAnsi="Calibri" w:cs="Calibri"/>
          <w:color w:val="222222"/>
          <w:sz w:val="22"/>
          <w:szCs w:val="22"/>
        </w:rPr>
        <w:t>Colnar</w:t>
      </w:r>
      <w:proofErr w:type="spellEnd"/>
      <w:r w:rsidRPr="00C31C4D">
        <w:rPr>
          <w:rFonts w:ascii="Calibri" w:hAnsi="Calibri" w:cs="Calibri"/>
          <w:color w:val="222222"/>
          <w:sz w:val="22"/>
          <w:szCs w:val="22"/>
        </w:rPr>
        <w:t>, S., 2021. Quality of healthcare services in focus: the role of knowledge transfer, hierarchical organizational structure and trust. Knowledge Management Research &amp; Practice, pp.1-12.</w:t>
      </w:r>
    </w:p>
    <w:p w14:paraId="242BADC0" w14:textId="77777777" w:rsidR="00400908" w:rsidRPr="00C31C4D" w:rsidRDefault="00400908" w:rsidP="00400908">
      <w:pPr>
        <w:pStyle w:val="NormalWeb"/>
        <w:shd w:val="clear" w:color="auto" w:fill="FFFFFF"/>
        <w:spacing w:before="0" w:beforeAutospacing="0" w:after="0" w:afterAutospacing="0" w:line="360" w:lineRule="auto"/>
        <w:ind w:left="720"/>
        <w:jc w:val="both"/>
        <w:rPr>
          <w:rFonts w:ascii="Calibri" w:hAnsi="Calibri" w:cs="Calibri"/>
          <w:color w:val="222222"/>
          <w:sz w:val="22"/>
          <w:szCs w:val="22"/>
        </w:rPr>
      </w:pPr>
      <w:r w:rsidRPr="00C31C4D">
        <w:rPr>
          <w:rFonts w:ascii="Calibri" w:hAnsi="Calibri" w:cs="Calibri"/>
          <w:color w:val="222222"/>
          <w:sz w:val="22"/>
          <w:szCs w:val="22"/>
        </w:rPr>
        <w:t>Schniederjans, D. G et al, 2020, Supply chain digitisation trends: An integration of knowledge management,</w:t>
      </w:r>
      <w:r w:rsidRPr="00C31C4D">
        <w:rPr>
          <w:rFonts w:ascii="Calibri" w:hAnsi="Calibri" w:cs="Calibri"/>
          <w:i/>
          <w:iCs/>
          <w:color w:val="222222"/>
          <w:sz w:val="22"/>
          <w:szCs w:val="22"/>
        </w:rPr>
        <w:t> International Journal of Production Economics</w:t>
      </w:r>
      <w:r w:rsidRPr="00C31C4D">
        <w:rPr>
          <w:rFonts w:ascii="Calibri" w:hAnsi="Calibri" w:cs="Calibri"/>
          <w:color w:val="222222"/>
          <w:sz w:val="22"/>
          <w:szCs w:val="22"/>
        </w:rPr>
        <w:t>, Volume 220, 107439.</w:t>
      </w:r>
    </w:p>
    <w:p w14:paraId="7F890C1F" w14:textId="3AB5778A" w:rsidR="00CA09F3" w:rsidRDefault="00CA09F3"/>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B5369D"/>
    <w:multiLevelType w:val="hybridMultilevel"/>
    <w:tmpl w:val="ADBCA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49856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5C52"/>
    <w:rsid w:val="0002617E"/>
    <w:rsid w:val="00084CC9"/>
    <w:rsid w:val="00087B33"/>
    <w:rsid w:val="000C776E"/>
    <w:rsid w:val="00107936"/>
    <w:rsid w:val="00115B96"/>
    <w:rsid w:val="00134B14"/>
    <w:rsid w:val="001E0EBB"/>
    <w:rsid w:val="002F0533"/>
    <w:rsid w:val="00324CCD"/>
    <w:rsid w:val="00342948"/>
    <w:rsid w:val="003615D2"/>
    <w:rsid w:val="003C3992"/>
    <w:rsid w:val="003D5E47"/>
    <w:rsid w:val="00400908"/>
    <w:rsid w:val="0042795C"/>
    <w:rsid w:val="00427EA1"/>
    <w:rsid w:val="004431BA"/>
    <w:rsid w:val="00480872"/>
    <w:rsid w:val="00487F6A"/>
    <w:rsid w:val="004A10EA"/>
    <w:rsid w:val="004A11F6"/>
    <w:rsid w:val="004D519C"/>
    <w:rsid w:val="00506BB7"/>
    <w:rsid w:val="00591166"/>
    <w:rsid w:val="005C5E1C"/>
    <w:rsid w:val="00612572"/>
    <w:rsid w:val="006863D9"/>
    <w:rsid w:val="006C30F0"/>
    <w:rsid w:val="006D2FBA"/>
    <w:rsid w:val="007124F5"/>
    <w:rsid w:val="00733B58"/>
    <w:rsid w:val="007D1947"/>
    <w:rsid w:val="007F17D3"/>
    <w:rsid w:val="007F3B69"/>
    <w:rsid w:val="00810237"/>
    <w:rsid w:val="00897D71"/>
    <w:rsid w:val="00931CAA"/>
    <w:rsid w:val="00950152"/>
    <w:rsid w:val="009E21ED"/>
    <w:rsid w:val="00A12B58"/>
    <w:rsid w:val="00A16A2A"/>
    <w:rsid w:val="00AA2A91"/>
    <w:rsid w:val="00B10E46"/>
    <w:rsid w:val="00B32D05"/>
    <w:rsid w:val="00B630FC"/>
    <w:rsid w:val="00BC3756"/>
    <w:rsid w:val="00BC6446"/>
    <w:rsid w:val="00BC7D60"/>
    <w:rsid w:val="00C76418"/>
    <w:rsid w:val="00CA09F3"/>
    <w:rsid w:val="00CB0A2B"/>
    <w:rsid w:val="00CC4BA6"/>
    <w:rsid w:val="00D854A5"/>
    <w:rsid w:val="00DB5FF9"/>
    <w:rsid w:val="00E7296C"/>
    <w:rsid w:val="00F0498C"/>
    <w:rsid w:val="00F654AB"/>
    <w:rsid w:val="00FB08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Titlu2">
    <w:name w:val="heading 2"/>
    <w:basedOn w:val="Normal"/>
    <w:next w:val="Normal"/>
    <w:link w:val="Titlu2Caracte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link w:val="FrspaiereCaracter"/>
    <w:uiPriority w:val="1"/>
    <w:qFormat/>
    <w:rsid w:val="007D1947"/>
    <w:pPr>
      <w:spacing w:after="0" w:line="240" w:lineRule="auto"/>
    </w:pPr>
    <w:rPr>
      <w:rFonts w:eastAsiaTheme="minorEastAsia"/>
      <w:lang w:val="en-US"/>
    </w:rPr>
  </w:style>
  <w:style w:type="character" w:customStyle="1" w:styleId="FrspaiereCaracter">
    <w:name w:val="Fără spațiere Caracter"/>
    <w:basedOn w:val="Fontdeparagrafimplicit"/>
    <w:link w:val="Frspaiere"/>
    <w:uiPriority w:val="1"/>
    <w:rsid w:val="007D1947"/>
    <w:rPr>
      <w:rFonts w:eastAsiaTheme="minorEastAsia"/>
      <w:lang w:val="en-US"/>
    </w:rPr>
  </w:style>
  <w:style w:type="character" w:customStyle="1" w:styleId="Titlu1Caracter">
    <w:name w:val="Titlu 1 Caracter"/>
    <w:basedOn w:val="Fontdeparagrafimplicit"/>
    <w:link w:val="Titlu1"/>
    <w:uiPriority w:val="9"/>
    <w:rsid w:val="007D1947"/>
    <w:rPr>
      <w:rFonts w:asciiTheme="majorHAnsi" w:eastAsiaTheme="majorEastAsia" w:hAnsiTheme="majorHAnsi" w:cstheme="majorBidi"/>
      <w:color w:val="2E74B5" w:themeColor="accent1" w:themeShade="BF"/>
      <w:sz w:val="32"/>
      <w:szCs w:val="32"/>
    </w:rPr>
  </w:style>
  <w:style w:type="paragraph" w:styleId="Titlucuprins">
    <w:name w:val="TOC Heading"/>
    <w:basedOn w:val="Titlu1"/>
    <w:next w:val="Normal"/>
    <w:uiPriority w:val="39"/>
    <w:unhideWhenUsed/>
    <w:qFormat/>
    <w:rsid w:val="007D1947"/>
    <w:pPr>
      <w:outlineLvl w:val="9"/>
    </w:pPr>
    <w:rPr>
      <w:lang w:val="en-US"/>
    </w:rPr>
  </w:style>
  <w:style w:type="paragraph" w:styleId="Cuprins1">
    <w:name w:val="toc 1"/>
    <w:basedOn w:val="Normal"/>
    <w:next w:val="Normal"/>
    <w:autoRedefine/>
    <w:uiPriority w:val="39"/>
    <w:unhideWhenUsed/>
    <w:rsid w:val="007D1947"/>
    <w:pPr>
      <w:spacing w:after="100"/>
    </w:pPr>
  </w:style>
  <w:style w:type="character" w:styleId="Hyperlink">
    <w:name w:val="Hyperlink"/>
    <w:basedOn w:val="Fontdeparagrafimplicit"/>
    <w:uiPriority w:val="99"/>
    <w:unhideWhenUsed/>
    <w:rsid w:val="007D1947"/>
    <w:rPr>
      <w:color w:val="0563C1" w:themeColor="hyperlink"/>
      <w:u w:val="single"/>
    </w:rPr>
  </w:style>
  <w:style w:type="character" w:customStyle="1" w:styleId="Titlu2Caracter">
    <w:name w:val="Titlu 2 Caracter"/>
    <w:basedOn w:val="Fontdeparagrafimplicit"/>
    <w:link w:val="Titlu2"/>
    <w:uiPriority w:val="9"/>
    <w:rsid w:val="004D519C"/>
    <w:rPr>
      <w:rFonts w:asciiTheme="majorHAnsi" w:eastAsiaTheme="majorEastAsia" w:hAnsiTheme="majorHAnsi" w:cstheme="majorBidi"/>
      <w:color w:val="2E74B5" w:themeColor="accent1" w:themeShade="BF"/>
      <w:sz w:val="26"/>
      <w:szCs w:val="26"/>
    </w:rPr>
  </w:style>
  <w:style w:type="paragraph" w:styleId="Cuprins2">
    <w:name w:val="toc 2"/>
    <w:basedOn w:val="Normal"/>
    <w:next w:val="Normal"/>
    <w:autoRedefine/>
    <w:uiPriority w:val="39"/>
    <w:unhideWhenUsed/>
    <w:rsid w:val="00115B96"/>
    <w:pPr>
      <w:spacing w:after="100"/>
      <w:ind w:left="220"/>
    </w:pPr>
  </w:style>
  <w:style w:type="paragraph" w:styleId="Listparagraf">
    <w:name w:val="List Paragraph"/>
    <w:basedOn w:val="Normal"/>
    <w:uiPriority w:val="34"/>
    <w:qFormat/>
    <w:rsid w:val="00733B58"/>
    <w:pPr>
      <w:ind w:left="720"/>
      <w:contextualSpacing/>
    </w:pPr>
  </w:style>
  <w:style w:type="paragraph" w:styleId="NormalWeb">
    <w:name w:val="Normal (Web)"/>
    <w:basedOn w:val="Normal"/>
    <w:uiPriority w:val="99"/>
    <w:unhideWhenUsed/>
    <w:rsid w:val="0040090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hcw.nhs.wales/files/dhcw-strategies-and-frameworks/fra-dhcw-001-dhcw-risk-and-board-assurance-framework/" TargetMode="External"/><Relationship Id="rId18" Type="http://schemas.openxmlformats.org/officeDocument/2006/relationships/hyperlink" Target="http://www.wales.nhs.uk/nhswalesaboutus/structure" TargetMode="External"/><Relationship Id="rId26" Type="http://schemas.openxmlformats.org/officeDocument/2006/relationships/hyperlink" Target="http://www.tandfonline.com" TargetMode="External"/><Relationship Id="rId3" Type="http://schemas.openxmlformats.org/officeDocument/2006/relationships/numbering" Target="numbering.xml"/><Relationship Id="rId21" Type="http://schemas.openxmlformats.org/officeDocument/2006/relationships/hyperlink" Target="https://www.sciencedirect.com/science/article/abs/pii/S0148296321009619" TargetMode="External"/><Relationship Id="rId7" Type="http://schemas.openxmlformats.org/officeDocument/2006/relationships/image" Target="media/image1.png"/><Relationship Id="rId12" Type="http://schemas.openxmlformats.org/officeDocument/2006/relationships/hyperlink" Target="https://doi.org/10.1108/MRR-10-2016-0243" TargetMode="External"/><Relationship Id="rId17" Type="http://schemas.openxmlformats.org/officeDocument/2006/relationships/hyperlink" Target="http://www.wales.nhs.uk/statisticsanddata/sourcesofdata" TargetMode="External"/><Relationship Id="rId25" Type="http://schemas.openxmlformats.org/officeDocument/2006/relationships/hyperlink" Target="https://www.sciencedirect.com/science/article/pii/S0148296315004361" TargetMode="External"/><Relationship Id="rId2" Type="http://schemas.openxmlformats.org/officeDocument/2006/relationships/customXml" Target="../customXml/item2.xml"/><Relationship Id="rId16" Type="http://schemas.openxmlformats.org/officeDocument/2006/relationships/hyperlink" Target="http://www.wales.nhs.uk/nhswalesaboutus/thecoreprinciplesofnhswales" TargetMode="External"/><Relationship Id="rId20" Type="http://schemas.openxmlformats.org/officeDocument/2006/relationships/hyperlink" Target="https://doi.org/10.3389/fpsyg.2022.829959"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ciencedirect.com/science/article/pii/S2096248717300061" TargetMode="External"/><Relationship Id="rId24" Type="http://schemas.openxmlformats.org/officeDocument/2006/relationships/hyperlink" Target="https://doi.org/10.1108/JKM-04-2021-0277" TargetMode="External"/><Relationship Id="rId5" Type="http://schemas.openxmlformats.org/officeDocument/2006/relationships/settings" Target="settings.xml"/><Relationship Id="rId15" Type="http://schemas.openxmlformats.org/officeDocument/2006/relationships/hyperlink" Target="http://www.wales.nhs.uk/nhswalesaboutus" TargetMode="External"/><Relationship Id="rId23" Type="http://schemas.openxmlformats.org/officeDocument/2006/relationships/hyperlink" Target="https://sloanreview.mit.edu/article/understanding-organizations-as-learning-systems/" TargetMode="External"/><Relationship Id="rId28" Type="http://schemas.openxmlformats.org/officeDocument/2006/relationships/fontTable" Target="fontTable.xml"/><Relationship Id="rId10" Type="http://schemas.openxmlformats.org/officeDocument/2006/relationships/hyperlink" Target="https://doi.org/10.1108/IJPSM-05-2019-0131" TargetMode="External"/><Relationship Id="rId19" Type="http://schemas.openxmlformats.org/officeDocument/2006/relationships/hyperlink" Target="http://www.wales.nhs.uk/nhswalesaboutus/thecoreprinciplesofnhswales"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www.wales.nhs.uk/sites3/documents/254/50%20years%20of%20the%20NHS%20in%20Wales.pdf" TargetMode="External"/><Relationship Id="rId22" Type="http://schemas.openxmlformats.org/officeDocument/2006/relationships/hyperlink" Target="https://www.wales.nhs.uk/documents/090203historypublichealthen%5b1%5d.pdf" TargetMode="External"/><Relationship Id="rId27" Type="http://schemas.openxmlformats.org/officeDocument/2006/relationships/hyperlink" Target="https://hbr.org/1996/03/making-the-most-of-the-best" TargetMode="Externa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3203C2"/>
    <w:rsid w:val="004D25D2"/>
    <w:rsid w:val="00A34C42"/>
    <w:rsid w:val="00BC1251"/>
    <w:rsid w:val="00C67429"/>
    <w:rsid w:val="00C87058"/>
    <w:rsid w:val="00FB50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2022-07-08T00:00:00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3762</Words>
  <Characters>21446</Characters>
  <Application>Microsoft Office Word</Application>
  <DocSecurity>0</DocSecurity>
  <Lines>178</Lines>
  <Paragraphs>50</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Knowledge management of hospital sector in wales</vt:lpstr>
      <vt:lpstr>name of the assignment</vt:lpstr>
    </vt:vector>
  </TitlesOfParts>
  <Company>University of Wales Trinity Saint David</Company>
  <LinksUpToDate>false</LinksUpToDate>
  <CharactersWithSpaces>25158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management of hospital sector in wales</dc:title>
  <dc:subject>Adrian Anghel Brezeanu 1918103</dc:subject>
  <dc:creator>Marie Pitson</dc:creator>
  <cp:keywords/>
  <dc:description/>
  <cp:lastModifiedBy>Alina Culea</cp:lastModifiedBy>
  <cp:revision>2</cp:revision>
  <dcterms:created xsi:type="dcterms:W3CDTF">2022-07-08T13:47:00Z</dcterms:created>
  <dcterms:modified xsi:type="dcterms:W3CDTF">2022-07-08T13:47:00Z</dcterms:modified>
</cp:coreProperties>
</file>