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8E38" w14:textId="77777777" w:rsidR="000F36F2" w:rsidRDefault="000F36F2" w:rsidP="000F36F2">
      <w:pPr>
        <w:shd w:val="clear" w:color="auto" w:fill="FFFFFF" w:themeFill="background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10.HRM issues Faced </w:t>
      </w:r>
      <w:proofErr w:type="gramStart"/>
      <w:r>
        <w:rPr>
          <w:rFonts w:ascii="Times New Roman" w:hAnsi="Times New Roman" w:cs="Times New Roman"/>
          <w:sz w:val="24"/>
          <w:szCs w:val="24"/>
        </w:rPr>
        <w:t>By</w:t>
      </w:r>
      <w:proofErr w:type="gramEnd"/>
      <w:r>
        <w:rPr>
          <w:rFonts w:ascii="Times New Roman" w:hAnsi="Times New Roman" w:cs="Times New Roman"/>
          <w:sz w:val="24"/>
          <w:szCs w:val="24"/>
        </w:rPr>
        <w:t xml:space="preserve"> Tata Consultancy services</w:t>
      </w:r>
    </w:p>
    <w:p w14:paraId="77B0E770" w14:textId="77777777" w:rsidR="000F36F2" w:rsidRDefault="000F36F2" w:rsidP="000F36F2">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Tata Consultancy Services (TCS) is one of the largest global IT services and consulting companies. One of the significant HRM issues faced by TCS is the high attrition rate of its employees. Attrition refers to the rate at which employees leave the company voluntarily or involuntarily. TCS has been struggling with high attrition rates for the past few years, which has impacted its growth and profitability.</w:t>
      </w:r>
    </w:p>
    <w:p w14:paraId="58AB9F82" w14:textId="77777777" w:rsidR="000F36F2" w:rsidRPr="00A40021" w:rsidRDefault="000F36F2" w:rsidP="000F36F2">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 In the case of TCS, the high attrition rate of 19.7% in the first quarter of 2022-2023, which is a 23% increase from the previous quarter, is a cause for concern. This high rate of attrition can lead to increased costs due to the need to recruit and train new employees, as well as decreased productivity and revenue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{"citationItems":[{"id":"ITEM-1","itemData":{"author":[{"dropping-particle":"","family":"businesstoday.in","given":"","non-dropping-particle":"","parse-names":false,"suffix":""}],"id":"ITEM-1","issued":{"date-parts":[["2023"]]},"page":"1-4","title":"Why Infosys , TCS , Wipro , and other Indian IT giants are facing record-high attrition rates","type":"article-journal"},"uris":["http://www.mendeley.com/documents/?uuid=71086216-049f-42c4-ba15-21b1839dd4e2"]}],"mendeley":{"formattedCitation":"(businesstoday.in, 2023)","plainTextFormattedCitation":"(businesstoday.in, 2023)","previouslyFormattedCitation":"(businesstoday.in,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(businesstoday.in,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high attrition rates can result in profit margin pressure and cost overloads. To address this issue, TCS and other IT companies in India may need to implement strategies to retain their employees, such as offering better compensation and benefits packages, providing opportunities for career growth and development, and improving the work-life balance of employees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DOI":"10.1016/j.matpr.2021.05.596","author":[{"dropping-particle":"","family":"Pallathadka","given":"Harikumar","non-dropping-particle":"","parse-names":false,"suffix":""},{"dropping-particle":"","family":"Vemula","given":"Hari","non-dropping-particle":"","parse-names":false,"suffix":""},{"dropping-particle":"","family":"Patil","given":"Sushant","non-dropping-particle":"","parse-names":false,"suffix":""},{"dropping-particle":"","family":"Rashmi","given":"B H","non-dropping-particle":"","parse-names":false,"suffix":""},{"dropping-particle":"","family":"Jain","given":"Vipin","non-dropping-particle":"","parse-names":false,"suffix":""},{"dropping-particle":"","family":"Ray","given":"Samrat","non-dropping-particle":"","parse-names":false,"suffix":""}],"container-title":"Materials Today: Proceedings","id":"ITEM-1","issued":{"date-parts":[["2021","6","1"]]},"title":"Attrition in software companies: Reason and measures","type":"article-journal","volume":"51"},"uris":["http://www.mendeley.com/documents/?uuid=df251706-cb0a-4ce7-96fe-467b1ea39346"]}],"mendeley":{"formattedCitation":"(Pallathadka &lt;i&gt;et al.&lt;/i&gt;, 2021)","plainTextFormattedCitation":"(Pallathadka et al., 2021)","previouslyFormattedCitation":"(Pallathadka &lt;i&gt;et al.&lt;/i&gt;, 2021)"},"properties":{"noteIndex":0},"schema":"https://github.com/citation-style-language/schema/raw/master/csl-citation.json"}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 xml:space="preserve">(Pallathadka </w:t>
      </w:r>
      <w:r w:rsidRPr="00105B22">
        <w:rPr>
          <w:rFonts w:ascii="Times New Roman" w:hAnsi="Times New Roman" w:cs="Times New Roman"/>
          <w:i/>
          <w:noProof/>
          <w:sz w:val="24"/>
          <w:szCs w:val="24"/>
        </w:rPr>
        <w:t>et al.</w:t>
      </w:r>
      <w:r w:rsidRPr="00105B22">
        <w:rPr>
          <w:rFonts w:ascii="Times New Roman" w:hAnsi="Times New Roman" w:cs="Times New Roman"/>
          <w:noProof/>
          <w:sz w:val="24"/>
          <w:szCs w:val="24"/>
        </w:rPr>
        <w:t>, 2021)</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additionally, </w:t>
      </w:r>
      <w:r w:rsidRPr="00105B22">
        <w:rPr>
          <w:rFonts w:ascii="Times New Roman" w:hAnsi="Times New Roman" w:cs="Times New Roman"/>
          <w:sz w:val="24"/>
          <w:szCs w:val="24"/>
          <w:shd w:val="clear" w:color="auto" w:fill="FFFFFF" w:themeFill="background1"/>
        </w:rPr>
        <w:t xml:space="preserve">the global pandemic has further complicated the situation, as TCS and other companies are facing challenges in finding adequate resources and knowledge in the field of IT amidst the lockdown. To address these challenges, TCS and other companies may need to consider remote work options, investing in employee upskilling and reskilling programs, and leveraging technology to enhance communication and collaboration among employees </w:t>
      </w:r>
      <w:r w:rsidRPr="00105B22">
        <w:rPr>
          <w:rFonts w:ascii="Times New Roman" w:hAnsi="Times New Roman" w:cs="Times New Roman"/>
          <w:sz w:val="24"/>
          <w:szCs w:val="24"/>
          <w:shd w:val="clear" w:color="auto" w:fill="FFFFFF" w:themeFill="background1"/>
        </w:rPr>
        <w:fldChar w:fldCharType="begin" w:fldLock="1"/>
      </w:r>
      <w:r w:rsidRPr="00105B22">
        <w:rPr>
          <w:rFonts w:ascii="Times New Roman" w:hAnsi="Times New Roman" w:cs="Times New Roman"/>
          <w:sz w:val="24"/>
          <w:szCs w:val="24"/>
          <w:shd w:val="clear" w:color="auto" w:fill="FFFFFF" w:themeFill="background1"/>
        </w:rPr>
        <w:instrText>ADDIN CSL_CITATION {"citationItems":[{"id":"ITEM-1","itemData":{"author":[{"dropping-particle":"","family":"The Economic Times","given":"","non-dropping-particle":"","parse-names":false,"suffix":""}],"id":"ITEM-1","issued":{"date-parts":[["2020"]]},"title":"TCS hiring plans may see impact as COVID-19 hits business","type":"article-journal"},"uris":["http://www.mendeley.com/documents/?uuid=189a558e-74ef-4a68-83c2-f6d826e67483"]}],"mendeley":{"formattedCitation":"(The Economic Times, 2020)","plainTextFormattedCitation":"(The Economic Times, 2020)","previouslyFormattedCitation":"(The Economic Times, 2020)"},"properties":{"noteIndex":0},"schema":"https://github.com/citation-style-language/schema/raw/master/csl-citation.json"}</w:instrText>
      </w:r>
      <w:r w:rsidRPr="00105B22">
        <w:rPr>
          <w:rFonts w:ascii="Times New Roman" w:hAnsi="Times New Roman" w:cs="Times New Roman"/>
          <w:sz w:val="24"/>
          <w:szCs w:val="24"/>
          <w:shd w:val="clear" w:color="auto" w:fill="FFFFFF" w:themeFill="background1"/>
        </w:rPr>
        <w:fldChar w:fldCharType="separate"/>
      </w:r>
      <w:r w:rsidRPr="00105B22">
        <w:rPr>
          <w:rFonts w:ascii="Times New Roman" w:hAnsi="Times New Roman" w:cs="Times New Roman"/>
          <w:noProof/>
          <w:sz w:val="24"/>
          <w:szCs w:val="24"/>
          <w:shd w:val="clear" w:color="auto" w:fill="FFFFFF" w:themeFill="background1"/>
        </w:rPr>
        <w:t>(The Economic Times, 2020)</w:t>
      </w:r>
      <w:r w:rsidRPr="00105B22">
        <w:rPr>
          <w:rFonts w:ascii="Times New Roman" w:hAnsi="Times New Roman" w:cs="Times New Roman"/>
          <w:sz w:val="24"/>
          <w:szCs w:val="24"/>
          <w:shd w:val="clear" w:color="auto" w:fill="FFFFFF" w:themeFill="background1"/>
        </w:rPr>
        <w:fldChar w:fldCharType="end"/>
      </w:r>
      <w:r w:rsidRPr="00105B22">
        <w:rPr>
          <w:rFonts w:ascii="Times New Roman" w:hAnsi="Times New Roman" w:cs="Times New Roman"/>
          <w:sz w:val="24"/>
          <w:szCs w:val="24"/>
          <w:shd w:val="clear" w:color="auto" w:fill="FFFFFF" w:themeFill="background1"/>
        </w:rPr>
        <w:t>.</w:t>
      </w:r>
    </w:p>
    <w:p w14:paraId="4B1326C0" w14:textId="77777777" w:rsidR="000F36F2" w:rsidRPr="00105B22" w:rsidRDefault="000F36F2" w:rsidP="000F36F2">
      <w:pPr>
        <w:shd w:val="clear" w:color="auto" w:fill="FFFFFF" w:themeFill="background1"/>
        <w:spacing w:line="360" w:lineRule="auto"/>
        <w:jc w:val="both"/>
        <w:rPr>
          <w:rFonts w:ascii="Times New Roman" w:hAnsi="Times New Roman" w:cs="Times New Roman"/>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t xml:space="preserve">                               </w:t>
      </w:r>
      <w:r w:rsidRPr="00105B22">
        <w:rPr>
          <w:rFonts w:ascii="Times New Roman" w:hAnsi="Times New Roman" w:cs="Times New Roman"/>
          <w:noProof/>
          <w:sz w:val="24"/>
          <w:szCs w:val="24"/>
          <w:shd w:val="clear" w:color="auto" w:fill="FFFFFF" w:themeFill="background1"/>
        </w:rPr>
        <w:drawing>
          <wp:inline distT="0" distB="0" distL="0" distR="0" wp14:anchorId="206ECACE" wp14:editId="55670F5C">
            <wp:extent cx="3561715" cy="2776847"/>
            <wp:effectExtent l="0" t="0" r="635" b="508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74049" cy="2786463"/>
                    </a:xfrm>
                    <a:prstGeom prst="rect">
                      <a:avLst/>
                    </a:prstGeom>
                    <a:noFill/>
                  </pic:spPr>
                </pic:pic>
              </a:graphicData>
            </a:graphic>
          </wp:inline>
        </w:drawing>
      </w:r>
    </w:p>
    <w:p w14:paraId="38C27C80" w14:textId="77777777" w:rsidR="000F36F2" w:rsidRPr="00105B22" w:rsidRDefault="000F36F2" w:rsidP="000F36F2">
      <w:pPr>
        <w:shd w:val="clear" w:color="auto" w:fill="FFFFFF" w:themeFill="background1"/>
        <w:spacing w:line="360" w:lineRule="auto"/>
        <w:jc w:val="both"/>
        <w:rPr>
          <w:rFonts w:ascii="Times New Roman" w:hAnsi="Times New Roman" w:cs="Times New Roman"/>
          <w:i/>
          <w:iCs/>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t xml:space="preserve">                                       </w:t>
      </w:r>
      <w:r w:rsidRPr="00105B22">
        <w:rPr>
          <w:rFonts w:ascii="Times New Roman" w:hAnsi="Times New Roman" w:cs="Times New Roman"/>
          <w:i/>
          <w:iCs/>
          <w:sz w:val="24"/>
          <w:szCs w:val="24"/>
          <w:shd w:val="clear" w:color="auto" w:fill="FFFFFF" w:themeFill="background1"/>
        </w:rPr>
        <w:t>figure 3, source:</w:t>
      </w:r>
      <w:r w:rsidRPr="00105B22">
        <w:rPr>
          <w:rFonts w:ascii="Times New Roman" w:hAnsi="Times New Roman" w:cs="Times New Roman"/>
          <w:i/>
          <w:iCs/>
          <w:sz w:val="24"/>
          <w:szCs w:val="24"/>
          <w:shd w:val="clear" w:color="auto" w:fill="FFFFFF" w:themeFill="background1"/>
        </w:rPr>
        <w:fldChar w:fldCharType="begin" w:fldLock="1"/>
      </w:r>
      <w:r w:rsidRPr="00105B22">
        <w:rPr>
          <w:rFonts w:ascii="Times New Roman" w:hAnsi="Times New Roman" w:cs="Times New Roman"/>
          <w:i/>
          <w:iCs/>
          <w:sz w:val="24"/>
          <w:szCs w:val="24"/>
          <w:shd w:val="clear" w:color="auto" w:fill="FFFFFF" w:themeFill="background1"/>
        </w:rPr>
        <w:instrText>ADDIN CSL_CITATION {"citationItems":[{"id":"ITEM-1","itemData":{"author":[{"dropping-particle":"","family":"businesstoday.in","given":"","non-dropping-particle":"","parse-names":false,"suffix":""}],"id":"ITEM-1","issued":{"date-parts":[["2023"]]},"page":"1-4","title":"Why Infosys , TCS , Wipro , and other Indian IT giants are facing record-high attrition rates","type":"article-journal"},"uris":["http://www.mendeley.com/documents/?uuid=71086216-049f-42c4-ba15-21b1839dd4e2"]}],"mendeley":{"formattedCitation":"(businesstoday.in, 2023)","plainTextFormattedCitation":"(businesstoday.in, 2023)","previouslyFormattedCitation":"(businesstoday.in, 2023)"},"properties":{"noteIndex":0},"schema":"https://github.com/citation-style-language/schema/raw/master/csl-citation.json"}</w:instrText>
      </w:r>
      <w:r w:rsidRPr="00105B22">
        <w:rPr>
          <w:rFonts w:ascii="Times New Roman" w:hAnsi="Times New Roman" w:cs="Times New Roman"/>
          <w:i/>
          <w:iCs/>
          <w:sz w:val="24"/>
          <w:szCs w:val="24"/>
          <w:shd w:val="clear" w:color="auto" w:fill="FFFFFF" w:themeFill="background1"/>
        </w:rPr>
        <w:fldChar w:fldCharType="separate"/>
      </w:r>
      <w:r w:rsidRPr="00105B22">
        <w:rPr>
          <w:rFonts w:ascii="Times New Roman" w:hAnsi="Times New Roman" w:cs="Times New Roman"/>
          <w:iCs/>
          <w:noProof/>
          <w:sz w:val="24"/>
          <w:szCs w:val="24"/>
          <w:shd w:val="clear" w:color="auto" w:fill="FFFFFF" w:themeFill="background1"/>
        </w:rPr>
        <w:t>(businesstoday.in, 2023)</w:t>
      </w:r>
      <w:r w:rsidRPr="00105B22">
        <w:rPr>
          <w:rFonts w:ascii="Times New Roman" w:hAnsi="Times New Roman" w:cs="Times New Roman"/>
          <w:i/>
          <w:iCs/>
          <w:sz w:val="24"/>
          <w:szCs w:val="24"/>
          <w:shd w:val="clear" w:color="auto" w:fill="FFFFFF" w:themeFill="background1"/>
        </w:rPr>
        <w:fldChar w:fldCharType="end"/>
      </w:r>
    </w:p>
    <w:p w14:paraId="182F11CB" w14:textId="77777777" w:rsidR="000F36F2" w:rsidRPr="00105B22" w:rsidRDefault="000F36F2" w:rsidP="000F36F2">
      <w:pPr>
        <w:shd w:val="clear" w:color="auto" w:fill="FFFFFF" w:themeFill="background1"/>
        <w:spacing w:line="360" w:lineRule="auto"/>
        <w:jc w:val="both"/>
        <w:rPr>
          <w:rFonts w:ascii="Times New Roman" w:hAnsi="Times New Roman" w:cs="Times New Roman"/>
          <w:sz w:val="24"/>
          <w:szCs w:val="24"/>
          <w:shd w:val="clear" w:color="auto" w:fill="FFFFFF" w:themeFill="background1"/>
        </w:rPr>
      </w:pPr>
      <w:r w:rsidRPr="00105B22">
        <w:rPr>
          <w:rFonts w:ascii="Times New Roman" w:hAnsi="Times New Roman" w:cs="Times New Roman"/>
          <w:sz w:val="24"/>
          <w:szCs w:val="24"/>
          <w:shd w:val="clear" w:color="auto" w:fill="FFFFFF" w:themeFill="background1"/>
        </w:rPr>
        <w:lastRenderedPageBreak/>
        <w:t xml:space="preserve">The availability of skilled workers in the IT sector is essential to increase productivity since trained workers have the training and expertise to do their jobs well. However, the process of hiring staff and providing them with the training they need to develop these talents can be expensive. It is more difficult for huge organisations like TCS to locate people with the necessary skill set </w:t>
      </w:r>
      <w:proofErr w:type="gramStart"/>
      <w:r w:rsidRPr="00105B22">
        <w:rPr>
          <w:rFonts w:ascii="Times New Roman" w:hAnsi="Times New Roman" w:cs="Times New Roman"/>
          <w:sz w:val="24"/>
          <w:szCs w:val="24"/>
          <w:shd w:val="clear" w:color="auto" w:fill="FFFFFF" w:themeFill="background1"/>
        </w:rPr>
        <w:t>as a result of</w:t>
      </w:r>
      <w:proofErr w:type="gramEnd"/>
      <w:r w:rsidRPr="00105B22">
        <w:rPr>
          <w:rFonts w:ascii="Times New Roman" w:hAnsi="Times New Roman" w:cs="Times New Roman"/>
          <w:sz w:val="24"/>
          <w:szCs w:val="24"/>
          <w:shd w:val="clear" w:color="auto" w:fill="FFFFFF" w:themeFill="background1"/>
        </w:rPr>
        <w:t xml:space="preserve"> the rise of multiple start-up companies in India and the growing rivalry for talented workers.</w:t>
      </w:r>
    </w:p>
    <w:p w14:paraId="60CA63AC" w14:textId="77777777" w:rsidR="000F36F2" w:rsidRPr="00105B22" w:rsidRDefault="000F36F2" w:rsidP="000F36F2">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Hindustan Times reports that as of 2022, TCS will be one of India's top IT firms, with a 35% female workforce. Women's empowerment is admirable, but recruitment shows that there is still a long way to go until gender equality is achieved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{"citationItems":[{"id":"ITEM-1","itemData":{"author":[{"dropping-particle":"","family":"Hindustan Times.","given":"","non-dropping-particle":"","parse-names":false,"suffix":""}],"id":"ITEM-1","issued":{"date-parts":[["2023"]]},"title":"TCS is the Only IT Firm with a 35% Women Workforce.","type":"article-journal"},"uris":["http://www.mendeley.com/documents/?uuid=4fc5209c-a7bb-43b6-b938-47d17e6e3342"]}],"mendeley":{"formattedCitation":"(Hindustan Times., 2023)","plainTextFormattedCitation":"(Hindustan Times., 2023)","previouslyFormattedCitation":"(Hindustan Times.,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(Hindustan Times.,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Finding qualified workers with the required abilities and tackling the gender gap are two challenges TCS must overcome. The business has taken action to close this gap by supporting diversity and inclusion initiatives, offering chances for women's training and development, and developing policies and programmes that accommodate the needs of working mothers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{"citationItems":[{"id":"ITEM-1","itemData":{"author":[{"dropping-particle":"","family":"TCS","given":"","non-dropping-particle":"","parse-names":false,"suffix":""}],"id":"ITEM-1","issued":{"date-parts":[["2022"]]},"title":"Diversity and Inclusion","type":"article-journal"},"uris":["http://www.mendeley.com/documents/?uuid=31a2d828-f7bd-46aa-a288-9441d0a4a952"]}],"mendeley":{"formattedCitation":"(TCS, 2022)","plainTextFormattedCitation":"(TCS, 2022)","previouslyFormattedCitation":"(TCS, 2022)"},"properties":{"noteIndex":0},"schema":"https://github.com/citation-style-language/schema/raw/master/csl-citation.json"}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 2022)</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w:t>
      </w:r>
    </w:p>
    <w:p w14:paraId="4F5EAFE6" w14:textId="77777777" w:rsidR="000F36F2" w:rsidRPr="00105B22" w:rsidRDefault="000F36F2" w:rsidP="000F36F2">
      <w:pPr>
        <w:pStyle w:val="Heading1"/>
        <w:jc w:val="both"/>
        <w:rPr>
          <w:rFonts w:ascii="Times New Roman" w:hAnsi="Times New Roman" w:cs="Times New Roman"/>
          <w:sz w:val="24"/>
          <w:szCs w:val="24"/>
        </w:rPr>
      </w:pPr>
      <w:bookmarkStart w:id="0" w:name="_Toc132088616"/>
      <w:r w:rsidRPr="00105B22">
        <w:rPr>
          <w:rFonts w:ascii="Times New Roman" w:hAnsi="Times New Roman" w:cs="Times New Roman"/>
          <w:sz w:val="24"/>
          <w:szCs w:val="24"/>
        </w:rPr>
        <w:t>1</w:t>
      </w:r>
      <w:r>
        <w:rPr>
          <w:rFonts w:ascii="Times New Roman" w:hAnsi="Times New Roman" w:cs="Times New Roman"/>
          <w:sz w:val="24"/>
          <w:szCs w:val="24"/>
        </w:rPr>
        <w:t>1.</w:t>
      </w:r>
      <w:r w:rsidRPr="00105B22">
        <w:rPr>
          <w:rFonts w:ascii="Times New Roman" w:hAnsi="Times New Roman" w:cs="Times New Roman"/>
          <w:sz w:val="24"/>
          <w:szCs w:val="24"/>
        </w:rPr>
        <w:t>IHRM issues in Tata Consultancy Services</w:t>
      </w:r>
      <w:bookmarkEnd w:id="0"/>
    </w:p>
    <w:p w14:paraId="7E8EF267" w14:textId="77777777" w:rsidR="000F36F2" w:rsidRPr="00105B22" w:rsidRDefault="000F36F2" w:rsidP="000F36F2">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t xml:space="preserve">One of the top providers of IT services globally, Tata Consultancy Services (TCS), has been accused of discriminatory hiring procedures in the US. During the hiring process, the corporation is alleged to have favoured South Asian and Indian applicants over non-South Asian and non-Indian applicants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{"citationItems":[{"id":"ITEM-1","itemData":{"author":[{"dropping-particle":"","family":"Majumdar","given":"Romita","non-dropping-particle":"","parse-names":false,"suffix":""}],"id":"ITEM-1","issued":{"date-parts":[["2023"]]},"page":"1-10","title":"US lawsuit accuses TCS of favouring Indian and South Asian candidates","type":"article-journal"},"uris":["http://www.mendeley.com/documents/?uuid=7cf827f3-a41e-4ce7-a685-a240c23b1090"]}],"mendeley":{"formattedCitation":"(Majumdar, 2023)","plainTextFormattedCitation":"(Majumdar, 2023)","previouslyFormattedCitation":"(Majumdar,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(Majumdar,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Due to the preferential treatment given to Indian and South Asian applicants with visas, even when equally qualified US citizens are available, the lawsuit filed by the company highlights the challenges faced by the company in areas such as hiring, staffing, promotion decisions, termination, and benching. This demonstrates the discriminatory hiring practices used by TCS. The company's reputation and efforts to promote diversity and inclusion are both negatively impacted by this issue, in addition to harming the prospects of qualified US citizens. Legal repercussions and harm to the company's brand reputation may result from such discriminatory practices, which could have a negative effect on its business operations. TCS, in collaboration with the "Business in the Community (BITC) Race Equality Campaign," has announced a full-time commitment to ethnic minority communities </w:t>
      </w:r>
      <w:proofErr w:type="gramStart"/>
      <w:r w:rsidRPr="00105B22">
        <w:rPr>
          <w:rFonts w:ascii="Times New Roman" w:hAnsi="Times New Roman" w:cs="Times New Roman"/>
          <w:sz w:val="24"/>
          <w:szCs w:val="24"/>
        </w:rPr>
        <w:t>in order to</w:t>
      </w:r>
      <w:proofErr w:type="gramEnd"/>
      <w:r w:rsidRPr="00105B22">
        <w:rPr>
          <w:rFonts w:ascii="Times New Roman" w:hAnsi="Times New Roman" w:cs="Times New Roman"/>
          <w:sz w:val="24"/>
          <w:szCs w:val="24"/>
        </w:rPr>
        <w:t xml:space="preserve"> address this issue. The company's commitment to fostering international HR practices that support equal opportunities for all qualified applicants, regardless of their nationality or ethnic background, is reflected in this initiative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{"citationItems":[{"id":"ITEM-1","itemData":{"author":[{"dropping-particle":"","family":"Tcs.com","given":"","non-dropping-particle":"","parse-names":false,"suffix":""}],"id":"ITEM-1","issued":{"date-parts":[["2021"]]},"page":"1-8","title":"tcs joins call to take action on racism in the work place by endorsing bitc ’s race at work charter","type":"article-journal"},"uris":["http://www.mendeley.com/documents/?uuid=b914dd4f-7597-4bf1-bc34-1eaa35a89011"]}],"mendeley":{"formattedCitation":"(Tcs.com, 2021)","plainTextFormattedCitation":"(Tcs.com, 2021)","previouslyFormattedCitation":"(Tcs.com, 2021)"},"properties":{"noteIndex":0},"schema":"https://github.com/citation-style-language/schema/raw/master/csl-citation.json"}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(Tcs.com, 2021)</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w:t>
      </w:r>
    </w:p>
    <w:p w14:paraId="4CF6502E" w14:textId="77777777" w:rsidR="000F36F2" w:rsidRPr="003B3185" w:rsidRDefault="000F36F2" w:rsidP="000F36F2">
      <w:pPr>
        <w:shd w:val="clear" w:color="auto" w:fill="FFFFFF" w:themeFill="background1"/>
        <w:spacing w:line="360" w:lineRule="auto"/>
        <w:jc w:val="both"/>
        <w:rPr>
          <w:rFonts w:ascii="Times New Roman" w:hAnsi="Times New Roman" w:cs="Times New Roman"/>
          <w:sz w:val="24"/>
          <w:szCs w:val="24"/>
        </w:rPr>
      </w:pPr>
      <w:r w:rsidRPr="00105B22">
        <w:rPr>
          <w:rFonts w:ascii="Times New Roman" w:hAnsi="Times New Roman" w:cs="Times New Roman"/>
          <w:sz w:val="24"/>
          <w:szCs w:val="24"/>
        </w:rPr>
        <w:lastRenderedPageBreak/>
        <w:t xml:space="preserve">One of the primary challenges that TCS is currently facing is addressing the preference of the </w:t>
      </w:r>
      <w:proofErr w:type="spellStart"/>
      <w:r w:rsidRPr="00105B22">
        <w:rPr>
          <w:rFonts w:ascii="Times New Roman" w:hAnsi="Times New Roman" w:cs="Times New Roman"/>
          <w:sz w:val="24"/>
          <w:szCs w:val="24"/>
        </w:rPr>
        <w:t>GenZ</w:t>
      </w:r>
      <w:proofErr w:type="spellEnd"/>
      <w:r w:rsidRPr="00105B22">
        <w:rPr>
          <w:rFonts w:ascii="Times New Roman" w:hAnsi="Times New Roman" w:cs="Times New Roman"/>
          <w:sz w:val="24"/>
          <w:szCs w:val="24"/>
        </w:rPr>
        <w:t xml:space="preserve"> population towards remote work. According to Lo (2023), 83% of the </w:t>
      </w:r>
      <w:proofErr w:type="spellStart"/>
      <w:r w:rsidRPr="00105B22">
        <w:rPr>
          <w:rFonts w:ascii="Times New Roman" w:hAnsi="Times New Roman" w:cs="Times New Roman"/>
          <w:sz w:val="24"/>
          <w:szCs w:val="24"/>
        </w:rPr>
        <w:t>GenZ</w:t>
      </w:r>
      <w:proofErr w:type="spellEnd"/>
      <w:r w:rsidRPr="00105B22">
        <w:rPr>
          <w:rFonts w:ascii="Times New Roman" w:hAnsi="Times New Roman" w:cs="Times New Roman"/>
          <w:sz w:val="24"/>
          <w:szCs w:val="24"/>
        </w:rPr>
        <w:t xml:space="preserve"> population prefers to work from home, which has been found to increase productivity by 75%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{"citationItems":[{"id":"ITEM-1","itemData":{"DOI":"10.1080/2331186X.2023.2184028","ISSN":"null","author":[{"dropping-particle":"","family":"Lo","given":"Hsuehi","non-dropping-particle":"","parse-names":false,"suffix":""}],"container-title":"Cogent Education","id":"ITEM-1","issue":"1","issued":{"date-parts":[["2023","12","31"]]},"note":"doi: 10.1080/2331186X.2023.2184028","page":"2184028","publisher":"Cogent OA","title":"Candidates’ modification of global perspectives via international student teaching: A case study","type":"article-journal","volume":"10"},"uris":["http://www.mendeley.com/documents/?uuid=f5e8a39c-801e-4c7f-ac55-b678f405015b"]}],"mendeley":{"formattedCitation":"(H. Lo, 2023)","plainTextFormattedCitation":"(H. Lo, 2023)","previouslyFormattedCitation":"(H. Lo, 2023)"},"properties":{"noteIndex":0},"schema":"https://github.com/citation-style-language/schema/raw/master/csl-citation.json"}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(H. Lo, 2023)</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xml:space="preserve">. This trend is not unique to TCS and is reflective of a global shift towards a remote work model. The statistics also show that 69% of women employees prefer to work from home, which presents an opportunity for TCS to address gender diversity issues in the workplace </w:t>
      </w:r>
      <w:r w:rsidRPr="00105B22">
        <w:rPr>
          <w:rFonts w:ascii="Times New Roman" w:hAnsi="Times New Roman" w:cs="Times New Roman"/>
          <w:sz w:val="24"/>
          <w:szCs w:val="24"/>
        </w:rPr>
        <w:fldChar w:fldCharType="begin" w:fldLock="1"/>
      </w:r>
      <w:r w:rsidRPr="00105B22">
        <w:rPr>
          <w:rFonts w:ascii="Times New Roman" w:hAnsi="Times New Roman" w:cs="Times New Roman"/>
          <w:sz w:val="24"/>
          <w:szCs w:val="24"/>
        </w:rPr>
        <w:instrText>ADDIN CSL_CITATION {"citationItems":[{"id":"ITEM-1","itemData":{"author":[{"dropping-particle":"","family":"Hughes, R., &amp; Baldwin","given":"M.","non-dropping-particle":"","parse-names":false,"suffix":""}],"container-title":"European Journal of Industrial Relations","id":"ITEM-1","issue":"1","issued":{"date-parts":[["2021"]]},"page":"49-64","title":"Precarious and flexible work in the platform economy: A gendered analysis","type":"article-journal","volume":"27"},"uris":["http://www.mendeley.com/documents/?uuid=67cb9a07-d3b8-44e9-bae1-b99b276bf133"]}],"mendeley":{"formattedCitation":"(Hughes, R., &amp; Baldwin, 2021)","plainTextFormattedCitation":"(Hughes, R., &amp; Baldwin, 2021)","previouslyFormattedCitation":"(Hughes, R., &amp; Baldwin, 2021)"},"properties":{"noteIndex":0},"schema":"https://github.com/citation-style-language/schema/raw/master/csl-citation.json"}</w:instrText>
      </w:r>
      <w:r w:rsidRPr="00105B22">
        <w:rPr>
          <w:rFonts w:ascii="Times New Roman" w:hAnsi="Times New Roman" w:cs="Times New Roman"/>
          <w:sz w:val="24"/>
          <w:szCs w:val="24"/>
        </w:rPr>
        <w:fldChar w:fldCharType="separate"/>
      </w:r>
      <w:r w:rsidRPr="00105B22">
        <w:rPr>
          <w:rFonts w:ascii="Times New Roman" w:hAnsi="Times New Roman" w:cs="Times New Roman"/>
          <w:noProof/>
          <w:sz w:val="24"/>
          <w:szCs w:val="24"/>
        </w:rPr>
        <w:t>(Hughes, R., &amp; Baldwin, 2021)</w:t>
      </w:r>
      <w:r w:rsidRPr="00105B22">
        <w:rPr>
          <w:rFonts w:ascii="Times New Roman" w:hAnsi="Times New Roman" w:cs="Times New Roman"/>
          <w:sz w:val="24"/>
          <w:szCs w:val="24"/>
        </w:rPr>
        <w:fldChar w:fldCharType="end"/>
      </w:r>
      <w:r w:rsidRPr="00105B22">
        <w:rPr>
          <w:rFonts w:ascii="Times New Roman" w:hAnsi="Times New Roman" w:cs="Times New Roman"/>
          <w:sz w:val="24"/>
          <w:szCs w:val="24"/>
        </w:rPr>
        <w:t>. However, it also poses a challenge for TCS to recruit skilled local labour who are willing to come to the office and travel to on-site locations. This could be attributed to several factors, including the preference for a better work-life balance and the high cost of living in certain areas. TCS needs to adapt its HRM practices to cater to the needs of its employees. The company can consider implementing flexible work arrangements, which would allow employees to work from home for a few days a week while coming to the office for the remaining days. TCS could also consider implementing virtual collaboration tools that would enable employees to work together remotely. These measures would help TCS attract skilled local labour while also catering to the needs of its employees.</w:t>
      </w:r>
    </w:p>
    <w:p w14:paraId="24ED1DFC" w14:textId="77777777" w:rsidR="00A10889" w:rsidRDefault="00A10889"/>
    <w:sectPr w:rsidR="00A10889" w:rsidSect="00B80437">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B7DC5" w14:textId="77777777" w:rsidR="00B95684" w:rsidRDefault="00B95684" w:rsidP="000F36F2">
      <w:pPr>
        <w:spacing w:after="0" w:line="240" w:lineRule="auto"/>
      </w:pPr>
      <w:r>
        <w:separator/>
      </w:r>
    </w:p>
  </w:endnote>
  <w:endnote w:type="continuationSeparator" w:id="0">
    <w:p w14:paraId="418E52D1" w14:textId="77777777" w:rsidR="00B95684" w:rsidRDefault="00B95684" w:rsidP="000F3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277160"/>
      <w:docPartObj>
        <w:docPartGallery w:val="Page Numbers (Bottom of Page)"/>
        <w:docPartUnique/>
      </w:docPartObj>
    </w:sdtPr>
    <w:sdtEndPr>
      <w:rPr>
        <w:b/>
        <w:bCs/>
        <w:noProof/>
      </w:rPr>
    </w:sdtEndPr>
    <w:sdtContent>
      <w:p w14:paraId="768C86B8" w14:textId="17D432E8" w:rsidR="000B4D1A" w:rsidRPr="000B4D1A" w:rsidRDefault="000B4D1A">
        <w:pPr>
          <w:pStyle w:val="Footer"/>
          <w:jc w:val="right"/>
          <w:rPr>
            <w:b/>
            <w:bCs/>
          </w:rPr>
        </w:pPr>
        <w:proofErr w:type="spellStart"/>
        <w:r w:rsidRPr="000B4D1A">
          <w:rPr>
            <w:b/>
            <w:bCs/>
          </w:rPr>
          <w:t>Nabhan</w:t>
        </w:r>
        <w:proofErr w:type="spellEnd"/>
        <w:r w:rsidRPr="000B4D1A">
          <w:rPr>
            <w:b/>
            <w:bCs/>
          </w:rPr>
          <w:t xml:space="preserve"> </w:t>
        </w:r>
        <w:proofErr w:type="spellStart"/>
        <w:r w:rsidRPr="000B4D1A">
          <w:rPr>
            <w:b/>
            <w:bCs/>
          </w:rPr>
          <w:t>Puzhakkattil</w:t>
        </w:r>
        <w:proofErr w:type="spellEnd"/>
        <w:r w:rsidRPr="000B4D1A">
          <w:rPr>
            <w:b/>
            <w:bCs/>
          </w:rPr>
          <w:t xml:space="preserve"> (2215386)   </w:t>
        </w:r>
        <w:r>
          <w:rPr>
            <w:b/>
            <w:bCs/>
          </w:rPr>
          <w:t xml:space="preserve">     </w:t>
        </w:r>
        <w:r w:rsidRPr="000B4D1A">
          <w:rPr>
            <w:b/>
            <w:bCs/>
          </w:rPr>
          <w:t xml:space="preserve">                                                                                                               </w:t>
        </w:r>
        <w:r w:rsidRPr="000B4D1A">
          <w:rPr>
            <w:b/>
            <w:bCs/>
          </w:rPr>
          <w:fldChar w:fldCharType="begin"/>
        </w:r>
        <w:r w:rsidRPr="000B4D1A">
          <w:rPr>
            <w:b/>
            <w:bCs/>
          </w:rPr>
          <w:instrText xml:space="preserve"> PAGE   \* MERGEFORMAT </w:instrText>
        </w:r>
        <w:r w:rsidRPr="000B4D1A">
          <w:rPr>
            <w:b/>
            <w:bCs/>
          </w:rPr>
          <w:fldChar w:fldCharType="separate"/>
        </w:r>
        <w:r w:rsidRPr="000B4D1A">
          <w:rPr>
            <w:b/>
            <w:bCs/>
            <w:noProof/>
          </w:rPr>
          <w:t>2</w:t>
        </w:r>
        <w:r w:rsidRPr="000B4D1A">
          <w:rPr>
            <w:b/>
            <w:bCs/>
            <w:noProof/>
          </w:rPr>
          <w:fldChar w:fldCharType="end"/>
        </w:r>
      </w:p>
    </w:sdtContent>
  </w:sdt>
  <w:p w14:paraId="47E4DB29" w14:textId="52112385" w:rsidR="000F36F2" w:rsidRPr="000B4D1A" w:rsidRDefault="000F36F2">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B3C28" w14:textId="77777777" w:rsidR="00B95684" w:rsidRDefault="00B95684" w:rsidP="000F36F2">
      <w:pPr>
        <w:spacing w:after="0" w:line="240" w:lineRule="auto"/>
      </w:pPr>
      <w:r>
        <w:separator/>
      </w:r>
    </w:p>
  </w:footnote>
  <w:footnote w:type="continuationSeparator" w:id="0">
    <w:p w14:paraId="526740D1" w14:textId="77777777" w:rsidR="00B95684" w:rsidRDefault="00B95684" w:rsidP="000F36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F36F2"/>
    <w:rsid w:val="000B4D1A"/>
    <w:rsid w:val="000F36F2"/>
    <w:rsid w:val="001E5A4D"/>
    <w:rsid w:val="006F1532"/>
    <w:rsid w:val="00797AF1"/>
    <w:rsid w:val="00A10889"/>
    <w:rsid w:val="00B80437"/>
    <w:rsid w:val="00B95684"/>
    <w:rsid w:val="00CA51BD"/>
    <w:rsid w:val="00E91CEE"/>
    <w:rsid w:val="00EA7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9B4A12"/>
  <w15:chartTrackingRefBased/>
  <w15:docId w15:val="{49E6354B-466D-4D2B-B312-DA68F8991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6F2"/>
    <w:pPr>
      <w:spacing w:after="200" w:line="276" w:lineRule="auto"/>
    </w:pPr>
    <w:rPr>
      <w:lang w:val="en-IN"/>
    </w:rPr>
  </w:style>
  <w:style w:type="paragraph" w:styleId="Heading1">
    <w:name w:val="heading 1"/>
    <w:basedOn w:val="Normal"/>
    <w:next w:val="Normal"/>
    <w:link w:val="Heading1Char"/>
    <w:uiPriority w:val="9"/>
    <w:qFormat/>
    <w:rsid w:val="000F36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6F2"/>
    <w:rPr>
      <w:rFonts w:asciiTheme="majorHAnsi" w:eastAsiaTheme="majorEastAsia" w:hAnsiTheme="majorHAnsi" w:cstheme="majorBidi"/>
      <w:color w:val="2F5496" w:themeColor="accent1" w:themeShade="BF"/>
      <w:sz w:val="32"/>
      <w:szCs w:val="32"/>
      <w:lang w:val="en-IN"/>
    </w:rPr>
  </w:style>
  <w:style w:type="paragraph" w:styleId="Header">
    <w:name w:val="header"/>
    <w:basedOn w:val="Normal"/>
    <w:link w:val="HeaderChar"/>
    <w:uiPriority w:val="99"/>
    <w:unhideWhenUsed/>
    <w:rsid w:val="000F3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6F2"/>
    <w:rPr>
      <w:lang w:val="en-IN"/>
    </w:rPr>
  </w:style>
  <w:style w:type="paragraph" w:styleId="Footer">
    <w:name w:val="footer"/>
    <w:basedOn w:val="Normal"/>
    <w:link w:val="FooterChar"/>
    <w:uiPriority w:val="99"/>
    <w:unhideWhenUsed/>
    <w:rsid w:val="000F3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6F2"/>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2110</Words>
  <Characters>12032</Characters>
  <Application>Microsoft Office Word</Application>
  <DocSecurity>0</DocSecurity>
  <Lines>100</Lines>
  <Paragraphs>28</Paragraphs>
  <ScaleCrop>false</ScaleCrop>
  <Company/>
  <LinksUpToDate>false</LinksUpToDate>
  <CharactersWithSpaces>14114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Suhaib Velliyath (2215786)</dc:creator>
  <cp:keywords/>
  <dc:description/>
  <cp:lastModifiedBy>Suhaib Velliyath (2215786)</cp:lastModifiedBy>
  <cp:revision>4</cp:revision>
  <dcterms:created xsi:type="dcterms:W3CDTF">2023-04-20T20:40:00Z</dcterms:created>
  <dcterms:modified xsi:type="dcterms:W3CDTF">2023-04-21T21:36:00Z</dcterms:modified>
</cp:coreProperties>
</file>