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4196B" w:rsidRDefault="002E5860" w14:paraId="00000001" w14:textId="77777777">
      <w:pPr>
        <w:spacing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rsidR="0074196B" w:rsidRDefault="0074196B" w14:paraId="00000002" w14:textId="77777777">
      <w:pPr>
        <w:spacing w:line="480" w:lineRule="auto"/>
        <w:jc w:val="both"/>
        <w:rPr>
          <w:rFonts w:ascii="Times New Roman" w:hAnsi="Times New Roman" w:eastAsia="Times New Roman" w:cs="Times New Roman"/>
          <w:sz w:val="24"/>
          <w:szCs w:val="24"/>
        </w:rPr>
      </w:pPr>
    </w:p>
    <w:p w:rsidR="0074196B" w:rsidRDefault="0074196B" w14:paraId="00000003" w14:textId="77777777">
      <w:pPr>
        <w:spacing w:line="480" w:lineRule="auto"/>
        <w:jc w:val="both"/>
        <w:rPr>
          <w:rFonts w:ascii="Times New Roman" w:hAnsi="Times New Roman" w:eastAsia="Times New Roman" w:cs="Times New Roman"/>
          <w:sz w:val="24"/>
          <w:szCs w:val="24"/>
        </w:rPr>
      </w:pPr>
    </w:p>
    <w:p w:rsidR="0074196B" w:rsidRDefault="0074196B" w14:paraId="00000004" w14:textId="77777777">
      <w:pPr>
        <w:spacing w:line="480" w:lineRule="auto"/>
        <w:jc w:val="both"/>
        <w:rPr>
          <w:rFonts w:ascii="Times New Roman" w:hAnsi="Times New Roman" w:eastAsia="Times New Roman" w:cs="Times New Roman"/>
          <w:sz w:val="24"/>
          <w:szCs w:val="24"/>
        </w:rPr>
      </w:pPr>
    </w:p>
    <w:p w:rsidR="0074196B" w:rsidRDefault="0074196B" w14:paraId="00000005" w14:textId="77777777">
      <w:pPr>
        <w:spacing w:line="480" w:lineRule="auto"/>
        <w:jc w:val="both"/>
        <w:rPr>
          <w:rFonts w:ascii="Times New Roman" w:hAnsi="Times New Roman" w:eastAsia="Times New Roman" w:cs="Times New Roman"/>
          <w:sz w:val="24"/>
          <w:szCs w:val="24"/>
        </w:rPr>
      </w:pPr>
    </w:p>
    <w:p w:rsidR="0074196B" w:rsidRDefault="0074196B" w14:paraId="00000006" w14:textId="77777777">
      <w:pPr>
        <w:spacing w:line="480" w:lineRule="auto"/>
        <w:jc w:val="both"/>
        <w:rPr>
          <w:rFonts w:ascii="Times New Roman" w:hAnsi="Times New Roman" w:eastAsia="Times New Roman" w:cs="Times New Roman"/>
          <w:sz w:val="24"/>
          <w:szCs w:val="24"/>
        </w:rPr>
      </w:pPr>
    </w:p>
    <w:p w:rsidR="0074196B" w:rsidRDefault="002E5860" w14:paraId="00000007" w14:textId="77777777">
      <w:pPr>
        <w:pStyle w:val="Title"/>
        <w:jc w:val="center"/>
      </w:pPr>
      <w:r>
        <w:t>Importance of Principles of Health and Social Care and Reflection</w:t>
      </w:r>
    </w:p>
    <w:p w:rsidR="0074196B" w:rsidRDefault="0074196B" w14:paraId="00000008" w14:textId="77777777">
      <w:pPr>
        <w:spacing w:line="480" w:lineRule="auto"/>
        <w:jc w:val="both"/>
        <w:rPr>
          <w:rFonts w:ascii="Times New Roman" w:hAnsi="Times New Roman" w:eastAsia="Times New Roman" w:cs="Times New Roman"/>
          <w:sz w:val="24"/>
          <w:szCs w:val="24"/>
        </w:rPr>
      </w:pPr>
    </w:p>
    <w:p w:rsidR="0074196B" w:rsidRDefault="0074196B" w14:paraId="00000009" w14:textId="77777777">
      <w:pPr>
        <w:spacing w:line="480" w:lineRule="auto"/>
        <w:rPr>
          <w:rFonts w:ascii="Times New Roman" w:hAnsi="Times New Roman" w:eastAsia="Times New Roman" w:cs="Times New Roman"/>
          <w:sz w:val="24"/>
          <w:szCs w:val="24"/>
        </w:rPr>
      </w:pPr>
    </w:p>
    <w:p w:rsidR="0074196B" w:rsidRDefault="0074196B" w14:paraId="0000000A" w14:textId="77777777">
      <w:pPr>
        <w:spacing w:line="480" w:lineRule="auto"/>
        <w:rPr>
          <w:rFonts w:ascii="Times New Roman" w:hAnsi="Times New Roman" w:eastAsia="Times New Roman" w:cs="Times New Roman"/>
          <w:sz w:val="24"/>
          <w:szCs w:val="24"/>
        </w:rPr>
      </w:pPr>
    </w:p>
    <w:p w:rsidR="0074196B" w:rsidRDefault="0074196B" w14:paraId="0000000B" w14:textId="77777777">
      <w:pPr>
        <w:spacing w:line="480" w:lineRule="auto"/>
        <w:rPr>
          <w:rFonts w:ascii="Times New Roman" w:hAnsi="Times New Roman" w:eastAsia="Times New Roman" w:cs="Times New Roman"/>
          <w:sz w:val="24"/>
          <w:szCs w:val="24"/>
        </w:rPr>
      </w:pPr>
    </w:p>
    <w:p w:rsidR="0074196B" w:rsidRDefault="0074196B" w14:paraId="0000000C" w14:textId="77777777">
      <w:pPr>
        <w:spacing w:line="480" w:lineRule="auto"/>
        <w:rPr>
          <w:rFonts w:ascii="Times New Roman" w:hAnsi="Times New Roman" w:eastAsia="Times New Roman" w:cs="Times New Roman"/>
          <w:sz w:val="24"/>
          <w:szCs w:val="24"/>
        </w:rPr>
      </w:pPr>
    </w:p>
    <w:p w:rsidR="0074196B" w:rsidRDefault="0074196B" w14:paraId="0000000D" w14:textId="77777777">
      <w:pPr>
        <w:spacing w:line="480" w:lineRule="auto"/>
        <w:rPr>
          <w:rFonts w:ascii="Times New Roman" w:hAnsi="Times New Roman" w:eastAsia="Times New Roman" w:cs="Times New Roman"/>
          <w:sz w:val="24"/>
          <w:szCs w:val="24"/>
        </w:rPr>
      </w:pPr>
    </w:p>
    <w:p w:rsidR="0074196B" w:rsidRDefault="002E5860" w14:paraId="0000000E" w14:textId="4F446B7E">
      <w:pPr>
        <w:spacing w:line="480" w:lineRule="auto"/>
        <w:rPr>
          <w:rFonts w:ascii="Times New Roman" w:hAnsi="Times New Roman" w:eastAsia="Times New Roman" w:cs="Times New Roman"/>
          <w:sz w:val="24"/>
          <w:szCs w:val="24"/>
        </w:rPr>
      </w:pPr>
      <w:r w:rsidRPr="2B8D6299">
        <w:rPr>
          <w:rFonts w:ascii="Times New Roman" w:hAnsi="Times New Roman" w:eastAsia="Times New Roman" w:cs="Times New Roman"/>
          <w:sz w:val="24"/>
          <w:szCs w:val="24"/>
        </w:rPr>
        <w:t>Student Name and Number:</w:t>
      </w:r>
      <w:r w:rsidRPr="2B8D6299" w:rsidR="008A1866">
        <w:rPr>
          <w:rFonts w:ascii="Times New Roman" w:hAnsi="Times New Roman" w:eastAsia="Times New Roman" w:cs="Times New Roman"/>
          <w:sz w:val="24"/>
          <w:szCs w:val="24"/>
        </w:rPr>
        <w:t xml:space="preserve">  Pegah </w:t>
      </w:r>
      <w:r w:rsidRPr="2B8D6299" w:rsidR="1357E1C2">
        <w:rPr>
          <w:rFonts w:ascii="Times New Roman" w:hAnsi="Times New Roman" w:eastAsia="Times New Roman" w:cs="Times New Roman"/>
          <w:sz w:val="24"/>
          <w:szCs w:val="24"/>
        </w:rPr>
        <w:t>Erfani /</w:t>
      </w:r>
      <w:r w:rsidRPr="2B8D6299" w:rsidR="008A1866">
        <w:rPr>
          <w:rFonts w:ascii="Times New Roman" w:hAnsi="Times New Roman" w:eastAsia="Times New Roman" w:cs="Times New Roman"/>
          <w:sz w:val="24"/>
          <w:szCs w:val="24"/>
        </w:rPr>
        <w:t xml:space="preserve">  2426967</w:t>
      </w:r>
    </w:p>
    <w:p w:rsidR="0074196B" w:rsidRDefault="002E5860" w14:paraId="0000000F" w14:textId="77777777">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Module Name &amp; Code: Principles of Health and Social Care Practice</w:t>
      </w:r>
      <w:r>
        <w:t xml:space="preserve"> </w:t>
      </w:r>
      <w:r>
        <w:rPr>
          <w:rFonts w:ascii="Times New Roman" w:hAnsi="Times New Roman" w:eastAsia="Times New Roman" w:cs="Times New Roman"/>
          <w:sz w:val="24"/>
          <w:szCs w:val="24"/>
        </w:rPr>
        <w:t>BMHP5016</w:t>
      </w:r>
    </w:p>
    <w:p w:rsidR="0074196B" w:rsidRDefault="008A1866" w14:paraId="00000010" w14:textId="1CCC3616">
      <w:pPr>
        <w:spacing w:line="480" w:lineRule="auto"/>
        <w:rPr>
          <w:rFonts w:ascii="Times New Roman" w:hAnsi="Times New Roman" w:eastAsia="Times New Roman" w:cs="Times New Roman"/>
          <w:sz w:val="24"/>
          <w:szCs w:val="24"/>
        </w:rPr>
      </w:pPr>
      <w:bookmarkStart w:name="_fz4w9xtrl77r" w:colFirst="0" w:colLast="0" w:id="0"/>
      <w:bookmarkEnd w:id="0"/>
      <w:r>
        <w:rPr>
          <w:rFonts w:ascii="Times New Roman" w:hAnsi="Times New Roman" w:eastAsia="Times New Roman" w:cs="Times New Roman"/>
          <w:sz w:val="24"/>
          <w:szCs w:val="24"/>
        </w:rPr>
        <w:t>Assignment Title: Component 1: Written Assignment (Reflective Report)</w:t>
      </w:r>
    </w:p>
    <w:p w:rsidR="0074196B" w:rsidRDefault="008A1866" w14:paraId="00000011" w14:textId="0D561F43">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Lecturer: </w:t>
      </w:r>
      <w:r w:rsidR="00EB7DEF">
        <w:rPr>
          <w:rFonts w:ascii="Times New Roman" w:hAnsi="Times New Roman" w:eastAsia="Times New Roman" w:cs="Times New Roman"/>
          <w:sz w:val="24"/>
          <w:szCs w:val="24"/>
        </w:rPr>
        <w:t xml:space="preserve"> </w:t>
      </w:r>
      <w:r w:rsidR="007923F5">
        <w:rPr>
          <w:rFonts w:ascii="Times New Roman" w:hAnsi="Times New Roman" w:eastAsia="Times New Roman" w:cs="Times New Roman"/>
          <w:sz w:val="24"/>
          <w:szCs w:val="24"/>
        </w:rPr>
        <w:t>Aishat</w:t>
      </w:r>
      <w:r w:rsidR="00910075">
        <w:rPr>
          <w:rFonts w:ascii="Times New Roman" w:hAnsi="Times New Roman" w:eastAsia="Times New Roman" w:cs="Times New Roman"/>
          <w:sz w:val="24"/>
          <w:szCs w:val="24"/>
        </w:rPr>
        <w:t xml:space="preserve"> Bakre</w:t>
      </w:r>
    </w:p>
    <w:p w:rsidR="0074196B" w:rsidRDefault="0074196B" w14:paraId="00000012" w14:textId="77777777">
      <w:pPr>
        <w:spacing w:line="480" w:lineRule="auto"/>
        <w:rPr>
          <w:rFonts w:ascii="Times New Roman" w:hAnsi="Times New Roman" w:eastAsia="Times New Roman" w:cs="Times New Roman"/>
          <w:sz w:val="24"/>
          <w:szCs w:val="24"/>
        </w:rPr>
      </w:pPr>
    </w:p>
    <w:p w:rsidR="0074196B" w:rsidRDefault="002E5860" w14:paraId="00000013" w14:textId="77777777">
      <w:pPr>
        <w:rPr>
          <w:rFonts w:ascii="Times New Roman" w:hAnsi="Times New Roman" w:eastAsia="Times New Roman" w:cs="Times New Roman"/>
          <w:sz w:val="24"/>
          <w:szCs w:val="24"/>
        </w:rPr>
      </w:pPr>
      <w:r>
        <w:br w:type="page"/>
      </w:r>
    </w:p>
    <w:p w:rsidR="0074196B" w:rsidRDefault="002E5860" w14:paraId="00000014" w14:textId="77777777">
      <w:pPr>
        <w:keepNext/>
        <w:keepLines/>
        <w:pBdr>
          <w:top w:val="nil"/>
          <w:left w:val="nil"/>
          <w:bottom w:val="nil"/>
          <w:right w:val="nil"/>
          <w:between w:val="nil"/>
        </w:pBdr>
        <w:spacing w:before="240" w:after="0"/>
        <w:rPr>
          <w:color w:val="2E75B5"/>
          <w:sz w:val="32"/>
          <w:szCs w:val="32"/>
        </w:rPr>
      </w:pPr>
      <w:r w:rsidRPr="2EF4FC4D" w:rsidR="002E5860">
        <w:rPr>
          <w:color w:val="2E75B5"/>
          <w:sz w:val="32"/>
          <w:szCs w:val="32"/>
        </w:rPr>
        <w:t>Table of Contents</w:t>
      </w:r>
    </w:p>
    <w:p w:rsidR="0074196B" w:rsidRDefault="0074196B" w14:paraId="0000001F" w14:textId="77777777">
      <w:pPr>
        <w:spacing w:line="480" w:lineRule="auto"/>
        <w:rPr>
          <w:rFonts w:ascii="Times New Roman" w:hAnsi="Times New Roman" w:eastAsia="Times New Roman" w:cs="Times New Roman"/>
          <w:sz w:val="24"/>
          <w:szCs w:val="24"/>
        </w:rPr>
      </w:pPr>
    </w:p>
    <w:p w:rsidR="0074196B" w:rsidRDefault="002E5860" w14:paraId="00000020" w14:textId="77777777">
      <w:pPr>
        <w:rPr>
          <w:rFonts w:ascii="Times New Roman" w:hAnsi="Times New Roman" w:eastAsia="Times New Roman" w:cs="Times New Roman"/>
          <w:sz w:val="24"/>
          <w:szCs w:val="24"/>
        </w:rPr>
      </w:pPr>
      <w:r>
        <w:br w:type="page"/>
      </w:r>
    </w:p>
    <w:p w:rsidR="0074196B" w:rsidRDefault="002E5860" w14:paraId="00000021" w14:textId="77777777">
      <w:pPr>
        <w:pStyle w:val="Heading1"/>
      </w:pPr>
      <w:r w:rsidR="002E5860">
        <w:rPr/>
        <w:t>Introduction</w:t>
      </w:r>
    </w:p>
    <w:p w:rsidR="0074196B" w:rsidRDefault="002E5860" w14:paraId="00000022" w14:textId="29982DA8">
      <w:pPr>
        <w:spacing w:line="360" w:lineRule="auto"/>
        <w:jc w:val="both"/>
        <w:rPr>
          <w:rFonts w:ascii="Arial" w:hAnsi="Arial" w:eastAsia="Arial" w:cs="Arial"/>
        </w:rPr>
      </w:pPr>
      <w:r w:rsidRPr="2B8D6299">
        <w:rPr>
          <w:rFonts w:ascii="Arial" w:hAnsi="Arial" w:eastAsia="Arial" w:cs="Arial"/>
        </w:rPr>
        <w:t xml:space="preserve">Health and social care </w:t>
      </w:r>
      <w:bookmarkStart w:name="_Int_exg7SsIK" w:id="2"/>
      <w:r w:rsidRPr="2B8D6299">
        <w:rPr>
          <w:rFonts w:ascii="Arial" w:hAnsi="Arial" w:eastAsia="Arial" w:cs="Arial"/>
        </w:rPr>
        <w:t>i</w:t>
      </w:r>
      <w:r w:rsidRPr="2B8D6299" w:rsidR="34D7B5F5">
        <w:rPr>
          <w:rFonts w:ascii="Arial" w:hAnsi="Arial" w:eastAsia="Arial" w:cs="Arial"/>
        </w:rPr>
        <w:t>s</w:t>
      </w:r>
      <w:bookmarkEnd w:id="2"/>
      <w:r w:rsidRPr="2B8D6299">
        <w:rPr>
          <w:rFonts w:ascii="Arial" w:hAnsi="Arial" w:eastAsia="Arial" w:cs="Arial"/>
        </w:rPr>
        <w:t xml:space="preserve"> an integrated system of values that ensure delivery of high-quality, ethical and safe services to support emotional, physical and well-being of individuals. It prioritises principles such as person-centred care, partnership working, diversity, confidentiality, effective communication, ethics and equality that shape policy development and professional standards to meet the needs of users. </w:t>
      </w:r>
    </w:p>
    <w:p w:rsidR="0074196B" w:rsidRDefault="002E5860" w14:paraId="00000023" w14:textId="77777777">
      <w:pPr>
        <w:spacing w:line="360" w:lineRule="auto"/>
        <w:jc w:val="both"/>
        <w:rPr>
          <w:rFonts w:ascii="Arial" w:hAnsi="Arial" w:eastAsia="Arial" w:cs="Arial"/>
        </w:rPr>
      </w:pPr>
      <w:r>
        <w:rPr>
          <w:rFonts w:ascii="Arial" w:hAnsi="Arial" w:eastAsia="Arial" w:cs="Arial"/>
        </w:rPr>
        <w:t xml:space="preserve">Person-centred care represents a core shift in healthcare and social services as an approach that identifies, integrates and respects individual needs, preferences and values rather than making it ‘one-size-fits-all’ approach (Coulter and Oldham, 2016). Hence, this approach makes individuals active partners in their health and well-being, thus promoting a collaborative relationship with care providers which is expressed as partnership working. Integration of ethical principles further ensure fairness, accountability and respect for individual rights and guide practitioners and care providers in ensuring informed consent, offering equitable care, prioritizing patient’s well-being and maintaining trust while managing complex decisions (Varkey, 2021). </w:t>
      </w:r>
    </w:p>
    <w:p w:rsidR="0074196B" w:rsidRDefault="002E5860" w14:paraId="00000024" w14:textId="7756A5BF">
      <w:pPr>
        <w:spacing w:line="360" w:lineRule="auto"/>
        <w:jc w:val="both"/>
        <w:rPr>
          <w:rFonts w:ascii="Arial" w:hAnsi="Arial" w:eastAsia="Arial" w:cs="Arial"/>
        </w:rPr>
      </w:pPr>
      <w:r>
        <w:rPr>
          <w:rFonts w:ascii="Arial" w:hAnsi="Arial" w:eastAsia="Arial" w:cs="Arial"/>
        </w:rPr>
        <w:t xml:space="preserve">This report critically examines the significance of three key principles, namely, person-centred care, partnership working and ethics, within the UK practice. These principles are further </w:t>
      </w:r>
      <w:r w:rsidR="0056324D">
        <w:rPr>
          <w:rFonts w:ascii="Arial" w:hAnsi="Arial" w:eastAsia="Arial" w:cs="Arial"/>
        </w:rPr>
        <w:t>evaluating</w:t>
      </w:r>
      <w:r>
        <w:rPr>
          <w:rFonts w:ascii="Arial" w:hAnsi="Arial" w:eastAsia="Arial" w:cs="Arial"/>
        </w:rPr>
        <w:t xml:space="preserve"> with real-world example of integrated hospital discharge planning along with a reflection on the implications of these principles in my future professional development within health and social care. </w:t>
      </w:r>
    </w:p>
    <w:p w:rsidR="0074196B" w:rsidRDefault="002E5860" w14:paraId="00000025" w14:textId="77777777">
      <w:pPr>
        <w:pStyle w:val="Heading1"/>
      </w:pPr>
      <w:r w:rsidR="002E5860">
        <w:rPr/>
        <w:t>Task-1: Importance of Principles</w:t>
      </w:r>
    </w:p>
    <w:p w:rsidR="0074196B" w:rsidRDefault="002E5860" w14:paraId="00000026" w14:textId="77777777">
      <w:pPr>
        <w:pStyle w:val="Heading2"/>
      </w:pPr>
      <w:r w:rsidR="002E5860">
        <w:rPr/>
        <w:t>Person-centred Care</w:t>
      </w:r>
    </w:p>
    <w:p w:rsidR="0074196B" w:rsidRDefault="002E5860" w14:paraId="00000027" w14:textId="77777777">
      <w:pPr>
        <w:spacing w:line="360" w:lineRule="auto"/>
        <w:jc w:val="both"/>
        <w:rPr>
          <w:rFonts w:ascii="Arial" w:hAnsi="Arial" w:eastAsia="Arial" w:cs="Arial"/>
        </w:rPr>
      </w:pPr>
      <w:r>
        <w:rPr>
          <w:rFonts w:ascii="Arial" w:hAnsi="Arial" w:eastAsia="Arial" w:cs="Arial"/>
        </w:rPr>
        <w:t>Person-centred care is explained as an approach which focuses on shaping care planning and delivery around preferences, values, needs and capabilities of individuals. In the words of Coulter and Oldham (2016), effective person-centred care practice emphasizes personalised care planning, shared decision-making, and support for self-management. Research by</w:t>
      </w:r>
      <w:r>
        <w:rPr>
          <w:rFonts w:ascii="Arial" w:hAnsi="Arial" w:eastAsia="Arial" w:cs="Arial"/>
          <w:b/>
          <w:bCs/>
        </w:rPr>
        <w:t xml:space="preserve"> </w:t>
      </w:r>
      <w:r>
        <w:rPr>
          <w:rFonts w:ascii="Arial" w:hAnsi="Arial" w:eastAsia="Arial" w:cs="Arial"/>
        </w:rPr>
        <w:t xml:space="preserve">Marzban </w:t>
      </w:r>
      <w:r>
        <w:rPr>
          <w:rFonts w:ascii="Arial" w:hAnsi="Arial" w:eastAsia="Arial" w:cs="Arial"/>
          <w:i/>
          <w:iCs/>
        </w:rPr>
        <w:t>et al.</w:t>
      </w:r>
      <w:r>
        <w:rPr>
          <w:rFonts w:ascii="Arial" w:hAnsi="Arial" w:eastAsia="Arial" w:cs="Arial"/>
        </w:rPr>
        <w:t xml:space="preserve"> (2022)</w:t>
      </w:r>
      <w:r>
        <w:rPr>
          <w:rFonts w:ascii="Arial" w:hAnsi="Arial" w:eastAsia="Arial" w:cs="Arial"/>
          <w:b/>
          <w:bCs/>
        </w:rPr>
        <w:t xml:space="preserve"> </w:t>
      </w:r>
      <w:r>
        <w:rPr>
          <w:rFonts w:ascii="Arial" w:hAnsi="Arial" w:eastAsia="Arial" w:cs="Arial"/>
        </w:rPr>
        <w:t xml:space="preserve">indicates that active involvement of patients in their care results in better adherence to treatment, improved satisfaction and likely reduced hospital admissions. </w:t>
      </w:r>
    </w:p>
    <w:p w:rsidR="0074196B" w:rsidRDefault="002E5860" w14:paraId="00000028" w14:textId="77777777">
      <w:pPr>
        <w:spacing w:line="360" w:lineRule="auto"/>
        <w:jc w:val="both"/>
        <w:rPr>
          <w:rFonts w:ascii="Arial" w:hAnsi="Arial" w:eastAsia="Arial" w:cs="Arial"/>
        </w:rPr>
      </w:pPr>
      <w:r>
        <w:rPr>
          <w:rFonts w:ascii="Arial" w:hAnsi="Arial" w:eastAsia="Arial" w:cs="Arial"/>
        </w:rPr>
        <w:t>This principle is in line with Maslow’s Hierarchy of Needs, specifically in terms of psychological and esteem level, since autonomy and recognition play a critical role in well-being (Maslow, 1943). In addition to this, the Bronfenbrenner’s ecological systems theory stresses on the relevance of community, family and wider socio-political factors in impacting health outcomes apart from individual factors (Bronfenbrenner, 1979; Rahman, 2025). Hence, both individual and contextual impacts should be addressed by person-centred care.</w:t>
      </w:r>
    </w:p>
    <w:p w:rsidR="0074196B" w:rsidRDefault="002E5860" w14:paraId="00000029" w14:textId="77777777">
      <w:pPr>
        <w:spacing w:line="360" w:lineRule="auto"/>
        <w:jc w:val="both"/>
        <w:rPr>
          <w:rFonts w:ascii="Arial" w:hAnsi="Arial" w:eastAsia="Arial" w:cs="Arial"/>
        </w:rPr>
      </w:pPr>
      <w:r>
        <w:rPr>
          <w:rFonts w:ascii="Arial" w:hAnsi="Arial" w:eastAsia="Arial" w:cs="Arial"/>
        </w:rPr>
        <w:lastRenderedPageBreak/>
        <w:t xml:space="preserve">However, according to The Health Foundation (2016), the implementation of these principles is not consistent despite policy commitment. Time constraints, organisational pressures and shortage of workforce tend to restrict its effective implementation. Hence, a gap exists between operational reality and policy aspiration which demands a structural reform along with professional commitment. </w:t>
      </w:r>
    </w:p>
    <w:p w:rsidR="0074196B" w:rsidRDefault="002E5860" w14:paraId="0000002A" w14:textId="77777777">
      <w:pPr>
        <w:pStyle w:val="Heading2"/>
      </w:pPr>
      <w:r w:rsidR="002E5860">
        <w:rPr/>
        <w:t>Partnership Working</w:t>
      </w:r>
    </w:p>
    <w:p w:rsidR="0074196B" w:rsidRDefault="002E5860" w14:paraId="0000002B" w14:textId="77777777">
      <w:pPr>
        <w:spacing w:line="360" w:lineRule="auto"/>
        <w:jc w:val="both"/>
        <w:rPr>
          <w:rFonts w:ascii="Arial" w:hAnsi="Arial" w:eastAsia="Arial" w:cs="Arial"/>
        </w:rPr>
      </w:pPr>
      <w:r>
        <w:rPr>
          <w:rFonts w:ascii="Arial" w:hAnsi="Arial" w:eastAsia="Arial" w:cs="Arial"/>
        </w:rPr>
        <w:t>The term partnership working includes collaboration between health and social care with voluntary sector organizations to provide coordinated care to patients. Integrated Care System (ICS), which is formalised under the Health and Care Act 2022, promotes resource allocation and shared planning to reduce fragmentation (legislation.gov.uk, 2022).</w:t>
      </w:r>
    </w:p>
    <w:p w:rsidR="0074196B" w:rsidRDefault="002E5860" w14:paraId="0000002C" w14:textId="6A775C8B">
      <w:pPr>
        <w:spacing w:line="360" w:lineRule="auto"/>
        <w:jc w:val="both"/>
        <w:rPr>
          <w:rFonts w:ascii="Arial" w:hAnsi="Arial" w:eastAsia="Arial" w:cs="Arial"/>
        </w:rPr>
      </w:pPr>
      <w:r>
        <w:rPr>
          <w:rFonts w:ascii="Arial" w:hAnsi="Arial" w:eastAsia="Arial" w:cs="Arial"/>
        </w:rPr>
        <w:t xml:space="preserve">As per the King’s Fund report by Goodwin, </w:t>
      </w:r>
      <w:r>
        <w:rPr>
          <w:rFonts w:ascii="Arial" w:hAnsi="Arial" w:eastAsia="Arial" w:cs="Arial"/>
          <w:i/>
          <w:iCs/>
        </w:rPr>
        <w:t>et al.</w:t>
      </w:r>
      <w:r>
        <w:rPr>
          <w:rFonts w:ascii="Arial" w:hAnsi="Arial" w:eastAsia="Arial" w:cs="Arial"/>
        </w:rPr>
        <w:t xml:space="preserve"> (2012), integrated care aims to improve continuity, especially for patients dealing with long-term conditions. The report also </w:t>
      </w:r>
      <w:r w:rsidR="008543BA">
        <w:rPr>
          <w:rFonts w:ascii="Arial" w:hAnsi="Arial" w:eastAsia="Arial" w:cs="Arial"/>
        </w:rPr>
        <w:t>stresses</w:t>
      </w:r>
      <w:r>
        <w:rPr>
          <w:rFonts w:ascii="Arial" w:hAnsi="Arial" w:eastAsia="Arial" w:cs="Arial"/>
        </w:rPr>
        <w:t xml:space="preserve"> the importance of coordinated systems in terms of addressing multimorbidity and ageing populations. However, Leutz (1999) cites partnership working as a complex principle. The author argue that integrated care demands cultural alignment, trust and shared governance and in the absence of clear accountability, partnership arrangements may present as bureaucratic instead of becoming transformative. So, it needs strong integration of shared information systems, strong leadership and interprofessional communication to remain effective while improving holistic care. </w:t>
      </w:r>
    </w:p>
    <w:p w:rsidR="0074196B" w:rsidRDefault="002E5860" w14:paraId="0000002D" w14:textId="77777777">
      <w:pPr>
        <w:pStyle w:val="Heading2"/>
      </w:pPr>
      <w:r w:rsidR="002E5860">
        <w:rPr/>
        <w:t>Ethics in Practice</w:t>
      </w:r>
    </w:p>
    <w:p w:rsidR="0074196B" w:rsidRDefault="002E5860" w14:paraId="0000002E" w14:textId="77777777">
      <w:pPr>
        <w:spacing w:line="360" w:lineRule="auto"/>
        <w:jc w:val="both"/>
        <w:rPr>
          <w:rFonts w:ascii="Arial" w:hAnsi="Arial" w:eastAsia="Arial" w:cs="Arial"/>
        </w:rPr>
      </w:pPr>
      <w:r>
        <w:rPr>
          <w:rFonts w:ascii="Arial" w:hAnsi="Arial" w:eastAsia="Arial" w:cs="Arial"/>
        </w:rPr>
        <w:t>Inclusion of ethical considerations ensure delivery of justified and safe healthcare services. The professional conduct is mainly guided by four key principles which includes beneficence, justice, autonomy and non-maleficence. According to the Mental Capacity Act 2005, in cases when an individual’s capacity is impaired, the principle of autonomy is reinforced to ensure that decisions are made in individual’s best interests (legislation.gov.uk, 2005).</w:t>
      </w:r>
    </w:p>
    <w:p w:rsidR="0074196B" w:rsidRDefault="002E5860" w14:paraId="0000002F" w14:textId="139FC9C5">
      <w:pPr>
        <w:spacing w:line="360" w:lineRule="auto"/>
        <w:jc w:val="both"/>
        <w:rPr>
          <w:rFonts w:ascii="Arial" w:hAnsi="Arial" w:eastAsia="Arial" w:cs="Arial"/>
        </w:rPr>
      </w:pPr>
      <w:r>
        <w:rPr>
          <w:rFonts w:ascii="Arial" w:hAnsi="Arial" w:eastAsia="Arial" w:cs="Arial"/>
        </w:rPr>
        <w:t xml:space="preserve">However, ethical dilemmas tend to occur while managing safety with independence. For instance, respecting a patient’s willingness to go home although collaborative discussion and careful risk assessment is required for the associated risks. So, it can be said that ethical practice is not confined only to adherence of rigid </w:t>
      </w:r>
      <w:r w:rsidR="00C56D82">
        <w:rPr>
          <w:rFonts w:ascii="Arial" w:hAnsi="Arial" w:eastAsia="Arial" w:cs="Arial"/>
        </w:rPr>
        <w:t>protocols,</w:t>
      </w:r>
      <w:r>
        <w:rPr>
          <w:rFonts w:ascii="Arial" w:hAnsi="Arial" w:eastAsia="Arial" w:cs="Arial"/>
        </w:rPr>
        <w:t xml:space="preserve"> but it also demands reflective reasoning. </w:t>
      </w:r>
    </w:p>
    <w:p w:rsidR="0074196B" w:rsidRDefault="002E5860" w14:paraId="00000030" w14:textId="77777777">
      <w:pPr>
        <w:pStyle w:val="Heading1"/>
      </w:pPr>
      <w:r w:rsidR="002E5860">
        <w:rPr/>
        <w:t>Task 2: Practical Example in UK Practice</w:t>
      </w:r>
    </w:p>
    <w:p w:rsidR="0074196B" w:rsidRDefault="002E5860" w14:paraId="00000031" w14:textId="77777777">
      <w:pPr>
        <w:spacing w:line="360" w:lineRule="auto"/>
        <w:jc w:val="both"/>
        <w:rPr>
          <w:rFonts w:ascii="Arial" w:hAnsi="Arial" w:eastAsia="Arial" w:cs="Arial"/>
        </w:rPr>
      </w:pPr>
      <w:r>
        <w:rPr>
          <w:rFonts w:ascii="Arial" w:hAnsi="Arial" w:eastAsia="Arial" w:cs="Arial"/>
        </w:rPr>
        <w:t xml:space="preserve">The effective integration of these three principles, person-centred care, partnership working and ethical practice can be shown through a practical example of structured hospital discharge planning within an Integrated Care System (ICS) in England. According to National Institute </w:t>
      </w:r>
      <w:r>
        <w:rPr>
          <w:rFonts w:ascii="Arial" w:hAnsi="Arial" w:eastAsia="Arial" w:cs="Arial"/>
        </w:rPr>
        <w:lastRenderedPageBreak/>
        <w:t xml:space="preserve">for Health and Care Excellence (NICE NG27, 2015; NICE CG138, 2021), discharge planning is a critical stage of healthcare to safeguard patient well-being while ensuring continuity of care. It is essential for ensuring safe transitions of patients from hospital to community settings. Shepperd </w:t>
      </w:r>
      <w:r>
        <w:rPr>
          <w:rFonts w:ascii="Arial" w:hAnsi="Arial" w:eastAsia="Arial" w:cs="Arial"/>
          <w:i/>
          <w:iCs/>
        </w:rPr>
        <w:t>et al.</w:t>
      </w:r>
      <w:r>
        <w:rPr>
          <w:rFonts w:ascii="Arial" w:hAnsi="Arial" w:eastAsia="Arial" w:cs="Arial"/>
        </w:rPr>
        <w:t xml:space="preserve"> (2013) mention that structured discharge planning is related with lower rates of readmissions and reduced length of stay at hospitals, depicting measurable outcomes of coordinated care. </w:t>
      </w:r>
    </w:p>
    <w:p w:rsidR="0074196B" w:rsidRDefault="002E5860" w14:paraId="00000032" w14:textId="77777777">
      <w:pPr>
        <w:spacing w:line="360" w:lineRule="auto"/>
        <w:jc w:val="both"/>
        <w:rPr>
          <w:rFonts w:ascii="Arial" w:hAnsi="Arial" w:eastAsia="Arial" w:cs="Arial"/>
        </w:rPr>
      </w:pPr>
      <w:r>
        <w:rPr>
          <w:rFonts w:ascii="Arial" w:hAnsi="Arial" w:eastAsia="Arial" w:cs="Arial"/>
        </w:rPr>
        <w:t xml:space="preserve">Considering this example, discharge planning started at admission for an older adult having long-term conditions who wished to return home. Hence, joint assessments of medication management, mobility and home safety were performed by the multidisciplinary team (MDT), comprising of doctors, hospital clinicians, occupational therapist, a social worker and community nursing staff. Person-centred care was exercised through shared decision-making discussions with the patient where his preference for home-based recovery and independence was prioritised and respected. As argued by Coulter and Oldham (2016), person-centred care works effectively through active partnership and not from passive information sharing. By including the stated preferences of the individual into the discharge plan, the team ensured that care was planned according to what the patient valued. This reflects the principle of person-centred care which prefer support and coordinated care for self-management instead of any professionally imposed decisions. </w:t>
      </w:r>
    </w:p>
    <w:p w:rsidR="0074196B" w:rsidRDefault="002E5860" w14:paraId="00000033" w14:textId="73042593">
      <w:pPr>
        <w:spacing w:line="360" w:lineRule="auto"/>
        <w:jc w:val="both"/>
        <w:rPr>
          <w:rFonts w:ascii="Arial" w:hAnsi="Arial" w:eastAsia="Arial" w:cs="Arial"/>
        </w:rPr>
      </w:pPr>
      <w:r>
        <w:rPr>
          <w:rFonts w:ascii="Arial" w:hAnsi="Arial" w:eastAsia="Arial" w:cs="Arial"/>
        </w:rPr>
        <w:t xml:space="preserve">Partnership working was implemented through the ICS structure formalised under the Health and Care Act 2022, which fosters collaboration between local authorities and NHS organisations (legislation.gov.uk, 2022). In the above scenario of discharge, this structural framework helped to ensure that community-based professionals and hospital clinicians were jointly able to plan for safe return of the patient to his home. According to Goodwin et al. (2012), integrated care approaches improve continuity of care for individuals having complex needs, but, on the other hand, Leutz (1999) argues that effective integration is not only based on structural </w:t>
      </w:r>
      <w:r w:rsidR="00EA5E7C">
        <w:rPr>
          <w:rFonts w:ascii="Arial" w:hAnsi="Arial" w:eastAsia="Arial" w:cs="Arial"/>
        </w:rPr>
        <w:t>change,</w:t>
      </w:r>
      <w:r>
        <w:rPr>
          <w:rFonts w:ascii="Arial" w:hAnsi="Arial" w:eastAsia="Arial" w:cs="Arial"/>
        </w:rPr>
        <w:t xml:space="preserve"> but it requires shared accountability and trust. This was evident in this example, where shared electronic records and early meetings by MDT members ensured coordinated planning and reduced duplication. Moreover, the local authority performed a statutory needs assessment under the Care Act 2014 to determine eligibility for domiciliary care (legislation.gov.uk, 2014). This ensured that provision for social care formed a legally grounded and formal component of the discharge plan. Therefore, the collaboration between health and social care professionals was legally supported, making it formally recognised, accountable and structured embedded within UK policy.</w:t>
      </w:r>
    </w:p>
    <w:p w:rsidR="0074196B" w:rsidRDefault="002E5860" w14:paraId="00000034" w14:textId="77777777">
      <w:pPr>
        <w:spacing w:line="360" w:lineRule="auto"/>
        <w:jc w:val="both"/>
        <w:rPr>
          <w:rFonts w:ascii="Arial" w:hAnsi="Arial" w:eastAsia="Arial" w:cs="Arial"/>
        </w:rPr>
      </w:pPr>
      <w:r>
        <w:rPr>
          <w:rFonts w:ascii="Arial" w:hAnsi="Arial" w:eastAsia="Arial" w:cs="Arial"/>
        </w:rPr>
        <w:t xml:space="preserve">Furthermore, ethical considerations were key focus throughout the discharge process. Respect for autonomy meant that the patient’s willingness to return home was seriously </w:t>
      </w:r>
      <w:r>
        <w:rPr>
          <w:rFonts w:ascii="Arial" w:hAnsi="Arial" w:eastAsia="Arial" w:cs="Arial"/>
        </w:rPr>
        <w:lastRenderedPageBreak/>
        <w:t>considered by the healthcare professionals while safeguarding obligations demanded proportionate risk assessment. The Mental Capacity Act 2005 offered a legal framework for evaluation in situations where concerns regarding decision-making capacity arose (legislation.gov.uk, 2005). Hence, ethical practices in this example included negotiating independence and risk through reflective judgement instead of any imposed adherence to strict protocols (The Health Policy Partnership, 2015).</w:t>
      </w:r>
    </w:p>
    <w:p w:rsidR="0074196B" w:rsidRDefault="002E5860" w14:paraId="00000035" w14:textId="77777777">
      <w:pPr>
        <w:spacing w:line="360" w:lineRule="auto"/>
        <w:jc w:val="both"/>
        <w:rPr>
          <w:rFonts w:ascii="Arial" w:hAnsi="Arial" w:eastAsia="Arial" w:cs="Arial"/>
        </w:rPr>
      </w:pPr>
      <w:r>
        <w:rPr>
          <w:rFonts w:ascii="Arial" w:hAnsi="Arial" w:eastAsia="Arial" w:cs="Arial"/>
        </w:rPr>
        <w:t xml:space="preserve">The impact of integrating these principles was evident in this case. For professionals, structured planning clarified accountability and reduced duplication while for the individual (older adult), coordinated planning promoted confidence and reduced anxiety for returning home. However, variable community resources and workforce shortages tend to act as systemic barriers. As put forward by system-level analyses, funding constraints, workforce shortages and fragmented accountability can make a well-designed and structured integrated care frameworks less effective (Goodwin, </w:t>
      </w:r>
      <w:r>
        <w:rPr>
          <w:rFonts w:ascii="Arial" w:hAnsi="Arial" w:eastAsia="Arial" w:cs="Arial"/>
          <w:i/>
          <w:iCs/>
        </w:rPr>
        <w:t>et al.</w:t>
      </w:r>
      <w:r>
        <w:rPr>
          <w:rFonts w:ascii="Arial" w:hAnsi="Arial" w:eastAsia="Arial" w:cs="Arial"/>
        </w:rPr>
        <w:t xml:space="preserve">, 2012). In this case, adherence to national guidance and proactive coordination within the ICS framework helped in managing these challenges.  </w:t>
      </w:r>
    </w:p>
    <w:p w:rsidR="0074196B" w:rsidRDefault="002E5860" w14:paraId="00000036" w14:textId="77777777">
      <w:pPr>
        <w:spacing w:line="360" w:lineRule="auto"/>
        <w:jc w:val="both"/>
        <w:rPr>
          <w:rFonts w:ascii="Arial" w:hAnsi="Arial" w:eastAsia="Arial" w:cs="Arial"/>
        </w:rPr>
      </w:pPr>
      <w:r>
        <w:rPr>
          <w:rFonts w:ascii="Arial" w:hAnsi="Arial" w:eastAsia="Arial" w:cs="Arial"/>
        </w:rPr>
        <w:t>Hence, this example highlights that person-centred care, partnership working and ethical practice are interdependent principles. They together improve professional effectiveness and patient outcomes when supported by organisational capacity and implemented collaboratively.</w:t>
      </w:r>
    </w:p>
    <w:p w:rsidR="0074196B" w:rsidRDefault="002E5860" w14:paraId="00000037" w14:textId="77777777">
      <w:pPr>
        <w:pStyle w:val="Heading1"/>
      </w:pPr>
      <w:r w:rsidR="002E5860">
        <w:rPr/>
        <w:t>Task-3: Self-Reflection as a Health and Social Care Professional</w:t>
      </w:r>
    </w:p>
    <w:p w:rsidR="0074196B" w:rsidRDefault="002E5860" w14:paraId="00000038" w14:textId="4238685D">
      <w:pPr>
        <w:spacing w:line="360" w:lineRule="auto"/>
        <w:jc w:val="both"/>
        <w:rPr>
          <w:rFonts w:ascii="Arial" w:hAnsi="Arial" w:eastAsia="Arial" w:cs="Arial"/>
        </w:rPr>
      </w:pPr>
      <w:r>
        <w:rPr>
          <w:rFonts w:ascii="Arial" w:hAnsi="Arial" w:eastAsia="Arial" w:cs="Arial"/>
        </w:rPr>
        <w:t xml:space="preserve">Using Gibbs’ Reflective Cycle (1998), this reflection evaluates my experience as a health and Social Care professional observing </w:t>
      </w:r>
      <w:r w:rsidR="00EA5E7C">
        <w:rPr>
          <w:rFonts w:ascii="Arial" w:hAnsi="Arial" w:eastAsia="Arial" w:cs="Arial"/>
        </w:rPr>
        <w:t>an</w:t>
      </w:r>
      <w:r>
        <w:rPr>
          <w:rFonts w:ascii="Arial" w:hAnsi="Arial" w:eastAsia="Arial" w:cs="Arial"/>
        </w:rPr>
        <w:t xml:space="preserve"> MDT meeting for discharge planning to understand how principles of person-centred care, partnership working and ethical practice were implemented (Praveena </w:t>
      </w:r>
      <w:r>
        <w:rPr>
          <w:rFonts w:ascii="Arial" w:hAnsi="Arial" w:eastAsia="Arial" w:cs="Arial"/>
          <w:i/>
          <w:iCs/>
        </w:rPr>
        <w:t>et al.</w:t>
      </w:r>
      <w:r>
        <w:rPr>
          <w:rFonts w:ascii="Arial" w:hAnsi="Arial" w:eastAsia="Arial" w:cs="Arial"/>
        </w:rPr>
        <w:t>, 2025). This reflection also helps in identifying my strengths and improvement areas for growth in the field of health and social care professional in future.</w:t>
      </w:r>
    </w:p>
    <w:p w:rsidR="0074196B" w:rsidRDefault="002E5860" w14:paraId="00000039" w14:textId="77777777">
      <w:pPr>
        <w:spacing w:line="360" w:lineRule="auto"/>
        <w:jc w:val="both"/>
        <w:rPr>
          <w:rFonts w:ascii="Arial" w:hAnsi="Arial" w:eastAsia="Arial" w:cs="Arial"/>
          <w:b/>
          <w:bCs/>
        </w:rPr>
      </w:pPr>
      <w:r>
        <w:rPr>
          <w:rFonts w:ascii="Arial" w:hAnsi="Arial" w:eastAsia="Arial" w:cs="Arial"/>
          <w:b/>
          <w:bCs/>
        </w:rPr>
        <w:t>Description</w:t>
      </w:r>
    </w:p>
    <w:p w:rsidR="0074196B" w:rsidRDefault="002E5860" w14:paraId="0000003A" w14:textId="5F893823">
      <w:pPr>
        <w:spacing w:line="360" w:lineRule="auto"/>
        <w:jc w:val="both"/>
        <w:rPr>
          <w:rFonts w:ascii="Arial" w:hAnsi="Arial" w:eastAsia="Arial" w:cs="Arial"/>
        </w:rPr>
      </w:pPr>
      <w:r>
        <w:rPr>
          <w:rFonts w:ascii="Arial" w:hAnsi="Arial" w:eastAsia="Arial" w:cs="Arial"/>
        </w:rPr>
        <w:t xml:space="preserve">I attended a multidisciplinary discharge planning meeting during my observational placement within a community health setting. This meeting included a nurse, social worker and occupational therapist (Gibbs, 1998). The discussion was completely </w:t>
      </w:r>
      <w:r w:rsidR="00EA5E7C">
        <w:rPr>
          <w:rFonts w:ascii="Arial" w:hAnsi="Arial" w:eastAsia="Arial" w:cs="Arial"/>
        </w:rPr>
        <w:t>professional,</w:t>
      </w:r>
      <w:r>
        <w:rPr>
          <w:rFonts w:ascii="Arial" w:hAnsi="Arial" w:eastAsia="Arial" w:cs="Arial"/>
        </w:rPr>
        <w:t xml:space="preserve"> and the older adult was not directly present in the meeting. It was focused on supporting an older adult patient having long-term conditions who was willing to return home following hospitalisation. The team examined medical management, safeguarding considerations, mobility assessments, and community support options following the Care Act 2014 framework (legislation.gov.uk, 2014). </w:t>
      </w:r>
    </w:p>
    <w:p w:rsidR="0074196B" w:rsidRDefault="002E5860" w14:paraId="0000003B" w14:textId="77777777">
      <w:pPr>
        <w:spacing w:line="360" w:lineRule="auto"/>
        <w:jc w:val="both"/>
        <w:rPr>
          <w:rFonts w:ascii="Arial" w:hAnsi="Arial" w:eastAsia="Arial" w:cs="Arial"/>
          <w:b/>
          <w:bCs/>
        </w:rPr>
      </w:pPr>
      <w:r>
        <w:rPr>
          <w:rFonts w:ascii="Arial" w:hAnsi="Arial" w:eastAsia="Arial" w:cs="Arial"/>
          <w:b/>
          <w:bCs/>
        </w:rPr>
        <w:t>Feelings</w:t>
      </w:r>
    </w:p>
    <w:p w:rsidR="0074196B" w:rsidRDefault="002E5860" w14:paraId="0000003C" w14:textId="08459507">
      <w:pPr>
        <w:spacing w:line="360" w:lineRule="auto"/>
        <w:jc w:val="both"/>
        <w:rPr>
          <w:rFonts w:ascii="Arial" w:hAnsi="Arial" w:eastAsia="Arial" w:cs="Arial"/>
        </w:rPr>
      </w:pPr>
      <w:r>
        <w:rPr>
          <w:rFonts w:ascii="Arial" w:hAnsi="Arial" w:eastAsia="Arial" w:cs="Arial"/>
        </w:rPr>
        <w:lastRenderedPageBreak/>
        <w:t xml:space="preserve">In the beginning of the meeting, I was nervous and hesitant as senior professionals were leading the discussion. Being a student observer, I asked them if it was appropriate for me to participate in their discussion. During the discussion, I noticed something very important which made me uncomfortable. The patient was not directly involved in the </w:t>
      </w:r>
      <w:r w:rsidR="00EA5E7C">
        <w:rPr>
          <w:rFonts w:ascii="Arial" w:hAnsi="Arial" w:eastAsia="Arial" w:cs="Arial"/>
        </w:rPr>
        <w:t>meeting,</w:t>
      </w:r>
      <w:r>
        <w:rPr>
          <w:rFonts w:ascii="Arial" w:hAnsi="Arial" w:eastAsia="Arial" w:cs="Arial"/>
        </w:rPr>
        <w:t xml:space="preserve"> and his perspective was presented indirectly. This was contrary to what I studied about preferring person-centred values and respecting professional hierarchy (Praveena </w:t>
      </w:r>
      <w:r>
        <w:rPr>
          <w:rFonts w:ascii="Arial" w:hAnsi="Arial" w:eastAsia="Arial" w:cs="Arial"/>
          <w:i/>
          <w:iCs/>
        </w:rPr>
        <w:t>et al.</w:t>
      </w:r>
      <w:r>
        <w:rPr>
          <w:rFonts w:ascii="Arial" w:hAnsi="Arial" w:eastAsia="Arial" w:cs="Arial"/>
        </w:rPr>
        <w:t xml:space="preserve">, 2025). This incident made me realize that being a good professional is not only about following </w:t>
      </w:r>
      <w:r w:rsidR="008342BE">
        <w:rPr>
          <w:rFonts w:ascii="Arial" w:hAnsi="Arial" w:eastAsia="Arial" w:cs="Arial"/>
        </w:rPr>
        <w:t>hierarchy,</w:t>
      </w:r>
      <w:r>
        <w:rPr>
          <w:rFonts w:ascii="Arial" w:hAnsi="Arial" w:eastAsia="Arial" w:cs="Arial"/>
        </w:rPr>
        <w:t xml:space="preserve"> but it is also about confidently supporting the patient’s voice, when required.</w:t>
      </w:r>
    </w:p>
    <w:p w:rsidR="0074196B" w:rsidRDefault="002E5860" w14:paraId="0000003D" w14:textId="77777777">
      <w:pPr>
        <w:spacing w:line="360" w:lineRule="auto"/>
        <w:jc w:val="both"/>
        <w:rPr>
          <w:rFonts w:ascii="Arial" w:hAnsi="Arial" w:eastAsia="Arial" w:cs="Arial"/>
          <w:b/>
          <w:bCs/>
        </w:rPr>
      </w:pPr>
      <w:r>
        <w:rPr>
          <w:rFonts w:ascii="Arial" w:hAnsi="Arial" w:eastAsia="Arial" w:cs="Arial"/>
          <w:b/>
          <w:bCs/>
        </w:rPr>
        <w:t>Evaluation</w:t>
      </w:r>
    </w:p>
    <w:p w:rsidR="0074196B" w:rsidRDefault="002E5860" w14:paraId="0000003E" w14:textId="038B1ED8">
      <w:pPr>
        <w:spacing w:line="360" w:lineRule="auto"/>
        <w:jc w:val="both"/>
        <w:rPr>
          <w:rFonts w:ascii="Arial" w:hAnsi="Arial" w:eastAsia="Arial" w:cs="Arial"/>
        </w:rPr>
      </w:pPr>
      <w:r>
        <w:rPr>
          <w:rFonts w:ascii="Arial" w:hAnsi="Arial" w:eastAsia="Arial" w:cs="Arial"/>
        </w:rPr>
        <w:t xml:space="preserve">The meeting showed strong partnership working. Every MDT professional was clear about their role and ensured effective communication, demonstrating principles contributing towards integrated care as mentioned by Goodwin et al. (2012). The occupational therapist focused on environmental </w:t>
      </w:r>
      <w:r w:rsidR="008342BE">
        <w:rPr>
          <w:rFonts w:ascii="Arial" w:hAnsi="Arial" w:eastAsia="Arial" w:cs="Arial"/>
        </w:rPr>
        <w:t>risks;</w:t>
      </w:r>
      <w:r>
        <w:rPr>
          <w:rFonts w:ascii="Arial" w:hAnsi="Arial" w:eastAsia="Arial" w:cs="Arial"/>
        </w:rPr>
        <w:t xml:space="preserve"> the nurse focused on clinical stability and the social worker addressed domiciliary care eligibility. </w:t>
      </w:r>
    </w:p>
    <w:p w:rsidR="0074196B" w:rsidRDefault="002E5860" w14:paraId="0000003F" w14:textId="77777777">
      <w:pPr>
        <w:spacing w:line="360" w:lineRule="auto"/>
        <w:jc w:val="both"/>
        <w:rPr>
          <w:rFonts w:ascii="Arial" w:hAnsi="Arial" w:eastAsia="Arial" w:cs="Arial"/>
        </w:rPr>
      </w:pPr>
      <w:r>
        <w:rPr>
          <w:rFonts w:ascii="Arial" w:hAnsi="Arial" w:eastAsia="Arial" w:cs="Arial"/>
        </w:rPr>
        <w:t>Although the professionals were acting in the best interest of the patient, I felt restricted involvement of the patient in decision-making. As argued by Coulter and Oldham (2016), effective person-centred care is not based on imposed professional decisions rather it demands shared decision-making. The team intended to safeguard the patient, but I genuinely felt that increased involvement of the patient in decision-making would have improved empowerment and autonomy.</w:t>
      </w:r>
    </w:p>
    <w:p w:rsidR="0074196B" w:rsidRDefault="002E5860" w14:paraId="00000040" w14:textId="77777777">
      <w:pPr>
        <w:spacing w:line="360" w:lineRule="auto"/>
        <w:jc w:val="both"/>
        <w:rPr>
          <w:rFonts w:ascii="Arial" w:hAnsi="Arial" w:eastAsia="Arial" w:cs="Arial"/>
          <w:b/>
          <w:bCs/>
        </w:rPr>
      </w:pPr>
      <w:r>
        <w:rPr>
          <w:rFonts w:ascii="Arial" w:hAnsi="Arial" w:eastAsia="Arial" w:cs="Arial"/>
          <w:b/>
          <w:bCs/>
        </w:rPr>
        <w:t>Analysis</w:t>
      </w:r>
    </w:p>
    <w:p w:rsidR="0074196B" w:rsidRDefault="002E5860" w14:paraId="00000041" w14:textId="77777777">
      <w:pPr>
        <w:spacing w:line="360" w:lineRule="auto"/>
        <w:jc w:val="both"/>
        <w:rPr>
          <w:rFonts w:ascii="Arial" w:hAnsi="Arial" w:eastAsia="Arial" w:cs="Arial"/>
        </w:rPr>
      </w:pPr>
      <w:r>
        <w:rPr>
          <w:rFonts w:ascii="Arial" w:hAnsi="Arial" w:eastAsia="Arial" w:cs="Arial"/>
        </w:rPr>
        <w:t>This experience helped me to improve my understanding on transition of theoretical principles into practice. According to Maslow’s hierarchy, psychological security and autonomy are essential components for wellbeing (Maslow, 1943). If patients are not involved in decision-making regarding their care, they may feel less motivated and having less sense of control. Ethically, I understood the complexity that exists while balancing risk management with autonomy. Observing the meeting, I realised that instead of strict adherence to any rule, ethical practice required reflective judgement (Gibbs, 1998). My hesitation to contribute in the meeting made me realise that I need to develop assertiveness skills to support patient’s voices in future</w:t>
      </w:r>
      <w:r>
        <w:t xml:space="preserve"> </w:t>
      </w:r>
      <w:r>
        <w:rPr>
          <w:rFonts w:ascii="Arial" w:hAnsi="Arial" w:eastAsia="Arial" w:cs="Arial"/>
        </w:rPr>
        <w:t xml:space="preserve">multidisciplinary settings.  </w:t>
      </w:r>
    </w:p>
    <w:p w:rsidR="0074196B" w:rsidRDefault="002E5860" w14:paraId="00000042" w14:textId="77777777">
      <w:pPr>
        <w:spacing w:line="360" w:lineRule="auto"/>
        <w:jc w:val="both"/>
        <w:rPr>
          <w:rFonts w:ascii="Arial" w:hAnsi="Arial" w:eastAsia="Arial" w:cs="Arial"/>
          <w:b/>
          <w:bCs/>
        </w:rPr>
      </w:pPr>
      <w:r>
        <w:rPr>
          <w:rFonts w:ascii="Arial" w:hAnsi="Arial" w:eastAsia="Arial" w:cs="Arial"/>
          <w:b/>
          <w:bCs/>
        </w:rPr>
        <w:t>Conclusion</w:t>
      </w:r>
    </w:p>
    <w:p w:rsidR="0074196B" w:rsidRDefault="002E5860" w14:paraId="00000043" w14:textId="596BE8B6">
      <w:pPr>
        <w:spacing w:line="360" w:lineRule="auto"/>
        <w:jc w:val="both"/>
        <w:rPr>
          <w:rFonts w:ascii="Arial" w:hAnsi="Arial" w:eastAsia="Arial" w:cs="Arial"/>
        </w:rPr>
      </w:pPr>
      <w:r>
        <w:rPr>
          <w:rFonts w:ascii="Arial" w:hAnsi="Arial" w:eastAsia="Arial" w:cs="Arial"/>
        </w:rPr>
        <w:t xml:space="preserve">This experience made my appreciation for partnership working and ethical practice </w:t>
      </w:r>
      <w:r w:rsidR="00C56D82">
        <w:rPr>
          <w:rFonts w:ascii="Arial" w:hAnsi="Arial" w:eastAsia="Arial" w:cs="Arial"/>
        </w:rPr>
        <w:t>stronger,</w:t>
      </w:r>
      <w:r>
        <w:rPr>
          <w:rFonts w:ascii="Arial" w:hAnsi="Arial" w:eastAsia="Arial" w:cs="Arial"/>
        </w:rPr>
        <w:t xml:space="preserve"> but it also reflected areas for growth. Although there was effective collaboration among </w:t>
      </w:r>
      <w:r>
        <w:rPr>
          <w:rFonts w:ascii="Arial" w:hAnsi="Arial" w:eastAsia="Arial" w:cs="Arial"/>
        </w:rPr>
        <w:lastRenderedPageBreak/>
        <w:t xml:space="preserve">professionals in the meeting, I realized that integrating person-centred care needs intentional action to directly involve the service user in decision-making. </w:t>
      </w:r>
    </w:p>
    <w:p w:rsidR="0074196B" w:rsidRDefault="002E5860" w14:paraId="00000044" w14:textId="77777777">
      <w:pPr>
        <w:spacing w:line="360" w:lineRule="auto"/>
        <w:jc w:val="both"/>
        <w:rPr>
          <w:rFonts w:ascii="Arial" w:hAnsi="Arial" w:eastAsia="Arial" w:cs="Arial"/>
          <w:b/>
          <w:bCs/>
        </w:rPr>
      </w:pPr>
      <w:r>
        <w:rPr>
          <w:rFonts w:ascii="Arial" w:hAnsi="Arial" w:eastAsia="Arial" w:cs="Arial"/>
          <w:b/>
          <w:bCs/>
        </w:rPr>
        <w:t>Action Plan</w:t>
      </w:r>
    </w:p>
    <w:p w:rsidR="0074196B" w:rsidRDefault="002E5860" w14:paraId="00000045" w14:textId="77777777">
      <w:pPr>
        <w:spacing w:line="360" w:lineRule="auto"/>
        <w:jc w:val="both"/>
        <w:rPr>
          <w:rFonts w:ascii="Arial" w:hAnsi="Arial" w:eastAsia="Arial" w:cs="Arial"/>
        </w:rPr>
      </w:pPr>
      <w:r>
        <w:rPr>
          <w:rFonts w:ascii="Arial" w:hAnsi="Arial" w:eastAsia="Arial" w:cs="Arial"/>
        </w:rPr>
        <w:t>To improve my professional practice, I plan to:</w:t>
      </w:r>
    </w:p>
    <w:p w:rsidR="0074196B" w:rsidRDefault="002E5860" w14:paraId="00000046" w14:textId="6FD44ED5">
      <w:pPr>
        <w:numPr>
          <w:ilvl w:val="0"/>
          <w:numId w:val="1"/>
        </w:numPr>
        <w:pBdr>
          <w:top w:val="nil"/>
          <w:left w:val="nil"/>
          <w:bottom w:val="nil"/>
          <w:right w:val="nil"/>
          <w:between w:val="nil"/>
        </w:pBdr>
        <w:spacing w:after="0" w:line="360" w:lineRule="auto"/>
        <w:jc w:val="both"/>
        <w:rPr>
          <w:color w:val="000000"/>
        </w:rPr>
      </w:pPr>
      <w:r>
        <w:rPr>
          <w:rFonts w:ascii="Arial" w:hAnsi="Arial" w:eastAsia="Arial" w:cs="Arial"/>
          <w:color w:val="000000"/>
        </w:rPr>
        <w:t xml:space="preserve">Actively involve </w:t>
      </w:r>
      <w:r w:rsidR="00C56D82">
        <w:rPr>
          <w:rFonts w:ascii="Arial" w:hAnsi="Arial" w:eastAsia="Arial" w:cs="Arial"/>
          <w:color w:val="000000"/>
        </w:rPr>
        <w:t>me</w:t>
      </w:r>
      <w:r>
        <w:rPr>
          <w:rFonts w:ascii="Arial" w:hAnsi="Arial" w:eastAsia="Arial" w:cs="Arial"/>
          <w:color w:val="000000"/>
        </w:rPr>
        <w:t xml:space="preserve"> in multidisciplinary meetings during future meetings and prepare questions in advance.</w:t>
      </w:r>
    </w:p>
    <w:p w:rsidR="0074196B" w:rsidRDefault="002E5860" w14:paraId="00000047" w14:textId="77777777">
      <w:pPr>
        <w:numPr>
          <w:ilvl w:val="0"/>
          <w:numId w:val="1"/>
        </w:numPr>
        <w:pBdr>
          <w:top w:val="nil"/>
          <w:left w:val="nil"/>
          <w:bottom w:val="nil"/>
          <w:right w:val="nil"/>
          <w:between w:val="nil"/>
        </w:pBdr>
        <w:spacing w:after="0" w:line="360" w:lineRule="auto"/>
        <w:jc w:val="both"/>
        <w:rPr>
          <w:color w:val="000000"/>
        </w:rPr>
      </w:pPr>
      <w:r>
        <w:rPr>
          <w:rFonts w:ascii="Arial" w:hAnsi="Arial" w:eastAsia="Arial" w:cs="Arial"/>
          <w:color w:val="000000"/>
        </w:rPr>
        <w:t>Get mentorship from an experienced professional to develop assertive communication skills</w:t>
      </w:r>
    </w:p>
    <w:p w:rsidR="0074196B" w:rsidRDefault="002E5860" w14:paraId="00000048" w14:textId="77777777">
      <w:pPr>
        <w:numPr>
          <w:ilvl w:val="0"/>
          <w:numId w:val="1"/>
        </w:numPr>
        <w:pBdr>
          <w:top w:val="nil"/>
          <w:left w:val="nil"/>
          <w:bottom w:val="nil"/>
          <w:right w:val="nil"/>
          <w:between w:val="nil"/>
        </w:pBdr>
        <w:spacing w:line="360" w:lineRule="auto"/>
        <w:jc w:val="both"/>
        <w:rPr>
          <w:color w:val="000000"/>
        </w:rPr>
      </w:pPr>
      <w:r>
        <w:rPr>
          <w:rFonts w:ascii="Arial" w:hAnsi="Arial" w:eastAsia="Arial" w:cs="Arial"/>
          <w:color w:val="000000"/>
        </w:rPr>
        <w:t>Actively participate in CPD activities focusing on shared decision-making.</w:t>
      </w:r>
    </w:p>
    <w:p w:rsidR="0074196B" w:rsidRDefault="002E5860" w14:paraId="00000049" w14:textId="77777777">
      <w:pPr>
        <w:spacing w:line="360" w:lineRule="auto"/>
        <w:jc w:val="both"/>
        <w:rPr>
          <w:rFonts w:ascii="Arial" w:hAnsi="Arial" w:eastAsia="Arial" w:cs="Arial"/>
        </w:rPr>
      </w:pPr>
      <w:r>
        <w:rPr>
          <w:rFonts w:ascii="Arial" w:hAnsi="Arial" w:eastAsia="Arial" w:cs="Arial"/>
        </w:rPr>
        <w:t>By implementing these actions, I aim to effectively integrate principles of persona-centred care, partnership working and ethical practice into my professional identity, thus adhering to professional practice while responding to individual needs.</w:t>
      </w:r>
    </w:p>
    <w:p w:rsidR="0074196B" w:rsidRDefault="002E5860" w14:paraId="0000004A" w14:textId="77777777">
      <w:pPr>
        <w:pStyle w:val="Heading1"/>
      </w:pPr>
      <w:r w:rsidR="002E5860">
        <w:rPr/>
        <w:t>Conclusion</w:t>
      </w:r>
    </w:p>
    <w:p w:rsidR="0074196B" w:rsidRDefault="002E5860" w14:paraId="0000004B" w14:textId="77777777">
      <w:pPr>
        <w:spacing w:line="360" w:lineRule="auto"/>
        <w:jc w:val="both"/>
        <w:rPr>
          <w:rFonts w:ascii="Arial" w:hAnsi="Arial" w:eastAsia="Arial" w:cs="Arial"/>
        </w:rPr>
      </w:pPr>
      <w:r>
        <w:rPr>
          <w:rFonts w:ascii="Arial" w:hAnsi="Arial" w:eastAsia="Arial" w:cs="Arial"/>
        </w:rPr>
        <w:t>The principles of person-centred care, partnership working and ethical practice form the basis of effective health and social care delivery within the UK. Although frameworks like the Health and Care Act 2022 and the Care Act 2014 promote individual empowerment and integration, the practical implementation is not consistent and sometimes, affected by systemic and organisational constraints. The example of structured discharge planning shows the impact of collaborative approaches in improving continuity of care when they are supported by adequate infrastructure and communication. The reflective analysis indicates that professional growth needs ethical awareness, continuous learning and active engagement in partnership process. Integrating these key principles into professional practice can help in ensuring that care is coordinated, respectful and catering to individual needs.</w:t>
      </w:r>
    </w:p>
    <w:p w:rsidR="0074196B" w:rsidRDefault="002E5860" w14:paraId="0000004C" w14:textId="77777777">
      <w:pPr>
        <w:rPr>
          <w:rFonts w:ascii="Arial" w:hAnsi="Arial" w:eastAsia="Arial" w:cs="Arial"/>
        </w:rPr>
      </w:pPr>
      <w:r>
        <w:br w:type="page"/>
      </w:r>
    </w:p>
    <w:p w:rsidR="0074196B" w:rsidRDefault="002E5860" w14:paraId="0000004D" w14:textId="77777777">
      <w:pPr>
        <w:pStyle w:val="Heading1"/>
      </w:pPr>
      <w:r w:rsidR="002E5860">
        <w:rPr/>
        <w:t>References</w:t>
      </w:r>
    </w:p>
    <w:p w:rsidR="0074196B" w:rsidRDefault="002E5860" w14:paraId="0000004E"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Bronfenbrenner, U. (1979) </w:t>
      </w:r>
      <w:r>
        <w:rPr>
          <w:rFonts w:ascii="Arial" w:hAnsi="Arial" w:eastAsia="Arial" w:cs="Arial"/>
          <w:i/>
          <w:iCs/>
          <w:color w:val="000000"/>
        </w:rPr>
        <w:t>The Ecology of Human Development: Experiments by Nature and Design</w:t>
      </w:r>
      <w:r>
        <w:rPr>
          <w:rFonts w:ascii="Arial" w:hAnsi="Arial" w:eastAsia="Arial" w:cs="Arial"/>
          <w:color w:val="000000"/>
        </w:rPr>
        <w:t>. Harvard University Press.</w:t>
      </w:r>
    </w:p>
    <w:p w:rsidR="0074196B" w:rsidRDefault="002E5860" w14:paraId="0000004F"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Coulter, A. and Oldham, J. (2016) ‘Person-centred care: what is it and how do we get there?’, </w:t>
      </w:r>
      <w:r>
        <w:rPr>
          <w:rFonts w:ascii="Arial" w:hAnsi="Arial" w:eastAsia="Arial" w:cs="Arial"/>
          <w:i/>
          <w:iCs/>
          <w:color w:val="000000"/>
        </w:rPr>
        <w:t>Future Hospital Journal</w:t>
      </w:r>
      <w:r>
        <w:rPr>
          <w:rFonts w:ascii="Arial" w:hAnsi="Arial" w:eastAsia="Arial" w:cs="Arial"/>
          <w:color w:val="000000"/>
        </w:rPr>
        <w:t>, 3(2), pp. 114–116. Available at: https://doi.org/10.7861/futurehosp.3-2-114.</w:t>
      </w:r>
    </w:p>
    <w:p w:rsidR="0074196B" w:rsidRDefault="002E5860" w14:paraId="00000050"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Gibbs, G. (1998) </w:t>
      </w:r>
      <w:r>
        <w:rPr>
          <w:rFonts w:ascii="Arial" w:hAnsi="Arial" w:eastAsia="Arial" w:cs="Arial"/>
          <w:i/>
          <w:iCs/>
          <w:color w:val="000000"/>
        </w:rPr>
        <w:t>Learning by Doing: A Guide to Teaching and Learning Methods.</w:t>
      </w:r>
      <w:r>
        <w:rPr>
          <w:rFonts w:ascii="Arial" w:hAnsi="Arial" w:eastAsia="Arial" w:cs="Arial"/>
          <w:color w:val="000000"/>
        </w:rPr>
        <w:t xml:space="preserve"> Oxford.: Oxford Brooks University,.</w:t>
      </w:r>
    </w:p>
    <w:p w:rsidR="0074196B" w:rsidRDefault="002E5860" w14:paraId="00000051"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Goodwin, N. </w:t>
      </w:r>
      <w:r>
        <w:rPr>
          <w:rFonts w:ascii="Arial" w:hAnsi="Arial" w:eastAsia="Arial" w:cs="Arial"/>
          <w:i/>
          <w:iCs/>
          <w:color w:val="000000"/>
        </w:rPr>
        <w:t>et al.</w:t>
      </w:r>
      <w:r>
        <w:rPr>
          <w:rFonts w:ascii="Arial" w:hAnsi="Arial" w:eastAsia="Arial" w:cs="Arial"/>
          <w:color w:val="000000"/>
        </w:rPr>
        <w:t xml:space="preserve"> (2012) </w:t>
      </w:r>
      <w:r>
        <w:rPr>
          <w:rFonts w:ascii="Arial" w:hAnsi="Arial" w:eastAsia="Arial" w:cs="Arial"/>
          <w:i/>
          <w:iCs/>
          <w:color w:val="000000"/>
        </w:rPr>
        <w:t>Integrated care for patients and populations: Improving outcomes by working together</w:t>
      </w:r>
      <w:r>
        <w:rPr>
          <w:rFonts w:ascii="Arial" w:hAnsi="Arial" w:eastAsia="Arial" w:cs="Arial"/>
          <w:color w:val="000000"/>
        </w:rPr>
        <w:t>. Report to the Department of Health and NHS Future Forum from The King’s Fund and Nuffield Trust. The King’s Fund and Nuffield Trust, p. 20. Available at: https://www.nuffieldtrust.org.uk/sites/default/files/2017-01/integrated-care-for-patients-and-populations-web-final.pdf.</w:t>
      </w:r>
    </w:p>
    <w:p w:rsidR="0074196B" w:rsidRDefault="002E5860" w14:paraId="00000052"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legislation.gov.uk (2005) ‘Mental Capacity Act 2005’. https://www.legislation.gov.uk/. Available at: https://www.legislation.gov.uk/ukpga/2005/9/pdfs/ukpga_20050009_en.pdf.</w:t>
      </w:r>
    </w:p>
    <w:p w:rsidR="0074196B" w:rsidRDefault="002E5860" w14:paraId="00000053"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legislation.gov.uk (2014) ‘Care Act 2014’. London: The Stationery Office. Available at: https://www.legislation.gov.uk/ukpga/2014/23/pdfs/ukpga_20140023_en.pdf.</w:t>
      </w:r>
    </w:p>
    <w:p w:rsidR="0074196B" w:rsidRDefault="002E5860" w14:paraId="00000054"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legislation.gov.uk (2022) </w:t>
      </w:r>
      <w:r>
        <w:rPr>
          <w:rFonts w:ascii="Arial" w:hAnsi="Arial" w:eastAsia="Arial" w:cs="Arial"/>
          <w:i/>
          <w:iCs/>
          <w:color w:val="000000"/>
        </w:rPr>
        <w:t>Health and Care Act 2022</w:t>
      </w:r>
      <w:r>
        <w:rPr>
          <w:rFonts w:ascii="Arial" w:hAnsi="Arial" w:eastAsia="Arial" w:cs="Arial"/>
          <w:color w:val="000000"/>
        </w:rPr>
        <w:t>. legislation.gov.uk. Available at: https://www.legislation.gov.uk/ukpga/2022/31/contents.</w:t>
      </w:r>
    </w:p>
    <w:p w:rsidR="0074196B" w:rsidRDefault="002E5860" w14:paraId="00000055"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Leutz, W.N. (1999) ‘Five Laws for Integrating Medical and Social Services: Lessons from the United States and the United Kingdom’, </w:t>
      </w:r>
      <w:r>
        <w:rPr>
          <w:rFonts w:ascii="Arial" w:hAnsi="Arial" w:eastAsia="Arial" w:cs="Arial"/>
          <w:i/>
          <w:iCs/>
          <w:color w:val="000000"/>
        </w:rPr>
        <w:t>The Milbank Quarterly</w:t>
      </w:r>
      <w:r>
        <w:rPr>
          <w:rFonts w:ascii="Arial" w:hAnsi="Arial" w:eastAsia="Arial" w:cs="Arial"/>
          <w:color w:val="000000"/>
        </w:rPr>
        <w:t>, 77(1), pp. 77–110. Available at: https://doi.org/10.1111/1468-0009.00125.</w:t>
      </w:r>
    </w:p>
    <w:p w:rsidR="0074196B" w:rsidRDefault="002E5860" w14:paraId="00000056"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Marzban, S. </w:t>
      </w:r>
      <w:r>
        <w:rPr>
          <w:rFonts w:ascii="Arial" w:hAnsi="Arial" w:eastAsia="Arial" w:cs="Arial"/>
          <w:i/>
          <w:iCs/>
          <w:color w:val="000000"/>
        </w:rPr>
        <w:t>et al.</w:t>
      </w:r>
      <w:r>
        <w:rPr>
          <w:rFonts w:ascii="Arial" w:hAnsi="Arial" w:eastAsia="Arial" w:cs="Arial"/>
          <w:color w:val="000000"/>
        </w:rPr>
        <w:t xml:space="preserve"> (2022) ‘Impact of Patient Engagement on Healthcare Quality: A Scoping Review’, </w:t>
      </w:r>
      <w:r>
        <w:rPr>
          <w:rFonts w:ascii="Arial" w:hAnsi="Arial" w:eastAsia="Arial" w:cs="Arial"/>
          <w:i/>
          <w:iCs/>
          <w:color w:val="000000"/>
        </w:rPr>
        <w:t>Journal of Patient Experience</w:t>
      </w:r>
      <w:r>
        <w:rPr>
          <w:rFonts w:ascii="Arial" w:hAnsi="Arial" w:eastAsia="Arial" w:cs="Arial"/>
          <w:color w:val="000000"/>
        </w:rPr>
        <w:t>, 9, p. 23743735221125439. Available at: https://doi.org/10.1177/23743735221125439.</w:t>
      </w:r>
    </w:p>
    <w:p w:rsidR="0074196B" w:rsidRDefault="002E5860" w14:paraId="00000057"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Maslow, A.H. (1943) ‘A theory of human motivation.’, </w:t>
      </w:r>
      <w:r>
        <w:rPr>
          <w:rFonts w:ascii="Arial" w:hAnsi="Arial" w:eastAsia="Arial" w:cs="Arial"/>
          <w:i/>
          <w:iCs/>
          <w:color w:val="000000"/>
        </w:rPr>
        <w:t>Psychological Review</w:t>
      </w:r>
      <w:r>
        <w:rPr>
          <w:rFonts w:ascii="Arial" w:hAnsi="Arial" w:eastAsia="Arial" w:cs="Arial"/>
          <w:color w:val="000000"/>
        </w:rPr>
        <w:t>, 50(4), pp. 370–396. Available at: https://doi.org/10.1037/h0054346.</w:t>
      </w:r>
    </w:p>
    <w:p w:rsidR="0074196B" w:rsidRDefault="002E5860" w14:paraId="00000058"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NICE CG138 (2021) </w:t>
      </w:r>
      <w:r>
        <w:rPr>
          <w:rFonts w:ascii="Arial" w:hAnsi="Arial" w:eastAsia="Arial" w:cs="Arial"/>
          <w:i/>
          <w:iCs/>
          <w:color w:val="000000"/>
        </w:rPr>
        <w:t>Patient experience in adult NHS services: improving the experience of care for people using adult NHS services</w:t>
      </w:r>
      <w:r>
        <w:rPr>
          <w:rFonts w:ascii="Arial" w:hAnsi="Arial" w:eastAsia="Arial" w:cs="Arial"/>
          <w:color w:val="000000"/>
        </w:rPr>
        <w:t>. London: National Institute for Health and Care Excellence (NICE); Available at: https://www.nice.org.uk/guidance/cg138.</w:t>
      </w:r>
    </w:p>
    <w:p w:rsidR="0074196B" w:rsidRDefault="002E5860" w14:paraId="00000059"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NICE NG27 (2015) </w:t>
      </w:r>
      <w:r>
        <w:rPr>
          <w:rFonts w:ascii="Arial" w:hAnsi="Arial" w:eastAsia="Arial" w:cs="Arial"/>
          <w:i/>
          <w:iCs/>
          <w:color w:val="000000"/>
        </w:rPr>
        <w:t>Transition between inpatient hospital settings and community or care home settings for adults with social care needs</w:t>
      </w:r>
      <w:r>
        <w:rPr>
          <w:rFonts w:ascii="Arial" w:hAnsi="Arial" w:eastAsia="Arial" w:cs="Arial"/>
          <w:color w:val="000000"/>
        </w:rPr>
        <w:t>. NICE. Available at: https://www.nice.org.uk/guidance/ng27.</w:t>
      </w:r>
    </w:p>
    <w:p w:rsidR="0074196B" w:rsidRDefault="002E5860" w14:paraId="0000005A"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Praveena, K.S. </w:t>
      </w:r>
      <w:r>
        <w:rPr>
          <w:rFonts w:ascii="Arial" w:hAnsi="Arial" w:eastAsia="Arial" w:cs="Arial"/>
          <w:i/>
          <w:iCs/>
          <w:color w:val="000000"/>
        </w:rPr>
        <w:t>et al.</w:t>
      </w:r>
      <w:r>
        <w:rPr>
          <w:rFonts w:ascii="Arial" w:hAnsi="Arial" w:eastAsia="Arial" w:cs="Arial"/>
          <w:color w:val="000000"/>
        </w:rPr>
        <w:t xml:space="preserve"> (2025) ‘Using Gibb’s Reflective Model Approach for Enhancing Project-Based Learning Among Students Through Reflective Assessment’, </w:t>
      </w:r>
      <w:r>
        <w:rPr>
          <w:rFonts w:ascii="Arial" w:hAnsi="Arial" w:eastAsia="Arial" w:cs="Arial"/>
          <w:i/>
          <w:iCs/>
          <w:color w:val="000000"/>
        </w:rPr>
        <w:t>Journal of Engineering Education Transformations</w:t>
      </w:r>
      <w:r>
        <w:rPr>
          <w:rFonts w:ascii="Arial" w:hAnsi="Arial" w:eastAsia="Arial" w:cs="Arial"/>
          <w:color w:val="000000"/>
        </w:rPr>
        <w:t>, 38(IS2), pp. 148–155. Available at: https://doi.org/10.16920/jeet/2025/v38is2/25018.</w:t>
      </w:r>
    </w:p>
    <w:p w:rsidR="0074196B" w:rsidRDefault="002E5860" w14:paraId="0000005B"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Rahman, L. (2025) ‘Bronfenbrenner&amp;#8217;s Ecological Systems Theory in Childhood Resilience and Motivation in Learning: A Literature Review’, </w:t>
      </w:r>
      <w:r>
        <w:rPr>
          <w:rFonts w:ascii="Arial" w:hAnsi="Arial" w:eastAsia="Arial" w:cs="Arial"/>
          <w:i/>
          <w:iCs/>
          <w:color w:val="000000"/>
        </w:rPr>
        <w:t>Open Journal of Social Sciences</w:t>
      </w:r>
      <w:r>
        <w:rPr>
          <w:rFonts w:ascii="Arial" w:hAnsi="Arial" w:eastAsia="Arial" w:cs="Arial"/>
          <w:color w:val="000000"/>
        </w:rPr>
        <w:t>, 13(06), pp. 550–561. Available at: https://doi.org/10.4236/jss.2025.136037.</w:t>
      </w:r>
    </w:p>
    <w:p w:rsidR="0074196B" w:rsidRDefault="002E5860" w14:paraId="0000005C"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lastRenderedPageBreak/>
        <w:t xml:space="preserve">Shepperd, S. </w:t>
      </w:r>
      <w:r>
        <w:rPr>
          <w:rFonts w:ascii="Arial" w:hAnsi="Arial" w:eastAsia="Arial" w:cs="Arial"/>
          <w:i/>
          <w:iCs/>
          <w:color w:val="000000"/>
        </w:rPr>
        <w:t>et al.</w:t>
      </w:r>
      <w:r>
        <w:rPr>
          <w:rFonts w:ascii="Arial" w:hAnsi="Arial" w:eastAsia="Arial" w:cs="Arial"/>
          <w:color w:val="000000"/>
        </w:rPr>
        <w:t xml:space="preserve"> (2013) ‘Discharge planning from hospital to home’, in The Cochrane Collaboration (ed.) </w:t>
      </w:r>
      <w:r>
        <w:rPr>
          <w:rFonts w:ascii="Arial" w:hAnsi="Arial" w:eastAsia="Arial" w:cs="Arial"/>
          <w:i/>
          <w:iCs/>
          <w:color w:val="000000"/>
        </w:rPr>
        <w:t>Cochrane Database of Systematic Reviews</w:t>
      </w:r>
      <w:r>
        <w:rPr>
          <w:rFonts w:ascii="Arial" w:hAnsi="Arial" w:eastAsia="Arial" w:cs="Arial"/>
          <w:color w:val="000000"/>
        </w:rPr>
        <w:t>. Chichester, UK: John Wiley &amp; Sons, Ltd, p. CD000313.pub4. Available at: https://doi.org/10.1002/14651858.CD000313.pub4.</w:t>
      </w:r>
    </w:p>
    <w:p w:rsidR="0074196B" w:rsidRDefault="002E5860" w14:paraId="0000005D"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The Health Foundation (2016) </w:t>
      </w:r>
      <w:r>
        <w:rPr>
          <w:rFonts w:ascii="Arial" w:hAnsi="Arial" w:eastAsia="Arial" w:cs="Arial"/>
          <w:i/>
          <w:iCs/>
          <w:color w:val="000000"/>
        </w:rPr>
        <w:t>Person-centred care made simple: what everyone should know about person-centred care</w:t>
      </w:r>
      <w:r>
        <w:rPr>
          <w:rFonts w:ascii="Arial" w:hAnsi="Arial" w:eastAsia="Arial" w:cs="Arial"/>
          <w:color w:val="000000"/>
        </w:rPr>
        <w:t>. London: The Health Foundation. Available at: https://www.health.org.uk/sites/default/files/PersonCentredCareMadeSimple.pdf.</w:t>
      </w:r>
    </w:p>
    <w:p w:rsidR="0074196B" w:rsidRDefault="002E5860" w14:paraId="0000005E"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The Health Policy Partnership (2015) ‘The state of play in person-centred care: A pragmatic review of how person-centred care is defined, applied and measured’. Available at: https://www.healthpolicypartnership.com/app/uploads/The-state-of-play-in-person-centred-care.pdf.</w:t>
      </w:r>
    </w:p>
    <w:p w:rsidR="0074196B" w:rsidRDefault="002E5860" w14:paraId="0000005F" w14:textId="77777777">
      <w:pPr>
        <w:pBdr>
          <w:top w:val="nil"/>
          <w:left w:val="nil"/>
          <w:bottom w:val="nil"/>
          <w:right w:val="nil"/>
          <w:between w:val="nil"/>
        </w:pBdr>
        <w:spacing w:after="240" w:line="240" w:lineRule="auto"/>
        <w:rPr>
          <w:rFonts w:ascii="Arial" w:hAnsi="Arial" w:eastAsia="Arial" w:cs="Arial"/>
          <w:color w:val="000000"/>
        </w:rPr>
      </w:pPr>
      <w:r>
        <w:rPr>
          <w:rFonts w:ascii="Arial" w:hAnsi="Arial" w:eastAsia="Arial" w:cs="Arial"/>
          <w:color w:val="000000"/>
        </w:rPr>
        <w:t xml:space="preserve">Varkey, B. (2021) ‘Principles of Clinical Ethics and Their Application to Practice’, </w:t>
      </w:r>
      <w:r>
        <w:rPr>
          <w:rFonts w:ascii="Arial" w:hAnsi="Arial" w:eastAsia="Arial" w:cs="Arial"/>
          <w:i/>
          <w:iCs/>
          <w:color w:val="000000"/>
        </w:rPr>
        <w:t>Medical Principles and Practice</w:t>
      </w:r>
      <w:r>
        <w:rPr>
          <w:rFonts w:ascii="Arial" w:hAnsi="Arial" w:eastAsia="Arial" w:cs="Arial"/>
          <w:color w:val="000000"/>
        </w:rPr>
        <w:t>, 30(1), pp. 17–28. Available at: https://doi.org/10.1159/000509119.</w:t>
      </w:r>
    </w:p>
    <w:p w:rsidR="0074196B" w:rsidRDefault="0074196B" w14:paraId="00000060" w14:textId="77777777">
      <w:pPr>
        <w:spacing w:line="360" w:lineRule="auto"/>
        <w:jc w:val="both"/>
        <w:rPr>
          <w:rFonts w:ascii="Arial" w:hAnsi="Arial" w:eastAsia="Arial" w:cs="Arial"/>
        </w:rPr>
      </w:pPr>
    </w:p>
    <w:p w:rsidR="0074196B" w:rsidRDefault="0074196B" w14:paraId="00000061" w14:textId="77777777">
      <w:pPr>
        <w:spacing w:line="360" w:lineRule="auto"/>
        <w:jc w:val="both"/>
        <w:rPr>
          <w:rFonts w:ascii="Arial" w:hAnsi="Arial" w:eastAsia="Arial" w:cs="Arial"/>
        </w:rPr>
      </w:pPr>
    </w:p>
    <w:p w:rsidR="0074196B" w:rsidRDefault="0074196B" w14:paraId="00000062" w14:textId="77777777">
      <w:pPr>
        <w:spacing w:line="360" w:lineRule="auto"/>
        <w:jc w:val="both"/>
        <w:rPr>
          <w:rFonts w:ascii="Arial" w:hAnsi="Arial" w:eastAsia="Arial" w:cs="Arial"/>
        </w:rPr>
      </w:pPr>
    </w:p>
    <w:p w:rsidR="0074196B" w:rsidRDefault="0074196B" w14:paraId="00000063" w14:textId="77777777">
      <w:pPr>
        <w:spacing w:line="360" w:lineRule="auto"/>
        <w:jc w:val="both"/>
        <w:rPr>
          <w:rFonts w:ascii="Arial" w:hAnsi="Arial" w:eastAsia="Arial" w:cs="Arial"/>
        </w:rPr>
      </w:pPr>
    </w:p>
    <w:p w:rsidR="0074196B" w:rsidRDefault="0074196B" w14:paraId="00000064" w14:textId="77777777">
      <w:pPr>
        <w:spacing w:line="360" w:lineRule="auto"/>
        <w:jc w:val="both"/>
        <w:rPr>
          <w:rFonts w:ascii="Arial" w:hAnsi="Arial" w:eastAsia="Arial" w:cs="Arial"/>
        </w:rPr>
      </w:pPr>
    </w:p>
    <w:sectPr w:rsidR="0074196B">
      <w:footerReference w:type="default" r:id="rId10"/>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80E45" w:rsidRDefault="00780E45" w14:paraId="7F3AB155" w14:textId="77777777">
      <w:pPr>
        <w:spacing w:after="0" w:line="240" w:lineRule="auto"/>
      </w:pPr>
      <w:r>
        <w:separator/>
      </w:r>
    </w:p>
  </w:endnote>
  <w:endnote w:type="continuationSeparator" w:id="0">
    <w:p w:rsidR="00780E45" w:rsidRDefault="00780E45" w14:paraId="0E3C79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33F6A1D6-FC34-4C9D-85E3-860AFA177A3D}" r:id="rId1"/>
    <w:embedBold w:fontKey="{9B8D573C-5DF0-4549-9496-015570A472A8}" r:id="rId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63E9AF4D-561A-4AE4-B0AE-F30BAAF69F22}" r:id="rId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41FF5635-CF47-47D5-81D7-0B93F6BCF8D6}" r:id="rI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196B" w:rsidRDefault="002E5860" w14:paraId="00000065" w14:textId="2818388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A1866">
      <w:rPr>
        <w:noProof/>
        <w:color w:val="000000"/>
      </w:rPr>
      <w:t>1</w:t>
    </w:r>
    <w:r>
      <w:rPr>
        <w:color w:val="000000"/>
      </w:rPr>
      <w:fldChar w:fldCharType="end"/>
    </w:r>
  </w:p>
  <w:p w:rsidR="0074196B" w:rsidRDefault="0074196B" w14:paraId="00000066"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80E45" w:rsidRDefault="00780E45" w14:paraId="2F95A8B2" w14:textId="77777777">
      <w:pPr>
        <w:spacing w:after="0" w:line="240" w:lineRule="auto"/>
      </w:pPr>
      <w:r>
        <w:separator/>
      </w:r>
    </w:p>
  </w:footnote>
  <w:footnote w:type="continuationSeparator" w:id="0">
    <w:p w:rsidR="00780E45" w:rsidRDefault="00780E45" w14:paraId="058A37D4"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xg7SsIK" int2:invalidationBookmarkName="" int2:hashCode="tH82PitDDAZH8U" int2:id="fiLi2Zo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D1526"/>
    <w:multiLevelType w:val="multilevel"/>
    <w:tmpl w:val="98440E7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441756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96B"/>
    <w:rsid w:val="001C7EB6"/>
    <w:rsid w:val="002C01C2"/>
    <w:rsid w:val="002E5860"/>
    <w:rsid w:val="003E558E"/>
    <w:rsid w:val="00450549"/>
    <w:rsid w:val="00451EA6"/>
    <w:rsid w:val="0056324D"/>
    <w:rsid w:val="006B76C9"/>
    <w:rsid w:val="0074196B"/>
    <w:rsid w:val="00780E45"/>
    <w:rsid w:val="007923F5"/>
    <w:rsid w:val="00807239"/>
    <w:rsid w:val="008342BE"/>
    <w:rsid w:val="008543BA"/>
    <w:rsid w:val="008A1866"/>
    <w:rsid w:val="00910075"/>
    <w:rsid w:val="00914261"/>
    <w:rsid w:val="009143B9"/>
    <w:rsid w:val="009C444F"/>
    <w:rsid w:val="00A828DF"/>
    <w:rsid w:val="00C56D82"/>
    <w:rsid w:val="00CA7546"/>
    <w:rsid w:val="00CC5E3D"/>
    <w:rsid w:val="00E0663E"/>
    <w:rsid w:val="00E22BD3"/>
    <w:rsid w:val="00EA5E7C"/>
    <w:rsid w:val="00EB7DEF"/>
    <w:rsid w:val="00F32E93"/>
    <w:rsid w:val="00F83C4A"/>
    <w:rsid w:val="00FF46CE"/>
    <w:rsid w:val="0FB2610D"/>
    <w:rsid w:val="1357E1C2"/>
    <w:rsid w:val="2B8D6299"/>
    <w:rsid w:val="2EF4FC4D"/>
    <w:rsid w:val="34D7B5F5"/>
    <w:rsid w:val="51F3571F"/>
    <w:rsid w:val="555B7571"/>
    <w:rsid w:val="73929D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2FCD4"/>
  <w15:docId w15:val="{5C93CCBB-E523-4A53-8663-26D70C8A8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paragraph" w:styleId="Header">
    <w:name w:val="header"/>
    <w:basedOn w:val="Normal"/>
    <w:link w:val="HeaderChar"/>
    <w:uiPriority w:val="99"/>
    <w:semiHidden/>
    <w:unhideWhenUsed/>
    <w:rsid w:val="002C01C2"/>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2C01C2"/>
  </w:style>
  <w:style w:type="paragraph" w:styleId="Footer">
    <w:name w:val="footer"/>
    <w:basedOn w:val="Normal"/>
    <w:link w:val="FooterChar"/>
    <w:uiPriority w:val="99"/>
    <w:semiHidden/>
    <w:unhideWhenUsed/>
    <w:rsid w:val="002C01C2"/>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2C01C2"/>
  </w:style>
  <w:style w:type="paragraph" w:styleId="TOC1">
    <w:name w:val="toc 1"/>
    <w:basedOn w:val="Normal"/>
    <w:next w:val="Normal"/>
    <w:autoRedefine/>
    <w:uiPriority w:val="39"/>
    <w:unhideWhenUsed/>
    <w:rsid w:val="00F83C4A"/>
    <w:pPr>
      <w:spacing w:after="100"/>
    </w:pPr>
  </w:style>
  <w:style w:type="paragraph" w:styleId="TOC2">
    <w:name w:val="toc 2"/>
    <w:basedOn w:val="Normal"/>
    <w:next w:val="Normal"/>
    <w:autoRedefine/>
    <w:uiPriority w:val="39"/>
    <w:unhideWhenUsed/>
    <w:rsid w:val="00F83C4A"/>
    <w:pPr>
      <w:spacing w:after="100"/>
      <w:ind w:left="220"/>
    </w:pPr>
  </w:style>
  <w:style w:type="character" w:styleId="Hyperlink">
    <w:name w:val="Hyperlink"/>
    <w:basedOn w:val="DefaultParagraphFont"/>
    <w:uiPriority w:val="99"/>
    <w:unhideWhenUsed/>
    <w:rsid w:val="00F83C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5c676b77bf17f736467df94e86f676df">
  <xsd:schema xmlns:xsd="http://www.w3.org/2001/XMLSchema" xmlns:xs="http://www.w3.org/2001/XMLSchema" xmlns:p="http://schemas.microsoft.com/office/2006/metadata/properties" xmlns:ns3="ccfc14db-0f45-423b-b2f5-752f8f8a0ada" targetNamespace="http://schemas.microsoft.com/office/2006/metadata/properties" ma:root="true" ma:fieldsID="8695ade2afc74bf829023b9e1856c67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455DF1F6-7828-4A37-9667-EC1A60822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A08630-3C87-4193-8D88-9BBF2F481F0C}">
  <ds:schemaRefs>
    <ds:schemaRef ds:uri="http://schemas.microsoft.com/sharepoint/v3/contenttype/forms"/>
  </ds:schemaRefs>
</ds:datastoreItem>
</file>

<file path=customXml/itemProps3.xml><?xml version="1.0" encoding="utf-8"?>
<ds:datastoreItem xmlns:ds="http://schemas.openxmlformats.org/officeDocument/2006/customXml" ds:itemID="{4594A52D-CA35-4AE1-BF90-F90E671B9294}">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Pegah Erfani (2426967)</lastModifiedBy>
  <revision>16</revision>
  <dcterms:created xsi:type="dcterms:W3CDTF">2026-02-26T16:03:00.0000000Z</dcterms:created>
  <dcterms:modified xsi:type="dcterms:W3CDTF">2026-02-26T16:19:25.0392924Z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