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51585656"/>
        <w:docPartObj>
          <w:docPartGallery w:val="Cover Pages"/>
          <w:docPartUnique/>
        </w:docPartObj>
      </w:sdtPr>
      <w:sdtContent>
        <w:p w14:paraId="50844C25" w14:textId="5D22B4B4" w:rsidR="00FD34AF" w:rsidRDefault="00FD34AF">
          <w:r>
            <w:rPr>
              <w:noProof/>
            </w:rPr>
            <mc:AlternateContent>
              <mc:Choice Requires="wpg">
                <w:drawing>
                  <wp:anchor distT="0" distB="0" distL="114300" distR="114300" simplePos="0" relativeHeight="251662336" behindDoc="0" locked="0" layoutInCell="1" allowOverlap="1" wp14:anchorId="7E6A13A2" wp14:editId="46803925">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24EF35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011C657E" wp14:editId="177B4B63">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734A3E" w14:textId="756AFD87" w:rsidR="00FD34AF" w:rsidRPr="00FD34AF" w:rsidRDefault="00FD34AF">
                                <w:pPr>
                                  <w:jc w:val="right"/>
                                  <w:rPr>
                                    <w:rFonts w:ascii="Arial" w:hAnsi="Arial" w:cs="Arial"/>
                                    <w:b/>
                                    <w:bCs/>
                                    <w:color w:val="4472C4" w:themeColor="accent1"/>
                                    <w:sz w:val="180"/>
                                    <w:szCs w:val="180"/>
                                  </w:rPr>
                                </w:pPr>
                                <w:sdt>
                                  <w:sdtPr>
                                    <w:rPr>
                                      <w:rFonts w:ascii="Arial" w:hAnsi="Arial" w:cs="Arial"/>
                                      <w:b/>
                                      <w:bCs/>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FD34AF">
                                      <w:rPr>
                                        <w:rFonts w:ascii="Arial" w:hAnsi="Arial" w:cs="Arial"/>
                                        <w:b/>
                                        <w:bCs/>
                                        <w:sz w:val="40"/>
                                        <w:szCs w:val="40"/>
                                      </w:rPr>
                                      <w:t>Adapting to Global Transformation: The Strategic Response of HSBC to Artificial Intelligence, Geopolitical Risk, and Sustainability Regulation</w:t>
                                    </w:r>
                                  </w:sdtContent>
                                </w:sdt>
                              </w:p>
                              <w:sdt>
                                <w:sdtPr>
                                  <w:rPr>
                                    <w:rFonts w:ascii="Arial" w:hAnsi="Arial" w:cs="Arial"/>
                                    <w:b/>
                                    <w:bCs/>
                                    <w:sz w:val="28"/>
                                    <w:szCs w:val="28"/>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CF40C5C" w14:textId="0A381B14" w:rsidR="00FD34AF" w:rsidRDefault="00FD34AF" w:rsidP="00FD34AF">
                                    <w:pPr>
                                      <w:jc w:val="right"/>
                                      <w:rPr>
                                        <w:smallCaps/>
                                        <w:color w:val="404040" w:themeColor="text1" w:themeTint="BF"/>
                                        <w:sz w:val="36"/>
                                        <w:szCs w:val="36"/>
                                      </w:rPr>
                                    </w:pPr>
                                    <w:r w:rsidRPr="00FD34AF">
                                      <w:rPr>
                                        <w:rFonts w:ascii="Arial" w:hAnsi="Arial" w:cs="Arial"/>
                                        <w:b/>
                                        <w:bCs/>
                                        <w:sz w:val="28"/>
                                        <w:szCs w:val="28"/>
                                      </w:rPr>
                                      <w:t>LCBB4016 Global Business Environment</w:t>
                                    </w:r>
                                    <w:r>
                                      <w:rPr>
                                        <w:rFonts w:ascii="Arial" w:hAnsi="Arial" w:cs="Arial"/>
                                        <w:b/>
                                        <w:bCs/>
                                        <w:sz w:val="28"/>
                                        <w:szCs w:val="28"/>
                                      </w:rPr>
                                      <w:t xml:space="preserve">                                  Sorina </w:t>
                                    </w:r>
                                    <w:proofErr w:type="spellStart"/>
                                    <w:r>
                                      <w:rPr>
                                        <w:rFonts w:ascii="Arial" w:hAnsi="Arial" w:cs="Arial"/>
                                        <w:b/>
                                        <w:bCs/>
                                        <w:sz w:val="28"/>
                                        <w:szCs w:val="28"/>
                                      </w:rPr>
                                      <w:t>Craescu</w:t>
                                    </w:r>
                                    <w:proofErr w:type="spellEnd"/>
                                    <w:r>
                                      <w:rPr>
                                        <w:rFonts w:ascii="Arial" w:hAnsi="Arial" w:cs="Arial"/>
                                        <w:b/>
                                        <w:bCs/>
                                        <w:sz w:val="28"/>
                                        <w:szCs w:val="28"/>
                                      </w:rPr>
                                      <w:t xml:space="preserve"> </w:t>
                                    </w:r>
                                    <w:r w:rsidR="002A5411">
                                      <w:rPr>
                                        <w:rFonts w:ascii="Arial" w:hAnsi="Arial" w:cs="Arial"/>
                                        <w:b/>
                                        <w:bCs/>
                                        <w:sz w:val="28"/>
                                        <w:szCs w:val="28"/>
                                      </w:rPr>
                                      <w:t>242</w:t>
                                    </w:r>
                                    <w:r w:rsidR="00303C68">
                                      <w:rPr>
                                        <w:rFonts w:ascii="Arial" w:hAnsi="Arial" w:cs="Arial"/>
                                        <w:b/>
                                        <w:bCs/>
                                        <w:sz w:val="28"/>
                                        <w:szCs w:val="28"/>
                                      </w:rPr>
                                      <w:t>9530</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011C657E" id="_x0000_t202" coordsize="21600,21600" o:spt="202" path="m,l,21600r21600,l216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" filled="f" stroked="f" strokeweight=".5pt">
                    <v:textbox inset="126pt,0,54pt,0">
                      <w:txbxContent>
                        <w:p w14:paraId="47734A3E" w14:textId="756AFD87" w:rsidR="00FD34AF" w:rsidRPr="00FD34AF" w:rsidRDefault="00FD34AF">
                          <w:pPr>
                            <w:jc w:val="right"/>
                            <w:rPr>
                              <w:rFonts w:ascii="Arial" w:hAnsi="Arial" w:cs="Arial"/>
                              <w:b/>
                              <w:bCs/>
                              <w:color w:val="4472C4" w:themeColor="accent1"/>
                              <w:sz w:val="180"/>
                              <w:szCs w:val="180"/>
                            </w:rPr>
                          </w:pPr>
                          <w:sdt>
                            <w:sdtPr>
                              <w:rPr>
                                <w:rFonts w:ascii="Arial" w:hAnsi="Arial" w:cs="Arial"/>
                                <w:b/>
                                <w:bCs/>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FD34AF">
                                <w:rPr>
                                  <w:rFonts w:ascii="Arial" w:hAnsi="Arial" w:cs="Arial"/>
                                  <w:b/>
                                  <w:bCs/>
                                  <w:sz w:val="40"/>
                                  <w:szCs w:val="40"/>
                                </w:rPr>
                                <w:t>Adapting to Global Transformation: The Strategic Response of HSBC to Artificial Intelligence, Geopolitical Risk, and Sustainability Regulation</w:t>
                              </w:r>
                            </w:sdtContent>
                          </w:sdt>
                        </w:p>
                        <w:sdt>
                          <w:sdtPr>
                            <w:rPr>
                              <w:rFonts w:ascii="Arial" w:hAnsi="Arial" w:cs="Arial"/>
                              <w:b/>
                              <w:bCs/>
                              <w:sz w:val="28"/>
                              <w:szCs w:val="28"/>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CF40C5C" w14:textId="0A381B14" w:rsidR="00FD34AF" w:rsidRDefault="00FD34AF" w:rsidP="00FD34AF">
                              <w:pPr>
                                <w:jc w:val="right"/>
                                <w:rPr>
                                  <w:smallCaps/>
                                  <w:color w:val="404040" w:themeColor="text1" w:themeTint="BF"/>
                                  <w:sz w:val="36"/>
                                  <w:szCs w:val="36"/>
                                </w:rPr>
                              </w:pPr>
                              <w:r w:rsidRPr="00FD34AF">
                                <w:rPr>
                                  <w:rFonts w:ascii="Arial" w:hAnsi="Arial" w:cs="Arial"/>
                                  <w:b/>
                                  <w:bCs/>
                                  <w:sz w:val="28"/>
                                  <w:szCs w:val="28"/>
                                </w:rPr>
                                <w:t>LCBB4016 Global Business Environment</w:t>
                              </w:r>
                              <w:r>
                                <w:rPr>
                                  <w:rFonts w:ascii="Arial" w:hAnsi="Arial" w:cs="Arial"/>
                                  <w:b/>
                                  <w:bCs/>
                                  <w:sz w:val="28"/>
                                  <w:szCs w:val="28"/>
                                </w:rPr>
                                <w:t xml:space="preserve">                                  Sorina </w:t>
                              </w:r>
                              <w:proofErr w:type="spellStart"/>
                              <w:r>
                                <w:rPr>
                                  <w:rFonts w:ascii="Arial" w:hAnsi="Arial" w:cs="Arial"/>
                                  <w:b/>
                                  <w:bCs/>
                                  <w:sz w:val="28"/>
                                  <w:szCs w:val="28"/>
                                </w:rPr>
                                <w:t>Craescu</w:t>
                              </w:r>
                              <w:proofErr w:type="spellEnd"/>
                              <w:r>
                                <w:rPr>
                                  <w:rFonts w:ascii="Arial" w:hAnsi="Arial" w:cs="Arial"/>
                                  <w:b/>
                                  <w:bCs/>
                                  <w:sz w:val="28"/>
                                  <w:szCs w:val="28"/>
                                </w:rPr>
                                <w:t xml:space="preserve"> </w:t>
                              </w:r>
                              <w:r w:rsidR="002A5411">
                                <w:rPr>
                                  <w:rFonts w:ascii="Arial" w:hAnsi="Arial" w:cs="Arial"/>
                                  <w:b/>
                                  <w:bCs/>
                                  <w:sz w:val="28"/>
                                  <w:szCs w:val="28"/>
                                </w:rPr>
                                <w:t>242</w:t>
                              </w:r>
                              <w:r w:rsidR="00303C68">
                                <w:rPr>
                                  <w:rFonts w:ascii="Arial" w:hAnsi="Arial" w:cs="Arial"/>
                                  <w:b/>
                                  <w:bCs/>
                                  <w:sz w:val="28"/>
                                  <w:szCs w:val="28"/>
                                </w:rPr>
                                <w:t>9530</w:t>
                              </w:r>
                            </w:p>
                          </w:sdtContent>
                        </w:sdt>
                      </w:txbxContent>
                    </v:textbox>
                    <w10:wrap type="square" anchorx="page" anchory="page"/>
                  </v:shape>
                </w:pict>
              </mc:Fallback>
            </mc:AlternateContent>
          </w:r>
        </w:p>
        <w:p w14:paraId="38A1A2B0" w14:textId="55CEFF54" w:rsidR="00FD34AF" w:rsidRDefault="00FD34AF">
          <w:r>
            <w:br w:type="page"/>
          </w:r>
        </w:p>
      </w:sdtContent>
    </w:sdt>
    <w:p w14:paraId="5384E7D2" w14:textId="141A853A" w:rsidR="00AE6E11" w:rsidRDefault="00FD34AF">
      <w:pPr>
        <w:rPr>
          <w:rFonts w:ascii="Arial" w:hAnsi="Arial" w:cs="Arial"/>
          <w:b/>
          <w:bCs/>
          <w:sz w:val="24"/>
          <w:szCs w:val="24"/>
        </w:rPr>
      </w:pPr>
      <w:r>
        <w:rPr>
          <w:rFonts w:ascii="Arial" w:hAnsi="Arial" w:cs="Arial"/>
          <w:b/>
          <w:bCs/>
          <w:sz w:val="24"/>
          <w:szCs w:val="24"/>
        </w:rPr>
        <w:lastRenderedPageBreak/>
        <w:t>Introduction</w:t>
      </w:r>
    </w:p>
    <w:p w14:paraId="5875AF53" w14:textId="45DFB32F" w:rsidR="00FD34AF" w:rsidRDefault="00FD34AF" w:rsidP="00FD34AF">
      <w:pPr>
        <w:spacing w:line="360" w:lineRule="auto"/>
        <w:rPr>
          <w:rFonts w:ascii="Arial" w:hAnsi="Arial" w:cs="Arial"/>
          <w:sz w:val="24"/>
          <w:szCs w:val="24"/>
        </w:rPr>
      </w:pPr>
      <w:proofErr w:type="spellStart"/>
      <w:r w:rsidRPr="00FD34AF">
        <w:rPr>
          <w:rFonts w:ascii="Arial" w:hAnsi="Arial" w:cs="Arial"/>
          <w:sz w:val="24"/>
          <w:szCs w:val="24"/>
        </w:rPr>
        <w:t>Globalisation</w:t>
      </w:r>
      <w:proofErr w:type="spellEnd"/>
      <w:r w:rsidRPr="00FD34AF">
        <w:rPr>
          <w:rFonts w:ascii="Arial" w:hAnsi="Arial" w:cs="Arial"/>
          <w:sz w:val="24"/>
          <w:szCs w:val="24"/>
        </w:rPr>
        <w:t xml:space="preserve"> refers to the growing interdependence of national economies via commerce, financial flows, technical interchange, and information flow across boundaries (Steger, 20</w:t>
      </w:r>
      <w:r w:rsidR="00FB7A55">
        <w:rPr>
          <w:rFonts w:ascii="Arial" w:hAnsi="Arial" w:cs="Arial"/>
          <w:sz w:val="24"/>
          <w:szCs w:val="24"/>
        </w:rPr>
        <w:t>13</w:t>
      </w:r>
      <w:r w:rsidRPr="00FD34AF">
        <w:rPr>
          <w:rFonts w:ascii="Arial" w:hAnsi="Arial" w:cs="Arial"/>
          <w:sz w:val="24"/>
          <w:szCs w:val="24"/>
        </w:rPr>
        <w:t xml:space="preserve">). </w:t>
      </w:r>
      <w:proofErr w:type="spellStart"/>
      <w:r w:rsidRPr="00FD34AF">
        <w:rPr>
          <w:rFonts w:ascii="Arial" w:hAnsi="Arial" w:cs="Arial"/>
          <w:sz w:val="24"/>
          <w:szCs w:val="24"/>
        </w:rPr>
        <w:t>Globalisation</w:t>
      </w:r>
      <w:proofErr w:type="spellEnd"/>
      <w:r w:rsidRPr="00FD34AF">
        <w:rPr>
          <w:rFonts w:ascii="Arial" w:hAnsi="Arial" w:cs="Arial"/>
          <w:sz w:val="24"/>
          <w:szCs w:val="24"/>
        </w:rPr>
        <w:t xml:space="preserve"> is still shaping how multinational firms operate and compete on a worldwide scale in today's economic climate. However, its trajectory is being altered by rising global influences, including artificial intelligence (AI), geopolitical conflicts, and changing environmental standards. In the </w:t>
      </w:r>
      <w:r w:rsidR="00502828" w:rsidRPr="00FD34AF">
        <w:rPr>
          <w:rFonts w:ascii="Arial" w:hAnsi="Arial" w:cs="Arial"/>
          <w:sz w:val="24"/>
          <w:szCs w:val="24"/>
        </w:rPr>
        <w:t>2024–2025-time</w:t>
      </w:r>
      <w:r w:rsidRPr="00FD34AF">
        <w:rPr>
          <w:rFonts w:ascii="Arial" w:hAnsi="Arial" w:cs="Arial"/>
          <w:sz w:val="24"/>
          <w:szCs w:val="24"/>
        </w:rPr>
        <w:t xml:space="preserve"> frame, these pressures are reshaping business models and strategic goals, particularly with the implementation of frameworks such as the European Union's Corporate Sustainability Reporting Directive (CSRD) (Kolk, 201</w:t>
      </w:r>
      <w:r w:rsidR="00FB7A55">
        <w:rPr>
          <w:rFonts w:ascii="Arial" w:hAnsi="Arial" w:cs="Arial"/>
          <w:sz w:val="24"/>
          <w:szCs w:val="24"/>
        </w:rPr>
        <w:t>5</w:t>
      </w:r>
      <w:r w:rsidR="002A5411">
        <w:rPr>
          <w:rFonts w:ascii="Arial" w:hAnsi="Arial" w:cs="Arial"/>
          <w:sz w:val="24"/>
          <w:szCs w:val="24"/>
        </w:rPr>
        <w:t>).</w:t>
      </w:r>
    </w:p>
    <w:p w14:paraId="23D73C17" w14:textId="6095C51C" w:rsidR="00502828" w:rsidRDefault="00502828" w:rsidP="00FD34AF">
      <w:pPr>
        <w:spacing w:line="360" w:lineRule="auto"/>
        <w:rPr>
          <w:rFonts w:ascii="Arial" w:hAnsi="Arial" w:cs="Arial"/>
          <w:sz w:val="24"/>
          <w:szCs w:val="24"/>
        </w:rPr>
      </w:pPr>
      <w:r w:rsidRPr="00502828">
        <w:rPr>
          <w:rFonts w:ascii="Arial" w:hAnsi="Arial" w:cs="Arial"/>
          <w:sz w:val="24"/>
          <w:szCs w:val="24"/>
        </w:rPr>
        <w:t xml:space="preserve">HSBC Holdings plc works on numerous continents and services a varied global client </w:t>
      </w:r>
      <w:r w:rsidRPr="00502828">
        <w:rPr>
          <w:rFonts w:ascii="Arial" w:hAnsi="Arial" w:cs="Arial"/>
          <w:sz w:val="24"/>
          <w:szCs w:val="24"/>
        </w:rPr>
        <w:t>base;</w:t>
      </w:r>
      <w:r w:rsidRPr="00502828">
        <w:rPr>
          <w:rFonts w:ascii="Arial" w:hAnsi="Arial" w:cs="Arial"/>
          <w:sz w:val="24"/>
          <w:szCs w:val="24"/>
        </w:rPr>
        <w:t xml:space="preserve"> </w:t>
      </w:r>
      <w:r w:rsidRPr="00502828">
        <w:rPr>
          <w:rFonts w:ascii="Arial" w:hAnsi="Arial" w:cs="Arial"/>
          <w:sz w:val="24"/>
          <w:szCs w:val="24"/>
        </w:rPr>
        <w:t>thus,</w:t>
      </w:r>
      <w:r w:rsidRPr="00502828">
        <w:rPr>
          <w:rFonts w:ascii="Arial" w:hAnsi="Arial" w:cs="Arial"/>
          <w:sz w:val="24"/>
          <w:szCs w:val="24"/>
        </w:rPr>
        <w:t xml:space="preserve"> it is very sensitive to these trends. This article critically explores the potential and difficulties presented by AI, geopolitical instability, and sustainability legislation, assesses their influence on HSBC's strategy and competitiveness, and makes recommendations to improve its worldwide performance.</w:t>
      </w:r>
    </w:p>
    <w:p w14:paraId="6CB7AFD1" w14:textId="5DE0CD4D" w:rsidR="00502828" w:rsidRDefault="00502828" w:rsidP="00FD34AF">
      <w:pPr>
        <w:spacing w:line="360" w:lineRule="auto"/>
        <w:rPr>
          <w:rFonts w:ascii="Arial" w:hAnsi="Arial" w:cs="Arial"/>
          <w:sz w:val="24"/>
          <w:szCs w:val="24"/>
        </w:rPr>
      </w:pPr>
    </w:p>
    <w:p w14:paraId="1430DDDD" w14:textId="526111DE" w:rsidR="00502828" w:rsidRDefault="00502828" w:rsidP="00FD34AF">
      <w:pPr>
        <w:spacing w:line="360" w:lineRule="auto"/>
        <w:rPr>
          <w:rFonts w:ascii="Arial" w:hAnsi="Arial" w:cs="Arial"/>
          <w:b/>
          <w:bCs/>
          <w:sz w:val="24"/>
          <w:szCs w:val="24"/>
        </w:rPr>
      </w:pPr>
      <w:r>
        <w:rPr>
          <w:rFonts w:ascii="Arial" w:hAnsi="Arial" w:cs="Arial"/>
          <w:b/>
          <w:bCs/>
          <w:sz w:val="24"/>
          <w:szCs w:val="24"/>
        </w:rPr>
        <w:t>Opportunities and Challenges</w:t>
      </w:r>
    </w:p>
    <w:p w14:paraId="70F7645C" w14:textId="1717DE23" w:rsidR="00502828" w:rsidRDefault="00502828" w:rsidP="00502828">
      <w:pPr>
        <w:spacing w:line="360" w:lineRule="auto"/>
        <w:rPr>
          <w:rFonts w:ascii="Arial" w:hAnsi="Arial" w:cs="Arial"/>
          <w:sz w:val="24"/>
          <w:szCs w:val="24"/>
        </w:rPr>
      </w:pPr>
      <w:r w:rsidRPr="00502828">
        <w:rPr>
          <w:rFonts w:ascii="Arial" w:hAnsi="Arial" w:cs="Arial"/>
          <w:sz w:val="24"/>
          <w:szCs w:val="24"/>
        </w:rPr>
        <w:t xml:space="preserve">HSBC can benefit greatly from artificial intelligence, especially in terms of boosting productivity and improving customer experience. AI technologies facilitate advanced data processing, fraud detection, and predictive analytics, which support more accurate decision-making and risk management (Russell and Norvig, 2021). Additionally, AI-driven </w:t>
      </w:r>
      <w:proofErr w:type="spellStart"/>
      <w:r w:rsidRPr="00502828">
        <w:rPr>
          <w:rFonts w:ascii="Arial" w:hAnsi="Arial" w:cs="Arial"/>
          <w:sz w:val="24"/>
          <w:szCs w:val="24"/>
        </w:rPr>
        <w:t>personalisation</w:t>
      </w:r>
      <w:proofErr w:type="spellEnd"/>
      <w:r w:rsidRPr="00502828">
        <w:rPr>
          <w:rFonts w:ascii="Arial" w:hAnsi="Arial" w:cs="Arial"/>
          <w:sz w:val="24"/>
          <w:szCs w:val="24"/>
        </w:rPr>
        <w:t xml:space="preserve"> enables the bank to adapt services to individual customer requirements, thereby enhancing client satisfaction and retention rates. Despite this, the implementation of AI also poses major obstacles. Financial institutions must deal with issues of accountability, ethical decision-making in automated systems, as well as increased regulatory scrutiny regarding algorithmic fairness and data protection (Cath, 2018).</w:t>
      </w:r>
    </w:p>
    <w:p w14:paraId="09B1AE26" w14:textId="78F610A0" w:rsidR="00502828" w:rsidRDefault="00502828" w:rsidP="00502828">
      <w:pPr>
        <w:spacing w:line="360" w:lineRule="auto"/>
        <w:rPr>
          <w:rFonts w:ascii="Arial" w:hAnsi="Arial" w:cs="Arial"/>
          <w:sz w:val="24"/>
          <w:szCs w:val="24"/>
        </w:rPr>
      </w:pPr>
      <w:r w:rsidRPr="00502828">
        <w:rPr>
          <w:rFonts w:ascii="Arial" w:hAnsi="Arial" w:cs="Arial"/>
          <w:sz w:val="24"/>
          <w:szCs w:val="24"/>
        </w:rPr>
        <w:t xml:space="preserve">Geopolitical pressures provide both possibilities and threats. On the contrary aspect, shifting global economic dominance and regional trade restructuring present chances </w:t>
      </w:r>
      <w:r w:rsidRPr="00502828">
        <w:rPr>
          <w:rFonts w:ascii="Arial" w:hAnsi="Arial" w:cs="Arial"/>
          <w:sz w:val="24"/>
          <w:szCs w:val="24"/>
        </w:rPr>
        <w:lastRenderedPageBreak/>
        <w:t>for HSBC to grow into developing nations, most notably Asia. This diversification can improve long-term economic prospects while reducing dependency on established markets. Geopolitical instability, on the other hand, causes uncertainty in financial markets and contributes to regulatory fragmentation. According to Baldwin (2019), geopolitical changes have raised global economic complexity, influencing cross-border financial transactions. For HSBC, this might result in higher compliance expenses, operational interruptions, and strategic planning issues.</w:t>
      </w:r>
    </w:p>
    <w:p w14:paraId="12E8B919" w14:textId="5409D786" w:rsidR="00502828" w:rsidRDefault="00502828" w:rsidP="00502828">
      <w:pPr>
        <w:spacing w:line="360" w:lineRule="auto"/>
        <w:rPr>
          <w:rFonts w:ascii="Arial" w:hAnsi="Arial" w:cs="Arial"/>
          <w:sz w:val="24"/>
          <w:szCs w:val="24"/>
        </w:rPr>
      </w:pPr>
      <w:r w:rsidRPr="00502828">
        <w:rPr>
          <w:rFonts w:ascii="Arial" w:hAnsi="Arial" w:cs="Arial"/>
          <w:sz w:val="24"/>
          <w:szCs w:val="24"/>
        </w:rPr>
        <w:t xml:space="preserve">Sustainability legislation, most notably the CSRD, creates both advantages and limitations. The necessity for improved environmental, social, and governance (ESG) reporting fosters openness and accountability, allowing HSBC to build on its reputation as a responsible banking business. This posture is further supported by growing investor demand for sustainable finance (Friede et al., 2015). However, compliance with such requirements necessitates substantial investment in data systems, reporting processes, and governance structures. This raises operational complexity and puts additional strain on </w:t>
      </w:r>
      <w:proofErr w:type="spellStart"/>
      <w:r w:rsidRPr="00502828">
        <w:rPr>
          <w:rFonts w:ascii="Arial" w:hAnsi="Arial" w:cs="Arial"/>
          <w:sz w:val="24"/>
          <w:szCs w:val="24"/>
        </w:rPr>
        <w:t>organisational</w:t>
      </w:r>
      <w:proofErr w:type="spellEnd"/>
      <w:r w:rsidRPr="00502828">
        <w:rPr>
          <w:rFonts w:ascii="Arial" w:hAnsi="Arial" w:cs="Arial"/>
          <w:sz w:val="24"/>
          <w:szCs w:val="24"/>
        </w:rPr>
        <w:t xml:space="preserve"> resources, particularly in an international environment.</w:t>
      </w:r>
    </w:p>
    <w:p w14:paraId="189E1FED" w14:textId="176B14F8" w:rsidR="00502828" w:rsidRDefault="00502828" w:rsidP="00502828">
      <w:pPr>
        <w:spacing w:line="360" w:lineRule="auto"/>
        <w:rPr>
          <w:rFonts w:ascii="Arial" w:hAnsi="Arial" w:cs="Arial"/>
          <w:sz w:val="24"/>
          <w:szCs w:val="24"/>
        </w:rPr>
      </w:pPr>
      <w:r w:rsidRPr="00502828">
        <w:rPr>
          <w:rFonts w:ascii="Arial" w:hAnsi="Arial" w:cs="Arial"/>
          <w:sz w:val="24"/>
          <w:szCs w:val="24"/>
        </w:rPr>
        <w:t>In general, although AI, geopolitical changes, and sustainability rules create potential for innovation, growth, and distinction, they also present financial, operational, and regulatory obstacles for HSBC to properly manage.</w:t>
      </w:r>
    </w:p>
    <w:p w14:paraId="02103D99" w14:textId="4417BF58" w:rsidR="00502828" w:rsidRDefault="00502828" w:rsidP="00502828">
      <w:pPr>
        <w:spacing w:line="360" w:lineRule="auto"/>
        <w:rPr>
          <w:rFonts w:ascii="Arial" w:hAnsi="Arial" w:cs="Arial"/>
          <w:sz w:val="24"/>
          <w:szCs w:val="24"/>
        </w:rPr>
      </w:pPr>
    </w:p>
    <w:p w14:paraId="5E14659E" w14:textId="536D6618" w:rsidR="00502828" w:rsidRDefault="00502828" w:rsidP="00502828">
      <w:pPr>
        <w:spacing w:line="360" w:lineRule="auto"/>
        <w:rPr>
          <w:rFonts w:ascii="Arial" w:hAnsi="Arial" w:cs="Arial"/>
          <w:b/>
          <w:bCs/>
          <w:sz w:val="24"/>
          <w:szCs w:val="24"/>
        </w:rPr>
      </w:pPr>
      <w:r>
        <w:rPr>
          <w:rFonts w:ascii="Arial" w:hAnsi="Arial" w:cs="Arial"/>
          <w:b/>
          <w:bCs/>
          <w:sz w:val="24"/>
          <w:szCs w:val="24"/>
        </w:rPr>
        <w:t xml:space="preserve">Impact on </w:t>
      </w:r>
      <w:proofErr w:type="spellStart"/>
      <w:r>
        <w:rPr>
          <w:rFonts w:ascii="Arial" w:hAnsi="Arial" w:cs="Arial"/>
          <w:b/>
          <w:bCs/>
          <w:sz w:val="24"/>
          <w:szCs w:val="24"/>
        </w:rPr>
        <w:t>Organisation</w:t>
      </w:r>
      <w:proofErr w:type="spellEnd"/>
    </w:p>
    <w:p w14:paraId="3FB1A0A8" w14:textId="76D64A3F" w:rsidR="00502828" w:rsidRPr="00502828" w:rsidRDefault="00502828" w:rsidP="00502828">
      <w:pPr>
        <w:spacing w:line="360" w:lineRule="auto"/>
        <w:rPr>
          <w:rFonts w:ascii="Arial" w:hAnsi="Arial" w:cs="Arial"/>
          <w:sz w:val="24"/>
          <w:szCs w:val="24"/>
        </w:rPr>
      </w:pPr>
      <w:r w:rsidRPr="00502828">
        <w:rPr>
          <w:rFonts w:ascii="Arial" w:hAnsi="Arial" w:cs="Arial"/>
          <w:sz w:val="24"/>
          <w:szCs w:val="24"/>
        </w:rPr>
        <w:t>These global influences have a substantial impact on HSBC's market position, innovative capabilities, people management, and competitiveness.</w:t>
      </w:r>
    </w:p>
    <w:p w14:paraId="17741F6A" w14:textId="77777777" w:rsidR="00502828" w:rsidRDefault="00502828" w:rsidP="00502828">
      <w:pPr>
        <w:spacing w:line="360" w:lineRule="auto"/>
        <w:rPr>
          <w:rFonts w:ascii="Arial" w:hAnsi="Arial" w:cs="Arial"/>
          <w:sz w:val="24"/>
          <w:szCs w:val="24"/>
        </w:rPr>
      </w:pPr>
      <w:r w:rsidRPr="00502828">
        <w:rPr>
          <w:rFonts w:ascii="Arial" w:hAnsi="Arial" w:cs="Arial"/>
          <w:sz w:val="24"/>
          <w:szCs w:val="24"/>
        </w:rPr>
        <w:t>In terms of market positioning, HSBC's dedication to sustainability benefits its brand image and stakeholder trust. Through integrating its operations with ESG principles, the bank stands out in an incredibly competitive industry. In contrast, geopolitical conflicts may limit access to specific regions, reducing economic potential and creating strategic uncertainty.</w:t>
      </w:r>
    </w:p>
    <w:p w14:paraId="26F291DE" w14:textId="24CB8C99" w:rsidR="00502828" w:rsidRDefault="00502828" w:rsidP="00502828">
      <w:pPr>
        <w:spacing w:line="360" w:lineRule="auto"/>
        <w:rPr>
          <w:rFonts w:ascii="Arial" w:hAnsi="Arial" w:cs="Arial"/>
          <w:sz w:val="24"/>
          <w:szCs w:val="24"/>
        </w:rPr>
      </w:pPr>
      <w:r w:rsidRPr="00502828">
        <w:rPr>
          <w:rFonts w:ascii="Arial" w:hAnsi="Arial" w:cs="Arial"/>
          <w:sz w:val="24"/>
          <w:szCs w:val="24"/>
        </w:rPr>
        <w:lastRenderedPageBreak/>
        <w:t>Adoption of AI drives significant innovation. HSBC's use of sophisticated analytics and automation increases productivity and allows for the creation of novel financial services. This increases its competitive edge in the banking industry. Nonetheless, continual investment is necessary to stay up with technological advances, posing financial and strategic challenges (</w:t>
      </w:r>
      <w:proofErr w:type="spellStart"/>
      <w:r w:rsidRPr="00502828">
        <w:rPr>
          <w:rFonts w:ascii="Arial" w:hAnsi="Arial" w:cs="Arial"/>
          <w:sz w:val="24"/>
          <w:szCs w:val="24"/>
        </w:rPr>
        <w:t>Bughin</w:t>
      </w:r>
      <w:proofErr w:type="spellEnd"/>
      <w:r w:rsidRPr="00502828">
        <w:rPr>
          <w:rFonts w:ascii="Arial" w:hAnsi="Arial" w:cs="Arial"/>
          <w:sz w:val="24"/>
          <w:szCs w:val="24"/>
        </w:rPr>
        <w:t xml:space="preserve"> et al., 201</w:t>
      </w:r>
      <w:r w:rsidR="00FB7A55">
        <w:rPr>
          <w:rFonts w:ascii="Arial" w:hAnsi="Arial" w:cs="Arial"/>
          <w:sz w:val="24"/>
          <w:szCs w:val="24"/>
        </w:rPr>
        <w:t>7</w:t>
      </w:r>
      <w:r w:rsidRPr="00502828">
        <w:rPr>
          <w:rFonts w:ascii="Arial" w:hAnsi="Arial" w:cs="Arial"/>
          <w:sz w:val="24"/>
          <w:szCs w:val="24"/>
        </w:rPr>
        <w:t>).</w:t>
      </w:r>
    </w:p>
    <w:p w14:paraId="650CE0FD" w14:textId="34F95C9D" w:rsidR="00502828" w:rsidRPr="00502828" w:rsidRDefault="00502828" w:rsidP="00502828">
      <w:pPr>
        <w:spacing w:line="360" w:lineRule="auto"/>
        <w:rPr>
          <w:rFonts w:ascii="Arial" w:hAnsi="Arial" w:cs="Arial"/>
          <w:sz w:val="24"/>
          <w:szCs w:val="24"/>
        </w:rPr>
      </w:pPr>
      <w:r w:rsidRPr="00502828">
        <w:rPr>
          <w:rFonts w:ascii="Arial" w:hAnsi="Arial" w:cs="Arial"/>
          <w:sz w:val="24"/>
          <w:szCs w:val="24"/>
        </w:rPr>
        <w:t>These influences have an impact on talent management too. The combination of AI with sustainability criteria raises the demand for specialist talents in fields like as data science, cybersecurity, and ESG reporting</w:t>
      </w:r>
      <w:r w:rsidR="00FB7A55">
        <w:rPr>
          <w:rFonts w:ascii="Arial" w:hAnsi="Arial" w:cs="Arial"/>
          <w:sz w:val="24"/>
          <w:szCs w:val="24"/>
        </w:rPr>
        <w:t xml:space="preserve"> (</w:t>
      </w:r>
      <w:r w:rsidR="00980726">
        <w:rPr>
          <w:rFonts w:ascii="Arial" w:hAnsi="Arial" w:cs="Arial"/>
          <w:sz w:val="24"/>
          <w:szCs w:val="24"/>
        </w:rPr>
        <w:t>Wang</w:t>
      </w:r>
      <w:r w:rsidR="00FB7A55">
        <w:rPr>
          <w:rFonts w:ascii="Arial" w:hAnsi="Arial" w:cs="Arial"/>
          <w:sz w:val="24"/>
          <w:szCs w:val="24"/>
        </w:rPr>
        <w:t>, 202</w:t>
      </w:r>
      <w:r w:rsidR="00980726">
        <w:rPr>
          <w:rFonts w:ascii="Arial" w:hAnsi="Arial" w:cs="Arial"/>
          <w:sz w:val="24"/>
          <w:szCs w:val="24"/>
        </w:rPr>
        <w:t>6</w:t>
      </w:r>
      <w:r w:rsidR="00FB7A55">
        <w:rPr>
          <w:rFonts w:ascii="Arial" w:hAnsi="Arial" w:cs="Arial"/>
          <w:sz w:val="24"/>
          <w:szCs w:val="24"/>
        </w:rPr>
        <w:t>)</w:t>
      </w:r>
      <w:r w:rsidRPr="00502828">
        <w:rPr>
          <w:rFonts w:ascii="Arial" w:hAnsi="Arial" w:cs="Arial"/>
          <w:sz w:val="24"/>
          <w:szCs w:val="24"/>
        </w:rPr>
        <w:t>. This makes it difficult to entice and retain skilled professionals in a competitive job market (Brown and Lauder, 2012).</w:t>
      </w:r>
    </w:p>
    <w:p w14:paraId="7B90B863" w14:textId="22CD4D19" w:rsidR="00502828" w:rsidRDefault="00502828" w:rsidP="00502828">
      <w:pPr>
        <w:spacing w:line="360" w:lineRule="auto"/>
        <w:rPr>
          <w:rFonts w:ascii="Arial" w:hAnsi="Arial" w:cs="Arial"/>
          <w:sz w:val="24"/>
          <w:szCs w:val="24"/>
        </w:rPr>
      </w:pPr>
      <w:r w:rsidRPr="00502828">
        <w:rPr>
          <w:rFonts w:ascii="Arial" w:hAnsi="Arial" w:cs="Arial"/>
          <w:sz w:val="24"/>
          <w:szCs w:val="24"/>
        </w:rPr>
        <w:t xml:space="preserve">Overall competitiveness is dependent on HSBC's ability to incorporate these elements into a cohesive strategy. While technical innovation and environmental measures contribute to long-term wealth development, geopolitical concerns and regulatory constraints can impair short-term profitability. To sustain its worldwide leadership, the </w:t>
      </w:r>
      <w:proofErr w:type="spellStart"/>
      <w:r w:rsidRPr="00502828">
        <w:rPr>
          <w:rFonts w:ascii="Arial" w:hAnsi="Arial" w:cs="Arial"/>
          <w:sz w:val="24"/>
          <w:szCs w:val="24"/>
        </w:rPr>
        <w:t>organisation</w:t>
      </w:r>
      <w:proofErr w:type="spellEnd"/>
      <w:r w:rsidRPr="00502828">
        <w:rPr>
          <w:rFonts w:ascii="Arial" w:hAnsi="Arial" w:cs="Arial"/>
          <w:sz w:val="24"/>
          <w:szCs w:val="24"/>
        </w:rPr>
        <w:t xml:space="preserve"> must strike a balance between efficiency, innovation, and resilience.</w:t>
      </w:r>
    </w:p>
    <w:p w14:paraId="39138988" w14:textId="3D8FEAE4" w:rsidR="00495831" w:rsidRDefault="00495831" w:rsidP="00502828">
      <w:pPr>
        <w:spacing w:line="360" w:lineRule="auto"/>
        <w:rPr>
          <w:rFonts w:ascii="Arial" w:hAnsi="Arial" w:cs="Arial"/>
          <w:sz w:val="24"/>
          <w:szCs w:val="24"/>
        </w:rPr>
      </w:pPr>
    </w:p>
    <w:p w14:paraId="5533076A" w14:textId="48B78795" w:rsidR="00495831" w:rsidRDefault="00495831" w:rsidP="00502828">
      <w:pPr>
        <w:spacing w:line="360" w:lineRule="auto"/>
        <w:rPr>
          <w:rFonts w:ascii="Arial" w:hAnsi="Arial" w:cs="Arial"/>
          <w:b/>
          <w:bCs/>
          <w:sz w:val="24"/>
          <w:szCs w:val="24"/>
        </w:rPr>
      </w:pPr>
      <w:r>
        <w:rPr>
          <w:rFonts w:ascii="Arial" w:hAnsi="Arial" w:cs="Arial"/>
          <w:b/>
          <w:bCs/>
          <w:sz w:val="24"/>
          <w:szCs w:val="24"/>
        </w:rPr>
        <w:t>Strategic Recommendations</w:t>
      </w:r>
    </w:p>
    <w:p w14:paraId="43D93658" w14:textId="7883C0AF" w:rsidR="00495831" w:rsidRDefault="00495831" w:rsidP="00502828">
      <w:pPr>
        <w:spacing w:line="360" w:lineRule="auto"/>
        <w:rPr>
          <w:rFonts w:ascii="Arial" w:hAnsi="Arial" w:cs="Arial"/>
          <w:sz w:val="24"/>
          <w:szCs w:val="24"/>
        </w:rPr>
      </w:pPr>
      <w:r w:rsidRPr="00495831">
        <w:rPr>
          <w:rFonts w:ascii="Arial" w:hAnsi="Arial" w:cs="Arial"/>
          <w:sz w:val="24"/>
          <w:szCs w:val="24"/>
        </w:rPr>
        <w:t xml:space="preserve">To successfully adapt to the changing global environment, HSBC must pursue a holistic and integrated approach that balances technology innovation, resilience, sustainability, and personnel development. The primary priority should be to expand artificial intelligence capacities throughout fundamental banking activities. The </w:t>
      </w:r>
      <w:proofErr w:type="spellStart"/>
      <w:r w:rsidRPr="00495831">
        <w:rPr>
          <w:rFonts w:ascii="Arial" w:hAnsi="Arial" w:cs="Arial"/>
          <w:sz w:val="24"/>
          <w:szCs w:val="24"/>
        </w:rPr>
        <w:t>utilisation</w:t>
      </w:r>
      <w:proofErr w:type="spellEnd"/>
      <w:r w:rsidRPr="00495831">
        <w:rPr>
          <w:rFonts w:ascii="Arial" w:hAnsi="Arial" w:cs="Arial"/>
          <w:sz w:val="24"/>
          <w:szCs w:val="24"/>
        </w:rPr>
        <w:t xml:space="preserve"> of AI in fraud detection, credit risk assessment, and customer service may greatly improve operational effectiveness and decision-making precision. Even so, in order to confront ethical problems, such as data privacy, transparency, and algorithmic bias, these technical advancements must be accompanied by solid governance structures. The creation of explainable AI systems would increase accountability and stakeholder confidence, assuring compliance with increasingly demanding regulatory requirements.</w:t>
      </w:r>
    </w:p>
    <w:p w14:paraId="7183EACA" w14:textId="3D90D79E" w:rsidR="00495831" w:rsidRDefault="00495831" w:rsidP="00502828">
      <w:pPr>
        <w:spacing w:line="360" w:lineRule="auto"/>
        <w:rPr>
          <w:rFonts w:ascii="Arial" w:hAnsi="Arial" w:cs="Arial"/>
          <w:sz w:val="24"/>
          <w:szCs w:val="24"/>
        </w:rPr>
      </w:pPr>
      <w:r w:rsidRPr="00495831">
        <w:rPr>
          <w:rFonts w:ascii="Arial" w:hAnsi="Arial" w:cs="Arial"/>
          <w:sz w:val="24"/>
          <w:szCs w:val="24"/>
        </w:rPr>
        <w:t xml:space="preserve">Geopolitical instability requires a more robust and adaptable foreign policy. HSBC should broaden its worldwide footprint by boosting its position in developing areas while maintaining a balanced regional portfolio. This technique eliminates reliance on a </w:t>
      </w:r>
      <w:r w:rsidRPr="00495831">
        <w:rPr>
          <w:rFonts w:ascii="Arial" w:hAnsi="Arial" w:cs="Arial"/>
          <w:sz w:val="24"/>
          <w:szCs w:val="24"/>
        </w:rPr>
        <w:lastRenderedPageBreak/>
        <w:t>particular region and decreases vulnerability to political and economic upheaval. The combination of scenario planning and sophisticated risk management technologies would allow the organization to predict future disruptions and respond proactively. In an increasingly fragmented global market, adaptation is critical to long-term prosperity (Baldwin, 2019).</w:t>
      </w:r>
    </w:p>
    <w:p w14:paraId="78ACAFCC" w14:textId="7D3A93F6" w:rsidR="00495831" w:rsidRDefault="00495831" w:rsidP="00502828">
      <w:pPr>
        <w:spacing w:line="360" w:lineRule="auto"/>
        <w:rPr>
          <w:rFonts w:ascii="Arial" w:hAnsi="Arial" w:cs="Arial"/>
          <w:sz w:val="24"/>
          <w:szCs w:val="24"/>
        </w:rPr>
      </w:pPr>
      <w:r w:rsidRPr="00495831">
        <w:rPr>
          <w:rFonts w:ascii="Arial" w:hAnsi="Arial" w:cs="Arial"/>
          <w:sz w:val="24"/>
          <w:szCs w:val="24"/>
        </w:rPr>
        <w:t>Sustainability should be included as a basic component of HSBC's strategy framework rather being viewed as a statutory requirement. The criteria of the Corporate Sustainability Reporting Directive (CSRD) give the possibility to improve transparency and strengthen the bank's image as a sustainable finance leader. Increasing investment in ecologically responsible projects and incorporating environmental, social, and governance (ESG) factors into financing and investment choices can result in long-term value</w:t>
      </w:r>
      <w:r w:rsidR="00980726">
        <w:rPr>
          <w:rFonts w:ascii="Arial" w:hAnsi="Arial" w:cs="Arial"/>
          <w:sz w:val="24"/>
          <w:szCs w:val="24"/>
        </w:rPr>
        <w:t xml:space="preserve"> </w:t>
      </w:r>
      <w:r w:rsidR="00980726" w:rsidRPr="00980726">
        <w:rPr>
          <w:rFonts w:ascii="Arial" w:hAnsi="Arial" w:cs="Arial"/>
          <w:sz w:val="24"/>
          <w:szCs w:val="24"/>
        </w:rPr>
        <w:t>(García-Sánchez and Aibar-Guzmán, 2020)</w:t>
      </w:r>
      <w:r w:rsidRPr="00980726">
        <w:rPr>
          <w:rFonts w:ascii="Arial" w:hAnsi="Arial" w:cs="Arial"/>
          <w:sz w:val="24"/>
          <w:szCs w:val="24"/>
        </w:rPr>
        <w:t xml:space="preserve">. </w:t>
      </w:r>
      <w:r w:rsidRPr="00495831">
        <w:rPr>
          <w:rFonts w:ascii="Arial" w:hAnsi="Arial" w:cs="Arial"/>
          <w:sz w:val="24"/>
          <w:szCs w:val="24"/>
        </w:rPr>
        <w:t>Aligning sustainability goals with financial performance not only improves competitiveness, but also addresses rising investor and consumer demand for ethical company practices (Friede et al., 2015).</w:t>
      </w:r>
    </w:p>
    <w:p w14:paraId="67A337FB" w14:textId="358E9F4C" w:rsidR="00495831" w:rsidRDefault="00495831" w:rsidP="00502828">
      <w:pPr>
        <w:spacing w:line="360" w:lineRule="auto"/>
        <w:rPr>
          <w:rFonts w:ascii="Arial" w:hAnsi="Arial" w:cs="Arial"/>
          <w:sz w:val="24"/>
          <w:szCs w:val="24"/>
        </w:rPr>
      </w:pPr>
      <w:r w:rsidRPr="00495831">
        <w:rPr>
          <w:rFonts w:ascii="Arial" w:hAnsi="Arial" w:cs="Arial"/>
          <w:sz w:val="24"/>
          <w:szCs w:val="24"/>
        </w:rPr>
        <w:t>Developing human capital is equally significant in facilitating strategic transformation. HSBC must engage in ongoing education initiatives to prepare staff for a digital and sustainable future. This involves experience with artificial intelligence, data analytics, cybersecurity, and ESG reporting. Partnerships between academic institutions and professional bodies can help in knowledge transfer and talent acquisition. Fostering an innovative and adaptable culture will help staff respond more effectively to technological and regulatory changes (Brown and Lauder, 2012).</w:t>
      </w:r>
    </w:p>
    <w:p w14:paraId="3B82064B" w14:textId="75061DAE" w:rsidR="00495831" w:rsidRDefault="00495831" w:rsidP="00502828">
      <w:pPr>
        <w:spacing w:line="360" w:lineRule="auto"/>
        <w:rPr>
          <w:rFonts w:ascii="Arial" w:hAnsi="Arial" w:cs="Arial"/>
          <w:sz w:val="24"/>
          <w:szCs w:val="24"/>
        </w:rPr>
      </w:pPr>
      <w:r w:rsidRPr="00495831">
        <w:rPr>
          <w:rFonts w:ascii="Arial" w:hAnsi="Arial" w:cs="Arial"/>
          <w:sz w:val="24"/>
          <w:szCs w:val="24"/>
        </w:rPr>
        <w:t>A more flexible approach to strategic management is also necessary. Traditional long-term planning techniques are insufficient in today's quickly changing global context. HSBC should implement agile decision-making procedures that enable the continual examination and modification of strategic priorities. This adaptability improves the ability of the company to respond to new opportunities and challenges, promoting long-term competitiveness in the financial industry (Teece, 201</w:t>
      </w:r>
      <w:r w:rsidR="00FB7A55">
        <w:rPr>
          <w:rFonts w:ascii="Arial" w:hAnsi="Arial" w:cs="Arial"/>
          <w:sz w:val="24"/>
          <w:szCs w:val="24"/>
        </w:rPr>
        <w:t>7</w:t>
      </w:r>
      <w:r w:rsidRPr="00495831">
        <w:rPr>
          <w:rFonts w:ascii="Arial" w:hAnsi="Arial" w:cs="Arial"/>
          <w:sz w:val="24"/>
          <w:szCs w:val="24"/>
        </w:rPr>
        <w:t>).</w:t>
      </w:r>
    </w:p>
    <w:p w14:paraId="69DF33D3" w14:textId="32D41A8B" w:rsidR="002A5411" w:rsidRDefault="002A5411" w:rsidP="00502828">
      <w:pPr>
        <w:spacing w:line="360" w:lineRule="auto"/>
        <w:rPr>
          <w:rFonts w:ascii="Arial" w:hAnsi="Arial" w:cs="Arial"/>
          <w:sz w:val="24"/>
          <w:szCs w:val="24"/>
        </w:rPr>
      </w:pPr>
    </w:p>
    <w:p w14:paraId="0E0B07C3" w14:textId="58357F55" w:rsidR="002A5411" w:rsidRDefault="002A5411" w:rsidP="00502828">
      <w:pPr>
        <w:spacing w:line="360" w:lineRule="auto"/>
        <w:rPr>
          <w:rFonts w:ascii="Arial" w:hAnsi="Arial" w:cs="Arial"/>
          <w:sz w:val="24"/>
          <w:szCs w:val="24"/>
        </w:rPr>
      </w:pPr>
    </w:p>
    <w:p w14:paraId="1762C243" w14:textId="492643C3" w:rsidR="002A5411" w:rsidRDefault="002A5411" w:rsidP="00502828">
      <w:pPr>
        <w:spacing w:line="360" w:lineRule="auto"/>
        <w:rPr>
          <w:rFonts w:ascii="Arial" w:hAnsi="Arial" w:cs="Arial"/>
          <w:b/>
          <w:bCs/>
          <w:sz w:val="24"/>
          <w:szCs w:val="24"/>
        </w:rPr>
      </w:pPr>
      <w:r>
        <w:rPr>
          <w:rFonts w:ascii="Arial" w:hAnsi="Arial" w:cs="Arial"/>
          <w:b/>
          <w:bCs/>
          <w:sz w:val="24"/>
          <w:szCs w:val="24"/>
        </w:rPr>
        <w:lastRenderedPageBreak/>
        <w:t>Conclusion</w:t>
      </w:r>
    </w:p>
    <w:p w14:paraId="4EF0451B" w14:textId="0D07B0C8" w:rsidR="002A5411" w:rsidRDefault="002A5411" w:rsidP="00502828">
      <w:pPr>
        <w:spacing w:line="360" w:lineRule="auto"/>
        <w:rPr>
          <w:rFonts w:ascii="Arial" w:hAnsi="Arial" w:cs="Arial"/>
          <w:sz w:val="24"/>
          <w:szCs w:val="24"/>
        </w:rPr>
      </w:pPr>
      <w:r w:rsidRPr="002A5411">
        <w:rPr>
          <w:rFonts w:ascii="Arial" w:hAnsi="Arial" w:cs="Arial"/>
          <w:sz w:val="24"/>
          <w:szCs w:val="24"/>
        </w:rPr>
        <w:t xml:space="preserve">Ultimately, the modern global economic environment is progressively formed by the interplay of artificial intelligence, geopolitical conflicts, and environmental restrictions. These pressures are not only changing the character of </w:t>
      </w:r>
      <w:proofErr w:type="spellStart"/>
      <w:r w:rsidRPr="002A5411">
        <w:rPr>
          <w:rFonts w:ascii="Arial" w:hAnsi="Arial" w:cs="Arial"/>
          <w:sz w:val="24"/>
          <w:szCs w:val="24"/>
        </w:rPr>
        <w:t>globalisation</w:t>
      </w:r>
      <w:proofErr w:type="spellEnd"/>
      <w:r w:rsidRPr="002A5411">
        <w:rPr>
          <w:rFonts w:ascii="Arial" w:hAnsi="Arial" w:cs="Arial"/>
          <w:sz w:val="24"/>
          <w:szCs w:val="24"/>
        </w:rPr>
        <w:t>, but also imposing new strategic demands on multinational corporations like HSBC Holdings plc. The analysis shows that, while these advances generate great potential for innovation, efficiency, and long-term value generation, they also pose major problems in terms of cost, complexity, and risk management.</w:t>
      </w:r>
    </w:p>
    <w:p w14:paraId="7B15AEA3" w14:textId="6D19BCCB" w:rsidR="002A5411" w:rsidRDefault="002A5411" w:rsidP="00502828">
      <w:pPr>
        <w:spacing w:line="360" w:lineRule="auto"/>
        <w:rPr>
          <w:rFonts w:ascii="Arial" w:hAnsi="Arial" w:cs="Arial"/>
          <w:sz w:val="24"/>
          <w:szCs w:val="24"/>
        </w:rPr>
      </w:pPr>
      <w:r w:rsidRPr="002A5411">
        <w:rPr>
          <w:rFonts w:ascii="Arial" w:hAnsi="Arial" w:cs="Arial"/>
          <w:sz w:val="24"/>
          <w:szCs w:val="24"/>
        </w:rPr>
        <w:t xml:space="preserve">Artificial intelligence has become known as an important driver of operational efficiency and service innovation, allowing HSBC to boost decision-making, customer experience, and competitive positioning. Simultaneously, the use of AI </w:t>
      </w:r>
      <w:proofErr w:type="gramStart"/>
      <w:r w:rsidRPr="002A5411">
        <w:rPr>
          <w:rFonts w:ascii="Arial" w:hAnsi="Arial" w:cs="Arial"/>
          <w:sz w:val="24"/>
          <w:szCs w:val="24"/>
        </w:rPr>
        <w:t>need</w:t>
      </w:r>
      <w:proofErr w:type="gramEnd"/>
      <w:r w:rsidRPr="002A5411">
        <w:rPr>
          <w:rFonts w:ascii="Arial" w:hAnsi="Arial" w:cs="Arial"/>
          <w:sz w:val="24"/>
          <w:szCs w:val="24"/>
        </w:rPr>
        <w:t xml:space="preserve"> rigorous governance to address ethical concerns and regulatory oversight. Geopolitical tensions exacerbate the global landscape by creating uncertainty, interrupting financial flows, and mandating more robust and adaptable methods. Meanwhile, sustainability legislation such as the Corporate Sustainability Reporting Directive (CSRD) are changing perceptions of corporate responsibility, requiring greater openness and accountability but also providing possibilities to develop trust and attract investment.</w:t>
      </w:r>
    </w:p>
    <w:p w14:paraId="1CFB82AF" w14:textId="3088B03A" w:rsidR="002A5411" w:rsidRPr="002A5411" w:rsidRDefault="002A5411" w:rsidP="002A5411">
      <w:pPr>
        <w:spacing w:line="360" w:lineRule="auto"/>
        <w:rPr>
          <w:rFonts w:ascii="Arial" w:hAnsi="Arial" w:cs="Arial"/>
          <w:sz w:val="24"/>
          <w:szCs w:val="24"/>
        </w:rPr>
      </w:pPr>
      <w:r w:rsidRPr="002A5411">
        <w:rPr>
          <w:rFonts w:ascii="Arial" w:hAnsi="Arial" w:cs="Arial"/>
          <w:sz w:val="24"/>
          <w:szCs w:val="24"/>
        </w:rPr>
        <w:t xml:space="preserve">These dynamics have a significant influence on important </w:t>
      </w:r>
      <w:proofErr w:type="spellStart"/>
      <w:r w:rsidRPr="002A5411">
        <w:rPr>
          <w:rFonts w:ascii="Arial" w:hAnsi="Arial" w:cs="Arial"/>
          <w:sz w:val="24"/>
          <w:szCs w:val="24"/>
        </w:rPr>
        <w:t>organisational</w:t>
      </w:r>
      <w:proofErr w:type="spellEnd"/>
      <w:r w:rsidRPr="002A5411">
        <w:rPr>
          <w:rFonts w:ascii="Arial" w:hAnsi="Arial" w:cs="Arial"/>
          <w:sz w:val="24"/>
          <w:szCs w:val="24"/>
        </w:rPr>
        <w:t xml:space="preserve"> characteristics such as market positioning, innovation, talent management, and competitiveness. HSBC's ability to competently traverse these forces is dependent on its capability to combine technology innovation, sustainability, and resilience into a cohesive strategy framework. This necessitates not only an investment in invention, but also a dedication to adaptation and ongoing development.</w:t>
      </w:r>
    </w:p>
    <w:p w14:paraId="0F6CB362" w14:textId="77D1391B" w:rsidR="002A5411" w:rsidRPr="002A5411" w:rsidRDefault="002A5411" w:rsidP="002A5411">
      <w:pPr>
        <w:spacing w:line="360" w:lineRule="auto"/>
        <w:rPr>
          <w:rFonts w:ascii="Arial" w:hAnsi="Arial" w:cs="Arial"/>
          <w:sz w:val="24"/>
          <w:szCs w:val="24"/>
        </w:rPr>
      </w:pPr>
      <w:r w:rsidRPr="002A5411">
        <w:rPr>
          <w:rFonts w:ascii="Arial" w:hAnsi="Arial" w:cs="Arial"/>
          <w:sz w:val="24"/>
          <w:szCs w:val="24"/>
        </w:rPr>
        <w:t xml:space="preserve">Finally, </w:t>
      </w:r>
      <w:proofErr w:type="spellStart"/>
      <w:r w:rsidRPr="002A5411">
        <w:rPr>
          <w:rFonts w:ascii="Arial" w:hAnsi="Arial" w:cs="Arial"/>
          <w:sz w:val="24"/>
          <w:szCs w:val="24"/>
        </w:rPr>
        <w:t>recognising</w:t>
      </w:r>
      <w:proofErr w:type="spellEnd"/>
      <w:r w:rsidRPr="002A5411">
        <w:rPr>
          <w:rFonts w:ascii="Arial" w:hAnsi="Arial" w:cs="Arial"/>
          <w:sz w:val="24"/>
          <w:szCs w:val="24"/>
        </w:rPr>
        <w:t xml:space="preserve"> and responding effectively to these global influences is critical for maintaining a competitive edge in international company. </w:t>
      </w:r>
      <w:proofErr w:type="spellStart"/>
      <w:r w:rsidRPr="002A5411">
        <w:rPr>
          <w:rFonts w:ascii="Arial" w:hAnsi="Arial" w:cs="Arial"/>
          <w:sz w:val="24"/>
          <w:szCs w:val="24"/>
        </w:rPr>
        <w:t>Organisations</w:t>
      </w:r>
      <w:proofErr w:type="spellEnd"/>
      <w:r w:rsidRPr="002A5411">
        <w:rPr>
          <w:rFonts w:ascii="Arial" w:hAnsi="Arial" w:cs="Arial"/>
          <w:sz w:val="24"/>
          <w:szCs w:val="24"/>
        </w:rPr>
        <w:t xml:space="preserve"> that embrace change proactively, connect their strategies with emerging trends, and balance short-term obstacles with long-term goals are more likely to thrive in today's more complicated and dynamic global landscape.</w:t>
      </w:r>
    </w:p>
    <w:p w14:paraId="210D03B9" w14:textId="0B549CDD" w:rsidR="00303C68" w:rsidRDefault="00303C68" w:rsidP="00502828">
      <w:pPr>
        <w:spacing w:line="360" w:lineRule="auto"/>
        <w:rPr>
          <w:rFonts w:ascii="Arial" w:hAnsi="Arial" w:cs="Arial"/>
          <w:sz w:val="24"/>
          <w:szCs w:val="24"/>
        </w:rPr>
      </w:pPr>
    </w:p>
    <w:p w14:paraId="481276CB" w14:textId="3DF5CDDA" w:rsidR="00303C68" w:rsidRPr="00FB7A55" w:rsidRDefault="00303C68" w:rsidP="00502828">
      <w:pPr>
        <w:spacing w:line="360" w:lineRule="auto"/>
        <w:rPr>
          <w:rFonts w:ascii="Arial" w:hAnsi="Arial" w:cs="Arial"/>
          <w:b/>
          <w:bCs/>
          <w:sz w:val="24"/>
          <w:szCs w:val="24"/>
        </w:rPr>
      </w:pPr>
      <w:r w:rsidRPr="00FB7A55">
        <w:rPr>
          <w:rFonts w:ascii="Arial" w:hAnsi="Arial" w:cs="Arial"/>
          <w:b/>
          <w:bCs/>
          <w:sz w:val="24"/>
          <w:szCs w:val="24"/>
        </w:rPr>
        <w:lastRenderedPageBreak/>
        <w:t>References</w:t>
      </w:r>
    </w:p>
    <w:p w14:paraId="2454159A" w14:textId="77777777" w:rsidR="00980726" w:rsidRPr="00FB7A55" w:rsidRDefault="00980726" w:rsidP="00FB7A55">
      <w:pPr>
        <w:pStyle w:val="NormalWeb"/>
        <w:spacing w:before="0" w:beforeAutospacing="0" w:after="0" w:afterAutospacing="0" w:line="480" w:lineRule="auto"/>
        <w:ind w:left="720" w:hanging="720"/>
        <w:rPr>
          <w:rFonts w:ascii="Arial" w:hAnsi="Arial" w:cs="Arial"/>
        </w:rPr>
      </w:pPr>
    </w:p>
    <w:p w14:paraId="48CD6F04" w14:textId="77777777" w:rsidR="00980726" w:rsidRPr="00FB7A55" w:rsidRDefault="00980726" w:rsidP="00303C68">
      <w:pPr>
        <w:pStyle w:val="NormalWeb"/>
        <w:spacing w:before="0" w:beforeAutospacing="0" w:after="0" w:afterAutospacing="0" w:line="480" w:lineRule="auto"/>
        <w:ind w:left="720" w:hanging="720"/>
        <w:rPr>
          <w:rFonts w:ascii="Arial" w:hAnsi="Arial" w:cs="Arial"/>
        </w:rPr>
      </w:pPr>
      <w:r w:rsidRPr="00FB7A55">
        <w:rPr>
          <w:rFonts w:ascii="Arial" w:hAnsi="Arial" w:cs="Arial"/>
        </w:rPr>
        <w:t xml:space="preserve">Baldwin, R.E. (2019) </w:t>
      </w:r>
      <w:r w:rsidRPr="00FB7A55">
        <w:rPr>
          <w:rFonts w:ascii="Arial" w:hAnsi="Arial" w:cs="Arial"/>
          <w:i/>
          <w:iCs/>
        </w:rPr>
        <w:t xml:space="preserve">The </w:t>
      </w:r>
      <w:proofErr w:type="spellStart"/>
      <w:r w:rsidRPr="00FB7A55">
        <w:rPr>
          <w:rFonts w:ascii="Arial" w:hAnsi="Arial" w:cs="Arial"/>
          <w:i/>
          <w:iCs/>
        </w:rPr>
        <w:t>Globotics</w:t>
      </w:r>
      <w:proofErr w:type="spellEnd"/>
      <w:r w:rsidRPr="00FB7A55">
        <w:rPr>
          <w:rFonts w:ascii="Arial" w:hAnsi="Arial" w:cs="Arial"/>
          <w:i/>
          <w:iCs/>
        </w:rPr>
        <w:t xml:space="preserve"> upheaval: Globalization, Robotics, and the Future of Work</w:t>
      </w:r>
      <w:r w:rsidRPr="00FB7A55">
        <w:rPr>
          <w:rFonts w:ascii="Arial" w:hAnsi="Arial" w:cs="Arial"/>
        </w:rPr>
        <w:t>.</w:t>
      </w:r>
    </w:p>
    <w:p w14:paraId="0C28BD87" w14:textId="77777777" w:rsidR="00980726" w:rsidRPr="00FB7A55" w:rsidRDefault="00980726" w:rsidP="00303C68">
      <w:pPr>
        <w:pStyle w:val="NormalWeb"/>
        <w:spacing w:before="0" w:beforeAutospacing="0" w:after="0" w:afterAutospacing="0" w:line="480" w:lineRule="auto"/>
        <w:ind w:left="720" w:hanging="720"/>
        <w:rPr>
          <w:rFonts w:ascii="Arial" w:hAnsi="Arial" w:cs="Arial"/>
        </w:rPr>
      </w:pPr>
      <w:r w:rsidRPr="00FB7A55">
        <w:rPr>
          <w:rFonts w:ascii="Arial" w:hAnsi="Arial" w:cs="Arial"/>
        </w:rPr>
        <w:t xml:space="preserve">Brown, P., Lauder, H. and Ashton, D. (2012) </w:t>
      </w:r>
      <w:r w:rsidRPr="00FB7A55">
        <w:rPr>
          <w:rFonts w:ascii="Arial" w:hAnsi="Arial" w:cs="Arial"/>
          <w:i/>
          <w:iCs/>
        </w:rPr>
        <w:t>The Global Auction: The Broken Promises of Education, Jobs, and Incomes</w:t>
      </w:r>
      <w:r w:rsidRPr="00FB7A55">
        <w:rPr>
          <w:rFonts w:ascii="Arial" w:hAnsi="Arial" w:cs="Arial"/>
        </w:rPr>
        <w:t>. Oxford University Press.</w:t>
      </w:r>
    </w:p>
    <w:p w14:paraId="11FBAC0D" w14:textId="77777777" w:rsidR="00980726" w:rsidRDefault="00980726" w:rsidP="00502828">
      <w:pPr>
        <w:spacing w:line="360" w:lineRule="auto"/>
        <w:rPr>
          <w:rFonts w:ascii="Arial" w:hAnsi="Arial" w:cs="Arial"/>
          <w:sz w:val="24"/>
          <w:szCs w:val="24"/>
          <w:shd w:val="clear" w:color="auto" w:fill="FFFFFF"/>
        </w:rPr>
      </w:pPr>
      <w:proofErr w:type="spellStart"/>
      <w:r w:rsidRPr="00FB7A55">
        <w:rPr>
          <w:rFonts w:ascii="Arial" w:hAnsi="Arial" w:cs="Arial"/>
          <w:sz w:val="24"/>
          <w:szCs w:val="24"/>
          <w:shd w:val="clear" w:color="auto" w:fill="FFFFFF"/>
        </w:rPr>
        <w:t>Bughin</w:t>
      </w:r>
      <w:proofErr w:type="spellEnd"/>
      <w:r w:rsidRPr="00FB7A55">
        <w:rPr>
          <w:rFonts w:ascii="Arial" w:hAnsi="Arial" w:cs="Arial"/>
          <w:sz w:val="24"/>
          <w:szCs w:val="24"/>
          <w:shd w:val="clear" w:color="auto" w:fill="FFFFFF"/>
        </w:rPr>
        <w:t xml:space="preserve">, J., Hazan, E., Ramaswamy, S., Allas, T., Dahlstrom, P., Henke, N., &amp; Trench, M. (2017). </w:t>
      </w:r>
      <w:r w:rsidRPr="00FB7A55">
        <w:rPr>
          <w:rFonts w:ascii="Arial" w:hAnsi="Arial" w:cs="Arial"/>
          <w:i/>
          <w:iCs/>
          <w:sz w:val="24"/>
          <w:szCs w:val="24"/>
          <w:shd w:val="clear" w:color="auto" w:fill="FFFFFF"/>
        </w:rPr>
        <w:t>Artificial Intelligence: The Next Digital Frontier?</w:t>
      </w:r>
      <w:r w:rsidRPr="00FB7A55">
        <w:rPr>
          <w:rFonts w:ascii="Arial" w:hAnsi="Arial" w:cs="Arial"/>
          <w:sz w:val="24"/>
          <w:szCs w:val="24"/>
          <w:shd w:val="clear" w:color="auto" w:fill="FFFFFF"/>
        </w:rPr>
        <w:t xml:space="preserve"> McKinsey Global Institute.</w:t>
      </w:r>
    </w:p>
    <w:p w14:paraId="7F04378D" w14:textId="77777777" w:rsidR="00980726" w:rsidRDefault="00980726" w:rsidP="00FB7A55">
      <w:pPr>
        <w:pStyle w:val="NormalWeb"/>
        <w:spacing w:before="0" w:beforeAutospacing="0" w:after="0" w:afterAutospacing="0" w:line="480" w:lineRule="auto"/>
        <w:ind w:left="720" w:hanging="720"/>
        <w:rPr>
          <w:rFonts w:ascii="Arial" w:hAnsi="Arial" w:cs="Arial"/>
        </w:rPr>
      </w:pPr>
      <w:r w:rsidRPr="00FB7A55">
        <w:rPr>
          <w:rFonts w:ascii="Arial" w:hAnsi="Arial" w:cs="Arial"/>
        </w:rPr>
        <w:t xml:space="preserve">Cath, C. (2018) 'Governing artificial intelligence: ethical, legal and technical opportunities and challenges,' </w:t>
      </w:r>
      <w:r w:rsidRPr="00FB7A55">
        <w:rPr>
          <w:rFonts w:ascii="Arial" w:hAnsi="Arial" w:cs="Arial"/>
          <w:i/>
          <w:iCs/>
        </w:rPr>
        <w:t>Philosophical Transactions of the Royal Society a Mathematical Physical and Engineering Sciences</w:t>
      </w:r>
      <w:r w:rsidRPr="00FB7A55">
        <w:rPr>
          <w:rFonts w:ascii="Arial" w:hAnsi="Arial" w:cs="Arial"/>
        </w:rPr>
        <w:t xml:space="preserve">, 376(2133), p. 20180080. </w:t>
      </w:r>
      <w:hyperlink r:id="rId8" w:history="1">
        <w:r w:rsidRPr="00021928">
          <w:rPr>
            <w:rStyle w:val="Hyperlink"/>
            <w:rFonts w:ascii="Arial" w:hAnsi="Arial" w:cs="Arial"/>
          </w:rPr>
          <w:t>https://doi.org/10.1098/rsta.2018.0080</w:t>
        </w:r>
      </w:hyperlink>
      <w:r w:rsidRPr="00FB7A55">
        <w:rPr>
          <w:rFonts w:ascii="Arial" w:hAnsi="Arial" w:cs="Arial"/>
        </w:rPr>
        <w:t>.</w:t>
      </w:r>
    </w:p>
    <w:p w14:paraId="5FD40B57" w14:textId="77777777" w:rsidR="00980726" w:rsidRDefault="00980726" w:rsidP="00FB7A55">
      <w:pPr>
        <w:pStyle w:val="NormalWeb"/>
        <w:spacing w:before="0" w:beforeAutospacing="0" w:after="0" w:afterAutospacing="0" w:line="480" w:lineRule="auto"/>
        <w:ind w:left="720" w:hanging="720"/>
        <w:rPr>
          <w:rFonts w:ascii="Arial" w:hAnsi="Arial" w:cs="Arial"/>
        </w:rPr>
      </w:pPr>
      <w:r w:rsidRPr="00FB7A55">
        <w:rPr>
          <w:rFonts w:ascii="Arial" w:hAnsi="Arial" w:cs="Arial"/>
        </w:rPr>
        <w:t xml:space="preserve">Friede, G., Busch, T. and Bassen, A. (2015) 'ESG and financial performance: aggregated evidence from more than 2000 empirical studies,' </w:t>
      </w:r>
      <w:r w:rsidRPr="00FB7A55">
        <w:rPr>
          <w:rFonts w:ascii="Arial" w:hAnsi="Arial" w:cs="Arial"/>
          <w:i/>
          <w:iCs/>
        </w:rPr>
        <w:t>Journal of Sustainable Finance &amp; Investment</w:t>
      </w:r>
      <w:r w:rsidRPr="00FB7A55">
        <w:rPr>
          <w:rFonts w:ascii="Arial" w:hAnsi="Arial" w:cs="Arial"/>
        </w:rPr>
        <w:t xml:space="preserve">, 5(4), pp. 210–233. </w:t>
      </w:r>
      <w:hyperlink r:id="rId9" w:history="1">
        <w:r w:rsidRPr="00021928">
          <w:rPr>
            <w:rStyle w:val="Hyperlink"/>
            <w:rFonts w:ascii="Arial" w:hAnsi="Arial" w:cs="Arial"/>
          </w:rPr>
          <w:t>https://doi.org/10.1080/20430795.2015.1118917</w:t>
        </w:r>
      </w:hyperlink>
      <w:r w:rsidRPr="00FB7A55">
        <w:rPr>
          <w:rFonts w:ascii="Arial" w:hAnsi="Arial" w:cs="Arial"/>
        </w:rPr>
        <w:t>.</w:t>
      </w:r>
    </w:p>
    <w:p w14:paraId="64C3F0D4" w14:textId="77777777" w:rsidR="00980726" w:rsidRDefault="00980726" w:rsidP="00980726">
      <w:pPr>
        <w:pStyle w:val="NormalWeb"/>
        <w:spacing w:before="0" w:beforeAutospacing="0" w:after="0" w:afterAutospacing="0" w:line="480" w:lineRule="auto"/>
        <w:ind w:left="720" w:hanging="720"/>
        <w:rPr>
          <w:rFonts w:ascii="Arial" w:hAnsi="Arial" w:cs="Arial"/>
        </w:rPr>
      </w:pPr>
      <w:r w:rsidRPr="00980726">
        <w:rPr>
          <w:rFonts w:ascii="Arial" w:hAnsi="Arial" w:cs="Arial"/>
        </w:rPr>
        <w:t>García</w:t>
      </w:r>
      <w:r w:rsidRPr="00980726">
        <w:rPr>
          <w:rFonts w:ascii="Cambria Math" w:hAnsi="Cambria Math" w:cs="Cambria Math"/>
        </w:rPr>
        <w:t>‐</w:t>
      </w:r>
      <w:r w:rsidRPr="00980726">
        <w:rPr>
          <w:rFonts w:ascii="Arial" w:hAnsi="Arial" w:cs="Arial"/>
        </w:rPr>
        <w:t xml:space="preserve">Sánchez, I. </w:t>
      </w:r>
      <w:r w:rsidRPr="00980726">
        <w:rPr>
          <w:rFonts w:ascii="Arial" w:hAnsi="Arial" w:cs="Arial"/>
          <w:i/>
          <w:iCs/>
        </w:rPr>
        <w:t>et al.</w:t>
      </w:r>
      <w:r w:rsidRPr="00980726">
        <w:rPr>
          <w:rFonts w:ascii="Arial" w:hAnsi="Arial" w:cs="Arial"/>
        </w:rPr>
        <w:t xml:space="preserve"> (2020) 'Do institutional investors drive corporate transparency regarding business contribution to the sustainable development </w:t>
      </w:r>
      <w:proofErr w:type="gramStart"/>
      <w:r w:rsidRPr="00980726">
        <w:rPr>
          <w:rFonts w:ascii="Arial" w:hAnsi="Arial" w:cs="Arial"/>
        </w:rPr>
        <w:t>goals?,</w:t>
      </w:r>
      <w:proofErr w:type="gramEnd"/>
      <w:r w:rsidRPr="00980726">
        <w:rPr>
          <w:rFonts w:ascii="Arial" w:hAnsi="Arial" w:cs="Arial"/>
        </w:rPr>
        <w:t xml:space="preserve">' </w:t>
      </w:r>
      <w:r w:rsidRPr="00980726">
        <w:rPr>
          <w:rFonts w:ascii="Arial" w:hAnsi="Arial" w:cs="Arial"/>
          <w:i/>
          <w:iCs/>
        </w:rPr>
        <w:t>Business Strategy and the Environment</w:t>
      </w:r>
      <w:r w:rsidRPr="00980726">
        <w:rPr>
          <w:rFonts w:ascii="Arial" w:hAnsi="Arial" w:cs="Arial"/>
        </w:rPr>
        <w:t xml:space="preserve">, 29(5), pp. 2019–2036. </w:t>
      </w:r>
      <w:hyperlink r:id="rId10" w:history="1">
        <w:r w:rsidRPr="00021928">
          <w:rPr>
            <w:rStyle w:val="Hyperlink"/>
            <w:rFonts w:ascii="Arial" w:hAnsi="Arial" w:cs="Arial"/>
          </w:rPr>
          <w:t>https://doi.org/10.1002/bse.2485</w:t>
        </w:r>
      </w:hyperlink>
      <w:r w:rsidRPr="00980726">
        <w:rPr>
          <w:rFonts w:ascii="Arial" w:hAnsi="Arial" w:cs="Arial"/>
        </w:rPr>
        <w:t>.</w:t>
      </w:r>
    </w:p>
    <w:p w14:paraId="4BFAE841" w14:textId="77777777" w:rsidR="00980726" w:rsidRPr="00FB7A55" w:rsidRDefault="00980726" w:rsidP="00FB7A55">
      <w:pPr>
        <w:pStyle w:val="NormalWeb"/>
        <w:spacing w:before="0" w:beforeAutospacing="0" w:after="0" w:afterAutospacing="0" w:line="480" w:lineRule="auto"/>
        <w:ind w:left="720" w:hanging="720"/>
        <w:rPr>
          <w:rFonts w:ascii="Arial" w:hAnsi="Arial" w:cs="Arial"/>
        </w:rPr>
      </w:pPr>
      <w:r w:rsidRPr="00FB7A55">
        <w:rPr>
          <w:rFonts w:ascii="Arial" w:hAnsi="Arial" w:cs="Arial"/>
        </w:rPr>
        <w:t xml:space="preserve">Kolk, A. (2015) 'The social responsibility of international business: From ethics and the environment to CSR and sustainable development,' </w:t>
      </w:r>
      <w:r w:rsidRPr="00FB7A55">
        <w:rPr>
          <w:rFonts w:ascii="Arial" w:hAnsi="Arial" w:cs="Arial"/>
          <w:i/>
          <w:iCs/>
        </w:rPr>
        <w:t>Journal of World Business</w:t>
      </w:r>
      <w:r w:rsidRPr="00FB7A55">
        <w:rPr>
          <w:rFonts w:ascii="Arial" w:hAnsi="Arial" w:cs="Arial"/>
        </w:rPr>
        <w:t xml:space="preserve">, 51(1), pp. 23–34. </w:t>
      </w:r>
      <w:r w:rsidRPr="00FB7A55">
        <w:rPr>
          <w:rStyle w:val="url"/>
          <w:rFonts w:ascii="Arial" w:hAnsi="Arial" w:cs="Arial"/>
        </w:rPr>
        <w:t>https://doi.org/10.1016/j.jwb.2015.08.010</w:t>
      </w:r>
      <w:r w:rsidRPr="00FB7A55">
        <w:rPr>
          <w:rFonts w:ascii="Arial" w:hAnsi="Arial" w:cs="Arial"/>
        </w:rPr>
        <w:t>.</w:t>
      </w:r>
    </w:p>
    <w:p w14:paraId="73ACED63" w14:textId="77777777" w:rsidR="00980726" w:rsidRDefault="00980726" w:rsidP="00FB7A55">
      <w:pPr>
        <w:pStyle w:val="NormalWeb"/>
        <w:spacing w:before="0" w:beforeAutospacing="0" w:after="0" w:afterAutospacing="0" w:line="480" w:lineRule="auto"/>
        <w:ind w:left="720" w:hanging="720"/>
        <w:rPr>
          <w:rFonts w:ascii="Arial" w:hAnsi="Arial" w:cs="Arial"/>
        </w:rPr>
      </w:pPr>
      <w:r w:rsidRPr="00FB7A55">
        <w:rPr>
          <w:rFonts w:ascii="Arial" w:hAnsi="Arial" w:cs="Arial"/>
        </w:rPr>
        <w:lastRenderedPageBreak/>
        <w:t xml:space="preserve">Steger, M. (2013) </w:t>
      </w:r>
      <w:r w:rsidRPr="00FB7A55">
        <w:rPr>
          <w:rFonts w:ascii="Arial" w:hAnsi="Arial" w:cs="Arial"/>
          <w:i/>
          <w:iCs/>
        </w:rPr>
        <w:t>Globalization: A very short introduction</w:t>
      </w:r>
      <w:r w:rsidRPr="00FB7A55">
        <w:rPr>
          <w:rFonts w:ascii="Arial" w:hAnsi="Arial" w:cs="Arial"/>
        </w:rPr>
        <w:t>. Oxford University Press, USA.</w:t>
      </w:r>
    </w:p>
    <w:p w14:paraId="4C1BDEC2" w14:textId="77777777" w:rsidR="00980726" w:rsidRPr="00FB7A55" w:rsidRDefault="00980726" w:rsidP="00FB7A55">
      <w:pPr>
        <w:pStyle w:val="NormalWeb"/>
        <w:spacing w:before="0" w:beforeAutospacing="0" w:after="0" w:afterAutospacing="0" w:line="480" w:lineRule="auto"/>
        <w:ind w:left="720" w:hanging="720"/>
        <w:rPr>
          <w:rFonts w:ascii="Arial" w:hAnsi="Arial" w:cs="Arial"/>
        </w:rPr>
      </w:pPr>
      <w:r w:rsidRPr="00FB7A55">
        <w:rPr>
          <w:rFonts w:ascii="Arial" w:hAnsi="Arial" w:cs="Arial"/>
        </w:rPr>
        <w:t xml:space="preserve">Teece, D.J. (2017) 'Business models and dynamic capabilities,' </w:t>
      </w:r>
      <w:r w:rsidRPr="00FB7A55">
        <w:rPr>
          <w:rFonts w:ascii="Arial" w:hAnsi="Arial" w:cs="Arial"/>
          <w:i/>
          <w:iCs/>
        </w:rPr>
        <w:t>Long Range Planning</w:t>
      </w:r>
      <w:r w:rsidRPr="00FB7A55">
        <w:rPr>
          <w:rFonts w:ascii="Arial" w:hAnsi="Arial" w:cs="Arial"/>
        </w:rPr>
        <w:t xml:space="preserve">, 51(1), pp. 40–49. </w:t>
      </w:r>
      <w:r w:rsidRPr="00FB7A55">
        <w:rPr>
          <w:rStyle w:val="url"/>
          <w:rFonts w:ascii="Arial" w:hAnsi="Arial" w:cs="Arial"/>
        </w:rPr>
        <w:t>https://doi.org/10.1016/j.lrp.2017.06.007</w:t>
      </w:r>
      <w:r w:rsidRPr="00FB7A55">
        <w:rPr>
          <w:rFonts w:ascii="Arial" w:hAnsi="Arial" w:cs="Arial"/>
        </w:rPr>
        <w:t>.</w:t>
      </w:r>
    </w:p>
    <w:p w14:paraId="643D929D" w14:textId="68BAF172" w:rsidR="00980726" w:rsidRDefault="00980726" w:rsidP="00980726">
      <w:pPr>
        <w:pStyle w:val="NormalWeb"/>
        <w:spacing w:before="0" w:beforeAutospacing="0" w:after="0" w:afterAutospacing="0" w:line="480" w:lineRule="auto"/>
        <w:ind w:left="720" w:hanging="720"/>
        <w:rPr>
          <w:rFonts w:ascii="Arial" w:hAnsi="Arial" w:cs="Arial"/>
        </w:rPr>
      </w:pPr>
      <w:r w:rsidRPr="00980726">
        <w:rPr>
          <w:rFonts w:ascii="Arial" w:hAnsi="Arial" w:cs="Arial"/>
        </w:rPr>
        <w:t xml:space="preserve">Wang, Z. (2026) 'The impact of artificial intelligence on the labor market,' </w:t>
      </w:r>
      <w:r w:rsidRPr="00980726">
        <w:rPr>
          <w:rFonts w:ascii="Arial" w:hAnsi="Arial" w:cs="Arial"/>
          <w:i/>
          <w:iCs/>
        </w:rPr>
        <w:t>Journal of Education Humanities and Social Sciences</w:t>
      </w:r>
      <w:r w:rsidRPr="00980726">
        <w:rPr>
          <w:rFonts w:ascii="Arial" w:hAnsi="Arial" w:cs="Arial"/>
        </w:rPr>
        <w:t xml:space="preserve">, 61, pp. 383–389. </w:t>
      </w:r>
      <w:hyperlink r:id="rId11" w:history="1">
        <w:r w:rsidR="004F732B" w:rsidRPr="00021928">
          <w:rPr>
            <w:rStyle w:val="Hyperlink"/>
            <w:rFonts w:ascii="Arial" w:hAnsi="Arial" w:cs="Arial"/>
          </w:rPr>
          <w:t>https://doi.org/10.54097/0d03zx98</w:t>
        </w:r>
      </w:hyperlink>
      <w:r w:rsidRPr="00980726">
        <w:rPr>
          <w:rFonts w:ascii="Arial" w:hAnsi="Arial" w:cs="Arial"/>
        </w:rPr>
        <w:t>.</w:t>
      </w:r>
    </w:p>
    <w:p w14:paraId="2C5C9C42" w14:textId="77777777" w:rsidR="004F732B" w:rsidRPr="00980726" w:rsidRDefault="004F732B" w:rsidP="00980726">
      <w:pPr>
        <w:pStyle w:val="NormalWeb"/>
        <w:spacing w:before="0" w:beforeAutospacing="0" w:after="0" w:afterAutospacing="0" w:line="480" w:lineRule="auto"/>
        <w:ind w:left="720" w:hanging="720"/>
        <w:rPr>
          <w:rFonts w:ascii="Arial" w:hAnsi="Arial" w:cs="Arial"/>
        </w:rPr>
      </w:pPr>
    </w:p>
    <w:p w14:paraId="5D0F46B0" w14:textId="77777777" w:rsidR="00980726" w:rsidRPr="00980726" w:rsidRDefault="00980726" w:rsidP="00980726">
      <w:pPr>
        <w:pStyle w:val="NormalWeb"/>
        <w:spacing w:before="0" w:beforeAutospacing="0" w:after="0" w:afterAutospacing="0" w:line="480" w:lineRule="auto"/>
        <w:ind w:left="720" w:hanging="720"/>
        <w:rPr>
          <w:rFonts w:ascii="Arial" w:hAnsi="Arial" w:cs="Arial"/>
        </w:rPr>
      </w:pPr>
    </w:p>
    <w:p w14:paraId="5CD5492D" w14:textId="77777777" w:rsidR="00FB7A55" w:rsidRPr="00FB7A55" w:rsidRDefault="00FB7A55" w:rsidP="00FB7A55">
      <w:pPr>
        <w:pStyle w:val="NormalWeb"/>
        <w:spacing w:before="0" w:beforeAutospacing="0" w:after="0" w:afterAutospacing="0" w:line="480" w:lineRule="auto"/>
        <w:ind w:left="720" w:hanging="720"/>
        <w:rPr>
          <w:rFonts w:ascii="Arial" w:hAnsi="Arial" w:cs="Arial"/>
        </w:rPr>
      </w:pPr>
    </w:p>
    <w:p w14:paraId="514EABFD" w14:textId="77777777" w:rsidR="00FB7A55" w:rsidRDefault="00FB7A55" w:rsidP="00FB7A55">
      <w:pPr>
        <w:pStyle w:val="NormalWeb"/>
        <w:spacing w:before="0" w:beforeAutospacing="0" w:after="0" w:afterAutospacing="0" w:line="480" w:lineRule="auto"/>
        <w:ind w:left="720" w:hanging="720"/>
        <w:rPr>
          <w:rFonts w:ascii="Arial" w:hAnsi="Arial" w:cs="Arial"/>
        </w:rPr>
      </w:pPr>
    </w:p>
    <w:p w14:paraId="196AA32B" w14:textId="77777777" w:rsidR="00FB7A55" w:rsidRPr="00FB7A55" w:rsidRDefault="00FB7A55" w:rsidP="00FB7A55">
      <w:pPr>
        <w:pStyle w:val="NormalWeb"/>
        <w:spacing w:before="0" w:beforeAutospacing="0" w:after="0" w:afterAutospacing="0" w:line="480" w:lineRule="auto"/>
        <w:ind w:left="720" w:hanging="720"/>
        <w:rPr>
          <w:rFonts w:ascii="Arial" w:hAnsi="Arial" w:cs="Arial"/>
        </w:rPr>
      </w:pPr>
    </w:p>
    <w:p w14:paraId="3E017DF1" w14:textId="77777777" w:rsidR="00FB7A55" w:rsidRPr="00FB7A55" w:rsidRDefault="00FB7A55" w:rsidP="00502828">
      <w:pPr>
        <w:spacing w:line="360" w:lineRule="auto"/>
        <w:rPr>
          <w:rFonts w:ascii="Arial" w:hAnsi="Arial" w:cs="Arial"/>
          <w:sz w:val="24"/>
          <w:szCs w:val="24"/>
        </w:rPr>
      </w:pPr>
    </w:p>
    <w:sectPr w:rsidR="00FB7A55" w:rsidRPr="00FB7A55" w:rsidSect="00FD34AF">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D9233D" w14:textId="77777777" w:rsidR="003B5885" w:rsidRDefault="003B5885" w:rsidP="002A5411">
      <w:pPr>
        <w:spacing w:after="0" w:line="240" w:lineRule="auto"/>
      </w:pPr>
      <w:r>
        <w:separator/>
      </w:r>
    </w:p>
  </w:endnote>
  <w:endnote w:type="continuationSeparator" w:id="0">
    <w:p w14:paraId="689295D4" w14:textId="77777777" w:rsidR="003B5885" w:rsidRDefault="003B5885" w:rsidP="002A54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18FD1D" w14:textId="77777777" w:rsidR="003B5885" w:rsidRDefault="003B5885" w:rsidP="002A5411">
      <w:pPr>
        <w:spacing w:after="0" w:line="240" w:lineRule="auto"/>
      </w:pPr>
      <w:r>
        <w:separator/>
      </w:r>
    </w:p>
  </w:footnote>
  <w:footnote w:type="continuationSeparator" w:id="0">
    <w:p w14:paraId="1D39AE8B" w14:textId="77777777" w:rsidR="003B5885" w:rsidRDefault="003B5885" w:rsidP="002A541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4AF"/>
    <w:rsid w:val="002A5411"/>
    <w:rsid w:val="00303C68"/>
    <w:rsid w:val="003B5885"/>
    <w:rsid w:val="00495831"/>
    <w:rsid w:val="004F732B"/>
    <w:rsid w:val="00502828"/>
    <w:rsid w:val="00980726"/>
    <w:rsid w:val="00AE6E11"/>
    <w:rsid w:val="00D232CF"/>
    <w:rsid w:val="00FB7A55"/>
    <w:rsid w:val="00FD34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37269"/>
  <w15:chartTrackingRefBased/>
  <w15:docId w15:val="{E577B393-49CF-424A-9752-2143C2BEB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D34AF"/>
    <w:pPr>
      <w:spacing w:after="0" w:line="240" w:lineRule="auto"/>
    </w:pPr>
    <w:rPr>
      <w:rFonts w:eastAsiaTheme="minorEastAsia"/>
    </w:rPr>
  </w:style>
  <w:style w:type="character" w:customStyle="1" w:styleId="NoSpacingChar">
    <w:name w:val="No Spacing Char"/>
    <w:basedOn w:val="DefaultParagraphFont"/>
    <w:link w:val="NoSpacing"/>
    <w:uiPriority w:val="1"/>
    <w:rsid w:val="00FD34AF"/>
    <w:rPr>
      <w:rFonts w:eastAsiaTheme="minorEastAsia"/>
    </w:rPr>
  </w:style>
  <w:style w:type="paragraph" w:styleId="Header">
    <w:name w:val="header"/>
    <w:basedOn w:val="Normal"/>
    <w:link w:val="HeaderChar"/>
    <w:uiPriority w:val="99"/>
    <w:unhideWhenUsed/>
    <w:rsid w:val="002A54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A5411"/>
  </w:style>
  <w:style w:type="paragraph" w:styleId="Footer">
    <w:name w:val="footer"/>
    <w:basedOn w:val="Normal"/>
    <w:link w:val="FooterChar"/>
    <w:uiPriority w:val="99"/>
    <w:unhideWhenUsed/>
    <w:rsid w:val="002A54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A5411"/>
  </w:style>
  <w:style w:type="paragraph" w:styleId="NormalWeb">
    <w:name w:val="Normal (Web)"/>
    <w:basedOn w:val="Normal"/>
    <w:uiPriority w:val="99"/>
    <w:semiHidden/>
    <w:unhideWhenUsed/>
    <w:rsid w:val="00303C6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rl">
    <w:name w:val="url"/>
    <w:basedOn w:val="DefaultParagraphFont"/>
    <w:rsid w:val="00FB7A55"/>
  </w:style>
  <w:style w:type="character" w:styleId="Hyperlink">
    <w:name w:val="Hyperlink"/>
    <w:basedOn w:val="DefaultParagraphFont"/>
    <w:uiPriority w:val="99"/>
    <w:unhideWhenUsed/>
    <w:rsid w:val="00FB7A55"/>
    <w:rPr>
      <w:color w:val="0563C1" w:themeColor="hyperlink"/>
      <w:u w:val="single"/>
    </w:rPr>
  </w:style>
  <w:style w:type="character" w:styleId="UnresolvedMention">
    <w:name w:val="Unresolved Mention"/>
    <w:basedOn w:val="DefaultParagraphFont"/>
    <w:uiPriority w:val="99"/>
    <w:semiHidden/>
    <w:unhideWhenUsed/>
    <w:rsid w:val="00FB7A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978835">
      <w:bodyDiv w:val="1"/>
      <w:marLeft w:val="0"/>
      <w:marRight w:val="0"/>
      <w:marTop w:val="0"/>
      <w:marBottom w:val="0"/>
      <w:divBdr>
        <w:top w:val="none" w:sz="0" w:space="0" w:color="auto"/>
        <w:left w:val="none" w:sz="0" w:space="0" w:color="auto"/>
        <w:bottom w:val="none" w:sz="0" w:space="0" w:color="auto"/>
        <w:right w:val="none" w:sz="0" w:space="0" w:color="auto"/>
      </w:divBdr>
      <w:divsChild>
        <w:div w:id="416440557">
          <w:marLeft w:val="-720"/>
          <w:marRight w:val="0"/>
          <w:marTop w:val="0"/>
          <w:marBottom w:val="0"/>
          <w:divBdr>
            <w:top w:val="none" w:sz="0" w:space="0" w:color="auto"/>
            <w:left w:val="none" w:sz="0" w:space="0" w:color="auto"/>
            <w:bottom w:val="none" w:sz="0" w:space="0" w:color="auto"/>
            <w:right w:val="none" w:sz="0" w:space="0" w:color="auto"/>
          </w:divBdr>
        </w:div>
      </w:divsChild>
    </w:div>
    <w:div w:id="433478031">
      <w:bodyDiv w:val="1"/>
      <w:marLeft w:val="0"/>
      <w:marRight w:val="0"/>
      <w:marTop w:val="0"/>
      <w:marBottom w:val="0"/>
      <w:divBdr>
        <w:top w:val="none" w:sz="0" w:space="0" w:color="auto"/>
        <w:left w:val="none" w:sz="0" w:space="0" w:color="auto"/>
        <w:bottom w:val="none" w:sz="0" w:space="0" w:color="auto"/>
        <w:right w:val="none" w:sz="0" w:space="0" w:color="auto"/>
      </w:divBdr>
      <w:divsChild>
        <w:div w:id="950354999">
          <w:marLeft w:val="-720"/>
          <w:marRight w:val="0"/>
          <w:marTop w:val="0"/>
          <w:marBottom w:val="0"/>
          <w:divBdr>
            <w:top w:val="none" w:sz="0" w:space="0" w:color="auto"/>
            <w:left w:val="none" w:sz="0" w:space="0" w:color="auto"/>
            <w:bottom w:val="none" w:sz="0" w:space="0" w:color="auto"/>
            <w:right w:val="none" w:sz="0" w:space="0" w:color="auto"/>
          </w:divBdr>
        </w:div>
      </w:divsChild>
    </w:div>
    <w:div w:id="760612387">
      <w:bodyDiv w:val="1"/>
      <w:marLeft w:val="0"/>
      <w:marRight w:val="0"/>
      <w:marTop w:val="0"/>
      <w:marBottom w:val="0"/>
      <w:divBdr>
        <w:top w:val="none" w:sz="0" w:space="0" w:color="auto"/>
        <w:left w:val="none" w:sz="0" w:space="0" w:color="auto"/>
        <w:bottom w:val="none" w:sz="0" w:space="0" w:color="auto"/>
        <w:right w:val="none" w:sz="0" w:space="0" w:color="auto"/>
      </w:divBdr>
      <w:divsChild>
        <w:div w:id="1135759513">
          <w:marLeft w:val="-720"/>
          <w:marRight w:val="0"/>
          <w:marTop w:val="0"/>
          <w:marBottom w:val="0"/>
          <w:divBdr>
            <w:top w:val="none" w:sz="0" w:space="0" w:color="auto"/>
            <w:left w:val="none" w:sz="0" w:space="0" w:color="auto"/>
            <w:bottom w:val="none" w:sz="0" w:space="0" w:color="auto"/>
            <w:right w:val="none" w:sz="0" w:space="0" w:color="auto"/>
          </w:divBdr>
        </w:div>
      </w:divsChild>
    </w:div>
    <w:div w:id="966013272">
      <w:bodyDiv w:val="1"/>
      <w:marLeft w:val="0"/>
      <w:marRight w:val="0"/>
      <w:marTop w:val="0"/>
      <w:marBottom w:val="0"/>
      <w:divBdr>
        <w:top w:val="none" w:sz="0" w:space="0" w:color="auto"/>
        <w:left w:val="none" w:sz="0" w:space="0" w:color="auto"/>
        <w:bottom w:val="none" w:sz="0" w:space="0" w:color="auto"/>
        <w:right w:val="none" w:sz="0" w:space="0" w:color="auto"/>
      </w:divBdr>
      <w:divsChild>
        <w:div w:id="95291494">
          <w:marLeft w:val="-720"/>
          <w:marRight w:val="0"/>
          <w:marTop w:val="0"/>
          <w:marBottom w:val="0"/>
          <w:divBdr>
            <w:top w:val="none" w:sz="0" w:space="0" w:color="auto"/>
            <w:left w:val="none" w:sz="0" w:space="0" w:color="auto"/>
            <w:bottom w:val="none" w:sz="0" w:space="0" w:color="auto"/>
            <w:right w:val="none" w:sz="0" w:space="0" w:color="auto"/>
          </w:divBdr>
        </w:div>
      </w:divsChild>
    </w:div>
    <w:div w:id="1432165142">
      <w:bodyDiv w:val="1"/>
      <w:marLeft w:val="0"/>
      <w:marRight w:val="0"/>
      <w:marTop w:val="0"/>
      <w:marBottom w:val="0"/>
      <w:divBdr>
        <w:top w:val="none" w:sz="0" w:space="0" w:color="auto"/>
        <w:left w:val="none" w:sz="0" w:space="0" w:color="auto"/>
        <w:bottom w:val="none" w:sz="0" w:space="0" w:color="auto"/>
        <w:right w:val="none" w:sz="0" w:space="0" w:color="auto"/>
      </w:divBdr>
      <w:divsChild>
        <w:div w:id="1033962281">
          <w:marLeft w:val="-720"/>
          <w:marRight w:val="0"/>
          <w:marTop w:val="0"/>
          <w:marBottom w:val="0"/>
          <w:divBdr>
            <w:top w:val="none" w:sz="0" w:space="0" w:color="auto"/>
            <w:left w:val="none" w:sz="0" w:space="0" w:color="auto"/>
            <w:bottom w:val="none" w:sz="0" w:space="0" w:color="auto"/>
            <w:right w:val="none" w:sz="0" w:space="0" w:color="auto"/>
          </w:divBdr>
        </w:div>
      </w:divsChild>
    </w:div>
    <w:div w:id="1951357551">
      <w:bodyDiv w:val="1"/>
      <w:marLeft w:val="0"/>
      <w:marRight w:val="0"/>
      <w:marTop w:val="0"/>
      <w:marBottom w:val="0"/>
      <w:divBdr>
        <w:top w:val="none" w:sz="0" w:space="0" w:color="auto"/>
        <w:left w:val="none" w:sz="0" w:space="0" w:color="auto"/>
        <w:bottom w:val="none" w:sz="0" w:space="0" w:color="auto"/>
        <w:right w:val="none" w:sz="0" w:space="0" w:color="auto"/>
      </w:divBdr>
      <w:divsChild>
        <w:div w:id="1627655979">
          <w:marLeft w:val="-720"/>
          <w:marRight w:val="0"/>
          <w:marTop w:val="0"/>
          <w:marBottom w:val="0"/>
          <w:divBdr>
            <w:top w:val="none" w:sz="0" w:space="0" w:color="auto"/>
            <w:left w:val="none" w:sz="0" w:space="0" w:color="auto"/>
            <w:bottom w:val="none" w:sz="0" w:space="0" w:color="auto"/>
            <w:right w:val="none" w:sz="0" w:space="0" w:color="auto"/>
          </w:divBdr>
        </w:div>
      </w:divsChild>
    </w:div>
    <w:div w:id="1986856733">
      <w:bodyDiv w:val="1"/>
      <w:marLeft w:val="0"/>
      <w:marRight w:val="0"/>
      <w:marTop w:val="0"/>
      <w:marBottom w:val="0"/>
      <w:divBdr>
        <w:top w:val="none" w:sz="0" w:space="0" w:color="auto"/>
        <w:left w:val="none" w:sz="0" w:space="0" w:color="auto"/>
        <w:bottom w:val="none" w:sz="0" w:space="0" w:color="auto"/>
        <w:right w:val="none" w:sz="0" w:space="0" w:color="auto"/>
      </w:divBdr>
      <w:divsChild>
        <w:div w:id="1792623911">
          <w:marLeft w:val="-720"/>
          <w:marRight w:val="0"/>
          <w:marTop w:val="0"/>
          <w:marBottom w:val="0"/>
          <w:divBdr>
            <w:top w:val="none" w:sz="0" w:space="0" w:color="auto"/>
            <w:left w:val="none" w:sz="0" w:space="0" w:color="auto"/>
            <w:bottom w:val="none" w:sz="0" w:space="0" w:color="auto"/>
            <w:right w:val="none" w:sz="0" w:space="0" w:color="auto"/>
          </w:divBdr>
        </w:div>
      </w:divsChild>
    </w:div>
    <w:div w:id="2004114879">
      <w:bodyDiv w:val="1"/>
      <w:marLeft w:val="0"/>
      <w:marRight w:val="0"/>
      <w:marTop w:val="0"/>
      <w:marBottom w:val="0"/>
      <w:divBdr>
        <w:top w:val="none" w:sz="0" w:space="0" w:color="auto"/>
        <w:left w:val="none" w:sz="0" w:space="0" w:color="auto"/>
        <w:bottom w:val="none" w:sz="0" w:space="0" w:color="auto"/>
        <w:right w:val="none" w:sz="0" w:space="0" w:color="auto"/>
      </w:divBdr>
      <w:divsChild>
        <w:div w:id="861625534">
          <w:marLeft w:val="-720"/>
          <w:marRight w:val="0"/>
          <w:marTop w:val="0"/>
          <w:marBottom w:val="0"/>
          <w:divBdr>
            <w:top w:val="none" w:sz="0" w:space="0" w:color="auto"/>
            <w:left w:val="none" w:sz="0" w:space="0" w:color="auto"/>
            <w:bottom w:val="none" w:sz="0" w:space="0" w:color="auto"/>
            <w:right w:val="none" w:sz="0" w:space="0" w:color="auto"/>
          </w:divBdr>
        </w:div>
      </w:divsChild>
    </w:div>
    <w:div w:id="2124644061">
      <w:bodyDiv w:val="1"/>
      <w:marLeft w:val="0"/>
      <w:marRight w:val="0"/>
      <w:marTop w:val="0"/>
      <w:marBottom w:val="0"/>
      <w:divBdr>
        <w:top w:val="none" w:sz="0" w:space="0" w:color="auto"/>
        <w:left w:val="none" w:sz="0" w:space="0" w:color="auto"/>
        <w:bottom w:val="none" w:sz="0" w:space="0" w:color="auto"/>
        <w:right w:val="none" w:sz="0" w:space="0" w:color="auto"/>
      </w:divBdr>
      <w:divsChild>
        <w:div w:id="1707217411">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98/rsta.2018.0080"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doi.org/10.54097/0d03zx98" TargetMode="External"/><Relationship Id="rId5" Type="http://schemas.openxmlformats.org/officeDocument/2006/relationships/endnotes" Target="endnotes.xml"/><Relationship Id="rId10" Type="http://schemas.openxmlformats.org/officeDocument/2006/relationships/hyperlink" Target="https://doi.org/10.1002/bse.2485" TargetMode="External"/><Relationship Id="rId4" Type="http://schemas.openxmlformats.org/officeDocument/2006/relationships/footnotes" Target="footnotes.xml"/><Relationship Id="rId9" Type="http://schemas.openxmlformats.org/officeDocument/2006/relationships/hyperlink" Target="https://doi.org/10.1080/20430795.2015.11189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84</TotalTime>
  <Pages>8</Pages>
  <Words>1910</Words>
  <Characters>10891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Adapting to Global Transformation: The Strategic Response of HSBC to Artificial Intelligence, Geopolitical Risk, and Sustainability Regulation</vt:lpstr>
    </vt:vector>
  </TitlesOfParts>
  <Company/>
  <LinksUpToDate>false</LinksUpToDate>
  <CharactersWithSpaces>12776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Adapting to Global Transformation: The Strategic Response of HSBC to Artificial Intelligence, Geopolitical Risk, and Sustainability Regulation</dc:title>
  <dc:subject>LCBB4016 Global Business Environment                                  Sorina Craescu 2429530</dc:subject>
  <dc:creator>Sorina Craescu</dc:creator>
  <cp:keywords/>
  <dc:description/>
  <cp:lastModifiedBy>klm</cp:lastModifiedBy>
  <cp:revision>2</cp:revision>
  <dcterms:created xsi:type="dcterms:W3CDTF">2026-04-24T23:53:00Z</dcterms:created>
  <dcterms:modified xsi:type="dcterms:W3CDTF">2026-04-25T01:45:00Z</dcterms:modified>
</cp:coreProperties>
</file>