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51139116"/>
        <w:docPartObj>
          <w:docPartGallery w:val="Cover Pages"/>
          <w:docPartUnique/>
        </w:docPartObj>
      </w:sdtPr>
      <w:sdtEndPr>
        <w:rPr>
          <w:rFonts w:ascii="Arial" w:eastAsia="Times New Roman" w:hAnsi="Arial" w:cs="Arial"/>
          <w:b/>
          <w:i/>
          <w:iCs/>
          <w:color w:val="000000"/>
          <w:lang w:eastAsia="en-GB"/>
        </w:rPr>
      </w:sdtEndPr>
      <w:sdtContent>
        <w:p w14:paraId="52F92815" w14:textId="0D0892D2" w:rsidR="00E03D87" w:rsidRDefault="00E03D87">
          <w:r>
            <w:rPr>
              <w:noProof/>
            </w:rPr>
            <mc:AlternateContent>
              <mc:Choice Requires="wpg">
                <w:drawing>
                  <wp:anchor distT="0" distB="0" distL="114300" distR="114300" simplePos="0" relativeHeight="251708416" behindDoc="1" locked="0" layoutInCell="1" allowOverlap="1" wp14:anchorId="36832901" wp14:editId="0EA5D0FC">
                    <wp:simplePos x="0" y="0"/>
                    <wp:positionH relativeFrom="column">
                      <wp:posOffset>-460489</wp:posOffset>
                    </wp:positionH>
                    <wp:positionV relativeFrom="paragraph">
                      <wp:posOffset>-618372</wp:posOffset>
                    </wp:positionV>
                    <wp:extent cx="6858000" cy="10018929"/>
                    <wp:effectExtent l="0" t="0" r="0" b="1905"/>
                    <wp:wrapNone/>
                    <wp:docPr id="1166737098" name="Group 18"/>
                    <wp:cNvGraphicFramePr/>
                    <a:graphic xmlns:a="http://schemas.openxmlformats.org/drawingml/2006/main">
                      <a:graphicData uri="http://schemas.microsoft.com/office/word/2010/wordprocessingGroup">
                        <wpg:wgp>
                          <wpg:cNvGrpSpPr/>
                          <wpg:grpSpPr>
                            <a:xfrm>
                              <a:off x="0" y="0"/>
                              <a:ext cx="6858000" cy="10018929"/>
                              <a:chOff x="9251" y="-190774"/>
                              <a:chExt cx="6858000" cy="9144000"/>
                            </a:xfrm>
                          </wpg:grpSpPr>
                          <wps:wsp>
                            <wps:cNvPr id="354319751" name="Rectangle 354319751"/>
                            <wps:cNvSpPr/>
                            <wps:spPr>
                              <a:xfrm>
                                <a:off x="9251" y="-190774"/>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D450E40" w14:textId="77777777" w:rsidR="00E03D87" w:rsidRDefault="00E03D87">
                                  <w:pPr>
                                    <w:pStyle w:val="NoSpacing"/>
                                    <w:rPr>
                                      <w:color w:val="FFFFFF" w:themeColor="background1"/>
                                      <w:sz w:val="48"/>
                                      <w:szCs w:val="48"/>
                                    </w:rPr>
                                  </w:pPr>
                                </w:p>
                                <w:p w14:paraId="7E5A6F89" w14:textId="77777777" w:rsidR="00E03D87" w:rsidRDefault="00E03D87">
                                  <w:pPr>
                                    <w:pStyle w:val="NoSpacing"/>
                                    <w:rPr>
                                      <w:color w:val="FFFFFF" w:themeColor="background1"/>
                                      <w:sz w:val="48"/>
                                      <w:szCs w:val="48"/>
                                    </w:rPr>
                                  </w:pPr>
                                </w:p>
                                <w:p w14:paraId="3886E96A" w14:textId="77777777" w:rsidR="00E03D87" w:rsidRDefault="00E03D87">
                                  <w:pPr>
                                    <w:pStyle w:val="NoSpacing"/>
                                    <w:rPr>
                                      <w:color w:val="FFFFFF" w:themeColor="background1"/>
                                      <w:sz w:val="48"/>
                                      <w:szCs w:val="48"/>
                                    </w:rPr>
                                  </w:pPr>
                                </w:p>
                                <w:p w14:paraId="0A2DF2FA" w14:textId="77777777" w:rsidR="00E03D87" w:rsidRDefault="00E03D87">
                                  <w:pPr>
                                    <w:pStyle w:val="NoSpacing"/>
                                    <w:rPr>
                                      <w:color w:val="FFFFFF" w:themeColor="background1"/>
                                      <w:sz w:val="48"/>
                                      <w:szCs w:val="48"/>
                                    </w:rPr>
                                  </w:pPr>
                                </w:p>
                                <w:p w14:paraId="63EED470" w14:textId="77777777" w:rsidR="00E03D87" w:rsidRDefault="00E03D87">
                                  <w:pPr>
                                    <w:pStyle w:val="NoSpacing"/>
                                    <w:rPr>
                                      <w:color w:val="FFFFFF" w:themeColor="background1"/>
                                      <w:sz w:val="48"/>
                                      <w:szCs w:val="48"/>
                                    </w:rPr>
                                  </w:pPr>
                                </w:p>
                                <w:p w14:paraId="531E3681" w14:textId="77E17F8B" w:rsidR="00E03D87" w:rsidRDefault="00E03D87">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879144231" name="Group 2"/>
                            <wpg:cNvGrpSpPr/>
                            <wpg:grpSpPr>
                              <a:xfrm>
                                <a:off x="2524125" y="0"/>
                                <a:ext cx="4329113" cy="4491038"/>
                                <a:chOff x="0" y="0"/>
                                <a:chExt cx="4329113" cy="4491038"/>
                              </a:xfrm>
                              <a:solidFill>
                                <a:schemeClr val="bg1"/>
                              </a:solidFill>
                            </wpg:grpSpPr>
                            <wps:wsp>
                              <wps:cNvPr id="659278059"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05009804"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850674580"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044942538"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891303273"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wgp>
                      </a:graphicData>
                    </a:graphic>
                    <wp14:sizeRelV relativeFrom="margin">
                      <wp14:pctHeight>0</wp14:pctHeight>
                    </wp14:sizeRelV>
                  </wp:anchor>
                </w:drawing>
              </mc:Choice>
              <mc:Fallback>
                <w:pict>
                  <v:group w14:anchorId="36832901" id="Group 18" o:spid="_x0000_s1026" style="position:absolute;margin-left:-36.25pt;margin-top:-48.7pt;width:540pt;height:788.9pt;z-index:-251608064;mso-height-relative:margin" coordorigin="92,-1907"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">
                    <v:rect id="Rectangle 354319751" o:spid="_x0000_s1027" style="position:absolute;left:92;top:-1907;width:68580;height:91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" fillcolor="#102e4b [3122]" stroked="f" strokeweight="1.5pt">
                      <v:fill color2="#0c233a [2882]" angle="348" colors="0 #457c94;6554f #457c94" focus="100%" type="gradient"/>
                      <v:textbox inset="54pt,54pt,1in,5in">
                        <w:txbxContent>
                          <w:p w14:paraId="3D450E40" w14:textId="77777777" w:rsidR="00E03D87" w:rsidRDefault="00E03D87">
                            <w:pPr>
                              <w:pStyle w:val="NoSpacing"/>
                              <w:rPr>
                                <w:color w:val="FFFFFF" w:themeColor="background1"/>
                                <w:sz w:val="48"/>
                                <w:szCs w:val="48"/>
                              </w:rPr>
                            </w:pPr>
                          </w:p>
                          <w:p w14:paraId="7E5A6F89" w14:textId="77777777" w:rsidR="00E03D87" w:rsidRDefault="00E03D87">
                            <w:pPr>
                              <w:pStyle w:val="NoSpacing"/>
                              <w:rPr>
                                <w:color w:val="FFFFFF" w:themeColor="background1"/>
                                <w:sz w:val="48"/>
                                <w:szCs w:val="48"/>
                              </w:rPr>
                            </w:pPr>
                          </w:p>
                          <w:p w14:paraId="3886E96A" w14:textId="77777777" w:rsidR="00E03D87" w:rsidRDefault="00E03D87">
                            <w:pPr>
                              <w:pStyle w:val="NoSpacing"/>
                              <w:rPr>
                                <w:color w:val="FFFFFF" w:themeColor="background1"/>
                                <w:sz w:val="48"/>
                                <w:szCs w:val="48"/>
                              </w:rPr>
                            </w:pPr>
                          </w:p>
                          <w:p w14:paraId="0A2DF2FA" w14:textId="77777777" w:rsidR="00E03D87" w:rsidRDefault="00E03D87">
                            <w:pPr>
                              <w:pStyle w:val="NoSpacing"/>
                              <w:rPr>
                                <w:color w:val="FFFFFF" w:themeColor="background1"/>
                                <w:sz w:val="48"/>
                                <w:szCs w:val="48"/>
                              </w:rPr>
                            </w:pPr>
                          </w:p>
                          <w:p w14:paraId="63EED470" w14:textId="77777777" w:rsidR="00E03D87" w:rsidRDefault="00E03D87">
                            <w:pPr>
                              <w:pStyle w:val="NoSpacing"/>
                              <w:rPr>
                                <w:color w:val="FFFFFF" w:themeColor="background1"/>
                                <w:sz w:val="48"/>
                                <w:szCs w:val="48"/>
                              </w:rPr>
                            </w:pPr>
                          </w:p>
                          <w:p w14:paraId="531E3681" w14:textId="77E17F8B" w:rsidR="00E03D87" w:rsidRDefault="00E03D87">
                            <w:pPr>
                              <w:pStyle w:val="NoSpacing"/>
                              <w:rPr>
                                <w:color w:val="FFFFFF" w:themeColor="background1"/>
                                <w:sz w:val="48"/>
                                <w:szCs w:val="48"/>
                              </w:rPr>
                            </w:pPr>
                          </w:p>
                        </w:txbxContent>
                      </v:textbox>
                    </v:rect>
                    <v:group id="Group 2" o:spid="_x0000_s1028"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">
                      <v:shape id="Freeform 56" o:spid="_x0000_s1029"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" path="m4,1786l,1782,1776,r5,5l4,1786xe" filled="f" stroked="f">
                        <v:path arrowok="t" o:connecttype="custom" o:connectlocs="6350,2835275;0,2828925;2819400,0;2827338,7938;6350,2835275" o:connectangles="0,0,0,0,0"/>
                      </v:shape>
                      <v:shape id="Freeform 57" o:spid="_x0000_s1030"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" path="m5,2234l,2229,2229,r5,5l5,2234xe" filled="f" stroked="f">
                        <v:path arrowok="t" o:connecttype="custom" o:connectlocs="7938,3546475;0,3538538;3538538,0;3546475,7938;7938,3546475" o:connectangles="0,0,0,0,0"/>
                      </v:shape>
                      <v:shape id="Freeform 58" o:spid="_x0000_s1031"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" path="m9,2197l,2193,2188,r9,10l9,2197xe" filled="f" stroked="f">
                        <v:path arrowok="t" o:connecttype="custom" o:connectlocs="14288,3487738;0,3481388;3473450,0;3487738,15875;14288,3487738" o:connectangles="0,0,0,0,0"/>
                      </v:shape>
                      <v:shape id="Freeform 59" o:spid="_x0000_s1032"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" path="m9,1966l,1957,1952,r9,9l9,1966xe" filled="f" stroked="f">
                        <v:path arrowok="t" o:connecttype="custom" o:connectlocs="14288,3121025;0,3106738;3098800,0;3113088,14288;14288,3121025" o:connectangles="0,0,0,0,0"/>
                      </v:shape>
                      <v:shape id="Freeform 60" o:spid="_x0000_s1033"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" path="m,2732r,-4l2722,r5,5l,2732xe" filled="f" stroked="f">
                        <v:path arrowok="t" o:connecttype="custom" o:connectlocs="0,4337050;0,4330700;4321175,0;4329113,7938;0,4337050" o:connectangles="0,0,0,0,0"/>
                      </v:shape>
                    </v:group>
                  </v:group>
                </w:pict>
              </mc:Fallback>
            </mc:AlternateContent>
          </w:r>
          <w:r w:rsidR="008C0491">
            <w:rPr>
              <w:rFonts w:eastAsiaTheme="minorEastAsia"/>
              <w:noProof/>
              <w:color w:val="FFFFFF" w:themeColor="background1"/>
              <w:kern w:val="0"/>
              <w:sz w:val="48"/>
              <w:szCs w:val="48"/>
              <w:lang w:val="en-US"/>
              <w14:ligatures w14:val="none"/>
            </w:rPr>
            <w:drawing>
              <wp:inline distT="0" distB="0" distL="0" distR="0" wp14:anchorId="1080EB15" wp14:editId="4BB678B9">
                <wp:extent cx="1087275" cy="480224"/>
                <wp:effectExtent l="0" t="0" r="0" b="0"/>
                <wp:docPr id="97426419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102137" cy="486788"/>
                        </a:xfrm>
                        <a:prstGeom prst="rect">
                          <a:avLst/>
                        </a:prstGeom>
                        <a:noFill/>
                        <a:ln>
                          <a:noFill/>
                        </a:ln>
                      </pic:spPr>
                    </pic:pic>
                  </a:graphicData>
                </a:graphic>
              </wp:inline>
            </w:drawing>
          </w:r>
        </w:p>
        <w:p w14:paraId="62F071A7" w14:textId="20C1BA30" w:rsidR="00E03D87" w:rsidRDefault="007E25EB">
          <w:pPr>
            <w:rPr>
              <w:rFonts w:ascii="Arial" w:eastAsia="Times New Roman" w:hAnsi="Arial" w:cs="Arial"/>
              <w:b/>
              <w:i/>
              <w:iCs/>
              <w:color w:val="000000"/>
              <w:kern w:val="0"/>
              <w:sz w:val="32"/>
              <w:szCs w:val="32"/>
              <w:lang w:val="en-US" w:eastAsia="en-GB"/>
              <w14:ligatures w14:val="none"/>
            </w:rPr>
          </w:pPr>
          <w:r>
            <w:rPr>
              <w:noProof/>
            </w:rPr>
            <w:drawing>
              <wp:anchor distT="0" distB="0" distL="114300" distR="114300" simplePos="0" relativeHeight="251712512" behindDoc="1" locked="0" layoutInCell="1" allowOverlap="1" wp14:anchorId="57C7BF0D" wp14:editId="0EFA7621">
                <wp:simplePos x="0" y="0"/>
                <wp:positionH relativeFrom="margin">
                  <wp:posOffset>1760923</wp:posOffset>
                </wp:positionH>
                <wp:positionV relativeFrom="paragraph">
                  <wp:posOffset>3878594</wp:posOffset>
                </wp:positionV>
                <wp:extent cx="2762885" cy="1657985"/>
                <wp:effectExtent l="0" t="0" r="0" b="0"/>
                <wp:wrapTight wrapText="bothSides">
                  <wp:wrapPolygon edited="0">
                    <wp:start x="596" y="0"/>
                    <wp:lineTo x="0" y="496"/>
                    <wp:lineTo x="0" y="21095"/>
                    <wp:lineTo x="596" y="21344"/>
                    <wp:lineTo x="20850" y="21344"/>
                    <wp:lineTo x="21446" y="21095"/>
                    <wp:lineTo x="21446" y="496"/>
                    <wp:lineTo x="20850" y="0"/>
                    <wp:lineTo x="596" y="0"/>
                  </wp:wrapPolygon>
                </wp:wrapTight>
                <wp:docPr id="1752200497" name="Picture 24" descr="What is meant by Safeguarding? - Rose &amp; Ro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meant by Safeguarding? - Rose &amp; Ros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62885" cy="1657985"/>
                        </a:xfrm>
                        <a:prstGeom prst="rect">
                          <a:avLst/>
                        </a:prstGeom>
                        <a:ln>
                          <a:noFill/>
                        </a:ln>
                        <a:effectLst>
                          <a:softEdge rad="112500"/>
                        </a:effectLst>
                      </pic:spPr>
                    </pic:pic>
                  </a:graphicData>
                </a:graphic>
              </wp:anchor>
            </w:drawing>
          </w:r>
          <w:r w:rsidR="008C0491">
            <w:rPr>
              <w:rFonts w:ascii="Arial" w:eastAsia="Times New Roman" w:hAnsi="Arial" w:cs="Arial"/>
              <w:b/>
              <w:i/>
              <w:iCs/>
              <w:noProof/>
              <w:color w:val="000000"/>
              <w:lang w:eastAsia="en-GB"/>
            </w:rPr>
            <mc:AlternateContent>
              <mc:Choice Requires="wps">
                <w:drawing>
                  <wp:anchor distT="0" distB="0" distL="114300" distR="114300" simplePos="0" relativeHeight="251711488" behindDoc="0" locked="0" layoutInCell="1" allowOverlap="1" wp14:anchorId="28CE64F0" wp14:editId="56B43AFF">
                    <wp:simplePos x="0" y="0"/>
                    <wp:positionH relativeFrom="column">
                      <wp:posOffset>3939915</wp:posOffset>
                    </wp:positionH>
                    <wp:positionV relativeFrom="paragraph">
                      <wp:posOffset>6917599</wp:posOffset>
                    </wp:positionV>
                    <wp:extent cx="2078780" cy="631140"/>
                    <wp:effectExtent l="0" t="0" r="17145" b="17145"/>
                    <wp:wrapNone/>
                    <wp:docPr id="905244652" name="Rectangle 22"/>
                    <wp:cNvGraphicFramePr/>
                    <a:graphic xmlns:a="http://schemas.openxmlformats.org/drawingml/2006/main">
                      <a:graphicData uri="http://schemas.microsoft.com/office/word/2010/wordprocessingShape">
                        <wps:wsp>
                          <wps:cNvSpPr/>
                          <wps:spPr>
                            <a:xfrm>
                              <a:off x="0" y="0"/>
                              <a:ext cx="2078780" cy="6311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B37D1FF" w14:textId="371EB126" w:rsidR="008C0491" w:rsidRDefault="008C0491" w:rsidP="008C0491">
                                <w:pPr>
                                  <w:jc w:val="center"/>
                                </w:pPr>
                                <w:r>
                                  <w:t>Ana Tanase</w:t>
                                </w:r>
                              </w:p>
                              <w:p w14:paraId="30A8DF59" w14:textId="79DC46CC" w:rsidR="008C0491" w:rsidRDefault="008C0491" w:rsidP="008C0491">
                                <w:pPr>
                                  <w:jc w:val="center"/>
                                </w:pPr>
                                <w:r>
                                  <w:t>Student number:1917778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CE64F0" id="Rectangle 22" o:spid="_x0000_s1034" style="position:absolute;margin-left:310.25pt;margin-top:544.7pt;width:163.7pt;height:49.7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" fillcolor="#156082 [3204]" strokecolor="#030e13 [484]" strokeweight="1.5pt">
                    <v:textbox>
                      <w:txbxContent>
                        <w:p w14:paraId="2B37D1FF" w14:textId="371EB126" w:rsidR="008C0491" w:rsidRDefault="008C0491" w:rsidP="008C0491">
                          <w:pPr>
                            <w:jc w:val="center"/>
                          </w:pPr>
                          <w:r>
                            <w:t>Ana Tanase</w:t>
                          </w:r>
                        </w:p>
                        <w:p w14:paraId="30A8DF59" w14:textId="79DC46CC" w:rsidR="008C0491" w:rsidRDefault="008C0491" w:rsidP="008C0491">
                          <w:pPr>
                            <w:jc w:val="center"/>
                          </w:pPr>
                          <w:r>
                            <w:t>Student number:1917778</w:t>
                          </w:r>
                        </w:p>
                      </w:txbxContent>
                    </v:textbox>
                  </v:rect>
                </w:pict>
              </mc:Fallback>
            </mc:AlternateContent>
          </w:r>
          <w:r w:rsidR="008C0491">
            <w:rPr>
              <w:rFonts w:ascii="Arial" w:eastAsia="Times New Roman" w:hAnsi="Arial" w:cs="Arial"/>
              <w:b/>
              <w:i/>
              <w:iCs/>
              <w:noProof/>
              <w:color w:val="000000"/>
              <w:lang w:eastAsia="en-GB"/>
            </w:rPr>
            <mc:AlternateContent>
              <mc:Choice Requires="wps">
                <w:drawing>
                  <wp:anchor distT="0" distB="0" distL="114300" distR="114300" simplePos="0" relativeHeight="251709440" behindDoc="0" locked="0" layoutInCell="1" allowOverlap="1" wp14:anchorId="246316EE" wp14:editId="16BE0DCB">
                    <wp:simplePos x="0" y="0"/>
                    <wp:positionH relativeFrom="column">
                      <wp:posOffset>802567</wp:posOffset>
                    </wp:positionH>
                    <wp:positionV relativeFrom="paragraph">
                      <wp:posOffset>2385357</wp:posOffset>
                    </wp:positionV>
                    <wp:extent cx="4565015" cy="1013076"/>
                    <wp:effectExtent l="0" t="0" r="26035" b="15875"/>
                    <wp:wrapNone/>
                    <wp:docPr id="1370009490" name="Rectangle 19"/>
                    <wp:cNvGraphicFramePr/>
                    <a:graphic xmlns:a="http://schemas.openxmlformats.org/drawingml/2006/main">
                      <a:graphicData uri="http://schemas.microsoft.com/office/word/2010/wordprocessingShape">
                        <wps:wsp>
                          <wps:cNvSpPr/>
                          <wps:spPr>
                            <a:xfrm>
                              <a:off x="0" y="0"/>
                              <a:ext cx="4565015" cy="101307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sdt>
                                <w:sdtPr>
                                  <w:rPr>
                                    <w:rFonts w:ascii="Arial" w:eastAsia="Times New Roman" w:hAnsi="Arial" w:cs="Arial"/>
                                    <w:b/>
                                    <w:i/>
                                    <w:iCs/>
                                    <w:color w:val="000000"/>
                                    <w:sz w:val="32"/>
                                    <w:szCs w:val="32"/>
                                    <w:lang w:eastAsia="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FD5E852" w14:textId="77777777" w:rsidR="00E03D87" w:rsidRPr="009E51E8" w:rsidRDefault="00E03D87" w:rsidP="00E03D87">
                                    <w:pPr>
                                      <w:pStyle w:val="NoSpacing"/>
                                      <w:spacing w:line="312" w:lineRule="auto"/>
                                      <w:jc w:val="right"/>
                                      <w:rPr>
                                        <w:i/>
                                        <w:iCs/>
                                        <w:caps/>
                                        <w:color w:val="191919" w:themeColor="text1" w:themeTint="E6"/>
                                        <w:sz w:val="32"/>
                                        <w:szCs w:val="32"/>
                                      </w:rPr>
                                    </w:pPr>
                                    <w:r w:rsidRPr="009E51E8">
                                      <w:rPr>
                                        <w:rFonts w:ascii="Arial" w:eastAsia="Times New Roman" w:hAnsi="Arial" w:cs="Arial"/>
                                        <w:b/>
                                        <w:i/>
                                        <w:iCs/>
                                        <w:color w:val="000000"/>
                                        <w:sz w:val="32"/>
                                        <w:szCs w:val="32"/>
                                        <w:lang w:eastAsia="en-GB"/>
                                      </w:rPr>
                                      <w:t>Children and Young People’s Health, Wellbeing and</w:t>
                                    </w:r>
                                    <w:r>
                                      <w:rPr>
                                        <w:rFonts w:ascii="Arial" w:eastAsia="Times New Roman" w:hAnsi="Arial" w:cs="Arial"/>
                                        <w:b/>
                                        <w:i/>
                                        <w:iCs/>
                                        <w:color w:val="000000"/>
                                        <w:sz w:val="32"/>
                                        <w:szCs w:val="32"/>
                                        <w:lang w:eastAsia="en-GB"/>
                                      </w:rPr>
                                      <w:t xml:space="preserve"> </w:t>
                                    </w:r>
                                    <w:r w:rsidRPr="009E51E8">
                                      <w:rPr>
                                        <w:rFonts w:ascii="Arial" w:eastAsia="Times New Roman" w:hAnsi="Arial" w:cs="Arial"/>
                                        <w:b/>
                                        <w:i/>
                                        <w:iCs/>
                                        <w:color w:val="000000"/>
                                        <w:sz w:val="32"/>
                                        <w:szCs w:val="32"/>
                                        <w:lang w:eastAsia="en-GB"/>
                                      </w:rPr>
                                      <w:t>Community Engagement</w:t>
                                    </w:r>
                                  </w:p>
                                </w:sdtContent>
                              </w:sdt>
                              <w:p w14:paraId="0B7DCEC4" w14:textId="6AAB2077" w:rsidR="00E03D87" w:rsidRDefault="00DD39B1" w:rsidP="00E03D87">
                                <w:pPr>
                                  <w:jc w:val="center"/>
                                </w:pPr>
                                <w:r w:rsidRPr="000D7E2E">
                                  <w:rPr>
                                    <w:rFonts w:ascii="Arial" w:hAnsi="Arial" w:cs="Arial"/>
                                    <w:b/>
                                    <w:sz w:val="22"/>
                                    <w:szCs w:val="22"/>
                                  </w:rPr>
                                  <w:t>BMH</w:t>
                                </w:r>
                                <w:r>
                                  <w:rPr>
                                    <w:rFonts w:ascii="Arial" w:hAnsi="Arial" w:cs="Arial"/>
                                    <w:b/>
                                    <w:sz w:val="22"/>
                                    <w:szCs w:val="22"/>
                                  </w:rPr>
                                  <w:t>P5018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46316EE" id="Rectangle 19" o:spid="_x0000_s1035" style="position:absolute;margin-left:63.2pt;margin-top:187.8pt;width:359.45pt;height:79.75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" fillcolor="#156082 [3204]" strokecolor="#030e13 [484]" strokeweight="1.5pt">
                    <v:textbox>
                      <w:txbxContent>
                        <w:sdt>
                          <w:sdtPr>
                            <w:rPr>
                              <w:rFonts w:ascii="Arial" w:eastAsia="Times New Roman" w:hAnsi="Arial" w:cs="Arial"/>
                              <w:b/>
                              <w:i/>
                              <w:iCs/>
                              <w:color w:val="000000"/>
                              <w:sz w:val="32"/>
                              <w:szCs w:val="32"/>
                              <w:lang w:eastAsia="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FD5E852" w14:textId="77777777" w:rsidR="00E03D87" w:rsidRPr="009E51E8" w:rsidRDefault="00E03D87" w:rsidP="00E03D87">
                              <w:pPr>
                                <w:pStyle w:val="NoSpacing"/>
                                <w:spacing w:line="312" w:lineRule="auto"/>
                                <w:jc w:val="right"/>
                                <w:rPr>
                                  <w:i/>
                                  <w:iCs/>
                                  <w:caps/>
                                  <w:color w:val="191919" w:themeColor="text1" w:themeTint="E6"/>
                                  <w:sz w:val="32"/>
                                  <w:szCs w:val="32"/>
                                </w:rPr>
                              </w:pPr>
                              <w:r w:rsidRPr="009E51E8">
                                <w:rPr>
                                  <w:rFonts w:ascii="Arial" w:eastAsia="Times New Roman" w:hAnsi="Arial" w:cs="Arial"/>
                                  <w:b/>
                                  <w:i/>
                                  <w:iCs/>
                                  <w:color w:val="000000"/>
                                  <w:sz w:val="32"/>
                                  <w:szCs w:val="32"/>
                                  <w:lang w:eastAsia="en-GB"/>
                                </w:rPr>
                                <w:t>Children and Young People’s Health, Wellbeing and</w:t>
                              </w:r>
                              <w:r>
                                <w:rPr>
                                  <w:rFonts w:ascii="Arial" w:eastAsia="Times New Roman" w:hAnsi="Arial" w:cs="Arial"/>
                                  <w:b/>
                                  <w:i/>
                                  <w:iCs/>
                                  <w:color w:val="000000"/>
                                  <w:sz w:val="32"/>
                                  <w:szCs w:val="32"/>
                                  <w:lang w:eastAsia="en-GB"/>
                                </w:rPr>
                                <w:t xml:space="preserve"> </w:t>
                              </w:r>
                              <w:r w:rsidRPr="009E51E8">
                                <w:rPr>
                                  <w:rFonts w:ascii="Arial" w:eastAsia="Times New Roman" w:hAnsi="Arial" w:cs="Arial"/>
                                  <w:b/>
                                  <w:i/>
                                  <w:iCs/>
                                  <w:color w:val="000000"/>
                                  <w:sz w:val="32"/>
                                  <w:szCs w:val="32"/>
                                  <w:lang w:eastAsia="en-GB"/>
                                </w:rPr>
                                <w:t>Community Engagement</w:t>
                              </w:r>
                            </w:p>
                          </w:sdtContent>
                        </w:sdt>
                        <w:p w14:paraId="0B7DCEC4" w14:textId="6AAB2077" w:rsidR="00E03D87" w:rsidRDefault="00DD39B1" w:rsidP="00E03D87">
                          <w:pPr>
                            <w:jc w:val="center"/>
                          </w:pPr>
                          <w:r w:rsidRPr="000D7E2E">
                            <w:rPr>
                              <w:rFonts w:ascii="Arial" w:hAnsi="Arial" w:cs="Arial"/>
                              <w:b/>
                              <w:sz w:val="22"/>
                              <w:szCs w:val="22"/>
                            </w:rPr>
                            <w:t>BMH</w:t>
                          </w:r>
                          <w:r>
                            <w:rPr>
                              <w:rFonts w:ascii="Arial" w:hAnsi="Arial" w:cs="Arial"/>
                              <w:b/>
                              <w:sz w:val="22"/>
                              <w:szCs w:val="22"/>
                            </w:rPr>
                            <w:t>P5018</w:t>
                          </w:r>
                        </w:p>
                      </w:txbxContent>
                    </v:textbox>
                  </v:rect>
                </w:pict>
              </mc:Fallback>
            </mc:AlternateContent>
          </w:r>
          <w:r w:rsidR="00DD39B1">
            <w:rPr>
              <w:rFonts w:ascii="Arial" w:eastAsia="Times New Roman" w:hAnsi="Arial" w:cs="Arial"/>
              <w:b/>
              <w:i/>
              <w:iCs/>
              <w:noProof/>
              <w:color w:val="000000"/>
              <w:lang w:eastAsia="en-GB"/>
            </w:rPr>
            <mc:AlternateContent>
              <mc:Choice Requires="wps">
                <w:drawing>
                  <wp:anchor distT="0" distB="0" distL="114300" distR="114300" simplePos="0" relativeHeight="251710464" behindDoc="0" locked="0" layoutInCell="1" allowOverlap="1" wp14:anchorId="009826CB" wp14:editId="03A337E3">
                    <wp:simplePos x="0" y="0"/>
                    <wp:positionH relativeFrom="column">
                      <wp:posOffset>1644604</wp:posOffset>
                    </wp:positionH>
                    <wp:positionV relativeFrom="paragraph">
                      <wp:posOffset>729103</wp:posOffset>
                    </wp:positionV>
                    <wp:extent cx="3111592" cy="993341"/>
                    <wp:effectExtent l="0" t="0" r="0" b="0"/>
                    <wp:wrapNone/>
                    <wp:docPr id="1003754038" name="Rectangle 20"/>
                    <wp:cNvGraphicFramePr/>
                    <a:graphic xmlns:a="http://schemas.openxmlformats.org/drawingml/2006/main">
                      <a:graphicData uri="http://schemas.microsoft.com/office/word/2010/wordprocessingShape">
                        <wps:wsp>
                          <wps:cNvSpPr/>
                          <wps:spPr>
                            <a:xfrm>
                              <a:off x="0" y="0"/>
                              <a:ext cx="3111592" cy="993341"/>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04C34AF" w14:textId="5D1A3B19" w:rsidR="00DD39B1" w:rsidRPr="00DD39B1" w:rsidRDefault="00DD39B1" w:rsidP="00DD39B1">
                                <w:pPr>
                                  <w:jc w:val="center"/>
                                  <w:rPr>
                                    <w:i/>
                                    <w:iCs/>
                                    <w:sz w:val="96"/>
                                    <w:szCs w:val="96"/>
                                  </w:rPr>
                                </w:pPr>
                                <w:r w:rsidRPr="00DD39B1">
                                  <w:rPr>
                                    <w:i/>
                                    <w:iCs/>
                                    <w:sz w:val="96"/>
                                    <w:szCs w:val="96"/>
                                  </w:rPr>
                                  <w:t>E-portfolio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9826CB" id="Rectangle 20" o:spid="_x0000_s1036" style="position:absolute;margin-left:129.5pt;margin-top:57.4pt;width:245pt;height:78.2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" fillcolor="#0f9ed5 [3207]" stroked="f">
                    <v:fill opacity="32896f"/>
                    <v:textbox>
                      <w:txbxContent>
                        <w:p w14:paraId="304C34AF" w14:textId="5D1A3B19" w:rsidR="00DD39B1" w:rsidRPr="00DD39B1" w:rsidRDefault="00DD39B1" w:rsidP="00DD39B1">
                          <w:pPr>
                            <w:jc w:val="center"/>
                            <w:rPr>
                              <w:i/>
                              <w:iCs/>
                              <w:sz w:val="96"/>
                              <w:szCs w:val="96"/>
                            </w:rPr>
                          </w:pPr>
                          <w:r w:rsidRPr="00DD39B1">
                            <w:rPr>
                              <w:i/>
                              <w:iCs/>
                              <w:sz w:val="96"/>
                              <w:szCs w:val="96"/>
                            </w:rPr>
                            <w:t>E-portfolio</w:t>
                          </w:r>
                        </w:p>
                      </w:txbxContent>
                    </v:textbox>
                  </v:rect>
                </w:pict>
              </mc:Fallback>
            </mc:AlternateContent>
          </w:r>
          <w:r w:rsidR="00E03D87">
            <w:rPr>
              <w:rFonts w:ascii="Arial" w:eastAsia="Times New Roman" w:hAnsi="Arial" w:cs="Arial"/>
              <w:b/>
              <w:i/>
              <w:iCs/>
              <w:color w:val="000000"/>
              <w:lang w:eastAsia="en-GB"/>
            </w:rPr>
            <w:br w:type="page"/>
          </w:r>
        </w:p>
      </w:sdtContent>
    </w:sdt>
    <w:sdt>
      <w:sdtPr>
        <w:rPr>
          <w:rFonts w:asciiTheme="minorHAnsi" w:eastAsiaTheme="minorHAnsi" w:hAnsiTheme="minorHAnsi" w:cstheme="minorBidi"/>
          <w:color w:val="auto"/>
          <w:kern w:val="2"/>
          <w:sz w:val="24"/>
          <w:szCs w:val="24"/>
          <w:lang w:val="en-GB"/>
          <w14:ligatures w14:val="standardContextual"/>
        </w:rPr>
        <w:id w:val="-1325818974"/>
        <w:docPartObj>
          <w:docPartGallery w:val="Table of Contents"/>
          <w:docPartUnique/>
        </w:docPartObj>
      </w:sdtPr>
      <w:sdtEndPr>
        <w:rPr>
          <w:b/>
          <w:bCs/>
          <w:noProof/>
        </w:rPr>
      </w:sdtEndPr>
      <w:sdtContent>
        <w:p w14:paraId="39C773CD" w14:textId="2422B7C3" w:rsidR="00F80C37" w:rsidRDefault="00F80C37" w:rsidP="00F80C37">
          <w:pPr>
            <w:pStyle w:val="TOCHeading"/>
          </w:pPr>
          <w:r>
            <w:t>Contents</w:t>
          </w:r>
        </w:p>
        <w:p w14:paraId="1312C878" w14:textId="21E9229E" w:rsidR="00BC2774" w:rsidRDefault="00F80C3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7532648" w:history="1">
            <w:r w:rsidR="00BC2774" w:rsidRPr="00477972">
              <w:rPr>
                <w:rStyle w:val="Hyperlink"/>
                <w:noProof/>
              </w:rPr>
              <w:t>Critique of The Child and Adolescent Mental Health Service (CAMHS) Video</w:t>
            </w:r>
            <w:r w:rsidR="00BC2774">
              <w:rPr>
                <w:noProof/>
                <w:webHidden/>
              </w:rPr>
              <w:tab/>
            </w:r>
            <w:r w:rsidR="00BC2774">
              <w:rPr>
                <w:noProof/>
                <w:webHidden/>
              </w:rPr>
              <w:fldChar w:fldCharType="begin"/>
            </w:r>
            <w:r w:rsidR="00BC2774">
              <w:rPr>
                <w:noProof/>
                <w:webHidden/>
              </w:rPr>
              <w:instrText xml:space="preserve"> PAGEREF _Toc197532648 \h </w:instrText>
            </w:r>
            <w:r w:rsidR="00BC2774">
              <w:rPr>
                <w:noProof/>
                <w:webHidden/>
              </w:rPr>
            </w:r>
            <w:r w:rsidR="00BC2774">
              <w:rPr>
                <w:noProof/>
                <w:webHidden/>
              </w:rPr>
              <w:fldChar w:fldCharType="separate"/>
            </w:r>
            <w:r w:rsidR="00BC2774">
              <w:rPr>
                <w:noProof/>
                <w:webHidden/>
              </w:rPr>
              <w:t>2</w:t>
            </w:r>
            <w:r w:rsidR="00BC2774">
              <w:rPr>
                <w:noProof/>
                <w:webHidden/>
              </w:rPr>
              <w:fldChar w:fldCharType="end"/>
            </w:r>
          </w:hyperlink>
        </w:p>
        <w:p w14:paraId="52A150B3" w14:textId="64812B67" w:rsidR="00BC2774" w:rsidRDefault="00BC2774">
          <w:pPr>
            <w:pStyle w:val="TOC1"/>
            <w:tabs>
              <w:tab w:val="right" w:leader="dot" w:pos="9016"/>
            </w:tabs>
            <w:rPr>
              <w:rFonts w:eastAsiaTheme="minorEastAsia"/>
              <w:noProof/>
              <w:lang w:eastAsia="en-GB"/>
            </w:rPr>
          </w:pPr>
          <w:hyperlink w:anchor="_Toc197532649" w:history="1">
            <w:r w:rsidRPr="00477972">
              <w:rPr>
                <w:rStyle w:val="Hyperlink"/>
                <w:rFonts w:eastAsia="Times New Roman"/>
                <w:noProof/>
                <w:lang w:eastAsia="en-GB"/>
              </w:rPr>
              <w:t>Poster</w:t>
            </w:r>
            <w:r>
              <w:rPr>
                <w:noProof/>
                <w:webHidden/>
              </w:rPr>
              <w:tab/>
            </w:r>
            <w:r>
              <w:rPr>
                <w:noProof/>
                <w:webHidden/>
              </w:rPr>
              <w:fldChar w:fldCharType="begin"/>
            </w:r>
            <w:r>
              <w:rPr>
                <w:noProof/>
                <w:webHidden/>
              </w:rPr>
              <w:instrText xml:space="preserve"> PAGEREF _Toc197532649 \h </w:instrText>
            </w:r>
            <w:r>
              <w:rPr>
                <w:noProof/>
                <w:webHidden/>
              </w:rPr>
            </w:r>
            <w:r>
              <w:rPr>
                <w:noProof/>
                <w:webHidden/>
              </w:rPr>
              <w:fldChar w:fldCharType="separate"/>
            </w:r>
            <w:r>
              <w:rPr>
                <w:noProof/>
                <w:webHidden/>
              </w:rPr>
              <w:t>6</w:t>
            </w:r>
            <w:r>
              <w:rPr>
                <w:noProof/>
                <w:webHidden/>
              </w:rPr>
              <w:fldChar w:fldCharType="end"/>
            </w:r>
          </w:hyperlink>
        </w:p>
        <w:p w14:paraId="11A1CA35" w14:textId="0EB34ED6" w:rsidR="00BC2774" w:rsidRDefault="00BC2774">
          <w:pPr>
            <w:pStyle w:val="TOC1"/>
            <w:tabs>
              <w:tab w:val="right" w:leader="dot" w:pos="9016"/>
            </w:tabs>
            <w:rPr>
              <w:rFonts w:eastAsiaTheme="minorEastAsia"/>
              <w:noProof/>
              <w:lang w:eastAsia="en-GB"/>
            </w:rPr>
          </w:pPr>
          <w:hyperlink w:anchor="_Toc197532650" w:history="1">
            <w:r w:rsidRPr="00477972">
              <w:rPr>
                <w:rStyle w:val="Hyperlink"/>
                <w:rFonts w:eastAsia="Times New Roman"/>
                <w:noProof/>
                <w:lang w:eastAsia="en-GB"/>
              </w:rPr>
              <w:t>Legislation in the United Kingdom designed to safeguard children, young people and families</w:t>
            </w:r>
            <w:r>
              <w:rPr>
                <w:noProof/>
                <w:webHidden/>
              </w:rPr>
              <w:tab/>
            </w:r>
            <w:r>
              <w:rPr>
                <w:noProof/>
                <w:webHidden/>
              </w:rPr>
              <w:fldChar w:fldCharType="begin"/>
            </w:r>
            <w:r>
              <w:rPr>
                <w:noProof/>
                <w:webHidden/>
              </w:rPr>
              <w:instrText xml:space="preserve"> PAGEREF _Toc197532650 \h </w:instrText>
            </w:r>
            <w:r>
              <w:rPr>
                <w:noProof/>
                <w:webHidden/>
              </w:rPr>
            </w:r>
            <w:r>
              <w:rPr>
                <w:noProof/>
                <w:webHidden/>
              </w:rPr>
              <w:fldChar w:fldCharType="separate"/>
            </w:r>
            <w:r>
              <w:rPr>
                <w:noProof/>
                <w:webHidden/>
              </w:rPr>
              <w:t>7</w:t>
            </w:r>
            <w:r>
              <w:rPr>
                <w:noProof/>
                <w:webHidden/>
              </w:rPr>
              <w:fldChar w:fldCharType="end"/>
            </w:r>
          </w:hyperlink>
        </w:p>
        <w:p w14:paraId="06D70B4E" w14:textId="26C72B6C" w:rsidR="00BC2774" w:rsidRDefault="00BC2774">
          <w:pPr>
            <w:pStyle w:val="TOC2"/>
            <w:tabs>
              <w:tab w:val="right" w:leader="dot" w:pos="9016"/>
            </w:tabs>
            <w:rPr>
              <w:rFonts w:eastAsiaTheme="minorEastAsia"/>
              <w:noProof/>
              <w:lang w:eastAsia="en-GB"/>
            </w:rPr>
          </w:pPr>
          <w:hyperlink w:anchor="_Toc197532651" w:history="1">
            <w:r w:rsidRPr="00477972">
              <w:rPr>
                <w:rStyle w:val="Hyperlink"/>
                <w:noProof/>
              </w:rPr>
              <w:t>The Children Act 2004</w:t>
            </w:r>
            <w:r>
              <w:rPr>
                <w:noProof/>
                <w:webHidden/>
              </w:rPr>
              <w:tab/>
            </w:r>
            <w:r>
              <w:rPr>
                <w:noProof/>
                <w:webHidden/>
              </w:rPr>
              <w:fldChar w:fldCharType="begin"/>
            </w:r>
            <w:r>
              <w:rPr>
                <w:noProof/>
                <w:webHidden/>
              </w:rPr>
              <w:instrText xml:space="preserve"> PAGEREF _Toc197532651 \h </w:instrText>
            </w:r>
            <w:r>
              <w:rPr>
                <w:noProof/>
                <w:webHidden/>
              </w:rPr>
            </w:r>
            <w:r>
              <w:rPr>
                <w:noProof/>
                <w:webHidden/>
              </w:rPr>
              <w:fldChar w:fldCharType="separate"/>
            </w:r>
            <w:r>
              <w:rPr>
                <w:noProof/>
                <w:webHidden/>
              </w:rPr>
              <w:t>7</w:t>
            </w:r>
            <w:r>
              <w:rPr>
                <w:noProof/>
                <w:webHidden/>
              </w:rPr>
              <w:fldChar w:fldCharType="end"/>
            </w:r>
          </w:hyperlink>
        </w:p>
        <w:p w14:paraId="02D95DB8" w14:textId="6336F39E" w:rsidR="00BC2774" w:rsidRDefault="00BC2774">
          <w:pPr>
            <w:pStyle w:val="TOC2"/>
            <w:tabs>
              <w:tab w:val="right" w:leader="dot" w:pos="9016"/>
            </w:tabs>
            <w:rPr>
              <w:rFonts w:eastAsiaTheme="minorEastAsia"/>
              <w:noProof/>
              <w:lang w:eastAsia="en-GB"/>
            </w:rPr>
          </w:pPr>
          <w:hyperlink w:anchor="_Toc197532652" w:history="1">
            <w:r w:rsidRPr="00477972">
              <w:rPr>
                <w:rStyle w:val="Hyperlink"/>
                <w:noProof/>
              </w:rPr>
              <w:t>The Rights of Children and Young Persons (Wales) Measure 2011</w:t>
            </w:r>
            <w:r>
              <w:rPr>
                <w:noProof/>
                <w:webHidden/>
              </w:rPr>
              <w:tab/>
            </w:r>
            <w:r>
              <w:rPr>
                <w:noProof/>
                <w:webHidden/>
              </w:rPr>
              <w:fldChar w:fldCharType="begin"/>
            </w:r>
            <w:r>
              <w:rPr>
                <w:noProof/>
                <w:webHidden/>
              </w:rPr>
              <w:instrText xml:space="preserve"> PAGEREF _Toc197532652 \h </w:instrText>
            </w:r>
            <w:r>
              <w:rPr>
                <w:noProof/>
                <w:webHidden/>
              </w:rPr>
            </w:r>
            <w:r>
              <w:rPr>
                <w:noProof/>
                <w:webHidden/>
              </w:rPr>
              <w:fldChar w:fldCharType="separate"/>
            </w:r>
            <w:r>
              <w:rPr>
                <w:noProof/>
                <w:webHidden/>
              </w:rPr>
              <w:t>8</w:t>
            </w:r>
            <w:r>
              <w:rPr>
                <w:noProof/>
                <w:webHidden/>
              </w:rPr>
              <w:fldChar w:fldCharType="end"/>
            </w:r>
          </w:hyperlink>
        </w:p>
        <w:p w14:paraId="67ED2007" w14:textId="476D5AF4" w:rsidR="00BC2774" w:rsidRDefault="00BC2774">
          <w:pPr>
            <w:pStyle w:val="TOC2"/>
            <w:tabs>
              <w:tab w:val="right" w:leader="dot" w:pos="9016"/>
            </w:tabs>
            <w:rPr>
              <w:rFonts w:eastAsiaTheme="minorEastAsia"/>
              <w:noProof/>
              <w:lang w:eastAsia="en-GB"/>
            </w:rPr>
          </w:pPr>
          <w:hyperlink w:anchor="_Toc197532653" w:history="1">
            <w:r w:rsidRPr="00477972">
              <w:rPr>
                <w:rStyle w:val="Hyperlink"/>
                <w:noProof/>
              </w:rPr>
              <w:t>The Wellbeing of Future Generations (Wales) Act 2015</w:t>
            </w:r>
            <w:r>
              <w:rPr>
                <w:noProof/>
                <w:webHidden/>
              </w:rPr>
              <w:tab/>
            </w:r>
            <w:r>
              <w:rPr>
                <w:noProof/>
                <w:webHidden/>
              </w:rPr>
              <w:fldChar w:fldCharType="begin"/>
            </w:r>
            <w:r>
              <w:rPr>
                <w:noProof/>
                <w:webHidden/>
              </w:rPr>
              <w:instrText xml:space="preserve"> PAGEREF _Toc197532653 \h </w:instrText>
            </w:r>
            <w:r>
              <w:rPr>
                <w:noProof/>
                <w:webHidden/>
              </w:rPr>
            </w:r>
            <w:r>
              <w:rPr>
                <w:noProof/>
                <w:webHidden/>
              </w:rPr>
              <w:fldChar w:fldCharType="separate"/>
            </w:r>
            <w:r>
              <w:rPr>
                <w:noProof/>
                <w:webHidden/>
              </w:rPr>
              <w:t>9</w:t>
            </w:r>
            <w:r>
              <w:rPr>
                <w:noProof/>
                <w:webHidden/>
              </w:rPr>
              <w:fldChar w:fldCharType="end"/>
            </w:r>
          </w:hyperlink>
        </w:p>
        <w:p w14:paraId="0EF291A0" w14:textId="34907744" w:rsidR="00BC2774" w:rsidRDefault="00BC2774">
          <w:pPr>
            <w:pStyle w:val="TOC2"/>
            <w:tabs>
              <w:tab w:val="right" w:leader="dot" w:pos="9016"/>
            </w:tabs>
            <w:rPr>
              <w:rFonts w:eastAsiaTheme="minorEastAsia"/>
              <w:noProof/>
              <w:lang w:eastAsia="en-GB"/>
            </w:rPr>
          </w:pPr>
          <w:hyperlink w:anchor="_Toc197532654" w:history="1">
            <w:r w:rsidRPr="00477972">
              <w:rPr>
                <w:rStyle w:val="Hyperlink"/>
                <w:noProof/>
              </w:rPr>
              <w:t>The Children (Abolition of Defence of Reasonable Punishment) (Wales) Act 2020</w:t>
            </w:r>
            <w:r>
              <w:rPr>
                <w:noProof/>
                <w:webHidden/>
              </w:rPr>
              <w:tab/>
            </w:r>
            <w:r>
              <w:rPr>
                <w:noProof/>
                <w:webHidden/>
              </w:rPr>
              <w:fldChar w:fldCharType="begin"/>
            </w:r>
            <w:r>
              <w:rPr>
                <w:noProof/>
                <w:webHidden/>
              </w:rPr>
              <w:instrText xml:space="preserve"> PAGEREF _Toc197532654 \h </w:instrText>
            </w:r>
            <w:r>
              <w:rPr>
                <w:noProof/>
                <w:webHidden/>
              </w:rPr>
            </w:r>
            <w:r>
              <w:rPr>
                <w:noProof/>
                <w:webHidden/>
              </w:rPr>
              <w:fldChar w:fldCharType="separate"/>
            </w:r>
            <w:r>
              <w:rPr>
                <w:noProof/>
                <w:webHidden/>
              </w:rPr>
              <w:t>10</w:t>
            </w:r>
            <w:r>
              <w:rPr>
                <w:noProof/>
                <w:webHidden/>
              </w:rPr>
              <w:fldChar w:fldCharType="end"/>
            </w:r>
          </w:hyperlink>
        </w:p>
        <w:p w14:paraId="0AC972E2" w14:textId="45439B04" w:rsidR="00BC2774" w:rsidRDefault="00BC2774">
          <w:pPr>
            <w:pStyle w:val="TOC1"/>
            <w:tabs>
              <w:tab w:val="right" w:leader="dot" w:pos="9016"/>
            </w:tabs>
            <w:rPr>
              <w:rFonts w:eastAsiaTheme="minorEastAsia"/>
              <w:noProof/>
              <w:lang w:eastAsia="en-GB"/>
            </w:rPr>
          </w:pPr>
          <w:hyperlink w:anchor="_Toc197532655" w:history="1">
            <w:r w:rsidRPr="00477972">
              <w:rPr>
                <w:rStyle w:val="Hyperlink"/>
                <w:rFonts w:eastAsia="Times New Roman"/>
                <w:noProof/>
                <w:lang w:eastAsia="en-GB"/>
              </w:rPr>
              <w:t>Blogs about the rights of children and youth.</w:t>
            </w:r>
            <w:r>
              <w:rPr>
                <w:noProof/>
                <w:webHidden/>
              </w:rPr>
              <w:tab/>
            </w:r>
            <w:r>
              <w:rPr>
                <w:noProof/>
                <w:webHidden/>
              </w:rPr>
              <w:fldChar w:fldCharType="begin"/>
            </w:r>
            <w:r>
              <w:rPr>
                <w:noProof/>
                <w:webHidden/>
              </w:rPr>
              <w:instrText xml:space="preserve"> PAGEREF _Toc197532655 \h </w:instrText>
            </w:r>
            <w:r>
              <w:rPr>
                <w:noProof/>
                <w:webHidden/>
              </w:rPr>
            </w:r>
            <w:r>
              <w:rPr>
                <w:noProof/>
                <w:webHidden/>
              </w:rPr>
              <w:fldChar w:fldCharType="separate"/>
            </w:r>
            <w:r>
              <w:rPr>
                <w:noProof/>
                <w:webHidden/>
              </w:rPr>
              <w:t>11</w:t>
            </w:r>
            <w:r>
              <w:rPr>
                <w:noProof/>
                <w:webHidden/>
              </w:rPr>
              <w:fldChar w:fldCharType="end"/>
            </w:r>
          </w:hyperlink>
        </w:p>
        <w:p w14:paraId="6D48EDB7" w14:textId="4E09DCCC" w:rsidR="00BC2774" w:rsidRDefault="00BC2774">
          <w:pPr>
            <w:pStyle w:val="TOC3"/>
            <w:tabs>
              <w:tab w:val="right" w:leader="dot" w:pos="9016"/>
            </w:tabs>
            <w:rPr>
              <w:rFonts w:eastAsiaTheme="minorEastAsia"/>
              <w:noProof/>
              <w:lang w:eastAsia="en-GB"/>
            </w:rPr>
          </w:pPr>
          <w:hyperlink w:anchor="_Toc197532656" w:history="1">
            <w:r w:rsidRPr="00477972">
              <w:rPr>
                <w:rStyle w:val="Hyperlink"/>
                <w:rFonts w:eastAsia="Times New Roman"/>
                <w:noProof/>
                <w:lang w:eastAsia="en-GB"/>
              </w:rPr>
              <w:t>Blog 1: Article 2 – Non-Discrimination: A Foundation of Equality</w:t>
            </w:r>
            <w:r>
              <w:rPr>
                <w:noProof/>
                <w:webHidden/>
              </w:rPr>
              <w:tab/>
            </w:r>
            <w:r>
              <w:rPr>
                <w:noProof/>
                <w:webHidden/>
              </w:rPr>
              <w:fldChar w:fldCharType="begin"/>
            </w:r>
            <w:r>
              <w:rPr>
                <w:noProof/>
                <w:webHidden/>
              </w:rPr>
              <w:instrText xml:space="preserve"> PAGEREF _Toc197532656 \h </w:instrText>
            </w:r>
            <w:r>
              <w:rPr>
                <w:noProof/>
                <w:webHidden/>
              </w:rPr>
            </w:r>
            <w:r>
              <w:rPr>
                <w:noProof/>
                <w:webHidden/>
              </w:rPr>
              <w:fldChar w:fldCharType="separate"/>
            </w:r>
            <w:r>
              <w:rPr>
                <w:noProof/>
                <w:webHidden/>
              </w:rPr>
              <w:t>11</w:t>
            </w:r>
            <w:r>
              <w:rPr>
                <w:noProof/>
                <w:webHidden/>
              </w:rPr>
              <w:fldChar w:fldCharType="end"/>
            </w:r>
          </w:hyperlink>
        </w:p>
        <w:p w14:paraId="21D4665D" w14:textId="345110DB" w:rsidR="00BC2774" w:rsidRDefault="00BC2774">
          <w:pPr>
            <w:pStyle w:val="TOC3"/>
            <w:tabs>
              <w:tab w:val="right" w:leader="dot" w:pos="9016"/>
            </w:tabs>
            <w:rPr>
              <w:rFonts w:eastAsiaTheme="minorEastAsia"/>
              <w:noProof/>
              <w:lang w:eastAsia="en-GB"/>
            </w:rPr>
          </w:pPr>
          <w:hyperlink w:anchor="_Toc197532657" w:history="1">
            <w:r w:rsidRPr="00477972">
              <w:rPr>
                <w:rStyle w:val="Hyperlink"/>
                <w:rFonts w:eastAsia="Times New Roman"/>
                <w:noProof/>
                <w:lang w:eastAsia="en-GB"/>
              </w:rPr>
              <w:t>Blog 2: Article 24 – Health and Health Services: An Essential Support for Children</w:t>
            </w:r>
            <w:r>
              <w:rPr>
                <w:noProof/>
                <w:webHidden/>
              </w:rPr>
              <w:tab/>
            </w:r>
            <w:r>
              <w:rPr>
                <w:noProof/>
                <w:webHidden/>
              </w:rPr>
              <w:fldChar w:fldCharType="begin"/>
            </w:r>
            <w:r>
              <w:rPr>
                <w:noProof/>
                <w:webHidden/>
              </w:rPr>
              <w:instrText xml:space="preserve"> PAGEREF _Toc197532657 \h </w:instrText>
            </w:r>
            <w:r>
              <w:rPr>
                <w:noProof/>
                <w:webHidden/>
              </w:rPr>
            </w:r>
            <w:r>
              <w:rPr>
                <w:noProof/>
                <w:webHidden/>
              </w:rPr>
              <w:fldChar w:fldCharType="separate"/>
            </w:r>
            <w:r>
              <w:rPr>
                <w:noProof/>
                <w:webHidden/>
              </w:rPr>
              <w:t>12</w:t>
            </w:r>
            <w:r>
              <w:rPr>
                <w:noProof/>
                <w:webHidden/>
              </w:rPr>
              <w:fldChar w:fldCharType="end"/>
            </w:r>
          </w:hyperlink>
        </w:p>
        <w:p w14:paraId="6C67D260" w14:textId="3C2C9C47" w:rsidR="00BC2774" w:rsidRDefault="00BC2774">
          <w:pPr>
            <w:pStyle w:val="TOC3"/>
            <w:tabs>
              <w:tab w:val="right" w:leader="dot" w:pos="9016"/>
            </w:tabs>
            <w:rPr>
              <w:rFonts w:eastAsiaTheme="minorEastAsia"/>
              <w:noProof/>
              <w:lang w:eastAsia="en-GB"/>
            </w:rPr>
          </w:pPr>
          <w:hyperlink w:anchor="_Toc197532658" w:history="1">
            <w:r w:rsidRPr="00477972">
              <w:rPr>
                <w:rStyle w:val="Hyperlink"/>
                <w:rFonts w:eastAsia="Times New Roman"/>
                <w:noProof/>
                <w:lang w:eastAsia="en-GB"/>
              </w:rPr>
              <w:t>Blog 3: Article 27 – Right to an Adequate Standard of Living</w:t>
            </w:r>
            <w:r>
              <w:rPr>
                <w:noProof/>
                <w:webHidden/>
              </w:rPr>
              <w:tab/>
            </w:r>
            <w:r>
              <w:rPr>
                <w:noProof/>
                <w:webHidden/>
              </w:rPr>
              <w:fldChar w:fldCharType="begin"/>
            </w:r>
            <w:r>
              <w:rPr>
                <w:noProof/>
                <w:webHidden/>
              </w:rPr>
              <w:instrText xml:space="preserve"> PAGEREF _Toc197532658 \h </w:instrText>
            </w:r>
            <w:r>
              <w:rPr>
                <w:noProof/>
                <w:webHidden/>
              </w:rPr>
            </w:r>
            <w:r>
              <w:rPr>
                <w:noProof/>
                <w:webHidden/>
              </w:rPr>
              <w:fldChar w:fldCharType="separate"/>
            </w:r>
            <w:r>
              <w:rPr>
                <w:noProof/>
                <w:webHidden/>
              </w:rPr>
              <w:t>13</w:t>
            </w:r>
            <w:r>
              <w:rPr>
                <w:noProof/>
                <w:webHidden/>
              </w:rPr>
              <w:fldChar w:fldCharType="end"/>
            </w:r>
          </w:hyperlink>
        </w:p>
        <w:p w14:paraId="65FEAFD9" w14:textId="7F4B69AA" w:rsidR="00BC2774" w:rsidRDefault="00BC2774">
          <w:pPr>
            <w:pStyle w:val="TOC3"/>
            <w:tabs>
              <w:tab w:val="right" w:leader="dot" w:pos="9016"/>
            </w:tabs>
            <w:rPr>
              <w:rFonts w:eastAsiaTheme="minorEastAsia"/>
              <w:noProof/>
              <w:lang w:eastAsia="en-GB"/>
            </w:rPr>
          </w:pPr>
          <w:hyperlink w:anchor="_Toc197532659" w:history="1">
            <w:r w:rsidRPr="00477972">
              <w:rPr>
                <w:rStyle w:val="Hyperlink"/>
                <w:rFonts w:eastAsia="Times New Roman"/>
                <w:noProof/>
                <w:lang w:eastAsia="en-GB"/>
              </w:rPr>
              <w:t>Blog 4: Article 28 – The Right to Education: Realising Children's Capabilities</w:t>
            </w:r>
            <w:r>
              <w:rPr>
                <w:noProof/>
                <w:webHidden/>
              </w:rPr>
              <w:tab/>
            </w:r>
            <w:r>
              <w:rPr>
                <w:noProof/>
                <w:webHidden/>
              </w:rPr>
              <w:fldChar w:fldCharType="begin"/>
            </w:r>
            <w:r>
              <w:rPr>
                <w:noProof/>
                <w:webHidden/>
              </w:rPr>
              <w:instrText xml:space="preserve"> PAGEREF _Toc197532659 \h </w:instrText>
            </w:r>
            <w:r>
              <w:rPr>
                <w:noProof/>
                <w:webHidden/>
              </w:rPr>
            </w:r>
            <w:r>
              <w:rPr>
                <w:noProof/>
                <w:webHidden/>
              </w:rPr>
              <w:fldChar w:fldCharType="separate"/>
            </w:r>
            <w:r>
              <w:rPr>
                <w:noProof/>
                <w:webHidden/>
              </w:rPr>
              <w:t>14</w:t>
            </w:r>
            <w:r>
              <w:rPr>
                <w:noProof/>
                <w:webHidden/>
              </w:rPr>
              <w:fldChar w:fldCharType="end"/>
            </w:r>
          </w:hyperlink>
        </w:p>
        <w:p w14:paraId="76AD0526" w14:textId="39654A1A" w:rsidR="00BC2774" w:rsidRDefault="00BC2774">
          <w:pPr>
            <w:pStyle w:val="TOC1"/>
            <w:tabs>
              <w:tab w:val="right" w:leader="dot" w:pos="9016"/>
            </w:tabs>
            <w:rPr>
              <w:rFonts w:eastAsiaTheme="minorEastAsia"/>
              <w:noProof/>
              <w:lang w:eastAsia="en-GB"/>
            </w:rPr>
          </w:pPr>
          <w:hyperlink w:anchor="_Toc197532660" w:history="1">
            <w:r w:rsidRPr="00477972">
              <w:rPr>
                <w:rStyle w:val="Hyperlink"/>
                <w:noProof/>
              </w:rPr>
              <w:t>References</w:t>
            </w:r>
            <w:r>
              <w:rPr>
                <w:noProof/>
                <w:webHidden/>
              </w:rPr>
              <w:tab/>
            </w:r>
            <w:r>
              <w:rPr>
                <w:noProof/>
                <w:webHidden/>
              </w:rPr>
              <w:fldChar w:fldCharType="begin"/>
            </w:r>
            <w:r>
              <w:rPr>
                <w:noProof/>
                <w:webHidden/>
              </w:rPr>
              <w:instrText xml:space="preserve"> PAGEREF _Toc197532660 \h </w:instrText>
            </w:r>
            <w:r>
              <w:rPr>
                <w:noProof/>
                <w:webHidden/>
              </w:rPr>
            </w:r>
            <w:r>
              <w:rPr>
                <w:noProof/>
                <w:webHidden/>
              </w:rPr>
              <w:fldChar w:fldCharType="separate"/>
            </w:r>
            <w:r>
              <w:rPr>
                <w:noProof/>
                <w:webHidden/>
              </w:rPr>
              <w:t>16</w:t>
            </w:r>
            <w:r>
              <w:rPr>
                <w:noProof/>
                <w:webHidden/>
              </w:rPr>
              <w:fldChar w:fldCharType="end"/>
            </w:r>
          </w:hyperlink>
        </w:p>
        <w:p w14:paraId="5FA4743D" w14:textId="66AB8388" w:rsidR="00F80C37" w:rsidRDefault="00F80C37" w:rsidP="00F80C37">
          <w:pPr>
            <w:rPr>
              <w:b/>
              <w:bCs/>
              <w:noProof/>
            </w:rPr>
          </w:pPr>
          <w:r>
            <w:rPr>
              <w:b/>
              <w:bCs/>
              <w:noProof/>
            </w:rPr>
            <w:fldChar w:fldCharType="end"/>
          </w:r>
        </w:p>
        <w:p w14:paraId="4341EE84" w14:textId="43642E74" w:rsidR="00F80C37" w:rsidRDefault="00000000" w:rsidP="00153CA1"/>
      </w:sdtContent>
    </w:sdt>
    <w:p w14:paraId="53682547" w14:textId="77777777" w:rsidR="00F80C37" w:rsidRDefault="00F80C37" w:rsidP="00153CA1"/>
    <w:p w14:paraId="5D6B0123" w14:textId="77777777" w:rsidR="00F80C37" w:rsidRDefault="00F80C37" w:rsidP="00153CA1"/>
    <w:p w14:paraId="24D88CFC" w14:textId="77777777" w:rsidR="00153CA1" w:rsidRDefault="00153CA1" w:rsidP="00153CA1"/>
    <w:p w14:paraId="3F17F4B1" w14:textId="77777777" w:rsidR="00153CA1" w:rsidRDefault="00153CA1" w:rsidP="00153CA1"/>
    <w:p w14:paraId="1564ACD2" w14:textId="77777777" w:rsidR="00153CA1" w:rsidRPr="00153CA1" w:rsidRDefault="00153CA1" w:rsidP="00153CA1"/>
    <w:p w14:paraId="6D178E94" w14:textId="77777777" w:rsidR="00F80C37" w:rsidRDefault="00F80C37" w:rsidP="00153CA1"/>
    <w:p w14:paraId="07F8B703" w14:textId="77777777" w:rsidR="00F80C37" w:rsidRDefault="00F80C37" w:rsidP="00153CA1"/>
    <w:p w14:paraId="2CFDA87E" w14:textId="77777777" w:rsidR="000A320B" w:rsidRDefault="000A320B" w:rsidP="00153CA1"/>
    <w:p w14:paraId="2C4750AA" w14:textId="77777777" w:rsidR="00153CA1" w:rsidRDefault="00153CA1" w:rsidP="00153CA1"/>
    <w:p w14:paraId="6B6E07BB" w14:textId="77777777" w:rsidR="00153CA1" w:rsidRPr="000A320B" w:rsidRDefault="00153CA1" w:rsidP="00153CA1"/>
    <w:p w14:paraId="6B91A3AA" w14:textId="77777777" w:rsidR="00F80C37" w:rsidRPr="00724FF5" w:rsidRDefault="00F80C37" w:rsidP="00F80C37">
      <w:pPr>
        <w:pStyle w:val="Heading1"/>
        <w:jc w:val="center"/>
      </w:pPr>
      <w:bookmarkStart w:id="0" w:name="_Toc197532648"/>
      <w:r w:rsidRPr="00724FF5">
        <w:lastRenderedPageBreak/>
        <w:t>Critique of The Child and Adolescent Mental Health Service (CAMHS) Video</w:t>
      </w:r>
      <w:bookmarkEnd w:id="0"/>
    </w:p>
    <w:p w14:paraId="4D40913A" w14:textId="77777777" w:rsidR="00F80C37" w:rsidRPr="009E2825" w:rsidRDefault="00F80C37" w:rsidP="00F80C3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9E2825">
        <w:rPr>
          <w:rFonts w:ascii="Times New Roman" w:eastAsia="Times New Roman" w:hAnsi="Times New Roman" w:cs="Times New Roman"/>
          <w:kern w:val="0"/>
          <w:lang w:eastAsia="en-GB"/>
          <w14:ligatures w14:val="none"/>
        </w:rPr>
        <w:t xml:space="preserve">       The video titled "What is CAMHS?" summarises the United Kingdom's (UK) Child and Adolescent Mental Health Service (CAMHS)</w:t>
      </w:r>
      <w:r>
        <w:rPr>
          <w:rFonts w:ascii="Times New Roman" w:eastAsia="Times New Roman" w:hAnsi="Times New Roman" w:cs="Times New Roman"/>
          <w:kern w:val="0"/>
          <w:lang w:eastAsia="en-GB"/>
          <w14:ligatures w14:val="none"/>
        </w:rPr>
        <w:t xml:space="preserve"> </w:t>
      </w:r>
      <w:r w:rsidRPr="009E2825">
        <w:rPr>
          <w:rFonts w:ascii="Times New Roman" w:eastAsia="Times New Roman" w:hAnsi="Times New Roman" w:cs="Times New Roman"/>
          <w:kern w:val="0"/>
          <w:lang w:eastAsia="en-GB"/>
          <w14:ligatures w14:val="none"/>
        </w:rPr>
        <w:t>(Norfolk and Suffolk NHS Foundation Trust, 2021). This service is delivered by National Health Service (NHS) trusts, local authorities, and private entities to support the mental health care of children and young people (CYP) through targeted interventions. The video outlines the process that CYPs experience, starting from referral</w:t>
      </w:r>
      <w:r>
        <w:rPr>
          <w:rFonts w:ascii="Times New Roman" w:eastAsia="Times New Roman" w:hAnsi="Times New Roman" w:cs="Times New Roman"/>
          <w:kern w:val="0"/>
          <w:lang w:eastAsia="en-GB"/>
          <w14:ligatures w14:val="none"/>
        </w:rPr>
        <w:t>,</w:t>
      </w:r>
      <w:r w:rsidRPr="009E2825">
        <w:rPr>
          <w:rFonts w:ascii="Times New Roman" w:eastAsia="Times New Roman" w:hAnsi="Times New Roman" w:cs="Times New Roman"/>
          <w:kern w:val="0"/>
          <w:lang w:eastAsia="en-GB"/>
          <w14:ligatures w14:val="none"/>
        </w:rPr>
        <w:t xml:space="preserve"> assessment and continuing through to discharge. This critique examines the CAMHS service, focusing on </w:t>
      </w:r>
      <w:r>
        <w:rPr>
          <w:rFonts w:ascii="Times New Roman" w:eastAsia="Times New Roman" w:hAnsi="Times New Roman" w:cs="Times New Roman"/>
          <w:kern w:val="0"/>
          <w:lang w:eastAsia="en-GB"/>
          <w14:ligatures w14:val="none"/>
        </w:rPr>
        <w:t>its support</w:t>
      </w:r>
      <w:r w:rsidRPr="009E2825">
        <w:rPr>
          <w:rFonts w:ascii="Times New Roman" w:eastAsia="Times New Roman" w:hAnsi="Times New Roman" w:cs="Times New Roman"/>
          <w:kern w:val="0"/>
          <w:lang w:eastAsia="en-GB"/>
          <w14:ligatures w14:val="none"/>
        </w:rPr>
        <w:t xml:space="preserve"> for mental health challenges faced by </w:t>
      </w:r>
      <w:r>
        <w:rPr>
          <w:rFonts w:ascii="Times New Roman" w:eastAsia="Times New Roman" w:hAnsi="Times New Roman" w:cs="Times New Roman"/>
          <w:kern w:val="0"/>
          <w:lang w:eastAsia="en-GB"/>
          <w14:ligatures w14:val="none"/>
        </w:rPr>
        <w:t>CYP</w:t>
      </w:r>
      <w:r w:rsidRPr="009E2825">
        <w:rPr>
          <w:rFonts w:ascii="Times New Roman" w:eastAsia="Times New Roman" w:hAnsi="Times New Roman" w:cs="Times New Roman"/>
          <w:kern w:val="0"/>
          <w:lang w:eastAsia="en-GB"/>
          <w14:ligatures w14:val="none"/>
        </w:rPr>
        <w:t xml:space="preserve"> while highlighting its strengths and weaknesses. It also evaluates the service provision through applicable policies and theories of child development.</w:t>
      </w:r>
    </w:p>
    <w:p w14:paraId="411045D9" w14:textId="77777777" w:rsidR="00F80C37" w:rsidRPr="009E2825" w:rsidRDefault="00F80C37" w:rsidP="00F80C3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9E2825">
        <w:rPr>
          <w:rFonts w:ascii="Times New Roman" w:eastAsia="Times New Roman" w:hAnsi="Times New Roman" w:cs="Times New Roman"/>
          <w:b/>
          <w:bCs/>
          <w:kern w:val="0"/>
          <w:lang w:eastAsia="en-GB"/>
          <w14:ligatures w14:val="none"/>
        </w:rPr>
        <w:t>Strengths of CAMHS from the Video</w:t>
      </w:r>
    </w:p>
    <w:p w14:paraId="28545F43" w14:textId="7FA0868B" w:rsidR="00F80C37" w:rsidRPr="009E2825" w:rsidRDefault="00F80C37" w:rsidP="00F80C37">
      <w:pPr>
        <w:pStyle w:val="NormalWeb"/>
        <w:spacing w:line="360" w:lineRule="auto"/>
        <w:jc w:val="both"/>
      </w:pPr>
      <w:r w:rsidRPr="009E2825">
        <w:t xml:space="preserve">         The video discusses the timely and effective referral process from schools and General Practitioners (GPs) to CAMHS, promoting early identification and intervention in line with the "NHS Long Term Plan" (NHS, 2019) and the "Together </w:t>
      </w:r>
      <w:proofErr w:type="spellStart"/>
      <w:r w:rsidRPr="009E2825">
        <w:t>fr</w:t>
      </w:r>
      <w:proofErr w:type="spellEnd"/>
      <w:r w:rsidRPr="009E2825">
        <w:t xml:space="preserve"> Mental Health" strategy (Welsh Government, 2020</w:t>
      </w:r>
      <w:r w:rsidR="004759FB">
        <w:t>b</w:t>
      </w:r>
      <w:r w:rsidRPr="009E2825">
        <w:t xml:space="preserve">). </w:t>
      </w:r>
      <w:r>
        <w:t>Prompt</w:t>
      </w:r>
      <w:r w:rsidRPr="009E2825">
        <w:t xml:space="preserve"> identification and escalation of mental health issues are crucial for successful intervention, preventing worsening conditions and ensuring timely care for CYP to thrive.</w:t>
      </w:r>
    </w:p>
    <w:p w14:paraId="47D7677A" w14:textId="77777777" w:rsidR="00F80C37" w:rsidRPr="009E2825" w:rsidRDefault="00F80C37" w:rsidP="00F80C37">
      <w:pPr>
        <w:pStyle w:val="NormalWeb"/>
        <w:spacing w:line="360" w:lineRule="auto"/>
        <w:jc w:val="both"/>
      </w:pPr>
      <w:r w:rsidRPr="009E2825">
        <w:t xml:space="preserve">         </w:t>
      </w:r>
      <w:r>
        <w:t>The initial CAMHS meeting usually starts with a remote call with the child and the guardian, creating a relaxed atmosphere that fosters open communication and trust, which is crucial for gathering background information and assessing risks. The second in-person session assesses the child's emotions, routines, and behaviour through interviews and questionnaires to help CAMHS staff identify needs and create a personalised care plan with the family.</w:t>
      </w:r>
    </w:p>
    <w:p w14:paraId="2DA9A0DE" w14:textId="77777777" w:rsidR="00F80C37" w:rsidRPr="009E2825" w:rsidRDefault="00F80C37" w:rsidP="00F80C37">
      <w:pPr>
        <w:pStyle w:val="NormalWeb"/>
        <w:spacing w:line="360" w:lineRule="auto"/>
        <w:jc w:val="both"/>
      </w:pPr>
      <w:r w:rsidRPr="009E2825">
        <w:t xml:space="preserve">        </w:t>
      </w:r>
      <w:r>
        <w:t xml:space="preserve">Comprehensive care in CAMHS involves collaboration among mental health professionals—psychologists, psychiatrists, nurses, and family therapists </w:t>
      </w:r>
      <w:r w:rsidRPr="009E2825">
        <w:t>(</w:t>
      </w:r>
      <w:r w:rsidRPr="009E2825">
        <w:rPr>
          <w:color w:val="000000"/>
        </w:rPr>
        <w:t>Royal College of Psychiatrists, 2025)</w:t>
      </w:r>
      <w:r>
        <w:t xml:space="preserve"> —to address the complexities of mental health influenced by biological, psychological, and social factors, catering to each child's unique needs. </w:t>
      </w:r>
      <w:r w:rsidRPr="009E2825">
        <w:rPr>
          <w:color w:val="1C1C1C"/>
          <w:shd w:val="clear" w:color="auto" w:fill="FFFFFF"/>
        </w:rPr>
        <w:t>CAMHS practitioners utilise evidence-based therapies such as cognitive behavioural therapy (CBT) for treating depression and anxiety in</w:t>
      </w:r>
      <w:r>
        <w:rPr>
          <w:color w:val="1C1C1C"/>
          <w:shd w:val="clear" w:color="auto" w:fill="FFFFFF"/>
        </w:rPr>
        <w:t xml:space="preserve"> </w:t>
      </w:r>
      <w:r w:rsidRPr="009E2825">
        <w:rPr>
          <w:color w:val="1C1C1C"/>
          <w:shd w:val="clear" w:color="auto" w:fill="FFFFFF"/>
        </w:rPr>
        <w:t>CYP</w:t>
      </w:r>
      <w:r>
        <w:rPr>
          <w:color w:val="1C1C1C"/>
          <w:shd w:val="clear" w:color="auto" w:fill="FFFFFF"/>
        </w:rPr>
        <w:t>s</w:t>
      </w:r>
      <w:r w:rsidRPr="009E2825">
        <w:rPr>
          <w:color w:val="1C1C1C"/>
          <w:shd w:val="clear" w:color="auto" w:fill="FFFFFF"/>
        </w:rPr>
        <w:t xml:space="preserve"> (Lorentzen </w:t>
      </w:r>
      <w:r w:rsidRPr="00621DBB">
        <w:rPr>
          <w:i/>
          <w:iCs/>
          <w:color w:val="1C1C1C"/>
          <w:shd w:val="clear" w:color="auto" w:fill="FFFFFF"/>
        </w:rPr>
        <w:t>et al</w:t>
      </w:r>
      <w:r w:rsidRPr="009E2825">
        <w:rPr>
          <w:color w:val="1C1C1C"/>
          <w:shd w:val="clear" w:color="auto" w:fill="FFFFFF"/>
        </w:rPr>
        <w:t xml:space="preserve">., 2020). They also utilise play and art therapy </w:t>
      </w:r>
      <w:r w:rsidRPr="009E2825">
        <w:rPr>
          <w:color w:val="1C1C1C"/>
          <w:shd w:val="clear" w:color="auto" w:fill="FFFFFF"/>
        </w:rPr>
        <w:lastRenderedPageBreak/>
        <w:t>for emotional expression, regulation, and occupational therapy to develop daily living skills and coping strategies (</w:t>
      </w:r>
      <w:proofErr w:type="spellStart"/>
      <w:r w:rsidRPr="009E2825">
        <w:rPr>
          <w:color w:val="1C1C1C"/>
          <w:shd w:val="clear" w:color="auto" w:fill="FFFFFF"/>
        </w:rPr>
        <w:t>Versitano</w:t>
      </w:r>
      <w:proofErr w:type="spellEnd"/>
      <w:r w:rsidRPr="009E2825">
        <w:rPr>
          <w:color w:val="1C1C1C"/>
          <w:shd w:val="clear" w:color="auto" w:fill="FFFFFF"/>
        </w:rPr>
        <w:t xml:space="preserve"> </w:t>
      </w:r>
      <w:r w:rsidRPr="00621DBB">
        <w:rPr>
          <w:i/>
          <w:iCs/>
          <w:color w:val="1C1C1C"/>
          <w:shd w:val="clear" w:color="auto" w:fill="FFFFFF"/>
        </w:rPr>
        <w:t>et al.,</w:t>
      </w:r>
      <w:r w:rsidRPr="009E2825">
        <w:rPr>
          <w:color w:val="1C1C1C"/>
          <w:shd w:val="clear" w:color="auto" w:fill="FFFFFF"/>
        </w:rPr>
        <w:t xml:space="preserve"> 2023).</w:t>
      </w:r>
      <w:r w:rsidRPr="009E2825">
        <w:t xml:space="preserve"> Psychoeducation provided by CAHMS helps CYPs understand mental health challenges, including identifying causes, setting goals, and developing self-management skills to address immediate needs and promote long-term resilience (</w:t>
      </w:r>
      <w:r w:rsidRPr="009E2825">
        <w:rPr>
          <w:color w:val="000000"/>
        </w:rPr>
        <w:t>Johnson, 2024)</w:t>
      </w:r>
      <w:r w:rsidRPr="009E2825">
        <w:t>.</w:t>
      </w:r>
    </w:p>
    <w:p w14:paraId="5F8D2D8D" w14:textId="77777777" w:rsidR="00F80C37" w:rsidRDefault="00F80C37" w:rsidP="00F80C37">
      <w:pPr>
        <w:pStyle w:val="NormalWeb"/>
        <w:spacing w:line="360" w:lineRule="auto"/>
        <w:jc w:val="both"/>
      </w:pPr>
      <w:r w:rsidRPr="009E2825">
        <w:t xml:space="preserve">          Engaging CYPs in their treatment ensures that CAMHS professionals listen to their concerns and involve them in decision-making</w:t>
      </w:r>
      <w:r>
        <w:t>, reflecting</w:t>
      </w:r>
      <w:r w:rsidRPr="009E2825">
        <w:t xml:space="preserve"> key care principles such as empowerment, dignity, and collaboration (McGuigan </w:t>
      </w:r>
      <w:r w:rsidRPr="007B14CB">
        <w:rPr>
          <w:i/>
          <w:iCs/>
        </w:rPr>
        <w:t>et al</w:t>
      </w:r>
      <w:r w:rsidRPr="009E2825">
        <w:t>., 2018)</w:t>
      </w:r>
      <w:r>
        <w:t>. It also</w:t>
      </w:r>
      <w:r w:rsidRPr="009E2825">
        <w:t xml:space="preserve"> align</w:t>
      </w:r>
      <w:r>
        <w:t>s</w:t>
      </w:r>
      <w:r w:rsidRPr="009E2825">
        <w:t xml:space="preserve"> with the </w:t>
      </w:r>
      <w:r w:rsidRPr="00100E8D">
        <w:rPr>
          <w:i/>
          <w:iCs/>
        </w:rPr>
        <w:t>United Nations Convention on the Rights of the Child (UNCRC),</w:t>
      </w:r>
      <w:r w:rsidRPr="009E2825">
        <w:t xml:space="preserve"> including Article 3 (the child's best interests), Article 12 (the right to be heard and participate in decision-making), and Article 24 (the right to attain the highest possible standard of health) (</w:t>
      </w:r>
      <w:r w:rsidRPr="009E2825">
        <w:rPr>
          <w:color w:val="000000"/>
        </w:rPr>
        <w:t>UNICEF, 2024</w:t>
      </w:r>
      <w:r w:rsidRPr="009E2825">
        <w:t xml:space="preserve">). </w:t>
      </w:r>
      <w:r>
        <w:t>In addition to UK and Welsh laws, such as t</w:t>
      </w:r>
      <w:r w:rsidRPr="00AE5822">
        <w:rPr>
          <w:i/>
          <w:iCs/>
        </w:rPr>
        <w:t>he Children Act 1989</w:t>
      </w:r>
      <w:r>
        <w:t xml:space="preserve"> (Department for Education, 2021) and </w:t>
      </w:r>
      <w:r w:rsidRPr="00D634EE">
        <w:rPr>
          <w:i/>
          <w:iCs/>
        </w:rPr>
        <w:t>the Rights of Children and Young Persons (Wales) Measure 2011</w:t>
      </w:r>
      <w:r>
        <w:t xml:space="preserve"> </w:t>
      </w:r>
      <w:r w:rsidRPr="00B401B7">
        <w:t>(Welsh Government, 2011)</w:t>
      </w:r>
      <w:r>
        <w:t>, highlight the importance of consent and the involvement of CYPs in care decisions.</w:t>
      </w:r>
      <w:r w:rsidRPr="009E2825">
        <w:t xml:space="preserve"> </w:t>
      </w:r>
      <w:r>
        <w:rPr>
          <w:color w:val="1C1C1C"/>
          <w:shd w:val="clear" w:color="auto" w:fill="FFFFFF"/>
        </w:rPr>
        <w:t>Regarding these regulations and policies, CAMHS seeks to deliver more tailored and efficient mental health services, ultimately resulting in improved health outcomes.</w:t>
      </w:r>
      <w:r w:rsidRPr="009E2825">
        <w:t xml:space="preserve">      </w:t>
      </w:r>
    </w:p>
    <w:p w14:paraId="4619704F" w14:textId="5712FE8F" w:rsidR="00F80C37" w:rsidRPr="0026451B" w:rsidRDefault="00F80C37" w:rsidP="00F80C37">
      <w:pPr>
        <w:pStyle w:val="NormalWeb"/>
        <w:spacing w:line="360" w:lineRule="auto"/>
        <w:jc w:val="both"/>
      </w:pPr>
      <w:r w:rsidRPr="00C27376">
        <w:rPr>
          <w:noProof/>
        </w:rPr>
        <mc:AlternateContent>
          <mc:Choice Requires="wps">
            <w:drawing>
              <wp:anchor distT="45720" distB="45720" distL="114300" distR="114300" simplePos="0" relativeHeight="251695104" behindDoc="0" locked="0" layoutInCell="1" allowOverlap="1" wp14:anchorId="09A6CC39" wp14:editId="7E91F9B2">
                <wp:simplePos x="0" y="0"/>
                <wp:positionH relativeFrom="column">
                  <wp:posOffset>2663217</wp:posOffset>
                </wp:positionH>
                <wp:positionV relativeFrom="paragraph">
                  <wp:posOffset>2049209</wp:posOffset>
                </wp:positionV>
                <wp:extent cx="3258185" cy="282575"/>
                <wp:effectExtent l="0" t="0" r="18415"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8185" cy="282575"/>
                        </a:xfrm>
                        <a:prstGeom prst="rect">
                          <a:avLst/>
                        </a:prstGeom>
                        <a:solidFill>
                          <a:srgbClr val="FFFFFF"/>
                        </a:solidFill>
                        <a:ln w="9525">
                          <a:solidFill>
                            <a:srgbClr val="000000"/>
                          </a:solidFill>
                          <a:miter lim="800000"/>
                          <a:headEnd/>
                          <a:tailEnd/>
                        </a:ln>
                      </wps:spPr>
                      <wps:txbx>
                        <w:txbxContent>
                          <w:p w14:paraId="45328675" w14:textId="77777777" w:rsidR="00F80C37" w:rsidRDefault="00F80C37" w:rsidP="00F80C37">
                            <w:pPr>
                              <w:pStyle w:val="Caption"/>
                              <w:jc w:val="center"/>
                              <w:rPr>
                                <w:rFonts w:ascii="Times New Roman" w:eastAsia="Times New Roman" w:hAnsi="Times New Roman" w:cs="Times New Roman"/>
                                <w:kern w:val="0"/>
                                <w:lang w:eastAsia="en-GB"/>
                                <w14:ligatures w14:val="none"/>
                              </w:rPr>
                            </w:pPr>
                            <w:r w:rsidRPr="00023A40">
                              <w:t>Bronfenbrenner</w:t>
                            </w:r>
                            <w:r>
                              <w:t>'</w:t>
                            </w:r>
                            <w:r w:rsidRPr="00023A40">
                              <w:t>s Ecological Systems Theory (Santrock, 2008)</w:t>
                            </w:r>
                          </w:p>
                          <w:p w14:paraId="3E5D09AD" w14:textId="77777777" w:rsidR="00F80C37" w:rsidRDefault="00F80C37" w:rsidP="00F80C3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9A6CC39" id="_x0000_t202" coordsize="21600,21600" o:spt="202" path="m,l,21600r21600,l21600,xe">
                <v:stroke joinstyle="miter"/>
                <v:path gradientshapeok="t" o:connecttype="rect"/>
              </v:shapetype>
              <v:shape id="Text Box 2" o:spid="_x0000_s1037" type="#_x0000_t202" style="position:absolute;left:0;text-align:left;margin-left:209.7pt;margin-top:161.35pt;width:256.55pt;height:22.25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">
                <v:textbox>
                  <w:txbxContent>
                    <w:p w14:paraId="45328675" w14:textId="77777777" w:rsidR="00F80C37" w:rsidRDefault="00F80C37" w:rsidP="00F80C37">
                      <w:pPr>
                        <w:pStyle w:val="Caption"/>
                        <w:jc w:val="center"/>
                        <w:rPr>
                          <w:rFonts w:ascii="Times New Roman" w:eastAsia="Times New Roman" w:hAnsi="Times New Roman" w:cs="Times New Roman"/>
                          <w:kern w:val="0"/>
                          <w:lang w:eastAsia="en-GB"/>
                          <w14:ligatures w14:val="none"/>
                        </w:rPr>
                      </w:pPr>
                      <w:r w:rsidRPr="00023A40">
                        <w:t>Bronfenbrenner</w:t>
                      </w:r>
                      <w:r>
                        <w:t>'</w:t>
                      </w:r>
                      <w:r w:rsidRPr="00023A40">
                        <w:t>s Ecological Systems Theory (Santrock, 2008)</w:t>
                      </w:r>
                    </w:p>
                    <w:p w14:paraId="3E5D09AD" w14:textId="77777777" w:rsidR="00F80C37" w:rsidRDefault="00F80C37" w:rsidP="00F80C37"/>
                  </w:txbxContent>
                </v:textbox>
                <w10:wrap type="square"/>
              </v:shape>
            </w:pict>
          </mc:Fallback>
        </mc:AlternateContent>
      </w:r>
      <w:r w:rsidRPr="00330F8A">
        <w:rPr>
          <w:noProof/>
        </w:rPr>
        <w:drawing>
          <wp:anchor distT="0" distB="0" distL="114300" distR="114300" simplePos="0" relativeHeight="251694080" behindDoc="0" locked="0" layoutInCell="1" allowOverlap="1" wp14:anchorId="0640E6DC" wp14:editId="6623982E">
            <wp:simplePos x="0" y="0"/>
            <wp:positionH relativeFrom="margin">
              <wp:posOffset>2797956</wp:posOffset>
            </wp:positionH>
            <wp:positionV relativeFrom="margin">
              <wp:posOffset>4465521</wp:posOffset>
            </wp:positionV>
            <wp:extent cx="2999105" cy="2058670"/>
            <wp:effectExtent l="0" t="0" r="0" b="0"/>
            <wp:wrapSquare wrapText="bothSides"/>
            <wp:docPr id="1993304137" name="Picture 1" descr="A diagram of different types of lif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762576" name="Picture 1" descr="A diagram of different types of life cycl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99105" cy="2058670"/>
                    </a:xfrm>
                    <a:prstGeom prst="rect">
                      <a:avLst/>
                    </a:prstGeom>
                  </pic:spPr>
                </pic:pic>
              </a:graphicData>
            </a:graphic>
            <wp14:sizeRelH relativeFrom="margin">
              <wp14:pctWidth>0</wp14:pctWidth>
            </wp14:sizeRelH>
            <wp14:sizeRelV relativeFrom="margin">
              <wp14:pctHeight>0</wp14:pctHeight>
            </wp14:sizeRelV>
          </wp:anchor>
        </w:drawing>
      </w:r>
      <w:r w:rsidRPr="009E2825">
        <w:t xml:space="preserve"> </w:t>
      </w:r>
      <w:r w:rsidRPr="0026451B">
        <w:t xml:space="preserve">The importance of CAMHS is described in various learning and development theories. Thus, Bronfenbrenner's (1979) "Ecological systems theory" highlights the impact of different environmental layers on child development. CAMHS, part of the mesosystem, collaborates with schools, social services (also part of the mesosystem), and families (microsystem) </w:t>
      </w:r>
      <w:r>
        <w:t>to connect these layers</w:t>
      </w:r>
      <w:r w:rsidR="00E959DF">
        <w:t>;</w:t>
      </w:r>
      <w:r>
        <w:t xml:space="preserve"> coordinating care plans and interventions is key, as family support and ties to educational and healthcare institutions strengthen a child's network and treatment outcomes (Martin </w:t>
      </w:r>
      <w:r w:rsidRPr="00E361F4">
        <w:rPr>
          <w:i/>
          <w:iCs/>
        </w:rPr>
        <w:t>et al</w:t>
      </w:r>
      <w:r>
        <w:t>., 2023).</w:t>
      </w:r>
    </w:p>
    <w:p w14:paraId="58F66ABA" w14:textId="77777777" w:rsidR="00F80C37" w:rsidRDefault="00F80C37" w:rsidP="00F80C3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9E2825">
        <w:rPr>
          <w:rFonts w:ascii="Times New Roman" w:eastAsia="Times New Roman" w:hAnsi="Times New Roman" w:cs="Times New Roman"/>
          <w:kern w:val="0"/>
          <w:lang w:eastAsia="en-GB"/>
          <w14:ligatures w14:val="none"/>
        </w:rPr>
        <w:t xml:space="preserve">         </w:t>
      </w:r>
    </w:p>
    <w:p w14:paraId="00694E38" w14:textId="77777777" w:rsidR="00F80C37" w:rsidRPr="009E2825" w:rsidRDefault="00F80C37" w:rsidP="00F80C3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27376">
        <w:rPr>
          <w:rFonts w:ascii="Times New Roman" w:eastAsia="Times New Roman" w:hAnsi="Times New Roman" w:cs="Times New Roman"/>
          <w:noProof/>
          <w:kern w:val="0"/>
          <w:lang w:eastAsia="en-GB"/>
          <w14:ligatures w14:val="none"/>
        </w:rPr>
        <w:lastRenderedPageBreak/>
        <mc:AlternateContent>
          <mc:Choice Requires="wps">
            <w:drawing>
              <wp:anchor distT="45720" distB="45720" distL="114300" distR="114300" simplePos="0" relativeHeight="251696128" behindDoc="0" locked="0" layoutInCell="1" allowOverlap="1" wp14:anchorId="3158D2E3" wp14:editId="0DBD384C">
                <wp:simplePos x="0" y="0"/>
                <wp:positionH relativeFrom="column">
                  <wp:posOffset>-79375</wp:posOffset>
                </wp:positionH>
                <wp:positionV relativeFrom="paragraph">
                  <wp:posOffset>2414270</wp:posOffset>
                </wp:positionV>
                <wp:extent cx="2624455" cy="440690"/>
                <wp:effectExtent l="0" t="0" r="23495" b="16510"/>
                <wp:wrapSquare wrapText="bothSides"/>
                <wp:docPr id="13075998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4455" cy="440690"/>
                        </a:xfrm>
                        <a:prstGeom prst="rect">
                          <a:avLst/>
                        </a:prstGeom>
                        <a:solidFill>
                          <a:srgbClr val="FFFFFF"/>
                        </a:solidFill>
                        <a:ln w="9525">
                          <a:solidFill>
                            <a:srgbClr val="000000"/>
                          </a:solidFill>
                          <a:miter lim="800000"/>
                          <a:headEnd/>
                          <a:tailEnd/>
                        </a:ln>
                      </wps:spPr>
                      <wps:txbx>
                        <w:txbxContent>
                          <w:p w14:paraId="152489B4" w14:textId="77777777" w:rsidR="00F80C37" w:rsidRPr="00264263" w:rsidRDefault="00F80C37" w:rsidP="00F80C37">
                            <w:pPr>
                              <w:pStyle w:val="Caption"/>
                              <w:jc w:val="center"/>
                              <w:rPr>
                                <w:noProof/>
                              </w:rPr>
                            </w:pPr>
                            <w:r w:rsidRPr="007B2E21">
                              <w:rPr>
                                <w:noProof/>
                              </w:rPr>
                              <w:t>The Dahlgren and Whitehead</w:t>
                            </w:r>
                            <w:r>
                              <w:rPr>
                                <w:noProof/>
                              </w:rPr>
                              <w:t xml:space="preserve"> (1991)</w:t>
                            </w:r>
                            <w:r w:rsidRPr="007B2E21">
                              <w:rPr>
                                <w:noProof/>
                              </w:rPr>
                              <w:t xml:space="preserve"> model of health determinants</w:t>
                            </w:r>
                          </w:p>
                          <w:p w14:paraId="35C36B46" w14:textId="77777777" w:rsidR="00F80C37" w:rsidRDefault="00F80C37" w:rsidP="00F80C3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58D2E3" id="_x0000_s1038" type="#_x0000_t202" style="position:absolute;left:0;text-align:left;margin-left:-6.25pt;margin-top:190.1pt;width:206.65pt;height:34.7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">
                <v:textbox>
                  <w:txbxContent>
                    <w:p w14:paraId="152489B4" w14:textId="77777777" w:rsidR="00F80C37" w:rsidRPr="00264263" w:rsidRDefault="00F80C37" w:rsidP="00F80C37">
                      <w:pPr>
                        <w:pStyle w:val="Caption"/>
                        <w:jc w:val="center"/>
                        <w:rPr>
                          <w:noProof/>
                        </w:rPr>
                      </w:pPr>
                      <w:r w:rsidRPr="007B2E21">
                        <w:rPr>
                          <w:noProof/>
                        </w:rPr>
                        <w:t>The Dahlgren and Whitehead</w:t>
                      </w:r>
                      <w:r>
                        <w:rPr>
                          <w:noProof/>
                        </w:rPr>
                        <w:t xml:space="preserve"> (1991)</w:t>
                      </w:r>
                      <w:r w:rsidRPr="007B2E21">
                        <w:rPr>
                          <w:noProof/>
                        </w:rPr>
                        <w:t xml:space="preserve"> model of health determinants</w:t>
                      </w:r>
                    </w:p>
                    <w:p w14:paraId="35C36B46" w14:textId="77777777" w:rsidR="00F80C37" w:rsidRDefault="00F80C37" w:rsidP="00F80C37"/>
                  </w:txbxContent>
                </v:textbox>
                <w10:wrap type="square"/>
              </v:shape>
            </w:pict>
          </mc:Fallback>
        </mc:AlternateContent>
      </w:r>
      <w:r>
        <w:rPr>
          <w:noProof/>
        </w:rPr>
        <w:drawing>
          <wp:anchor distT="0" distB="0" distL="114300" distR="114300" simplePos="0" relativeHeight="251693056" behindDoc="1" locked="0" layoutInCell="1" allowOverlap="1" wp14:anchorId="700AFECF" wp14:editId="3C496139">
            <wp:simplePos x="0" y="0"/>
            <wp:positionH relativeFrom="margin">
              <wp:posOffset>-164465</wp:posOffset>
            </wp:positionH>
            <wp:positionV relativeFrom="paragraph">
              <wp:posOffset>374650</wp:posOffset>
            </wp:positionV>
            <wp:extent cx="2900680" cy="2059305"/>
            <wp:effectExtent l="0" t="0" r="0" b="0"/>
            <wp:wrapThrough wrapText="bothSides">
              <wp:wrapPolygon edited="0">
                <wp:start x="0" y="0"/>
                <wp:lineTo x="0" y="21380"/>
                <wp:lineTo x="21420" y="21380"/>
                <wp:lineTo x="21420" y="0"/>
                <wp:lineTo x="0" y="0"/>
              </wp:wrapPolygon>
            </wp:wrapThrough>
            <wp:docPr id="548147704" name="Picture 1" descr="A diagram of social and community networks&#10;&#10;AI-generated content may be incorrect.">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294769" name="Picture 1" descr="A diagram of social and community networks&#10;&#10;AI-generated content may be incorrect.">
                      <a:extLst>
                        <a:ext uri="{C183D7F6-B498-43B3-948B-1728B52AA6E4}">
                          <adec:decorative xmlns:adec="http://schemas.microsoft.com/office/drawing/2017/decorative" val="0"/>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00680" cy="20593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E2825">
        <w:rPr>
          <w:rFonts w:ascii="Times New Roman" w:hAnsi="Times New Roman" w:cs="Times New Roman"/>
        </w:rPr>
        <w:t>The "Social Determinants of Health framework" (Dahlgren and Whitehead, 1991) emphasises social and economic factors, such as housing, education, and family relationships, as significant influences on mental health. CAMHS contributes to the early detection of a child's mental health challenges and collaborates with his support network to reduce the impact of these external factors. This approach enhances treatment involvement and fosters resilience by addressing the social factors underlying distress.</w:t>
      </w:r>
    </w:p>
    <w:p w14:paraId="62EA7C5B" w14:textId="77777777" w:rsidR="00F80C37" w:rsidRPr="009E2825" w:rsidRDefault="00F80C37" w:rsidP="00F80C3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Challenges</w:t>
      </w:r>
      <w:r w:rsidRPr="009E2825">
        <w:rPr>
          <w:rFonts w:ascii="Times New Roman" w:hAnsi="Times New Roman" w:cs="Times New Roman"/>
          <w:b/>
          <w:bCs/>
        </w:rPr>
        <w:t xml:space="preserve"> of CAMHS</w:t>
      </w:r>
    </w:p>
    <w:p w14:paraId="58B189DF" w14:textId="77777777" w:rsidR="00F80C37" w:rsidRPr="009E2825" w:rsidRDefault="00F80C37" w:rsidP="00F80C37">
      <w:pPr>
        <w:pStyle w:val="NormalWeb"/>
        <w:spacing w:line="360" w:lineRule="auto"/>
        <w:jc w:val="both"/>
      </w:pPr>
      <w:r w:rsidRPr="009E2825">
        <w:t xml:space="preserve">         The video presents an overly optimistic view of CAMHS services, overlooking the challenges many families face regarding CYP mental health.</w:t>
      </w:r>
    </w:p>
    <w:p w14:paraId="2E031DEF" w14:textId="77777777" w:rsidR="00F80C37" w:rsidRPr="00375726" w:rsidRDefault="00F80C37" w:rsidP="00F80C37">
      <w:pPr>
        <w:spacing w:line="360" w:lineRule="auto"/>
        <w:jc w:val="both"/>
        <w:rPr>
          <w:rFonts w:ascii="Times New Roman" w:hAnsi="Times New Roman" w:cs="Times New Roman"/>
        </w:rPr>
      </w:pPr>
      <w:r w:rsidRPr="009E2825">
        <w:rPr>
          <w:rFonts w:ascii="Times New Roman" w:hAnsi="Times New Roman" w:cs="Times New Roman"/>
        </w:rPr>
        <w:t xml:space="preserve">          </w:t>
      </w:r>
      <w:r>
        <w:rPr>
          <w:rFonts w:ascii="Times New Roman" w:hAnsi="Times New Roman" w:cs="Times New Roman"/>
        </w:rPr>
        <w:t xml:space="preserve">The video describes a streamlined referral process through schools and GPs, but many children endure waits of weeks or months for assessments. According to the Children's Commissioner for England (2024), CAMHS referral waiting times usually range from 6 to 12 weeks, with some extending beyond six months. </w:t>
      </w:r>
      <w:r w:rsidRPr="009E2825">
        <w:rPr>
          <w:rFonts w:ascii="Times New Roman" w:hAnsi="Times New Roman" w:cs="Times New Roman"/>
        </w:rPr>
        <w:t xml:space="preserve">In early 2023, over 250,000 children in England were on treatment waiting lists, with Wales reporting 1,309 children per 100,000, surpassing the UK average </w:t>
      </w:r>
      <w:r w:rsidRPr="004A192A">
        <w:rPr>
          <w:rStyle w:val="Strong"/>
          <w:rFonts w:ascii="Times New Roman" w:hAnsi="Times New Roman" w:cs="Times New Roman"/>
          <w:b w:val="0"/>
          <w:bCs w:val="0"/>
          <w:kern w:val="0"/>
          <w14:ligatures w14:val="none"/>
        </w:rPr>
        <w:t>(NHS, 2023a).</w:t>
      </w:r>
      <w:r w:rsidRPr="005B0238">
        <w:rPr>
          <w:rFonts w:ascii="Times New Roman" w:hAnsi="Times New Roman" w:cs="Times New Roman"/>
        </w:rPr>
        <w:t xml:space="preserve"> </w:t>
      </w:r>
      <w:r w:rsidRPr="009E2825">
        <w:rPr>
          <w:rFonts w:ascii="Times New Roman" w:hAnsi="Times New Roman" w:cs="Times New Roman"/>
        </w:rPr>
        <w:t xml:space="preserve">Furthermore, Hutchinson </w:t>
      </w:r>
      <w:r w:rsidRPr="005B0238">
        <w:rPr>
          <w:rFonts w:ascii="Times New Roman" w:hAnsi="Times New Roman" w:cs="Times New Roman"/>
          <w:i/>
          <w:iCs/>
        </w:rPr>
        <w:t>et al.</w:t>
      </w:r>
      <w:r w:rsidRPr="009E2825">
        <w:rPr>
          <w:rFonts w:ascii="Times New Roman" w:hAnsi="Times New Roman" w:cs="Times New Roman"/>
        </w:rPr>
        <w:t xml:space="preserve"> (2020) highlight regional disparities in CAMHS access, with some areas providing prompt care while others experience delays and resource shortages</w:t>
      </w:r>
      <w:r>
        <w:rPr>
          <w:rFonts w:ascii="Times New Roman" w:hAnsi="Times New Roman" w:cs="Times New Roman"/>
        </w:rPr>
        <w:t xml:space="preserve">. Additionally, </w:t>
      </w:r>
      <w:r w:rsidRPr="00375726">
        <w:rPr>
          <w:rFonts w:ascii="Times New Roman" w:hAnsi="Times New Roman" w:cs="Times New Roman"/>
        </w:rPr>
        <w:t xml:space="preserve">Bansal </w:t>
      </w:r>
      <w:r w:rsidRPr="00375726">
        <w:rPr>
          <w:rFonts w:ascii="Times New Roman" w:hAnsi="Times New Roman" w:cs="Times New Roman"/>
          <w:i/>
          <w:iCs/>
        </w:rPr>
        <w:t>et al</w:t>
      </w:r>
      <w:r w:rsidRPr="00375726">
        <w:rPr>
          <w:rFonts w:ascii="Times New Roman" w:hAnsi="Times New Roman" w:cs="Times New Roman"/>
        </w:rPr>
        <w:t>. (2022) note that CYPs from low-income families, ethnic minorities, and those with special educational needs encounter challenges such as cultural insensitivity and language barriers, which delay referrals and support, worsening mental health issues and highlighting the need for reforms in CAMHS.</w:t>
      </w:r>
    </w:p>
    <w:p w14:paraId="48A01F35" w14:textId="77777777" w:rsidR="00F80C37" w:rsidRPr="009E2825" w:rsidRDefault="00F80C37" w:rsidP="00F80C37">
      <w:pPr>
        <w:spacing w:line="360" w:lineRule="auto"/>
        <w:jc w:val="both"/>
        <w:rPr>
          <w:rFonts w:ascii="Times New Roman" w:hAnsi="Times New Roman" w:cs="Times New Roman"/>
        </w:rPr>
      </w:pPr>
      <w:r w:rsidRPr="009E2825">
        <w:rPr>
          <w:rFonts w:ascii="Times New Roman" w:hAnsi="Times New Roman" w:cs="Times New Roman"/>
        </w:rPr>
        <w:t xml:space="preserve">       CAMHS initial assessments conducted via phone or video can overlook emotional nuances and body language, leading to misunderstandings of a child's needs and potentially delaying interventions (Newman </w:t>
      </w:r>
      <w:r w:rsidRPr="0010700B">
        <w:rPr>
          <w:rFonts w:ascii="Times New Roman" w:hAnsi="Times New Roman" w:cs="Times New Roman"/>
          <w:i/>
          <w:iCs/>
        </w:rPr>
        <w:t>et al</w:t>
      </w:r>
      <w:r w:rsidRPr="009E2825">
        <w:rPr>
          <w:rFonts w:ascii="Times New Roman" w:hAnsi="Times New Roman" w:cs="Times New Roman"/>
        </w:rPr>
        <w:t xml:space="preserve">., 2024). </w:t>
      </w:r>
      <w:r>
        <w:rPr>
          <w:rFonts w:ascii="Times New Roman" w:hAnsi="Times New Roman" w:cs="Times New Roman"/>
        </w:rPr>
        <w:t xml:space="preserve">Assessment accuracy and comprehensiveness are significant concerns, with disparities in evaluations for young people. Standardised questionnaires often fail to address individual needs, particularly for neurodiverse and marginalised groups. Additionally, remote assessments can miss subtle emotional cues, and </w:t>
      </w:r>
      <w:r>
        <w:rPr>
          <w:rFonts w:ascii="Times New Roman" w:hAnsi="Times New Roman" w:cs="Times New Roman"/>
        </w:rPr>
        <w:lastRenderedPageBreak/>
        <w:t xml:space="preserve">poor communication among professionals may lead to misdiagnosis, missed safeguarding issues, or inappropriate treatment plans (HIW, CIW, and Estyn, 2024). Furthermore, the effectiveness of six-session CBT for complex cases is questionable, as it may benefit some young people but often falls short for those with entrenched mental health issues. These cases typically require more extended support, as six sessions usually fail to establish a strong therapeutic relationship or address root causes, leaving families feeling unsupported and at risk of relapse, leading to minimal and short-lived improvements </w:t>
      </w:r>
      <w:r w:rsidRPr="009E2825">
        <w:rPr>
          <w:rFonts w:ascii="Times New Roman" w:hAnsi="Times New Roman" w:cs="Times New Roman"/>
        </w:rPr>
        <w:t xml:space="preserve">(Lorentzen </w:t>
      </w:r>
      <w:r w:rsidRPr="00AA3EDB">
        <w:rPr>
          <w:rFonts w:ascii="Times New Roman" w:hAnsi="Times New Roman" w:cs="Times New Roman"/>
          <w:i/>
          <w:iCs/>
        </w:rPr>
        <w:t>et al</w:t>
      </w:r>
      <w:r w:rsidRPr="009E2825">
        <w:rPr>
          <w:rFonts w:ascii="Times New Roman" w:hAnsi="Times New Roman" w:cs="Times New Roman"/>
        </w:rPr>
        <w:t>., 2020).</w:t>
      </w:r>
    </w:p>
    <w:p w14:paraId="41DA15BC" w14:textId="2D23AA12" w:rsidR="00F80C37" w:rsidRPr="009E2825" w:rsidRDefault="00F80C37" w:rsidP="00F80C37">
      <w:pPr>
        <w:spacing w:line="360" w:lineRule="auto"/>
        <w:jc w:val="both"/>
        <w:rPr>
          <w:rFonts w:ascii="Times New Roman" w:hAnsi="Times New Roman" w:cs="Times New Roman"/>
        </w:rPr>
      </w:pPr>
      <w:r w:rsidRPr="009E2825">
        <w:rPr>
          <w:rFonts w:ascii="Times New Roman" w:hAnsi="Times New Roman" w:cs="Times New Roman"/>
        </w:rPr>
        <w:t xml:space="preserve">         Collaboration among CAMHS, GPs, schools, and families </w:t>
      </w:r>
      <w:proofErr w:type="gramStart"/>
      <w:r w:rsidRPr="009E2825">
        <w:rPr>
          <w:rFonts w:ascii="Times New Roman" w:hAnsi="Times New Roman" w:cs="Times New Roman"/>
        </w:rPr>
        <w:t>is</w:t>
      </w:r>
      <w:proofErr w:type="gramEnd"/>
      <w:r w:rsidRPr="009E2825">
        <w:rPr>
          <w:rFonts w:ascii="Times New Roman" w:hAnsi="Times New Roman" w:cs="Times New Roman"/>
        </w:rPr>
        <w:t xml:space="preserve"> essential but often hindered by limited resources and poor communication. </w:t>
      </w:r>
      <w:r>
        <w:rPr>
          <w:rFonts w:ascii="Times New Roman" w:hAnsi="Times New Roman" w:cs="Times New Roman"/>
        </w:rPr>
        <w:t>GPs may lack expertise in child mental health, causing delays in referrals, while schools may not be equipped to address observed behavioural</w:t>
      </w:r>
      <w:r w:rsidRPr="009E2825">
        <w:rPr>
          <w:rFonts w:ascii="Times New Roman" w:hAnsi="Times New Roman" w:cs="Times New Roman"/>
        </w:rPr>
        <w:t xml:space="preserve"> changes effectively. Families under stress often feel overwhelmed in supporting their children, further complicating communication and shared responsibility, which limits CAMHS support (HIW, CIW and Estyn, 2024). Coordination gaps between CAMHS, schools, and social services can result in disconnected care, negatively impacting </w:t>
      </w:r>
      <w:r w:rsidR="002D5DB5">
        <w:rPr>
          <w:rFonts w:ascii="Times New Roman" w:hAnsi="Times New Roman" w:cs="Times New Roman"/>
        </w:rPr>
        <w:t xml:space="preserve">support quality </w:t>
      </w:r>
      <w:r w:rsidRPr="009E2825">
        <w:rPr>
          <w:rFonts w:ascii="Times New Roman" w:hAnsi="Times New Roman" w:cs="Times New Roman"/>
        </w:rPr>
        <w:t>(Hansen et al., 2021).</w:t>
      </w:r>
    </w:p>
    <w:p w14:paraId="6680B333" w14:textId="77777777" w:rsidR="00F80C37" w:rsidRPr="009E2825" w:rsidRDefault="00F80C37" w:rsidP="00F80C37">
      <w:pPr>
        <w:pStyle w:val="NormalWeb"/>
        <w:spacing w:line="360" w:lineRule="auto"/>
        <w:jc w:val="both"/>
      </w:pPr>
      <w:r w:rsidRPr="009E2825">
        <w:t xml:space="preserve">         </w:t>
      </w:r>
      <w:r>
        <w:t xml:space="preserve">The transition from CAMHS to Adult Mental Health Services is often discontinuous, with about 25% of young people unable to connect due to differing eligibility criteria and poor coordination, leading to increased feelings of unpreparedness and disengagement </w:t>
      </w:r>
      <w:r w:rsidRPr="009E2825">
        <w:t xml:space="preserve">(Hutchinson </w:t>
      </w:r>
      <w:r w:rsidRPr="00A34E64">
        <w:rPr>
          <w:i/>
          <w:iCs/>
        </w:rPr>
        <w:t>et al.,</w:t>
      </w:r>
      <w:r w:rsidRPr="009E2825">
        <w:t xml:space="preserve"> 2020).</w:t>
      </w:r>
    </w:p>
    <w:p w14:paraId="72678690" w14:textId="5660CD9F" w:rsidR="00F80C37" w:rsidRPr="009E2825" w:rsidRDefault="00F80C37" w:rsidP="00F80C37">
      <w:pPr>
        <w:spacing w:line="360" w:lineRule="auto"/>
        <w:jc w:val="both"/>
        <w:rPr>
          <w:rFonts w:ascii="Times New Roman" w:eastAsia="Times New Roman" w:hAnsi="Times New Roman" w:cs="Times New Roman"/>
          <w:kern w:val="0"/>
          <w:lang w:eastAsia="en-GB"/>
          <w14:ligatures w14:val="none"/>
        </w:rPr>
      </w:pPr>
      <w:r w:rsidRPr="009E2825">
        <w:rPr>
          <w:rFonts w:ascii="Times New Roman" w:hAnsi="Times New Roman" w:cs="Times New Roman"/>
        </w:rPr>
        <w:t xml:space="preserve">        </w:t>
      </w:r>
      <w:r>
        <w:rPr>
          <w:rFonts w:ascii="Times New Roman" w:hAnsi="Times New Roman" w:cs="Times New Roman"/>
        </w:rPr>
        <w:t xml:space="preserve">The video addresses CAMHS discharge and future care but overlooks the importance of a transition plan for long-term wellbeing. This plan is crucial for preventing relapse, as ongoing care, appointments, school support, and family counselling are key for long-term outcomes </w:t>
      </w:r>
      <w:r w:rsidRPr="009E2825">
        <w:rPr>
          <w:rFonts w:ascii="Times New Roman" w:eastAsia="Times New Roman" w:hAnsi="Times New Roman" w:cs="Times New Roman"/>
          <w:kern w:val="0"/>
          <w:lang w:eastAsia="en-GB"/>
          <w14:ligatures w14:val="none"/>
        </w:rPr>
        <w:t>(NICE, 2019).</w:t>
      </w:r>
    </w:p>
    <w:p w14:paraId="08A236C1" w14:textId="2245E263" w:rsidR="00F80C37" w:rsidRDefault="00F80C37" w:rsidP="00F80C37">
      <w:pPr>
        <w:spacing w:line="360" w:lineRule="auto"/>
        <w:jc w:val="both"/>
        <w:rPr>
          <w:rFonts w:ascii="Times New Roman" w:eastAsia="Times New Roman" w:hAnsi="Times New Roman" w:cs="Times New Roman"/>
          <w:kern w:val="0"/>
          <w:lang w:eastAsia="en-GB"/>
          <w14:ligatures w14:val="none"/>
        </w:rPr>
      </w:pPr>
      <w:r w:rsidRPr="009E2825">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The CAMHS video offers valuable insights into mental health services</w:t>
      </w:r>
      <w:r w:rsidR="002D5DB5">
        <w:rPr>
          <w:rFonts w:ascii="Times New Roman" w:eastAsia="Times New Roman" w:hAnsi="Times New Roman" w:cs="Times New Roman"/>
          <w:kern w:val="0"/>
          <w:lang w:eastAsia="en-GB"/>
          <w14:ligatures w14:val="none"/>
        </w:rPr>
        <w:t xml:space="preserve">, making the complex process of accessing and navigating them easier to understand. However, it also </w:t>
      </w:r>
      <w:r>
        <w:rPr>
          <w:rFonts w:ascii="Times New Roman" w:eastAsia="Times New Roman" w:hAnsi="Times New Roman" w:cs="Times New Roman"/>
          <w:kern w:val="0"/>
          <w:lang w:eastAsia="en-GB"/>
          <w14:ligatures w14:val="none"/>
        </w:rPr>
        <w:t xml:space="preserve">diminishes </w:t>
      </w:r>
      <w:r w:rsidR="002D5DB5">
        <w:rPr>
          <w:rFonts w:ascii="Times New Roman" w:eastAsia="Times New Roman" w:hAnsi="Times New Roman" w:cs="Times New Roman"/>
          <w:kern w:val="0"/>
          <w:lang w:eastAsia="en-GB"/>
          <w14:ligatures w14:val="none"/>
        </w:rPr>
        <w:t>service users' difficulties</w:t>
      </w:r>
      <w:r>
        <w:rPr>
          <w:rFonts w:ascii="Times New Roman" w:eastAsia="Times New Roman" w:hAnsi="Times New Roman" w:cs="Times New Roman"/>
          <w:kern w:val="0"/>
          <w:lang w:eastAsia="en-GB"/>
          <w14:ligatures w14:val="none"/>
        </w:rPr>
        <w:t>, including children, young people, and their families.</w:t>
      </w:r>
    </w:p>
    <w:p w14:paraId="3CCE58D3" w14:textId="77777777" w:rsidR="000A320B" w:rsidRDefault="000A320B" w:rsidP="00F80C37">
      <w:pPr>
        <w:spacing w:line="360" w:lineRule="auto"/>
        <w:jc w:val="both"/>
        <w:rPr>
          <w:rFonts w:ascii="Times New Roman" w:eastAsia="Times New Roman" w:hAnsi="Times New Roman" w:cs="Times New Roman"/>
          <w:kern w:val="0"/>
          <w:lang w:eastAsia="en-GB"/>
          <w14:ligatures w14:val="none"/>
        </w:rPr>
      </w:pPr>
    </w:p>
    <w:p w14:paraId="4E74A194" w14:textId="77777777" w:rsidR="000A320B" w:rsidRDefault="000A320B" w:rsidP="00F80C37">
      <w:pPr>
        <w:spacing w:line="360" w:lineRule="auto"/>
        <w:jc w:val="both"/>
        <w:rPr>
          <w:rFonts w:ascii="Times New Roman" w:eastAsia="Times New Roman" w:hAnsi="Times New Roman" w:cs="Times New Roman"/>
          <w:kern w:val="0"/>
          <w:lang w:eastAsia="en-GB"/>
          <w14:ligatures w14:val="none"/>
        </w:rPr>
      </w:pPr>
    </w:p>
    <w:p w14:paraId="7D70DED0" w14:textId="77777777" w:rsidR="000A320B" w:rsidRDefault="000A320B" w:rsidP="00F80C37">
      <w:pPr>
        <w:spacing w:line="360" w:lineRule="auto"/>
        <w:jc w:val="both"/>
        <w:rPr>
          <w:rFonts w:ascii="Times New Roman" w:eastAsia="Times New Roman" w:hAnsi="Times New Roman" w:cs="Times New Roman"/>
          <w:kern w:val="0"/>
          <w:lang w:eastAsia="en-GB"/>
          <w14:ligatures w14:val="none"/>
        </w:rPr>
      </w:pPr>
    </w:p>
    <w:p w14:paraId="7C3E9C65" w14:textId="77777777" w:rsidR="000A320B" w:rsidRDefault="000A320B" w:rsidP="00F80C37">
      <w:pPr>
        <w:spacing w:line="360" w:lineRule="auto"/>
        <w:jc w:val="both"/>
        <w:rPr>
          <w:rFonts w:ascii="Times New Roman" w:eastAsia="Times New Roman" w:hAnsi="Times New Roman" w:cs="Times New Roman"/>
          <w:kern w:val="0"/>
          <w:lang w:eastAsia="en-GB"/>
          <w14:ligatures w14:val="none"/>
        </w:rPr>
      </w:pPr>
    </w:p>
    <w:p w14:paraId="5E044403" w14:textId="1559E59A" w:rsidR="00F80C37" w:rsidRDefault="00C30B86" w:rsidP="004D034F">
      <w:pPr>
        <w:pStyle w:val="Heading1"/>
        <w:rPr>
          <w:rFonts w:eastAsia="Times New Roman"/>
          <w:lang w:eastAsia="en-GB"/>
        </w:rPr>
      </w:pPr>
      <w:bookmarkStart w:id="1" w:name="_Toc197532649"/>
      <w:r w:rsidRPr="00C30B86">
        <w:rPr>
          <w:lang w:eastAsia="en-GB"/>
        </w:rPr>
        <w:lastRenderedPageBreak/>
        <w:drawing>
          <wp:anchor distT="0" distB="0" distL="114300" distR="114300" simplePos="0" relativeHeight="251713536" behindDoc="0" locked="0" layoutInCell="1" allowOverlap="1" wp14:anchorId="71CAA4ED" wp14:editId="377AD248">
            <wp:simplePos x="0" y="0"/>
            <wp:positionH relativeFrom="margin">
              <wp:posOffset>-487680</wp:posOffset>
            </wp:positionH>
            <wp:positionV relativeFrom="margin">
              <wp:posOffset>342900</wp:posOffset>
            </wp:positionV>
            <wp:extent cx="6911340" cy="8988425"/>
            <wp:effectExtent l="0" t="0" r="3810" b="3175"/>
            <wp:wrapSquare wrapText="bothSides"/>
            <wp:docPr id="643912543" name="Picture 1" descr="A poster of a couple making a heart with their h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912543" name="Picture 1" descr="A poster of a couple making a heart with their hand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6911340" cy="8988425"/>
                    </a:xfrm>
                    <a:prstGeom prst="rect">
                      <a:avLst/>
                    </a:prstGeom>
                  </pic:spPr>
                </pic:pic>
              </a:graphicData>
            </a:graphic>
            <wp14:sizeRelH relativeFrom="margin">
              <wp14:pctWidth>0</wp14:pctWidth>
            </wp14:sizeRelH>
            <wp14:sizeRelV relativeFrom="margin">
              <wp14:pctHeight>0</wp14:pctHeight>
            </wp14:sizeRelV>
          </wp:anchor>
        </w:drawing>
      </w:r>
      <w:r w:rsidR="000A320B">
        <w:rPr>
          <w:rFonts w:eastAsia="Times New Roman"/>
          <w:lang w:eastAsia="en-GB"/>
        </w:rPr>
        <w:t>Poster</w:t>
      </w:r>
      <w:bookmarkEnd w:id="1"/>
    </w:p>
    <w:p w14:paraId="64B1FF81" w14:textId="67325E2A" w:rsidR="00F80C37" w:rsidRPr="003C7B19" w:rsidRDefault="00BC2774" w:rsidP="00D51CE4">
      <w:pPr>
        <w:pStyle w:val="Heading1"/>
        <w:jc w:val="center"/>
        <w:rPr>
          <w:rFonts w:eastAsia="Times New Roman"/>
          <w:lang w:eastAsia="en-GB"/>
        </w:rPr>
      </w:pPr>
      <w:bookmarkStart w:id="2" w:name="_Toc197532650"/>
      <w:r>
        <w:rPr>
          <w:rFonts w:eastAsia="Times New Roman"/>
          <w:lang w:eastAsia="en-GB"/>
        </w:rPr>
        <w:lastRenderedPageBreak/>
        <w:t xml:space="preserve">Legislation </w:t>
      </w:r>
      <w:r w:rsidR="00E8725E">
        <w:rPr>
          <w:rFonts w:eastAsia="Times New Roman"/>
          <w:lang w:eastAsia="en-GB"/>
        </w:rPr>
        <w:t>in the United Kingdom</w:t>
      </w:r>
      <w:r w:rsidR="004A2DDC">
        <w:rPr>
          <w:rFonts w:eastAsia="Times New Roman"/>
          <w:lang w:eastAsia="en-GB"/>
        </w:rPr>
        <w:t xml:space="preserve"> design</w:t>
      </w:r>
      <w:r w:rsidR="00387A91">
        <w:rPr>
          <w:rFonts w:eastAsia="Times New Roman"/>
          <w:lang w:eastAsia="en-GB"/>
        </w:rPr>
        <w:t>ed</w:t>
      </w:r>
      <w:r w:rsidR="0006429A">
        <w:rPr>
          <w:rFonts w:eastAsia="Times New Roman"/>
          <w:lang w:eastAsia="en-GB"/>
        </w:rPr>
        <w:t xml:space="preserve"> to safeguard</w:t>
      </w:r>
      <w:r w:rsidR="00E8725E">
        <w:rPr>
          <w:rFonts w:eastAsia="Times New Roman"/>
          <w:lang w:eastAsia="en-GB"/>
        </w:rPr>
        <w:t xml:space="preserve"> children, young people and families</w:t>
      </w:r>
      <w:bookmarkEnd w:id="2"/>
    </w:p>
    <w:p w14:paraId="1BA3DE98" w14:textId="4C567E5A" w:rsidR="00F80C37" w:rsidRPr="00F80C37" w:rsidRDefault="0075186B" w:rsidP="00F80C37">
      <w:pPr>
        <w:spacing w:before="240" w:line="360" w:lineRule="auto"/>
        <w:jc w:val="both"/>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noProof/>
          <w:color w:val="000000" w:themeColor="text1"/>
          <w:kern w:val="0"/>
          <w:lang w:eastAsia="en-GB"/>
        </w:rPr>
        <mc:AlternateContent>
          <mc:Choice Requires="wps">
            <w:drawing>
              <wp:anchor distT="0" distB="0" distL="114300" distR="114300" simplePos="0" relativeHeight="251703296" behindDoc="0" locked="0" layoutInCell="1" allowOverlap="1" wp14:anchorId="18B82068" wp14:editId="731148D1">
                <wp:simplePos x="0" y="0"/>
                <wp:positionH relativeFrom="margin">
                  <wp:align>right</wp:align>
                </wp:positionH>
                <wp:positionV relativeFrom="paragraph">
                  <wp:posOffset>2033270</wp:posOffset>
                </wp:positionV>
                <wp:extent cx="2473325" cy="276225"/>
                <wp:effectExtent l="0" t="0" r="22225" b="28575"/>
                <wp:wrapSquare wrapText="bothSides"/>
                <wp:docPr id="161122773" name="Rectangle 16"/>
                <wp:cNvGraphicFramePr/>
                <a:graphic xmlns:a="http://schemas.openxmlformats.org/drawingml/2006/main">
                  <a:graphicData uri="http://schemas.microsoft.com/office/word/2010/wordprocessingShape">
                    <wps:wsp>
                      <wps:cNvSpPr/>
                      <wps:spPr>
                        <a:xfrm>
                          <a:off x="0" y="0"/>
                          <a:ext cx="2473325" cy="276225"/>
                        </a:xfrm>
                        <a:prstGeom prst="rect">
                          <a:avLst/>
                        </a:prstGeom>
                        <a:ln w="3175">
                          <a:solidFill>
                            <a:schemeClr val="tx1"/>
                          </a:solidFill>
                        </a:ln>
                      </wps:spPr>
                      <wps:style>
                        <a:lnRef idx="2">
                          <a:schemeClr val="dk1"/>
                        </a:lnRef>
                        <a:fillRef idx="1">
                          <a:schemeClr val="lt1"/>
                        </a:fillRef>
                        <a:effectRef idx="0">
                          <a:schemeClr val="dk1"/>
                        </a:effectRef>
                        <a:fontRef idx="minor">
                          <a:schemeClr val="dk1"/>
                        </a:fontRef>
                      </wps:style>
                      <wps:txbx>
                        <w:txbxContent>
                          <w:p w14:paraId="5A02D399" w14:textId="74B94182" w:rsidR="0075186B" w:rsidRPr="0075186B" w:rsidRDefault="0075186B" w:rsidP="0075186B">
                            <w:pPr>
                              <w:jc w:val="center"/>
                              <w:rPr>
                                <w:rFonts w:ascii="Times New Roman" w:hAnsi="Times New Roman" w:cs="Times New Roman"/>
                              </w:rPr>
                            </w:pPr>
                            <w:r w:rsidRPr="0075186B">
                              <w:rPr>
                                <w:rFonts w:ascii="Times New Roman" w:hAnsi="Times New Roman" w:cs="Times New Roman"/>
                                <w:color w:val="000000"/>
                              </w:rPr>
                              <w:t>Stepping Stones Pre-school (2020)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B82068" id="Rectangle 16" o:spid="_x0000_s1039" style="position:absolute;left:0;text-align:left;margin-left:143.55pt;margin-top:160.1pt;width:194.75pt;height:21.75pt;z-index:2517032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" fillcolor="white [3201]" strokecolor="black [3213]" strokeweight=".25pt">
                <v:textbox>
                  <w:txbxContent>
                    <w:p w14:paraId="5A02D399" w14:textId="74B94182" w:rsidR="0075186B" w:rsidRPr="0075186B" w:rsidRDefault="0075186B" w:rsidP="0075186B">
                      <w:pPr>
                        <w:jc w:val="center"/>
                        <w:rPr>
                          <w:rFonts w:ascii="Times New Roman" w:hAnsi="Times New Roman" w:cs="Times New Roman"/>
                        </w:rPr>
                      </w:pPr>
                      <w:r w:rsidRPr="0075186B">
                        <w:rPr>
                          <w:rFonts w:ascii="Times New Roman" w:hAnsi="Times New Roman" w:cs="Times New Roman"/>
                          <w:color w:val="000000"/>
                        </w:rPr>
                        <w:t>Stepping Stones Pre-school (2020) </w:t>
                      </w:r>
                    </w:p>
                  </w:txbxContent>
                </v:textbox>
                <w10:wrap type="square" anchorx="margin"/>
              </v:rect>
            </w:pict>
          </mc:Fallback>
        </mc:AlternateContent>
      </w:r>
      <w:r w:rsidR="00401FBB" w:rsidRPr="00401FBB">
        <w:rPr>
          <w:rFonts w:ascii="Times New Roman" w:eastAsia="Times New Roman" w:hAnsi="Times New Roman" w:cs="Times New Roman"/>
          <w:noProof/>
          <w:color w:val="000000" w:themeColor="text1"/>
          <w:kern w:val="0"/>
          <w:lang w:eastAsia="en-GB"/>
          <w14:ligatures w14:val="none"/>
        </w:rPr>
        <w:drawing>
          <wp:anchor distT="0" distB="0" distL="114300" distR="114300" simplePos="0" relativeHeight="251702272" behindDoc="0" locked="0" layoutInCell="1" allowOverlap="1" wp14:anchorId="77356EA9" wp14:editId="656E18B3">
            <wp:simplePos x="0" y="0"/>
            <wp:positionH relativeFrom="margin">
              <wp:align>right</wp:align>
            </wp:positionH>
            <wp:positionV relativeFrom="paragraph">
              <wp:posOffset>697865</wp:posOffset>
            </wp:positionV>
            <wp:extent cx="2520950" cy="1229995"/>
            <wp:effectExtent l="0" t="0" r="0" b="8255"/>
            <wp:wrapSquare wrapText="bothSides"/>
            <wp:docPr id="1811035740" name="Picture 1" descr="A person holding paper cutouts of a fami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035740" name="Picture 1" descr="A person holding paper cutouts of a family&#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20950" cy="1229995"/>
                    </a:xfrm>
                    <a:prstGeom prst="rect">
                      <a:avLst/>
                    </a:prstGeom>
                  </pic:spPr>
                </pic:pic>
              </a:graphicData>
            </a:graphic>
            <wp14:sizeRelH relativeFrom="margin">
              <wp14:pctWidth>0</wp14:pctWidth>
            </wp14:sizeRelH>
            <wp14:sizeRelV relativeFrom="margin">
              <wp14:pctHeight>0</wp14:pctHeight>
            </wp14:sizeRelV>
          </wp:anchor>
        </w:drawing>
      </w:r>
      <w:bookmarkStart w:id="3" w:name="_Toc197532651"/>
      <w:r w:rsidR="00F80C37" w:rsidRPr="00F80C37">
        <w:rPr>
          <w:rStyle w:val="Heading2Char"/>
        </w:rPr>
        <w:t>The Children Act 2004</w:t>
      </w:r>
      <w:bookmarkEnd w:id="3"/>
      <w:r w:rsidR="00F80C37" w:rsidRPr="00F80C37">
        <w:rPr>
          <w:rFonts w:ascii="Times New Roman" w:eastAsia="Times New Roman" w:hAnsi="Times New Roman" w:cs="Times New Roman"/>
          <w:color w:val="000000" w:themeColor="text1"/>
          <w:kern w:val="0"/>
          <w:lang w:eastAsia="en-GB"/>
          <w14:ligatures w14:val="none"/>
        </w:rPr>
        <w:t xml:space="preserve"> was introduced in the UK following the tragic death of Victoria Climbié, revealing significant failings in child protection systems (NSPCC, 2024). Its primary objective was to enhance inter-agency cooperation and information sharing while establishing safeguarding as a joint legal obligation. The Act created Local Safeguarding Children Boards, which evolved into partnerships that improve collaboration among health, education, social care, and police to address child safety (UK Government, 2004). The Act provision is reflected in </w:t>
      </w:r>
      <w:r w:rsidR="00F80C37" w:rsidRPr="00F80C37">
        <w:rPr>
          <w:rFonts w:ascii="Times New Roman" w:eastAsia="Times New Roman" w:hAnsi="Times New Roman" w:cs="Times New Roman"/>
          <w:b/>
          <w:bCs/>
          <w:color w:val="000000" w:themeColor="text1"/>
          <w:kern w:val="0"/>
          <w:lang w:eastAsia="en-GB"/>
          <w14:ligatures w14:val="none"/>
        </w:rPr>
        <w:t>Bronfenbrenner's Ecological Systems Theory</w:t>
      </w:r>
      <w:r w:rsidR="00F80C37" w:rsidRPr="00F80C37">
        <w:rPr>
          <w:rFonts w:ascii="Times New Roman" w:eastAsia="Times New Roman" w:hAnsi="Times New Roman" w:cs="Times New Roman"/>
          <w:color w:val="000000" w:themeColor="text1"/>
          <w:kern w:val="0"/>
          <w:lang w:eastAsia="en-GB"/>
          <w14:ligatures w14:val="none"/>
        </w:rPr>
        <w:t xml:space="preserve"> (1979), which underscores the impact of various systems on children's development </w:t>
      </w:r>
      <w:r w:rsidR="00F80C37" w:rsidRPr="00F80C37">
        <w:rPr>
          <w:rFonts w:ascii="Times New Roman" w:hAnsi="Times New Roman" w:cs="Times New Roman"/>
          <w:b/>
          <w:bCs/>
          <w:color w:val="000000" w:themeColor="text1"/>
        </w:rPr>
        <w:t>(</w:t>
      </w:r>
      <w:r w:rsidR="00F80C37" w:rsidRPr="00F80C37">
        <w:rPr>
          <w:rStyle w:val="Strong"/>
          <w:rFonts w:ascii="Times New Roman" w:eastAsiaTheme="majorEastAsia" w:hAnsi="Times New Roman" w:cs="Times New Roman"/>
          <w:color w:val="000000" w:themeColor="text1"/>
        </w:rPr>
        <w:t xml:space="preserve">Microsystem, mesosystem, </w:t>
      </w:r>
      <w:proofErr w:type="spellStart"/>
      <w:r w:rsidR="00F80C37" w:rsidRPr="00F80C37">
        <w:rPr>
          <w:rStyle w:val="Strong"/>
          <w:rFonts w:ascii="Times New Roman" w:eastAsiaTheme="majorEastAsia" w:hAnsi="Times New Roman" w:cs="Times New Roman"/>
          <w:color w:val="000000" w:themeColor="text1"/>
        </w:rPr>
        <w:t>exosystem</w:t>
      </w:r>
      <w:proofErr w:type="spellEnd"/>
      <w:r w:rsidR="00F80C37" w:rsidRPr="00F80C37">
        <w:rPr>
          <w:rStyle w:val="Strong"/>
          <w:rFonts w:ascii="Times New Roman" w:eastAsiaTheme="majorEastAsia" w:hAnsi="Times New Roman" w:cs="Times New Roman"/>
          <w:color w:val="000000" w:themeColor="text1"/>
        </w:rPr>
        <w:t>, macrosystem and chronosystem</w:t>
      </w:r>
      <w:r w:rsidR="00F80C37" w:rsidRPr="00F80C37">
        <w:rPr>
          <w:rFonts w:ascii="Times New Roman" w:hAnsi="Times New Roman" w:cs="Times New Roman"/>
          <w:b/>
          <w:bCs/>
          <w:color w:val="000000" w:themeColor="text1"/>
        </w:rPr>
        <w:t>),</w:t>
      </w:r>
      <w:r w:rsidR="00F80C37" w:rsidRPr="00F80C37">
        <w:rPr>
          <w:rFonts w:ascii="Times New Roman" w:hAnsi="Times New Roman" w:cs="Times New Roman"/>
          <w:color w:val="000000" w:themeColor="text1"/>
        </w:rPr>
        <w:t xml:space="preserve"> which influence children's development and wellbeing, representing a comprehensive legal framework for child protection and development</w:t>
      </w:r>
    </w:p>
    <w:p w14:paraId="789F21D1" w14:textId="2D3A2647" w:rsidR="00F80C37" w:rsidRPr="00B401B7" w:rsidRDefault="00F80C37" w:rsidP="00F80C37">
      <w:pPr>
        <w:spacing w:before="240" w:line="360" w:lineRule="auto"/>
        <w:jc w:val="both"/>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 xml:space="preserve">           </w:t>
      </w:r>
      <w:r w:rsidRPr="00B401B7">
        <w:rPr>
          <w:rFonts w:ascii="Times New Roman" w:eastAsia="Times New Roman" w:hAnsi="Times New Roman" w:cs="Times New Roman"/>
          <w:color w:val="000000" w:themeColor="text1"/>
          <w:kern w:val="0"/>
          <w:lang w:eastAsia="en-GB"/>
          <w14:ligatures w14:val="none"/>
        </w:rPr>
        <w:t xml:space="preserve">The Act supports five key outcomes for children: health, safety, enjoyment, positive contributions, and economic wellbeing, aligning with </w:t>
      </w:r>
      <w:proofErr w:type="gramStart"/>
      <w:r w:rsidRPr="00B401B7">
        <w:rPr>
          <w:rFonts w:ascii="Times New Roman" w:eastAsia="Times New Roman" w:hAnsi="Times New Roman" w:cs="Times New Roman"/>
          <w:color w:val="000000" w:themeColor="text1"/>
          <w:kern w:val="0"/>
          <w:lang w:eastAsia="en-GB"/>
          <w14:ligatures w14:val="none"/>
        </w:rPr>
        <w:t>the Every</w:t>
      </w:r>
      <w:proofErr w:type="gramEnd"/>
      <w:r w:rsidRPr="00B401B7">
        <w:rPr>
          <w:rFonts w:ascii="Times New Roman" w:eastAsia="Times New Roman" w:hAnsi="Times New Roman" w:cs="Times New Roman"/>
          <w:color w:val="000000" w:themeColor="text1"/>
          <w:kern w:val="0"/>
          <w:lang w:eastAsia="en-GB"/>
          <w14:ligatures w14:val="none"/>
        </w:rPr>
        <w:t xml:space="preserve"> Child Matters framework (Department for Education, 2003). It also established the role of the Children</w:t>
      </w:r>
      <w:r>
        <w:rPr>
          <w:rFonts w:ascii="Times New Roman" w:eastAsia="Times New Roman" w:hAnsi="Times New Roman" w:cs="Times New Roman"/>
          <w:color w:val="000000" w:themeColor="text1"/>
          <w:kern w:val="0"/>
          <w:lang w:eastAsia="en-GB"/>
          <w14:ligatures w14:val="none"/>
        </w:rPr>
        <w:t>'</w:t>
      </w:r>
      <w:r w:rsidRPr="00B401B7">
        <w:rPr>
          <w:rFonts w:ascii="Times New Roman" w:eastAsia="Times New Roman" w:hAnsi="Times New Roman" w:cs="Times New Roman"/>
          <w:color w:val="000000" w:themeColor="text1"/>
          <w:kern w:val="0"/>
          <w:lang w:eastAsia="en-GB"/>
          <w14:ligatures w14:val="none"/>
        </w:rPr>
        <w:t>s Commissioner for England and Wales to advocate for children's rights, particularly for at-risk groups (Department for Education and Skills, 2011).</w:t>
      </w:r>
    </w:p>
    <w:p w14:paraId="0BE13C66" w14:textId="14F711AF" w:rsidR="00F80C37" w:rsidRPr="00B401B7" w:rsidRDefault="00F80C37" w:rsidP="00F80C37">
      <w:pPr>
        <w:spacing w:before="240" w:line="360" w:lineRule="auto"/>
        <w:jc w:val="both"/>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 xml:space="preserve">           </w:t>
      </w:r>
      <w:r w:rsidRPr="00B401B7">
        <w:rPr>
          <w:rFonts w:ascii="Times New Roman" w:eastAsia="Times New Roman" w:hAnsi="Times New Roman" w:cs="Times New Roman"/>
          <w:color w:val="000000" w:themeColor="text1"/>
          <w:kern w:val="0"/>
          <w:lang w:eastAsia="en-GB"/>
          <w14:ligatures w14:val="none"/>
        </w:rPr>
        <w:t xml:space="preserve">Even though the </w:t>
      </w:r>
      <w:r w:rsidRPr="000C75AC">
        <w:rPr>
          <w:rFonts w:ascii="Times New Roman" w:eastAsia="Times New Roman" w:hAnsi="Times New Roman" w:cs="Times New Roman"/>
          <w:i/>
          <w:iCs/>
          <w:color w:val="000000" w:themeColor="text1"/>
          <w:kern w:val="0"/>
          <w:lang w:eastAsia="en-GB"/>
          <w14:ligatures w14:val="none"/>
        </w:rPr>
        <w:t>Children Act 2004</w:t>
      </w:r>
      <w:r w:rsidRPr="00B401B7">
        <w:rPr>
          <w:rFonts w:ascii="Times New Roman" w:eastAsia="Times New Roman" w:hAnsi="Times New Roman" w:cs="Times New Roman"/>
          <w:color w:val="000000" w:themeColor="text1"/>
          <w:kern w:val="0"/>
          <w:lang w:eastAsia="en-GB"/>
          <w14:ligatures w14:val="none"/>
        </w:rPr>
        <w:t xml:space="preserve"> has resulted in improvements mandated by local authorities and their performance assessed by the Office for Standards in Education, Children</w:t>
      </w:r>
      <w:r>
        <w:rPr>
          <w:rFonts w:ascii="Times New Roman" w:eastAsia="Times New Roman" w:hAnsi="Times New Roman" w:cs="Times New Roman"/>
          <w:color w:val="000000" w:themeColor="text1"/>
          <w:kern w:val="0"/>
          <w:lang w:eastAsia="en-GB"/>
          <w14:ligatures w14:val="none"/>
        </w:rPr>
        <w:t>'</w:t>
      </w:r>
      <w:r w:rsidRPr="00B401B7">
        <w:rPr>
          <w:rFonts w:ascii="Times New Roman" w:eastAsia="Times New Roman" w:hAnsi="Times New Roman" w:cs="Times New Roman"/>
          <w:color w:val="000000" w:themeColor="text1"/>
          <w:kern w:val="0"/>
          <w:lang w:eastAsia="en-GB"/>
          <w14:ligatures w14:val="none"/>
        </w:rPr>
        <w:t xml:space="preserve">s Services and Skills for England (Ofsted, 2023) and Care Inspectorate Wales (CIW, 2025), significant harm to children persist due to persistent challenges in practice. Ineffective communication among services can miss critical warning signs, while excessive workloads, staff shortages, and scarce resources obstruct proper responses. Issues like inequality and family instability raise risks, and inconsistent training results in unequal safeguarding practices </w:t>
      </w:r>
      <w:r w:rsidRPr="00B401B7">
        <w:rPr>
          <w:rFonts w:ascii="Times New Roman" w:hAnsi="Times New Roman" w:cs="Times New Roman"/>
          <w:color w:val="000000" w:themeColor="text1"/>
          <w:shd w:val="clear" w:color="auto" w:fill="FFFFFF"/>
        </w:rPr>
        <w:t>(Department for Education, 2023</w:t>
      </w:r>
      <w:r w:rsidR="0003129C">
        <w:rPr>
          <w:rFonts w:ascii="Times New Roman" w:hAnsi="Times New Roman" w:cs="Times New Roman"/>
          <w:color w:val="000000" w:themeColor="text1"/>
          <w:shd w:val="clear" w:color="auto" w:fill="FFFFFF"/>
        </w:rPr>
        <w:t>a</w:t>
      </w:r>
      <w:r w:rsidRPr="00B401B7">
        <w:rPr>
          <w:rFonts w:ascii="Times New Roman" w:hAnsi="Times New Roman" w:cs="Times New Roman"/>
          <w:color w:val="000000" w:themeColor="text1"/>
          <w:shd w:val="clear" w:color="auto" w:fill="FFFFFF"/>
        </w:rPr>
        <w:t>)</w:t>
      </w:r>
      <w:r w:rsidRPr="00B401B7">
        <w:rPr>
          <w:rFonts w:ascii="Times New Roman" w:eastAsia="Times New Roman" w:hAnsi="Times New Roman" w:cs="Times New Roman"/>
          <w:color w:val="000000" w:themeColor="text1"/>
          <w:kern w:val="0"/>
          <w:lang w:eastAsia="en-GB"/>
          <w14:ligatures w14:val="none"/>
        </w:rPr>
        <w:t>. These issues highlight the necessity for ongoing enhancements, increased funding, and enhanced support for frontline workers</w:t>
      </w:r>
      <w:r w:rsidRPr="00B401B7">
        <w:rPr>
          <w:rFonts w:ascii="Times New Roman" w:hAnsi="Times New Roman" w:cs="Times New Roman"/>
          <w:color w:val="000000" w:themeColor="text1"/>
          <w:shd w:val="clear" w:color="auto" w:fill="FFFFFF"/>
        </w:rPr>
        <w:t>.</w:t>
      </w:r>
    </w:p>
    <w:p w14:paraId="5AD6D711" w14:textId="49A4A02C" w:rsidR="00F80C37" w:rsidRPr="00B401B7" w:rsidRDefault="00F80C37" w:rsidP="00F80C37">
      <w:pPr>
        <w:spacing w:before="240" w:line="360" w:lineRule="auto"/>
        <w:jc w:val="both"/>
        <w:rPr>
          <w:rFonts w:ascii="Times New Roman" w:hAnsi="Times New Roman" w:cs="Times New Roman"/>
          <w:color w:val="2C3E50"/>
          <w:shd w:val="clear" w:color="auto" w:fill="FFFFFF"/>
        </w:rPr>
      </w:pPr>
    </w:p>
    <w:p w14:paraId="7F0581FC" w14:textId="2ADB34A1" w:rsidR="00F80C37" w:rsidRPr="00F80C37" w:rsidRDefault="00AE04A2" w:rsidP="00F80C37">
      <w:pPr>
        <w:spacing w:before="240" w:after="100" w:afterAutospacing="1" w:line="360" w:lineRule="auto"/>
        <w:jc w:val="both"/>
        <w:rPr>
          <w:rFonts w:ascii="Times New Roman" w:hAnsi="Times New Roman" w:cs="Times New Roman"/>
          <w:b/>
          <w:bCs/>
        </w:rPr>
      </w:pPr>
      <w:r w:rsidRPr="00AE04A2">
        <w:rPr>
          <w:rFonts w:ascii="Times New Roman" w:hAnsi="Times New Roman" w:cs="Times New Roman"/>
          <w:noProof/>
        </w:rPr>
        <w:drawing>
          <wp:anchor distT="0" distB="0" distL="114300" distR="114300" simplePos="0" relativeHeight="251704320" behindDoc="0" locked="0" layoutInCell="1" allowOverlap="1" wp14:anchorId="6BEBA107" wp14:editId="79235E7A">
            <wp:simplePos x="0" y="0"/>
            <wp:positionH relativeFrom="margin">
              <wp:align>left</wp:align>
            </wp:positionH>
            <wp:positionV relativeFrom="paragraph">
              <wp:posOffset>1470391</wp:posOffset>
            </wp:positionV>
            <wp:extent cx="2604770" cy="2117090"/>
            <wp:effectExtent l="0" t="0" r="5080" b="0"/>
            <wp:wrapSquare wrapText="bothSides"/>
            <wp:docPr id="56361007" name="Picture 1" descr="A group of paper people holding h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61007" name="Picture 1" descr="A group of paper people holding hand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2611114" cy="2122445"/>
                    </a:xfrm>
                    <a:prstGeom prst="rect">
                      <a:avLst/>
                    </a:prstGeom>
                  </pic:spPr>
                </pic:pic>
              </a:graphicData>
            </a:graphic>
            <wp14:sizeRelH relativeFrom="margin">
              <wp14:pctWidth>0</wp14:pctWidth>
            </wp14:sizeRelH>
            <wp14:sizeRelV relativeFrom="margin">
              <wp14:pctHeight>0</wp14:pctHeight>
            </wp14:sizeRelV>
          </wp:anchor>
        </w:drawing>
      </w:r>
      <w:bookmarkStart w:id="4" w:name="_Toc197532652"/>
      <w:r w:rsidR="00F80C37" w:rsidRPr="003C7B19">
        <w:rPr>
          <w:rStyle w:val="Heading2Char"/>
        </w:rPr>
        <w:t>The Rights of Children and Young Persons (Wales) Measure 2011</w:t>
      </w:r>
      <w:bookmarkEnd w:id="4"/>
      <w:r w:rsidR="00F80C37" w:rsidRPr="00F80C37">
        <w:rPr>
          <w:rFonts w:ascii="Times New Roman" w:hAnsi="Times New Roman" w:cs="Times New Roman"/>
        </w:rPr>
        <w:t xml:space="preserve"> incorporates the </w:t>
      </w:r>
      <w:r w:rsidR="00F80C37" w:rsidRPr="00F80C37">
        <w:rPr>
          <w:rFonts w:ascii="Times New Roman" w:hAnsi="Times New Roman" w:cs="Times New Roman"/>
          <w:i/>
          <w:iCs/>
        </w:rPr>
        <w:t xml:space="preserve">UNCRC </w:t>
      </w:r>
      <w:r w:rsidR="00F80C37" w:rsidRPr="00F80C37">
        <w:rPr>
          <w:rFonts w:ascii="Times New Roman" w:hAnsi="Times New Roman" w:cs="Times New Roman"/>
        </w:rPr>
        <w:t xml:space="preserve">into Welsh law, focusing on child poverty and inequality, giving "due regard" to children's perspectives in </w:t>
      </w:r>
      <w:proofErr w:type="gramStart"/>
      <w:r w:rsidR="00F80C37" w:rsidRPr="00F80C37">
        <w:rPr>
          <w:rFonts w:ascii="Times New Roman" w:hAnsi="Times New Roman" w:cs="Times New Roman"/>
        </w:rPr>
        <w:t>policy-making</w:t>
      </w:r>
      <w:proofErr w:type="gramEnd"/>
      <w:r w:rsidR="00F80C37" w:rsidRPr="00F80C37">
        <w:rPr>
          <w:rFonts w:ascii="Times New Roman" w:hAnsi="Times New Roman" w:cs="Times New Roman"/>
        </w:rPr>
        <w:t xml:space="preserve"> to improve their safety, education, and wellbeing (Welsh Government, 2011). The effective mechanism employed to meet this legal obligation is Children's Rights Impact Assessments (CRIAs), which evaluate the impact of policies, laws, or actions on children's rights, making sure that their voices, needs, and welfare are given priority (Welsh Ministers, 2024). Thus, Welsh Ministers reinforce the Act, while public services implement the Measure through early intervention and child protection (Welsh Government, 2011).</w:t>
      </w:r>
    </w:p>
    <w:p w14:paraId="1158A672" w14:textId="70CFE198" w:rsidR="00F80C37" w:rsidRPr="00B401B7" w:rsidRDefault="0014659C" w:rsidP="00F80C37">
      <w:pPr>
        <w:spacing w:before="240" w:after="100" w:afterAutospacing="1" w:line="360" w:lineRule="auto"/>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705344" behindDoc="1" locked="0" layoutInCell="1" allowOverlap="1" wp14:anchorId="1DF81FE4" wp14:editId="5CEC6588">
                <wp:simplePos x="0" y="0"/>
                <wp:positionH relativeFrom="column">
                  <wp:posOffset>39370</wp:posOffset>
                </wp:positionH>
                <wp:positionV relativeFrom="paragraph">
                  <wp:posOffset>50165</wp:posOffset>
                </wp:positionV>
                <wp:extent cx="2459990" cy="262890"/>
                <wp:effectExtent l="0" t="0" r="16510" b="22860"/>
                <wp:wrapTight wrapText="bothSides">
                  <wp:wrapPolygon edited="0">
                    <wp:start x="0" y="0"/>
                    <wp:lineTo x="0" y="21913"/>
                    <wp:lineTo x="21578" y="21913"/>
                    <wp:lineTo x="21578" y="0"/>
                    <wp:lineTo x="0" y="0"/>
                  </wp:wrapPolygon>
                </wp:wrapTight>
                <wp:docPr id="438580088" name="Rectangle 17"/>
                <wp:cNvGraphicFramePr/>
                <a:graphic xmlns:a="http://schemas.openxmlformats.org/drawingml/2006/main">
                  <a:graphicData uri="http://schemas.microsoft.com/office/word/2010/wordprocessingShape">
                    <wps:wsp>
                      <wps:cNvSpPr/>
                      <wps:spPr>
                        <a:xfrm>
                          <a:off x="0" y="0"/>
                          <a:ext cx="2459990" cy="262890"/>
                        </a:xfrm>
                        <a:prstGeom prst="rect">
                          <a:avLst/>
                        </a:prstGeom>
                        <a:ln w="3175">
                          <a:solidFill>
                            <a:schemeClr val="tx1"/>
                          </a:solidFill>
                        </a:ln>
                      </wps:spPr>
                      <wps:style>
                        <a:lnRef idx="2">
                          <a:schemeClr val="dk1"/>
                        </a:lnRef>
                        <a:fillRef idx="1">
                          <a:schemeClr val="lt1"/>
                        </a:fillRef>
                        <a:effectRef idx="0">
                          <a:schemeClr val="dk1"/>
                        </a:effectRef>
                        <a:fontRef idx="minor">
                          <a:schemeClr val="dk1"/>
                        </a:fontRef>
                      </wps:style>
                      <wps:txbx>
                        <w:txbxContent>
                          <w:p w14:paraId="348E5B5A" w14:textId="6072BB48" w:rsidR="0014659C" w:rsidRDefault="0014659C" w:rsidP="0014659C">
                            <w:pPr>
                              <w:jc w:val="center"/>
                            </w:pPr>
                            <w:r>
                              <w:t>Welsh Parliament (2020)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F81FE4" id="Rectangle 17" o:spid="_x0000_s1040" style="position:absolute;left:0;text-align:left;margin-left:3.1pt;margin-top:3.95pt;width:193.7pt;height:20.7pt;z-index:-251611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" fillcolor="white [3201]" strokecolor="black [3213]" strokeweight=".25pt">
                <v:textbox>
                  <w:txbxContent>
                    <w:p w14:paraId="348E5B5A" w14:textId="6072BB48" w:rsidR="0014659C" w:rsidRDefault="0014659C" w:rsidP="0014659C">
                      <w:pPr>
                        <w:jc w:val="center"/>
                      </w:pPr>
                      <w:r>
                        <w:t>Welsh Parliament (2020)</w:t>
                      </w:r>
                    </w:p>
                  </w:txbxContent>
                </v:textbox>
                <w10:wrap type="tight"/>
              </v:rect>
            </w:pict>
          </mc:Fallback>
        </mc:AlternateContent>
      </w:r>
      <w:r w:rsidR="00F80C37">
        <w:rPr>
          <w:rFonts w:ascii="Times New Roman" w:eastAsia="Times New Roman" w:hAnsi="Times New Roman" w:cs="Times New Roman"/>
          <w:kern w:val="0"/>
          <w:lang w:eastAsia="en-GB"/>
          <w14:ligatures w14:val="none"/>
        </w:rPr>
        <w:t xml:space="preserve">       </w:t>
      </w:r>
      <w:r w:rsidR="00F80C37" w:rsidRPr="00B401B7">
        <w:rPr>
          <w:rFonts w:ascii="Times New Roman" w:eastAsia="Times New Roman" w:hAnsi="Times New Roman" w:cs="Times New Roman"/>
          <w:kern w:val="0"/>
          <w:lang w:eastAsia="en-GB"/>
          <w14:ligatures w14:val="none"/>
        </w:rPr>
        <w:t>The Act reflects Erikson</w:t>
      </w:r>
      <w:r w:rsidR="00F80C37">
        <w:rPr>
          <w:rFonts w:ascii="Times New Roman" w:eastAsia="Times New Roman" w:hAnsi="Times New Roman" w:cs="Times New Roman"/>
          <w:kern w:val="0"/>
          <w:lang w:eastAsia="en-GB"/>
          <w14:ligatures w14:val="none"/>
        </w:rPr>
        <w:t>'</w:t>
      </w:r>
      <w:r w:rsidR="00F80C37" w:rsidRPr="00B401B7">
        <w:rPr>
          <w:rFonts w:ascii="Times New Roman" w:eastAsia="Times New Roman" w:hAnsi="Times New Roman" w:cs="Times New Roman"/>
          <w:kern w:val="0"/>
          <w:lang w:eastAsia="en-GB"/>
          <w14:ligatures w14:val="none"/>
        </w:rPr>
        <w:t>s Psychosocial Development Theory (1980), focusing on emotional and social challenges in children and the key role of social environments in shaping identity. Furthermore, in the "Trust vs. Mistrust" stage, infants need safety, supported by the Act's right to protection. During the "Autonomy vs. Shame and Doubt" stage, children start making choices, with the Measure promoting their involvement in decision-making. In the "Industry vs. Inferiority" stage, school-age children gain confidence through learning, backed by the Act's rights to education and support.</w:t>
      </w:r>
    </w:p>
    <w:p w14:paraId="10F62DAC" w14:textId="013FE638" w:rsidR="00F80C37" w:rsidRPr="00B401B7" w:rsidRDefault="00F80C37" w:rsidP="00F80C37">
      <w:pPr>
        <w:spacing w:before="240" w:after="100" w:afterAutospacing="1" w:line="360" w:lineRule="auto"/>
        <w:jc w:val="both"/>
        <w:rPr>
          <w:rFonts w:ascii="Times New Roman" w:hAnsi="Times New Roman" w:cs="Times New Roman"/>
        </w:rPr>
      </w:pPr>
      <w:r>
        <w:rPr>
          <w:rFonts w:ascii="Times New Roman" w:hAnsi="Times New Roman" w:cs="Times New Roman"/>
        </w:rPr>
        <w:t xml:space="preserve">        </w:t>
      </w:r>
      <w:r w:rsidRPr="00B401B7">
        <w:rPr>
          <w:rFonts w:ascii="Times New Roman" w:hAnsi="Times New Roman" w:cs="Times New Roman"/>
        </w:rPr>
        <w:t xml:space="preserve">The Act has significant challenges, primarily that its legal duty applies only to Welsh Ministers, causing inconsistent implementation across public bodies. The term "due regard" is vague and </w:t>
      </w:r>
      <w:proofErr w:type="spellStart"/>
      <w:r w:rsidRPr="00B401B7">
        <w:rPr>
          <w:rFonts w:ascii="Times New Roman" w:hAnsi="Times New Roman" w:cs="Times New Roman"/>
        </w:rPr>
        <w:t>lacks</w:t>
      </w:r>
      <w:proofErr w:type="spellEnd"/>
      <w:r w:rsidRPr="00B401B7">
        <w:rPr>
          <w:rFonts w:ascii="Times New Roman" w:hAnsi="Times New Roman" w:cs="Times New Roman"/>
        </w:rPr>
        <w:t xml:space="preserve"> enforcement mechanisms, which impacts accountability. Also, CRIAs vary in application, and professionals often receive insufficient training on the </w:t>
      </w:r>
      <w:r w:rsidRPr="000C75AC">
        <w:rPr>
          <w:rFonts w:ascii="Times New Roman" w:hAnsi="Times New Roman" w:cs="Times New Roman"/>
          <w:i/>
          <w:iCs/>
        </w:rPr>
        <w:t>UNCRC</w:t>
      </w:r>
      <w:r w:rsidRPr="00B401B7">
        <w:rPr>
          <w:rFonts w:ascii="Times New Roman" w:hAnsi="Times New Roman" w:cs="Times New Roman"/>
        </w:rPr>
        <w:t>, especially in urgent situations. Additionally, funding for rights-based services is at risk due to budget cuts, and limited public awareness of the Measure and children's rights reduces its effectiveness (Welsh Parliament, 2020).</w:t>
      </w:r>
    </w:p>
    <w:p w14:paraId="4F42D32F" w14:textId="5B2753C1" w:rsidR="00F80C37" w:rsidRPr="00B401B7" w:rsidRDefault="00F80C37" w:rsidP="00F80C37">
      <w:pPr>
        <w:spacing w:before="240" w:after="100" w:afterAutospacing="1" w:line="360" w:lineRule="auto"/>
        <w:jc w:val="both"/>
        <w:rPr>
          <w:rStyle w:val="Strong"/>
          <w:rFonts w:ascii="Times New Roman" w:eastAsia="Times New Roman" w:hAnsi="Times New Roman" w:cs="Times New Roman"/>
          <w:b w:val="0"/>
          <w:bCs w:val="0"/>
          <w:kern w:val="0"/>
          <w:lang w:eastAsia="en-GB"/>
          <w14:ligatures w14:val="none"/>
        </w:rPr>
      </w:pPr>
      <w:r>
        <w:rPr>
          <w:rFonts w:ascii="Times New Roman" w:eastAsia="Times New Roman" w:hAnsi="Times New Roman" w:cs="Times New Roman"/>
          <w:kern w:val="0"/>
          <w:lang w:eastAsia="en-GB"/>
          <w14:ligatures w14:val="none"/>
        </w:rPr>
        <w:t xml:space="preserve">          </w:t>
      </w:r>
      <w:r w:rsidRPr="00B401B7">
        <w:rPr>
          <w:rFonts w:ascii="Times New Roman" w:eastAsia="Times New Roman" w:hAnsi="Times New Roman" w:cs="Times New Roman"/>
          <w:kern w:val="0"/>
          <w:lang w:eastAsia="en-GB"/>
          <w14:ligatures w14:val="none"/>
        </w:rPr>
        <w:t>The Measure prioritises children's safety and rights in Wales through effective legislation and policy, relying on consistent implementation, professional training, public involvement, and adequate funding.</w:t>
      </w:r>
    </w:p>
    <w:p w14:paraId="51AC98A6" w14:textId="798E1783" w:rsidR="00F80C37" w:rsidRPr="00F80C37" w:rsidRDefault="0014659C" w:rsidP="00F80C37">
      <w:pPr>
        <w:spacing w:before="240" w:after="100" w:afterAutospacing="1" w:line="360" w:lineRule="auto"/>
        <w:jc w:val="both"/>
        <w:rPr>
          <w:rFonts w:ascii="Times New Roman" w:eastAsia="Times New Roman" w:hAnsi="Times New Roman" w:cs="Times New Roman"/>
          <w:kern w:val="0"/>
          <w:lang w:eastAsia="en-GB"/>
          <w14:ligatures w14:val="none"/>
        </w:rPr>
      </w:pPr>
      <w:r w:rsidRPr="004220F2">
        <w:rPr>
          <w:rFonts w:ascii="Times New Roman" w:hAnsi="Times New Roman" w:cs="Times New Roman"/>
          <w:noProof/>
        </w:rPr>
        <w:lastRenderedPageBreak/>
        <w:drawing>
          <wp:anchor distT="0" distB="0" distL="114300" distR="114300" simplePos="0" relativeHeight="251700224" behindDoc="0" locked="0" layoutInCell="1" allowOverlap="1" wp14:anchorId="2BCF145F" wp14:editId="1634A850">
            <wp:simplePos x="0" y="0"/>
            <wp:positionH relativeFrom="margin">
              <wp:posOffset>3248669</wp:posOffset>
            </wp:positionH>
            <wp:positionV relativeFrom="paragraph">
              <wp:posOffset>1077595</wp:posOffset>
            </wp:positionV>
            <wp:extent cx="2489200" cy="2250440"/>
            <wp:effectExtent l="190500" t="209550" r="215900" b="226060"/>
            <wp:wrapSquare wrapText="bothSides"/>
            <wp:docPr id="18" name="Picture 17" descr="A diagram of a map&#10;&#10;AI-generated content may be incorrect.">
              <a:extLst xmlns:a="http://schemas.openxmlformats.org/drawingml/2006/main">
                <a:ext uri="{FF2B5EF4-FFF2-40B4-BE49-F238E27FC236}">
                  <a16:creationId xmlns:a16="http://schemas.microsoft.com/office/drawing/2014/main" id="{AA614D20-98CE-2974-B721-1BB1099F131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descr="A diagram of a map&#10;&#10;AI-generated content may be incorrect.">
                      <a:extLst>
                        <a:ext uri="{FF2B5EF4-FFF2-40B4-BE49-F238E27FC236}">
                          <a16:creationId xmlns:a16="http://schemas.microsoft.com/office/drawing/2014/main" id="{AA614D20-98CE-2974-B721-1BB1099F131E}"/>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89200" cy="2250440"/>
                    </a:xfrm>
                    <a:prstGeom prst="ellipse">
                      <a:avLst/>
                    </a:prstGeom>
                    <a:ln w="190500" cap="rnd">
                      <a:solidFill>
                        <a:srgbClr val="C8C6BD"/>
                      </a:solidFill>
                      <a:prstDash val="solid"/>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bookmarkStart w:id="5" w:name="_Toc197532653"/>
      <w:r w:rsidR="00F80C37" w:rsidRPr="003C7B19">
        <w:rPr>
          <w:rStyle w:val="Heading2Char"/>
        </w:rPr>
        <w:t>The Wellbeing of Future Generations (Wales) Act 2015</w:t>
      </w:r>
      <w:bookmarkEnd w:id="5"/>
      <w:r w:rsidR="00F80C37" w:rsidRPr="00F80C37">
        <w:rPr>
          <w:rFonts w:ascii="Times New Roman" w:hAnsi="Times New Roman" w:cs="Times New Roman"/>
        </w:rPr>
        <w:t xml:space="preserve"> mandates public organisations to consider the long-term effects of their actions on current and future generations. It supports the UN Sustainable Development Goals (SDGs) </w:t>
      </w:r>
      <w:r w:rsidR="00F80C37" w:rsidRPr="00F80C37">
        <w:rPr>
          <w:rFonts w:ascii="Times New Roman" w:hAnsi="Times New Roman" w:cs="Times New Roman"/>
          <w:color w:val="2C3E50"/>
          <w:shd w:val="clear" w:color="auto" w:fill="FFFFFF"/>
        </w:rPr>
        <w:t>(United Nations, 2025)</w:t>
      </w:r>
      <w:r w:rsidR="00F80C37" w:rsidRPr="00F80C37">
        <w:rPr>
          <w:rFonts w:ascii="Times New Roman" w:hAnsi="Times New Roman" w:cs="Times New Roman"/>
        </w:rPr>
        <w:t xml:space="preserve"> by embedding sustainability, equity, and wellbeing into Welsh policy-making, aiming to achieve seven wellbeing goals: A Prosperous Wales, A Resilient Wales, A Healthier Wales, A More Equal Wales, A Cohesive Communities Wales, A Vibrant Culture and Thriving Welsh Language Wales, and A Globally Responsible Wales (Welsh Government, 2024a).</w:t>
      </w:r>
    </w:p>
    <w:p w14:paraId="65690BB1" w14:textId="4D65B5B4" w:rsidR="00F80C37" w:rsidRPr="00B401B7" w:rsidRDefault="0014659C" w:rsidP="00F80C37">
      <w:pPr>
        <w:spacing w:before="240" w:after="100" w:afterAutospacing="1" w:line="360" w:lineRule="auto"/>
        <w:jc w:val="both"/>
        <w:rPr>
          <w:rFonts w:ascii="Times New Roman" w:eastAsia="Times New Roman" w:hAnsi="Times New Roman" w:cs="Times New Roman"/>
          <w:kern w:val="0"/>
          <w:lang w:eastAsia="en-GB"/>
          <w14:ligatures w14:val="none"/>
        </w:rPr>
      </w:pPr>
      <w:r>
        <w:rPr>
          <w:rFonts w:ascii="Times New Roman" w:hAnsi="Times New Roman" w:cs="Times New Roman"/>
          <w:noProof/>
        </w:rPr>
        <mc:AlternateContent>
          <mc:Choice Requires="wps">
            <w:drawing>
              <wp:anchor distT="0" distB="0" distL="114300" distR="114300" simplePos="0" relativeHeight="251701248" behindDoc="0" locked="0" layoutInCell="1" allowOverlap="1" wp14:anchorId="2BFB0143" wp14:editId="7D29BB9B">
                <wp:simplePos x="0" y="0"/>
                <wp:positionH relativeFrom="column">
                  <wp:posOffset>3447018</wp:posOffset>
                </wp:positionH>
                <wp:positionV relativeFrom="paragraph">
                  <wp:posOffset>274727</wp:posOffset>
                </wp:positionV>
                <wp:extent cx="2223135" cy="269240"/>
                <wp:effectExtent l="0" t="0" r="24765" b="16510"/>
                <wp:wrapSquare wrapText="bothSides"/>
                <wp:docPr id="1292841498" name="Rectangle 15"/>
                <wp:cNvGraphicFramePr/>
                <a:graphic xmlns:a="http://schemas.openxmlformats.org/drawingml/2006/main">
                  <a:graphicData uri="http://schemas.microsoft.com/office/word/2010/wordprocessingShape">
                    <wps:wsp>
                      <wps:cNvSpPr/>
                      <wps:spPr>
                        <a:xfrm>
                          <a:off x="0" y="0"/>
                          <a:ext cx="2223135" cy="269240"/>
                        </a:xfrm>
                        <a:prstGeom prst="rect">
                          <a:avLst/>
                        </a:prstGeom>
                        <a:ln w="3175">
                          <a:solidFill>
                            <a:schemeClr val="tx1"/>
                          </a:solidFill>
                        </a:ln>
                      </wps:spPr>
                      <wps:style>
                        <a:lnRef idx="2">
                          <a:schemeClr val="dk1"/>
                        </a:lnRef>
                        <a:fillRef idx="1">
                          <a:schemeClr val="lt1"/>
                        </a:fillRef>
                        <a:effectRef idx="0">
                          <a:schemeClr val="dk1"/>
                        </a:effectRef>
                        <a:fontRef idx="minor">
                          <a:schemeClr val="dk1"/>
                        </a:fontRef>
                      </wps:style>
                      <wps:txbx>
                        <w:txbxContent>
                          <w:p w14:paraId="67633AC8" w14:textId="0B4F59E5" w:rsidR="0015266B" w:rsidRPr="0015266B" w:rsidRDefault="0015266B" w:rsidP="0015266B">
                            <w:pPr>
                              <w:jc w:val="center"/>
                              <w:rPr>
                                <w:rFonts w:ascii="Times New Roman" w:hAnsi="Times New Roman" w:cs="Times New Roman"/>
                              </w:rPr>
                            </w:pPr>
                            <w:r w:rsidRPr="0015266B">
                              <w:rPr>
                                <w:rFonts w:ascii="Times New Roman" w:hAnsi="Times New Roman" w:cs="Times New Roman"/>
                                <w:color w:val="000000"/>
                              </w:rPr>
                              <w:t xml:space="preserve">Welsh Government (2015)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FB0143" id="Rectangle 15" o:spid="_x0000_s1041" style="position:absolute;left:0;text-align:left;margin-left:271.4pt;margin-top:21.65pt;width:175.05pt;height:21.2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" fillcolor="white [3201]" strokecolor="black [3213]" strokeweight=".25pt">
                <v:textbox>
                  <w:txbxContent>
                    <w:p w14:paraId="67633AC8" w14:textId="0B4F59E5" w:rsidR="0015266B" w:rsidRPr="0015266B" w:rsidRDefault="0015266B" w:rsidP="0015266B">
                      <w:pPr>
                        <w:jc w:val="center"/>
                        <w:rPr>
                          <w:rFonts w:ascii="Times New Roman" w:hAnsi="Times New Roman" w:cs="Times New Roman"/>
                        </w:rPr>
                      </w:pPr>
                      <w:r w:rsidRPr="0015266B">
                        <w:rPr>
                          <w:rFonts w:ascii="Times New Roman" w:hAnsi="Times New Roman" w:cs="Times New Roman"/>
                          <w:color w:val="000000"/>
                        </w:rPr>
                        <w:t xml:space="preserve">Welsh Government (2015) </w:t>
                      </w:r>
                    </w:p>
                  </w:txbxContent>
                </v:textbox>
                <w10:wrap type="square"/>
              </v:rect>
            </w:pict>
          </mc:Fallback>
        </mc:AlternateContent>
      </w:r>
      <w:r w:rsidR="00F80C37">
        <w:rPr>
          <w:rFonts w:ascii="Times New Roman" w:hAnsi="Times New Roman" w:cs="Times New Roman"/>
        </w:rPr>
        <w:t xml:space="preserve">        </w:t>
      </w:r>
      <w:r w:rsidR="00F80C37" w:rsidRPr="00B401B7">
        <w:rPr>
          <w:rFonts w:ascii="Times New Roman" w:hAnsi="Times New Roman" w:cs="Times New Roman"/>
        </w:rPr>
        <w:t xml:space="preserve">The Act applies Health Determinants Theory (Dahlgren and Whitehead, 1991) by </w:t>
      </w:r>
      <w:r w:rsidR="00F80C37">
        <w:rPr>
          <w:rFonts w:ascii="Times New Roman" w:hAnsi="Times New Roman" w:cs="Times New Roman"/>
        </w:rPr>
        <w:t>emphasising</w:t>
      </w:r>
      <w:r w:rsidR="00F80C37" w:rsidRPr="00B401B7">
        <w:rPr>
          <w:rFonts w:ascii="Times New Roman" w:hAnsi="Times New Roman" w:cs="Times New Roman"/>
        </w:rPr>
        <w:t xml:space="preserve"> the impact of housing, education, income, and the environment on health. It enhances children's rights through collaboration between health and education, focusing on wellbeing, early intervention, and family support. Educational institutions are encouraged to cultivate healthy individuals with a curriculum that prioritises mental health, environmental awareness, and ethical citizenship, fostering responsible citizens aware of their wellbeing and social duties (Future Generations Commissioner for Wales, 2025).</w:t>
      </w:r>
    </w:p>
    <w:p w14:paraId="09F27B04" w14:textId="51F89BA6" w:rsidR="00F80C37" w:rsidRPr="00B401B7" w:rsidRDefault="00F80C37" w:rsidP="00F80C37">
      <w:pPr>
        <w:spacing w:before="240" w:after="100" w:afterAutospacing="1" w:line="360" w:lineRule="auto"/>
        <w:jc w:val="both"/>
        <w:rPr>
          <w:rFonts w:ascii="Times New Roman" w:hAnsi="Times New Roman" w:cs="Times New Roman"/>
        </w:rPr>
      </w:pPr>
      <w:r>
        <w:rPr>
          <w:rFonts w:ascii="Times New Roman" w:hAnsi="Times New Roman" w:cs="Times New Roman"/>
        </w:rPr>
        <w:t xml:space="preserve">      </w:t>
      </w:r>
      <w:r w:rsidRPr="00B401B7">
        <w:rPr>
          <w:rFonts w:ascii="Times New Roman" w:hAnsi="Times New Roman" w:cs="Times New Roman"/>
        </w:rPr>
        <w:t>The Children</w:t>
      </w:r>
      <w:r>
        <w:rPr>
          <w:rFonts w:ascii="Times New Roman" w:hAnsi="Times New Roman" w:cs="Times New Roman"/>
        </w:rPr>
        <w:t>'</w:t>
      </w:r>
      <w:r w:rsidRPr="00B401B7">
        <w:rPr>
          <w:rFonts w:ascii="Times New Roman" w:hAnsi="Times New Roman" w:cs="Times New Roman"/>
        </w:rPr>
        <w:t>s Commissioner for Wales and the Future Generations Commissioner collaborate to prioriti</w:t>
      </w:r>
      <w:r>
        <w:rPr>
          <w:rFonts w:ascii="Times New Roman" w:hAnsi="Times New Roman" w:cs="Times New Roman"/>
        </w:rPr>
        <w:t>s</w:t>
      </w:r>
      <w:r w:rsidRPr="00B401B7">
        <w:rPr>
          <w:rFonts w:ascii="Times New Roman" w:hAnsi="Times New Roman" w:cs="Times New Roman"/>
        </w:rPr>
        <w:t>e the rights and needs of children and young people in public service planning and ensure compliance with the Act. The Future Generations Commissioner focuses on long-term wellbeing, while the Children</w:t>
      </w:r>
      <w:r>
        <w:rPr>
          <w:rFonts w:ascii="Times New Roman" w:hAnsi="Times New Roman" w:cs="Times New Roman"/>
        </w:rPr>
        <w:t>'</w:t>
      </w:r>
      <w:r w:rsidRPr="00B401B7">
        <w:rPr>
          <w:rFonts w:ascii="Times New Roman" w:hAnsi="Times New Roman" w:cs="Times New Roman"/>
        </w:rPr>
        <w:t xml:space="preserve">s Commissioner safeguards youth rights, holds public bodies accountable, fosters collaboration, and shapes policies (Holland </w:t>
      </w:r>
      <w:r w:rsidRPr="00B401B7">
        <w:rPr>
          <w:rFonts w:ascii="Times New Roman" w:hAnsi="Times New Roman" w:cs="Times New Roman"/>
          <w:i/>
          <w:iCs/>
        </w:rPr>
        <w:t>et al</w:t>
      </w:r>
      <w:r w:rsidRPr="00B401B7">
        <w:rPr>
          <w:rFonts w:ascii="Times New Roman" w:hAnsi="Times New Roman" w:cs="Times New Roman"/>
        </w:rPr>
        <w:t>., 2021).</w:t>
      </w:r>
    </w:p>
    <w:p w14:paraId="366609A4" w14:textId="4978004D" w:rsidR="00F80C37" w:rsidRPr="00B401B7" w:rsidRDefault="00F80C37" w:rsidP="00F80C37">
      <w:pPr>
        <w:spacing w:before="240" w:after="100" w:afterAutospacing="1" w:line="360" w:lineRule="auto"/>
        <w:jc w:val="both"/>
        <w:rPr>
          <w:rFonts w:ascii="Times New Roman" w:hAnsi="Times New Roman" w:cs="Times New Roman"/>
        </w:rPr>
      </w:pPr>
      <w:r>
        <w:rPr>
          <w:rFonts w:ascii="Times New Roman" w:hAnsi="Times New Roman" w:cs="Times New Roman"/>
        </w:rPr>
        <w:t xml:space="preserve">       </w:t>
      </w:r>
      <w:r w:rsidRPr="00B401B7">
        <w:rPr>
          <w:rFonts w:ascii="Times New Roman" w:hAnsi="Times New Roman" w:cs="Times New Roman"/>
        </w:rPr>
        <w:t xml:space="preserve">While the Act is ambitious, it faces implementation challenges due to limited funding and staffing, which hinder long-term planning. A lack of reliable data on children's wellbeing, especially those under 16, restricts evaluation. Additionally, cultural </w:t>
      </w:r>
      <w:proofErr w:type="gramStart"/>
      <w:r w:rsidRPr="00B401B7">
        <w:rPr>
          <w:rFonts w:ascii="Times New Roman" w:hAnsi="Times New Roman" w:cs="Times New Roman"/>
        </w:rPr>
        <w:t>barriers,  a</w:t>
      </w:r>
      <w:proofErr w:type="gramEnd"/>
      <w:r w:rsidRPr="00B401B7">
        <w:rPr>
          <w:rFonts w:ascii="Times New Roman" w:hAnsi="Times New Roman" w:cs="Times New Roman"/>
        </w:rPr>
        <w:t xml:space="preserve"> focus on short-term outcomes and weak accountability make it challenging to prioritise children</w:t>
      </w:r>
      <w:r>
        <w:rPr>
          <w:rFonts w:ascii="Times New Roman" w:hAnsi="Times New Roman" w:cs="Times New Roman"/>
        </w:rPr>
        <w:t>'</w:t>
      </w:r>
      <w:r w:rsidRPr="00B401B7">
        <w:rPr>
          <w:rFonts w:ascii="Times New Roman" w:hAnsi="Times New Roman" w:cs="Times New Roman"/>
        </w:rPr>
        <w:t xml:space="preserve">s rights in public services (Holland </w:t>
      </w:r>
      <w:r w:rsidRPr="004677D9">
        <w:rPr>
          <w:rFonts w:ascii="Times New Roman" w:hAnsi="Times New Roman" w:cs="Times New Roman"/>
          <w:i/>
          <w:iCs/>
        </w:rPr>
        <w:t>et al</w:t>
      </w:r>
      <w:r w:rsidRPr="00B401B7">
        <w:rPr>
          <w:rFonts w:ascii="Times New Roman" w:hAnsi="Times New Roman" w:cs="Times New Roman"/>
        </w:rPr>
        <w:t>., 2021).</w:t>
      </w:r>
    </w:p>
    <w:p w14:paraId="038CB378" w14:textId="0B3F397E" w:rsidR="00F80C37" w:rsidRPr="00F80C37" w:rsidRDefault="0014659C" w:rsidP="00F80C37">
      <w:pPr>
        <w:spacing w:before="240" w:after="100" w:afterAutospacing="1" w:line="360" w:lineRule="auto"/>
        <w:jc w:val="both"/>
        <w:rPr>
          <w:rFonts w:ascii="Times New Roman" w:eastAsia="Times New Roman" w:hAnsi="Times New Roman" w:cs="Times New Roman"/>
          <w:kern w:val="0"/>
          <w:lang w:eastAsia="en-GB"/>
          <w14:ligatures w14:val="none"/>
        </w:rPr>
      </w:pPr>
      <w:r>
        <w:rPr>
          <w:rFonts w:ascii="Times New Roman" w:hAnsi="Times New Roman" w:cs="Times New Roman"/>
          <w:noProof/>
        </w:rPr>
        <w:lastRenderedPageBreak/>
        <w:drawing>
          <wp:anchor distT="0" distB="0" distL="114300" distR="114300" simplePos="0" relativeHeight="251698176" behindDoc="0" locked="0" layoutInCell="1" allowOverlap="1" wp14:anchorId="036113D9" wp14:editId="453599FD">
            <wp:simplePos x="0" y="0"/>
            <wp:positionH relativeFrom="margin">
              <wp:posOffset>190600</wp:posOffset>
            </wp:positionH>
            <wp:positionV relativeFrom="paragraph">
              <wp:posOffset>1131721</wp:posOffset>
            </wp:positionV>
            <wp:extent cx="1990090" cy="1933575"/>
            <wp:effectExtent l="0" t="0" r="0" b="9525"/>
            <wp:wrapSquare wrapText="bothSides"/>
            <wp:docPr id="1330959321" name="Picture 13" descr="A hand print made out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959321" name="Picture 13" descr="A hand print made out of words&#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990090" cy="1933575"/>
                    </a:xfrm>
                    <a:prstGeom prst="rect">
                      <a:avLst/>
                    </a:prstGeom>
                    <a:noFill/>
                    <a:ln>
                      <a:noFill/>
                    </a:ln>
                  </pic:spPr>
                </pic:pic>
              </a:graphicData>
            </a:graphic>
            <wp14:sizeRelH relativeFrom="margin">
              <wp14:pctWidth>0</wp14:pctWidth>
            </wp14:sizeRelH>
            <wp14:sizeRelV relativeFrom="margin">
              <wp14:pctHeight>0</wp14:pctHeight>
            </wp14:sizeRelV>
          </wp:anchor>
        </w:drawing>
      </w:r>
      <w:bookmarkStart w:id="6" w:name="_Toc197532654"/>
      <w:r w:rsidR="00F80C37" w:rsidRPr="003C7B19">
        <w:rPr>
          <w:rStyle w:val="Heading2Char"/>
        </w:rPr>
        <w:t>The Children (Abolition of Defence of Reasonable Punishment) (Wales) Act 2020</w:t>
      </w:r>
      <w:bookmarkEnd w:id="6"/>
      <w:r w:rsidR="00F80C37" w:rsidRPr="00F80C37">
        <w:rPr>
          <w:rFonts w:ascii="Times New Roman" w:eastAsia="Times New Roman" w:hAnsi="Times New Roman" w:cs="Times New Roman"/>
          <w:i/>
          <w:iCs/>
          <w:kern w:val="0"/>
          <w:lang w:eastAsia="en-GB"/>
          <w14:ligatures w14:val="none"/>
        </w:rPr>
        <w:t xml:space="preserve"> </w:t>
      </w:r>
      <w:r w:rsidR="00F80C37" w:rsidRPr="00F80C37">
        <w:rPr>
          <w:rFonts w:ascii="Times New Roman" w:eastAsia="Times New Roman" w:hAnsi="Times New Roman" w:cs="Times New Roman"/>
          <w:kern w:val="0"/>
          <w:lang w:eastAsia="en-GB"/>
          <w14:ligatures w14:val="none"/>
        </w:rPr>
        <w:t xml:space="preserve">represents a significant advancement in child protection by prohibiting all forms of physical discipline. This law aligns with the </w:t>
      </w:r>
      <w:r w:rsidR="00F80C37" w:rsidRPr="000C75AC">
        <w:rPr>
          <w:rFonts w:ascii="Times New Roman" w:eastAsia="Times New Roman" w:hAnsi="Times New Roman" w:cs="Times New Roman"/>
          <w:i/>
          <w:iCs/>
          <w:kern w:val="0"/>
          <w:lang w:eastAsia="en-GB"/>
          <w14:ligatures w14:val="none"/>
        </w:rPr>
        <w:t>UNCRC's</w:t>
      </w:r>
      <w:r w:rsidR="00F80C37" w:rsidRPr="00F80C37">
        <w:rPr>
          <w:rFonts w:ascii="Times New Roman" w:eastAsia="Times New Roman" w:hAnsi="Times New Roman" w:cs="Times New Roman"/>
          <w:kern w:val="0"/>
          <w:lang w:eastAsia="en-GB"/>
          <w14:ligatures w14:val="none"/>
        </w:rPr>
        <w:t xml:space="preserve"> emphasis on children's rights, particularly Article 19, which focuses on "protection from violence, abuse, and neglect" (The United Nations, 1989), involving services such as social care, schools, and parenting support that promote nurturing discipline (Welsh Government, 2020</w:t>
      </w:r>
      <w:r w:rsidR="004759FB">
        <w:rPr>
          <w:rFonts w:ascii="Times New Roman" w:eastAsia="Times New Roman" w:hAnsi="Times New Roman" w:cs="Times New Roman"/>
          <w:kern w:val="0"/>
          <w:lang w:eastAsia="en-GB"/>
          <w14:ligatures w14:val="none"/>
        </w:rPr>
        <w:t>a</w:t>
      </w:r>
      <w:r w:rsidR="00F80C37" w:rsidRPr="00F80C37">
        <w:rPr>
          <w:rFonts w:ascii="Times New Roman" w:eastAsia="Times New Roman" w:hAnsi="Times New Roman" w:cs="Times New Roman"/>
          <w:kern w:val="0"/>
          <w:lang w:eastAsia="en-GB"/>
          <w14:ligatures w14:val="none"/>
        </w:rPr>
        <w:t>).</w:t>
      </w:r>
      <w:r w:rsidR="00B84E6D">
        <w:rPr>
          <w:rFonts w:ascii="Times New Roman" w:eastAsia="Times New Roman" w:hAnsi="Times New Roman" w:cs="Times New Roman"/>
          <w:kern w:val="0"/>
          <w:lang w:eastAsia="en-GB"/>
          <w14:ligatures w14:val="none"/>
        </w:rPr>
        <w:t xml:space="preserve"> </w:t>
      </w:r>
    </w:p>
    <w:p w14:paraId="47CDC2BB" w14:textId="0AEE366D" w:rsidR="00F80C37" w:rsidRPr="00B401B7" w:rsidRDefault="0014659C" w:rsidP="00F80C37">
      <w:pPr>
        <w:spacing w:before="240" w:after="100" w:afterAutospacing="1"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mc:AlternateContent>
          <mc:Choice Requires="wps">
            <w:drawing>
              <wp:anchor distT="0" distB="0" distL="114300" distR="114300" simplePos="0" relativeHeight="251699200" behindDoc="0" locked="0" layoutInCell="1" allowOverlap="1" wp14:anchorId="64AE077B" wp14:editId="34615CDF">
                <wp:simplePos x="0" y="0"/>
                <wp:positionH relativeFrom="margin">
                  <wp:posOffset>302288</wp:posOffset>
                </wp:positionH>
                <wp:positionV relativeFrom="paragraph">
                  <wp:posOffset>574739</wp:posOffset>
                </wp:positionV>
                <wp:extent cx="1848535" cy="276293"/>
                <wp:effectExtent l="0" t="0" r="18415" b="28575"/>
                <wp:wrapSquare wrapText="bothSides"/>
                <wp:docPr id="1937161247" name="Rectangle 14"/>
                <wp:cNvGraphicFramePr/>
                <a:graphic xmlns:a="http://schemas.openxmlformats.org/drawingml/2006/main">
                  <a:graphicData uri="http://schemas.microsoft.com/office/word/2010/wordprocessingShape">
                    <wps:wsp>
                      <wps:cNvSpPr/>
                      <wps:spPr>
                        <a:xfrm>
                          <a:off x="0" y="0"/>
                          <a:ext cx="1848535" cy="276293"/>
                        </a:xfrm>
                        <a:prstGeom prst="rect">
                          <a:avLst/>
                        </a:prstGeom>
                        <a:ln w="3175"/>
                      </wps:spPr>
                      <wps:style>
                        <a:lnRef idx="2">
                          <a:schemeClr val="dk1"/>
                        </a:lnRef>
                        <a:fillRef idx="1">
                          <a:schemeClr val="lt1"/>
                        </a:fillRef>
                        <a:effectRef idx="0">
                          <a:schemeClr val="dk1"/>
                        </a:effectRef>
                        <a:fontRef idx="minor">
                          <a:schemeClr val="dk1"/>
                        </a:fontRef>
                      </wps:style>
                      <wps:txbx>
                        <w:txbxContent>
                          <w:p w14:paraId="24C6CC12" w14:textId="47AEDC6F" w:rsidR="00B84E6D" w:rsidRPr="006F03B1" w:rsidRDefault="00B84E6D" w:rsidP="00B84E6D">
                            <w:pPr>
                              <w:jc w:val="center"/>
                              <w:rPr>
                                <w:rFonts w:ascii="Times New Roman" w:hAnsi="Times New Roman" w:cs="Times New Roman"/>
                              </w:rPr>
                            </w:pPr>
                            <w:r w:rsidRPr="006F03B1">
                              <w:rPr>
                                <w:rFonts w:ascii="Times New Roman" w:hAnsi="Times New Roman" w:cs="Times New Roman"/>
                              </w:rPr>
                              <w:t>Butterflies Therapy (2019</w:t>
                            </w:r>
                            <w:r w:rsidR="006F03B1" w:rsidRPr="006F03B1">
                              <w:rPr>
                                <w:rFonts w:ascii="Times New Roman" w:hAnsi="Times New Roman" w:cs="Times New Roman"/>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AE077B" id="Rectangle 14" o:spid="_x0000_s1042" style="position:absolute;left:0;text-align:left;margin-left:23.8pt;margin-top:45.25pt;width:145.55pt;height:21.75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" fillcolor="white [3201]" strokecolor="black [3200]" strokeweight=".25pt">
                <v:textbox>
                  <w:txbxContent>
                    <w:p w14:paraId="24C6CC12" w14:textId="47AEDC6F" w:rsidR="00B84E6D" w:rsidRPr="006F03B1" w:rsidRDefault="00B84E6D" w:rsidP="00B84E6D">
                      <w:pPr>
                        <w:jc w:val="center"/>
                        <w:rPr>
                          <w:rFonts w:ascii="Times New Roman" w:hAnsi="Times New Roman" w:cs="Times New Roman"/>
                        </w:rPr>
                      </w:pPr>
                      <w:r w:rsidRPr="006F03B1">
                        <w:rPr>
                          <w:rFonts w:ascii="Times New Roman" w:hAnsi="Times New Roman" w:cs="Times New Roman"/>
                        </w:rPr>
                        <w:t>Butterflies Therapy (2019</w:t>
                      </w:r>
                      <w:r w:rsidR="006F03B1" w:rsidRPr="006F03B1">
                        <w:rPr>
                          <w:rFonts w:ascii="Times New Roman" w:hAnsi="Times New Roman" w:cs="Times New Roman"/>
                        </w:rPr>
                        <w:t>)</w:t>
                      </w:r>
                    </w:p>
                  </w:txbxContent>
                </v:textbox>
                <w10:wrap type="square" anchorx="margin"/>
              </v:rect>
            </w:pict>
          </mc:Fallback>
        </mc:AlternateContent>
      </w:r>
      <w:r w:rsidR="00F80C37">
        <w:rPr>
          <w:rFonts w:ascii="Times New Roman" w:eastAsia="Times New Roman" w:hAnsi="Times New Roman" w:cs="Times New Roman"/>
          <w:kern w:val="0"/>
          <w:lang w:eastAsia="en-GB"/>
          <w14:ligatures w14:val="none"/>
        </w:rPr>
        <w:t xml:space="preserve">       </w:t>
      </w:r>
      <w:r w:rsidR="00F80C37" w:rsidRPr="00B401B7">
        <w:rPr>
          <w:rFonts w:ascii="Times New Roman" w:eastAsia="Times New Roman" w:hAnsi="Times New Roman" w:cs="Times New Roman"/>
          <w:kern w:val="0"/>
          <w:lang w:eastAsia="en-GB"/>
          <w14:ligatures w14:val="none"/>
        </w:rPr>
        <w:t>The Act reflects Bowlby</w:t>
      </w:r>
      <w:r w:rsidR="00F80C37">
        <w:rPr>
          <w:rFonts w:ascii="Times New Roman" w:eastAsia="Times New Roman" w:hAnsi="Times New Roman" w:cs="Times New Roman"/>
          <w:kern w:val="0"/>
          <w:lang w:eastAsia="en-GB"/>
          <w14:ligatures w14:val="none"/>
        </w:rPr>
        <w:t>'</w:t>
      </w:r>
      <w:r w:rsidR="00F80C37" w:rsidRPr="00B401B7">
        <w:rPr>
          <w:rFonts w:ascii="Times New Roman" w:eastAsia="Times New Roman" w:hAnsi="Times New Roman" w:cs="Times New Roman"/>
          <w:kern w:val="0"/>
          <w:lang w:eastAsia="en-GB"/>
          <w14:ligatures w14:val="none"/>
        </w:rPr>
        <w:t>s (1982) Attachment Theory, underlining the importance of a strong emotional bond between a child and their caregiver. Thus, consistent, loving care fosters secure attachments essential for emotional and social development. In contrast, fear-based discipline is harmful, and by banning physical punishment, the law promotes non-violent parenting, helping caregivers build safe, respectful relationships that nurture children</w:t>
      </w:r>
      <w:r w:rsidR="00F80C37">
        <w:rPr>
          <w:rFonts w:ascii="Times New Roman" w:eastAsia="Times New Roman" w:hAnsi="Times New Roman" w:cs="Times New Roman"/>
          <w:kern w:val="0"/>
          <w:lang w:eastAsia="en-GB"/>
          <w14:ligatures w14:val="none"/>
        </w:rPr>
        <w:t>'</w:t>
      </w:r>
      <w:r w:rsidR="00F80C37" w:rsidRPr="00B401B7">
        <w:rPr>
          <w:rFonts w:ascii="Times New Roman" w:eastAsia="Times New Roman" w:hAnsi="Times New Roman" w:cs="Times New Roman"/>
          <w:kern w:val="0"/>
          <w:lang w:eastAsia="en-GB"/>
          <w14:ligatures w14:val="none"/>
        </w:rPr>
        <w:t>s self-worth.</w:t>
      </w:r>
    </w:p>
    <w:p w14:paraId="3BB46C5B" w14:textId="77777777" w:rsidR="00F80C37" w:rsidRPr="00B401B7" w:rsidRDefault="00F80C37" w:rsidP="00F80C37">
      <w:pPr>
        <w:spacing w:before="240" w:after="100" w:afterAutospacing="1"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Pr="00B401B7">
        <w:rPr>
          <w:rFonts w:ascii="Times New Roman" w:eastAsia="Times New Roman" w:hAnsi="Times New Roman" w:cs="Times New Roman"/>
          <w:kern w:val="0"/>
          <w:lang w:eastAsia="en-GB"/>
          <w14:ligatures w14:val="none"/>
        </w:rPr>
        <w:t xml:space="preserve">While the legislation </w:t>
      </w:r>
      <w:r>
        <w:rPr>
          <w:rFonts w:ascii="Times New Roman" w:eastAsia="Times New Roman" w:hAnsi="Times New Roman" w:cs="Times New Roman"/>
          <w:kern w:val="0"/>
          <w:lang w:eastAsia="en-GB"/>
          <w14:ligatures w14:val="none"/>
        </w:rPr>
        <w:t>is committed</w:t>
      </w:r>
      <w:r w:rsidRPr="00B401B7">
        <w:rPr>
          <w:rFonts w:ascii="Times New Roman" w:eastAsia="Times New Roman" w:hAnsi="Times New Roman" w:cs="Times New Roman"/>
          <w:kern w:val="0"/>
          <w:lang w:eastAsia="en-GB"/>
          <w14:ligatures w14:val="none"/>
        </w:rPr>
        <w:t xml:space="preserve"> to child protection, challenges remain in adequately training professionals to recognise </w:t>
      </w:r>
      <w:r>
        <w:rPr>
          <w:rFonts w:ascii="Times New Roman" w:eastAsia="Times New Roman" w:hAnsi="Times New Roman" w:cs="Times New Roman"/>
          <w:kern w:val="0"/>
          <w:lang w:eastAsia="en-GB"/>
          <w14:ligatures w14:val="none"/>
        </w:rPr>
        <w:t xml:space="preserve">the </w:t>
      </w:r>
      <w:r w:rsidRPr="00B401B7">
        <w:rPr>
          <w:rFonts w:ascii="Times New Roman" w:eastAsia="Times New Roman" w:hAnsi="Times New Roman" w:cs="Times New Roman"/>
          <w:kern w:val="0"/>
          <w:lang w:eastAsia="en-GB"/>
          <w14:ligatures w14:val="none"/>
        </w:rPr>
        <w:t>harm and understand the law. Cultural differences in physical discipline require delicate dialogue</w:t>
      </w:r>
      <w:r>
        <w:rPr>
          <w:rFonts w:ascii="Times New Roman" w:eastAsia="Times New Roman" w:hAnsi="Times New Roman" w:cs="Times New Roman"/>
          <w:kern w:val="0"/>
          <w:lang w:eastAsia="en-GB"/>
          <w14:ligatures w14:val="none"/>
        </w:rPr>
        <w:t>; not</w:t>
      </w:r>
      <w:r w:rsidRPr="00B401B7">
        <w:rPr>
          <w:rFonts w:ascii="Times New Roman" w:eastAsia="Times New Roman" w:hAnsi="Times New Roman" w:cs="Times New Roman"/>
          <w:kern w:val="0"/>
          <w:lang w:eastAsia="en-GB"/>
          <w14:ligatures w14:val="none"/>
        </w:rPr>
        <w:t xml:space="preserve"> every professional is equipped for this challenge. </w:t>
      </w:r>
      <w:r>
        <w:rPr>
          <w:rFonts w:ascii="Times New Roman" w:eastAsia="Times New Roman" w:hAnsi="Times New Roman" w:cs="Times New Roman"/>
          <w:kern w:val="0"/>
          <w:lang w:eastAsia="en-GB"/>
          <w14:ligatures w14:val="none"/>
        </w:rPr>
        <w:t xml:space="preserve">  </w:t>
      </w:r>
      <w:r w:rsidRPr="00B401B7">
        <w:rPr>
          <w:rFonts w:ascii="Times New Roman" w:eastAsia="Times New Roman" w:hAnsi="Times New Roman" w:cs="Times New Roman"/>
          <w:kern w:val="0"/>
          <w:lang w:eastAsia="en-GB"/>
          <w14:ligatures w14:val="none"/>
        </w:rPr>
        <w:t>Additionally, concerns about criminalisation vary by region, necessitating a unified approach among agencies (Wales Safeguarding Procedures, 2022).</w:t>
      </w:r>
    </w:p>
    <w:p w14:paraId="13ADB288" w14:textId="01904D4D" w:rsidR="00F80C37" w:rsidRDefault="00F80C37" w:rsidP="00F80C37">
      <w:pPr>
        <w:spacing w:before="240" w:after="100" w:afterAutospacing="1"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Pr="00B401B7">
        <w:rPr>
          <w:rFonts w:ascii="Times New Roman" w:eastAsia="Times New Roman" w:hAnsi="Times New Roman" w:cs="Times New Roman"/>
          <w:kern w:val="0"/>
          <w:lang w:eastAsia="en-GB"/>
          <w14:ligatures w14:val="none"/>
        </w:rPr>
        <w:t xml:space="preserve">Since its implementation in March 2022, the Act has notably enhanced child safeguarding in Wales. The Welsh Government reported </w:t>
      </w:r>
      <w:r w:rsidR="004759FB">
        <w:rPr>
          <w:rFonts w:ascii="Times New Roman" w:eastAsia="Times New Roman" w:hAnsi="Times New Roman" w:cs="Times New Roman"/>
          <w:kern w:val="0"/>
          <w:lang w:eastAsia="en-GB"/>
          <w14:ligatures w14:val="none"/>
        </w:rPr>
        <w:t>supporting 130 families through the Out-of-Court Parenting Support Grant, which has significantly improved</w:t>
      </w:r>
      <w:r w:rsidRPr="00B401B7">
        <w:rPr>
          <w:rFonts w:ascii="Times New Roman" w:eastAsia="Times New Roman" w:hAnsi="Times New Roman" w:cs="Times New Roman"/>
          <w:kern w:val="0"/>
          <w:lang w:eastAsia="en-GB"/>
          <w14:ligatures w14:val="none"/>
        </w:rPr>
        <w:t xml:space="preserve"> parenting confidence and child behaviour (Welsh Government, 2024b). These outcomes suggest that the Act </w:t>
      </w:r>
      <w:r>
        <w:rPr>
          <w:rFonts w:ascii="Times New Roman" w:eastAsia="Times New Roman" w:hAnsi="Times New Roman" w:cs="Times New Roman"/>
          <w:kern w:val="0"/>
          <w:lang w:eastAsia="en-GB"/>
          <w14:ligatures w14:val="none"/>
        </w:rPr>
        <w:t>effectively safeguards children and promotes</w:t>
      </w:r>
      <w:r w:rsidRPr="00B401B7">
        <w:rPr>
          <w:rFonts w:ascii="Times New Roman" w:eastAsia="Times New Roman" w:hAnsi="Times New Roman" w:cs="Times New Roman"/>
          <w:kern w:val="0"/>
          <w:lang w:eastAsia="en-GB"/>
          <w14:ligatures w14:val="none"/>
        </w:rPr>
        <w:t xml:space="preserve"> positive parenting.</w:t>
      </w:r>
    </w:p>
    <w:p w14:paraId="7D2184F5" w14:textId="69D89401" w:rsidR="00B3157E" w:rsidRDefault="004677D9" w:rsidP="004677D9">
      <w:pPr>
        <w:pStyle w:val="Heading1"/>
        <w:jc w:val="center"/>
        <w:rPr>
          <w:rFonts w:eastAsia="Times New Roman"/>
          <w:lang w:eastAsia="en-GB"/>
        </w:rPr>
      </w:pPr>
      <w:bookmarkStart w:id="7" w:name="_Toc197532655"/>
      <w:r>
        <w:rPr>
          <w:rFonts w:eastAsia="Times New Roman"/>
          <w:lang w:eastAsia="en-GB"/>
        </w:rPr>
        <w:lastRenderedPageBreak/>
        <w:t>Blogs about the rights of children and youth.</w:t>
      </w:r>
      <w:bookmarkEnd w:id="7"/>
    </w:p>
    <w:p w14:paraId="2D34D5B6" w14:textId="1EE61E34" w:rsidR="003940F0" w:rsidRPr="00DC7A4E" w:rsidRDefault="003940F0" w:rsidP="001B00E7">
      <w:pPr>
        <w:pStyle w:val="Heading3"/>
        <w:rPr>
          <w:rFonts w:eastAsia="Times New Roman"/>
          <w:lang w:eastAsia="en-GB"/>
        </w:rPr>
      </w:pPr>
      <w:bookmarkStart w:id="8" w:name="_Toc197532656"/>
      <w:r w:rsidRPr="00DC7A4E">
        <w:rPr>
          <w:rFonts w:eastAsia="Times New Roman"/>
          <w:lang w:eastAsia="en-GB"/>
        </w:rPr>
        <w:t>Blog 1: Article 2 – Non-Discrimination: A Foundation of Equality</w:t>
      </w:r>
      <w:bookmarkEnd w:id="8"/>
    </w:p>
    <w:p w14:paraId="471C4253" w14:textId="5C8375F3" w:rsidR="00325C12" w:rsidRDefault="001B00E7" w:rsidP="00325C12">
      <w:pPr>
        <w:spacing w:line="360" w:lineRule="auto"/>
        <w:rPr>
          <w:rFonts w:ascii="Times New Roman" w:eastAsia="Times New Roman" w:hAnsi="Times New Roman" w:cs="Times New Roman"/>
          <w:kern w:val="0"/>
          <w:lang w:eastAsia="en-GB"/>
          <w14:ligatures w14:val="none"/>
        </w:rPr>
      </w:pPr>
      <w:r w:rsidRPr="00DC7A4E">
        <w:rPr>
          <w:noProof/>
          <w:lang w:eastAsia="en-GB"/>
        </w:rPr>
        <w:drawing>
          <wp:anchor distT="0" distB="0" distL="114300" distR="114300" simplePos="0" relativeHeight="251660288" behindDoc="0" locked="0" layoutInCell="1" allowOverlap="1" wp14:anchorId="4F7C7611" wp14:editId="191571D2">
            <wp:simplePos x="0" y="0"/>
            <wp:positionH relativeFrom="margin">
              <wp:align>left</wp:align>
            </wp:positionH>
            <wp:positionV relativeFrom="paragraph">
              <wp:posOffset>7323</wp:posOffset>
            </wp:positionV>
            <wp:extent cx="1577340" cy="1539240"/>
            <wp:effectExtent l="0" t="0" r="3810" b="3810"/>
            <wp:wrapSquare wrapText="bothSides"/>
            <wp:docPr id="1477183484" name="Picture 1" descr="A sign with two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3484" name="Picture 1" descr="A sign with two people&#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1577340" cy="1539240"/>
                    </a:xfrm>
                    <a:prstGeom prst="rect">
                      <a:avLst/>
                    </a:prstGeom>
                  </pic:spPr>
                </pic:pic>
              </a:graphicData>
            </a:graphic>
            <wp14:sizeRelH relativeFrom="margin">
              <wp14:pctWidth>0</wp14:pctWidth>
            </wp14:sizeRelH>
            <wp14:sizeRelV relativeFrom="margin">
              <wp14:pctHeight>0</wp14:pctHeight>
            </wp14:sizeRelV>
          </wp:anchor>
        </w:drawing>
      </w:r>
      <w:r w:rsidR="00F108E6" w:rsidRPr="00DC7A4E">
        <w:rPr>
          <w:rFonts w:ascii="Times New Roman" w:hAnsi="Times New Roman" w:cs="Times New Roman"/>
          <w:noProof/>
        </w:rPr>
        <w:drawing>
          <wp:anchor distT="0" distB="0" distL="114300" distR="114300" simplePos="0" relativeHeight="251657216" behindDoc="0" locked="0" layoutInCell="1" allowOverlap="1" wp14:anchorId="3A8F26E5" wp14:editId="30A535B5">
            <wp:simplePos x="0" y="0"/>
            <wp:positionH relativeFrom="margin">
              <wp:posOffset>3322320</wp:posOffset>
            </wp:positionH>
            <wp:positionV relativeFrom="paragraph">
              <wp:posOffset>2482850</wp:posOffset>
            </wp:positionV>
            <wp:extent cx="2087245" cy="2012950"/>
            <wp:effectExtent l="0" t="0" r="8255" b="6350"/>
            <wp:wrapSquare wrapText="bothSides"/>
            <wp:docPr id="932791186"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791186" name="Picture 1">
                      <a:extLst>
                        <a:ext uri="{C183D7F6-B498-43B3-948B-1728B52AA6E4}">
                          <adec:decorative xmlns:adec="http://schemas.microsoft.com/office/drawing/2017/decorative" val="1"/>
                        </a:ext>
                      </a:extLst>
                    </pic:cNvPr>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087245" cy="2012950"/>
                    </a:xfrm>
                    <a:prstGeom prst="rect">
                      <a:avLst/>
                    </a:prstGeom>
                    <a:noFill/>
                    <a:ln>
                      <a:noFill/>
                    </a:ln>
                  </pic:spPr>
                </pic:pic>
              </a:graphicData>
            </a:graphic>
          </wp:anchor>
        </w:drawing>
      </w:r>
      <w:r w:rsidR="00A136C0" w:rsidRPr="00DC7A4E">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3786C32D" wp14:editId="66BC4520">
                <wp:simplePos x="0" y="0"/>
                <wp:positionH relativeFrom="margin">
                  <wp:posOffset>7620</wp:posOffset>
                </wp:positionH>
                <wp:positionV relativeFrom="paragraph">
                  <wp:posOffset>1370330</wp:posOffset>
                </wp:positionV>
                <wp:extent cx="1531620" cy="274320"/>
                <wp:effectExtent l="0" t="0" r="0" b="0"/>
                <wp:wrapSquare wrapText="bothSides"/>
                <wp:docPr id="2049689452" name="Text Box 1"/>
                <wp:cNvGraphicFramePr/>
                <a:graphic xmlns:a="http://schemas.openxmlformats.org/drawingml/2006/main">
                  <a:graphicData uri="http://schemas.microsoft.com/office/word/2010/wordprocessingShape">
                    <wps:wsp>
                      <wps:cNvSpPr txBox="1"/>
                      <wps:spPr>
                        <a:xfrm>
                          <a:off x="0" y="0"/>
                          <a:ext cx="1531620" cy="274320"/>
                        </a:xfrm>
                        <a:prstGeom prst="rect">
                          <a:avLst/>
                        </a:prstGeom>
                        <a:solidFill>
                          <a:prstClr val="white"/>
                        </a:solidFill>
                        <a:ln>
                          <a:noFill/>
                        </a:ln>
                      </wps:spPr>
                      <wps:txbx>
                        <w:txbxContent>
                          <w:p w14:paraId="211CF7A5" w14:textId="2381FAEA" w:rsidR="00A136C0" w:rsidRPr="00F65244" w:rsidRDefault="0008177F" w:rsidP="00320074">
                            <w:pPr>
                              <w:pStyle w:val="Caption"/>
                              <w:jc w:val="center"/>
                              <w:rPr>
                                <w:noProof/>
                              </w:rPr>
                            </w:pPr>
                            <w:r>
                              <w:t>U</w:t>
                            </w:r>
                            <w:r w:rsidR="0068112E">
                              <w:t xml:space="preserve">NCRC </w:t>
                            </w:r>
                            <w:r w:rsidR="00A136C0">
                              <w:t xml:space="preserve">Article </w:t>
                            </w:r>
                            <w:proofErr w:type="gramStart"/>
                            <w:r w:rsidR="00A136C0">
                              <w:t>2</w:t>
                            </w:r>
                            <w:r w:rsidR="00320074">
                              <w:t xml:space="preserve"> </w:t>
                            </w:r>
                            <w:r w:rsidR="00A136C0">
                              <w:t xml:space="preserve"> (</w:t>
                            </w:r>
                            <w:proofErr w:type="gramEnd"/>
                            <w:r w:rsidR="00320074">
                              <w:t>UNICEF</w:t>
                            </w:r>
                            <w:r w:rsidR="00A136C0">
                              <w:t>, 20</w:t>
                            </w:r>
                            <w:r>
                              <w:t>19</w:t>
                            </w:r>
                            <w:r w:rsidR="00A136C0">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86C32D" id="Text Box 1" o:spid="_x0000_s1043" type="#_x0000_t202" style="position:absolute;margin-left:.6pt;margin-top:107.9pt;width:120.6pt;height:21.6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" stroked="f">
                <v:textbox inset="0,0,0,0">
                  <w:txbxContent>
                    <w:p w14:paraId="211CF7A5" w14:textId="2381FAEA" w:rsidR="00A136C0" w:rsidRPr="00F65244" w:rsidRDefault="0008177F" w:rsidP="00320074">
                      <w:pPr>
                        <w:pStyle w:val="Caption"/>
                        <w:jc w:val="center"/>
                        <w:rPr>
                          <w:noProof/>
                        </w:rPr>
                      </w:pPr>
                      <w:r>
                        <w:t>U</w:t>
                      </w:r>
                      <w:r w:rsidR="0068112E">
                        <w:t xml:space="preserve">NCRC </w:t>
                      </w:r>
                      <w:r w:rsidR="00A136C0">
                        <w:t xml:space="preserve">Article </w:t>
                      </w:r>
                      <w:proofErr w:type="gramStart"/>
                      <w:r w:rsidR="00A136C0">
                        <w:t>2</w:t>
                      </w:r>
                      <w:r w:rsidR="00320074">
                        <w:t xml:space="preserve"> </w:t>
                      </w:r>
                      <w:r w:rsidR="00A136C0">
                        <w:t xml:space="preserve"> (</w:t>
                      </w:r>
                      <w:proofErr w:type="gramEnd"/>
                      <w:r w:rsidR="00320074">
                        <w:t>UNICEF</w:t>
                      </w:r>
                      <w:r w:rsidR="00A136C0">
                        <w:t>, 20</w:t>
                      </w:r>
                      <w:r>
                        <w:t>19</w:t>
                      </w:r>
                      <w:r w:rsidR="00A136C0">
                        <w:t>)</w:t>
                      </w:r>
                    </w:p>
                  </w:txbxContent>
                </v:textbox>
                <w10:wrap type="square" anchorx="margin"/>
              </v:shape>
            </w:pict>
          </mc:Fallback>
        </mc:AlternateContent>
      </w:r>
      <w:r w:rsidR="00783DE6" w:rsidRPr="00DC7A4E">
        <w:rPr>
          <w:rFonts w:ascii="Times New Roman" w:eastAsia="Times New Roman" w:hAnsi="Times New Roman" w:cs="Times New Roman"/>
          <w:kern w:val="0"/>
          <w:lang w:eastAsia="en-GB"/>
          <w14:ligatures w14:val="none"/>
        </w:rPr>
        <w:t xml:space="preserve">      </w:t>
      </w:r>
      <w:r w:rsidR="00944DDC">
        <w:rPr>
          <w:rFonts w:ascii="Times New Roman" w:eastAsia="Times New Roman" w:hAnsi="Times New Roman" w:cs="Times New Roman"/>
          <w:kern w:val="0"/>
          <w:lang w:eastAsia="en-GB"/>
          <w14:ligatures w14:val="none"/>
        </w:rPr>
        <w:t xml:space="preserve">Article 2 of </w:t>
      </w:r>
      <w:r w:rsidR="00944DDC" w:rsidRPr="00EF061B">
        <w:rPr>
          <w:rFonts w:ascii="Times New Roman" w:eastAsia="Times New Roman" w:hAnsi="Times New Roman" w:cs="Times New Roman"/>
          <w:i/>
          <w:iCs/>
          <w:kern w:val="0"/>
          <w:lang w:eastAsia="en-GB"/>
          <w14:ligatures w14:val="none"/>
        </w:rPr>
        <w:t>the U</w:t>
      </w:r>
      <w:r w:rsidR="009D499F" w:rsidRPr="00EF061B">
        <w:rPr>
          <w:rFonts w:ascii="Times New Roman" w:eastAsia="Times New Roman" w:hAnsi="Times New Roman" w:cs="Times New Roman"/>
          <w:i/>
          <w:iCs/>
          <w:kern w:val="0"/>
          <w:lang w:eastAsia="en-GB"/>
          <w14:ligatures w14:val="none"/>
        </w:rPr>
        <w:t xml:space="preserve">nited </w:t>
      </w:r>
      <w:r w:rsidR="00944DDC" w:rsidRPr="00EF061B">
        <w:rPr>
          <w:rFonts w:ascii="Times New Roman" w:eastAsia="Times New Roman" w:hAnsi="Times New Roman" w:cs="Times New Roman"/>
          <w:i/>
          <w:iCs/>
          <w:kern w:val="0"/>
          <w:lang w:eastAsia="en-GB"/>
          <w14:ligatures w14:val="none"/>
        </w:rPr>
        <w:t>N</w:t>
      </w:r>
      <w:r w:rsidR="009D499F" w:rsidRPr="00EF061B">
        <w:rPr>
          <w:rFonts w:ascii="Times New Roman" w:eastAsia="Times New Roman" w:hAnsi="Times New Roman" w:cs="Times New Roman"/>
          <w:i/>
          <w:iCs/>
          <w:kern w:val="0"/>
          <w:lang w:eastAsia="en-GB"/>
          <w14:ligatures w14:val="none"/>
        </w:rPr>
        <w:t>ations</w:t>
      </w:r>
      <w:r w:rsidR="00944DDC" w:rsidRPr="00EF061B">
        <w:rPr>
          <w:rFonts w:ascii="Times New Roman" w:eastAsia="Times New Roman" w:hAnsi="Times New Roman" w:cs="Times New Roman"/>
          <w:i/>
          <w:iCs/>
          <w:kern w:val="0"/>
          <w:lang w:eastAsia="en-GB"/>
          <w14:ligatures w14:val="none"/>
        </w:rPr>
        <w:t xml:space="preserve"> Convention on the Rights of the Child (</w:t>
      </w:r>
      <w:r w:rsidR="00A1763F" w:rsidRPr="00EF061B">
        <w:rPr>
          <w:rFonts w:ascii="Times New Roman" w:eastAsia="Times New Roman" w:hAnsi="Times New Roman" w:cs="Times New Roman"/>
          <w:i/>
          <w:iCs/>
          <w:kern w:val="0"/>
          <w:lang w:eastAsia="en-GB"/>
          <w14:ligatures w14:val="none"/>
        </w:rPr>
        <w:t>UNCRC</w:t>
      </w:r>
      <w:r w:rsidR="00944DDC" w:rsidRPr="00EF061B">
        <w:rPr>
          <w:rFonts w:ascii="Times New Roman" w:eastAsia="Times New Roman" w:hAnsi="Times New Roman" w:cs="Times New Roman"/>
          <w:i/>
          <w:iCs/>
          <w:kern w:val="0"/>
          <w:lang w:eastAsia="en-GB"/>
          <w14:ligatures w14:val="none"/>
        </w:rPr>
        <w:t>)</w:t>
      </w:r>
      <w:r w:rsidR="00944DDC">
        <w:rPr>
          <w:rFonts w:ascii="Times New Roman" w:eastAsia="Times New Roman" w:hAnsi="Times New Roman" w:cs="Times New Roman"/>
          <w:kern w:val="0"/>
          <w:lang w:eastAsia="en-GB"/>
          <w14:ligatures w14:val="none"/>
        </w:rPr>
        <w:t xml:space="preserve"> establishes that all children have equal rights, influencing child welfare policies in education, communities, and healthcare across 196 nations</w:t>
      </w:r>
      <w:r w:rsidR="00A1763F">
        <w:rPr>
          <w:rFonts w:ascii="Times New Roman" w:eastAsia="Times New Roman" w:hAnsi="Times New Roman" w:cs="Times New Roman"/>
          <w:kern w:val="0"/>
          <w:lang w:eastAsia="en-GB"/>
          <w14:ligatures w14:val="none"/>
        </w:rPr>
        <w:t xml:space="preserve"> (The </w:t>
      </w:r>
      <w:r w:rsidR="00FF4F88">
        <w:rPr>
          <w:rFonts w:ascii="Times New Roman" w:eastAsia="Times New Roman" w:hAnsi="Times New Roman" w:cs="Times New Roman"/>
          <w:kern w:val="0"/>
          <w:lang w:eastAsia="en-GB"/>
          <w14:ligatures w14:val="none"/>
        </w:rPr>
        <w:t>United</w:t>
      </w:r>
      <w:r w:rsidR="00A1763F">
        <w:rPr>
          <w:rFonts w:ascii="Times New Roman" w:eastAsia="Times New Roman" w:hAnsi="Times New Roman" w:cs="Times New Roman"/>
          <w:kern w:val="0"/>
          <w:lang w:eastAsia="en-GB"/>
          <w14:ligatures w14:val="none"/>
        </w:rPr>
        <w:t xml:space="preserve"> Nations, 1989)</w:t>
      </w:r>
      <w:r w:rsidR="00944DDC">
        <w:rPr>
          <w:rFonts w:ascii="Times New Roman" w:eastAsia="Times New Roman" w:hAnsi="Times New Roman" w:cs="Times New Roman"/>
          <w:kern w:val="0"/>
          <w:lang w:eastAsia="en-GB"/>
          <w14:ligatures w14:val="none"/>
        </w:rPr>
        <w:t xml:space="preserve">. </w:t>
      </w:r>
      <w:r w:rsidR="002B0D0B">
        <w:rPr>
          <w:rFonts w:ascii="Times New Roman" w:eastAsia="Times New Roman" w:hAnsi="Times New Roman" w:cs="Times New Roman"/>
          <w:kern w:val="0"/>
          <w:lang w:eastAsia="en-GB"/>
          <w14:ligatures w14:val="none"/>
        </w:rPr>
        <w:t>T</w:t>
      </w:r>
      <w:r w:rsidR="00944DDC">
        <w:rPr>
          <w:rFonts w:ascii="Times New Roman" w:eastAsia="Times New Roman" w:hAnsi="Times New Roman" w:cs="Times New Roman"/>
          <w:kern w:val="0"/>
          <w:lang w:eastAsia="en-GB"/>
          <w14:ligatures w14:val="none"/>
        </w:rPr>
        <w:t xml:space="preserve">he UK's </w:t>
      </w:r>
      <w:r w:rsidR="00944DDC" w:rsidRPr="00A1763F">
        <w:rPr>
          <w:rFonts w:ascii="Times New Roman" w:eastAsia="Times New Roman" w:hAnsi="Times New Roman" w:cs="Times New Roman"/>
          <w:i/>
          <w:iCs/>
          <w:kern w:val="0"/>
          <w:lang w:eastAsia="en-GB"/>
          <w14:ligatures w14:val="none"/>
        </w:rPr>
        <w:t>Equality Act 2010</w:t>
      </w:r>
      <w:r w:rsidR="002B0D0B">
        <w:rPr>
          <w:rFonts w:ascii="Times New Roman" w:eastAsia="Times New Roman" w:hAnsi="Times New Roman" w:cs="Times New Roman"/>
          <w:i/>
          <w:iCs/>
          <w:kern w:val="0"/>
          <w:lang w:eastAsia="en-GB"/>
          <w14:ligatures w14:val="none"/>
        </w:rPr>
        <w:t xml:space="preserve"> </w:t>
      </w:r>
      <w:r w:rsidR="002B0D0B" w:rsidRPr="007C4765">
        <w:rPr>
          <w:rFonts w:ascii="Times New Roman" w:eastAsia="Times New Roman" w:hAnsi="Times New Roman" w:cs="Times New Roman"/>
          <w:kern w:val="0"/>
          <w:lang w:eastAsia="en-GB"/>
          <w14:ligatures w14:val="none"/>
        </w:rPr>
        <w:t xml:space="preserve">embodies </w:t>
      </w:r>
      <w:r w:rsidR="007C4765" w:rsidRPr="007C4765">
        <w:rPr>
          <w:rFonts w:ascii="Times New Roman" w:eastAsia="Times New Roman" w:hAnsi="Times New Roman" w:cs="Times New Roman"/>
          <w:kern w:val="0"/>
          <w:lang w:eastAsia="en-GB"/>
          <w14:ligatures w14:val="none"/>
        </w:rPr>
        <w:t xml:space="preserve">the </w:t>
      </w:r>
      <w:r w:rsidR="007C4765" w:rsidRPr="000C75AC">
        <w:rPr>
          <w:rFonts w:ascii="Times New Roman" w:eastAsia="Times New Roman" w:hAnsi="Times New Roman" w:cs="Times New Roman"/>
          <w:i/>
          <w:iCs/>
          <w:kern w:val="0"/>
          <w:lang w:eastAsia="en-GB"/>
          <w14:ligatures w14:val="none"/>
        </w:rPr>
        <w:t>UNCRC</w:t>
      </w:r>
      <w:r w:rsidR="007C4765" w:rsidRPr="007C4765">
        <w:rPr>
          <w:rFonts w:ascii="Times New Roman" w:eastAsia="Times New Roman" w:hAnsi="Times New Roman" w:cs="Times New Roman"/>
          <w:kern w:val="0"/>
          <w:lang w:eastAsia="en-GB"/>
          <w14:ligatures w14:val="none"/>
        </w:rPr>
        <w:t xml:space="preserve"> Article 2, prohibiting discrimination based on protected characteristics, including "age, disability, gender reassignment, marriage and civil partnership, pregnancy and maternity, race, religion or belief, sex, and sexual orientation" (UK Government, 2010)</w:t>
      </w:r>
      <w:r w:rsidR="00944DDC" w:rsidRPr="007C4765">
        <w:rPr>
          <w:rFonts w:ascii="Times New Roman" w:eastAsia="Times New Roman" w:hAnsi="Times New Roman" w:cs="Times New Roman"/>
          <w:kern w:val="0"/>
          <w:lang w:eastAsia="en-GB"/>
          <w14:ligatures w14:val="none"/>
        </w:rPr>
        <w:t>.</w:t>
      </w:r>
      <w:r w:rsidR="00FF4F88">
        <w:rPr>
          <w:rFonts w:ascii="Times New Roman" w:eastAsia="Times New Roman" w:hAnsi="Times New Roman" w:cs="Times New Roman"/>
          <w:kern w:val="0"/>
          <w:lang w:eastAsia="en-GB"/>
          <w14:ligatures w14:val="none"/>
        </w:rPr>
        <w:t xml:space="preserve"> </w:t>
      </w:r>
      <w:r w:rsidR="00325C12">
        <w:rPr>
          <w:rFonts w:ascii="Times New Roman" w:eastAsia="Times New Roman" w:hAnsi="Times New Roman" w:cs="Times New Roman"/>
          <w:kern w:val="0"/>
          <w:lang w:eastAsia="en-GB"/>
          <w14:ligatures w14:val="none"/>
        </w:rPr>
        <w:t>The Children and Families Act 2014 also promotes non-discrimination by ensuring equal access to education, health, and support services for children with special educational needs (SEND) and disabilities, focusing on inclusion and timely intervention (UK Government, 2014).</w:t>
      </w:r>
      <w:r w:rsidR="000A1EA0" w:rsidRPr="00DC7A4E">
        <w:rPr>
          <w:rFonts w:ascii="Times New Roman" w:eastAsia="Times New Roman" w:hAnsi="Times New Roman" w:cs="Times New Roman"/>
          <w:kern w:val="0"/>
          <w:lang w:eastAsia="en-GB"/>
          <w14:ligatures w14:val="none"/>
        </w:rPr>
        <w:t xml:space="preserve">  </w:t>
      </w:r>
    </w:p>
    <w:p w14:paraId="235EC1BE" w14:textId="10D66DB7" w:rsidR="00325C12" w:rsidRDefault="00542C0A" w:rsidP="00325C12">
      <w:pPr>
        <w:spacing w:line="360" w:lineRule="auto"/>
        <w:rPr>
          <w:rFonts w:ascii="Times New Roman" w:eastAsia="Times New Roman" w:hAnsi="Times New Roman" w:cs="Times New Roman"/>
          <w:kern w:val="0"/>
          <w:lang w:eastAsia="en-GB"/>
          <w14:ligatures w14:val="none"/>
        </w:rPr>
      </w:pPr>
      <w:r w:rsidRPr="00DC7A4E">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3115D7A8" wp14:editId="4D0A240A">
                <wp:simplePos x="0" y="0"/>
                <wp:positionH relativeFrom="margin">
                  <wp:posOffset>3368675</wp:posOffset>
                </wp:positionH>
                <wp:positionV relativeFrom="paragraph">
                  <wp:posOffset>695960</wp:posOffset>
                </wp:positionV>
                <wp:extent cx="2179320" cy="635"/>
                <wp:effectExtent l="0" t="0" r="0" b="0"/>
                <wp:wrapSquare wrapText="bothSides"/>
                <wp:docPr id="1034550225" name="Text Box 1"/>
                <wp:cNvGraphicFramePr/>
                <a:graphic xmlns:a="http://schemas.openxmlformats.org/drawingml/2006/main">
                  <a:graphicData uri="http://schemas.microsoft.com/office/word/2010/wordprocessingShape">
                    <wps:wsp>
                      <wps:cNvSpPr txBox="1"/>
                      <wps:spPr>
                        <a:xfrm>
                          <a:off x="0" y="0"/>
                          <a:ext cx="2179320" cy="635"/>
                        </a:xfrm>
                        <a:prstGeom prst="rect">
                          <a:avLst/>
                        </a:prstGeom>
                        <a:solidFill>
                          <a:prstClr val="white"/>
                        </a:solidFill>
                        <a:ln>
                          <a:noFill/>
                        </a:ln>
                      </wps:spPr>
                      <wps:txbx>
                        <w:txbxContent>
                          <w:p w14:paraId="093BD019" w14:textId="2CD56BD8" w:rsidR="000020D9" w:rsidRPr="00F65244" w:rsidRDefault="000020D9" w:rsidP="000020D9">
                            <w:pPr>
                              <w:pStyle w:val="Caption"/>
                              <w:rPr>
                                <w:noProof/>
                              </w:rPr>
                            </w:pPr>
                            <w:r>
                              <w:t>Ma</w:t>
                            </w:r>
                            <w:r w:rsidR="00320074">
                              <w:t>s</w:t>
                            </w:r>
                            <w:r>
                              <w:t>low</w:t>
                            </w:r>
                            <w:r w:rsidR="00F77C0A">
                              <w:t>’s Hierarchy of Needs</w:t>
                            </w:r>
                            <w:r>
                              <w:t xml:space="preserve"> (Herrity, 2025) </w:t>
                            </w:r>
                          </w:p>
                        </w:txbxContent>
                      </wps:txbx>
                      <wps:bodyPr rot="0" spcFirstLastPara="0" vertOverflow="overflow" horzOverflow="overflow" vert="horz" wrap="square" lIns="0" tIns="0" rIns="0" bIns="0" numCol="1" spcCol="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3115D7A8" id="_x0000_s1044" type="#_x0000_t202" style="position:absolute;margin-left:265.25pt;margin-top:54.8pt;width:171.6pt;height:.05pt;z-index:2516592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" stroked="f">
                <v:textbox style="mso-fit-shape-to-text:t" inset="0,0,0,0">
                  <w:txbxContent>
                    <w:p w14:paraId="093BD019" w14:textId="2CD56BD8" w:rsidR="000020D9" w:rsidRPr="00F65244" w:rsidRDefault="000020D9" w:rsidP="000020D9">
                      <w:pPr>
                        <w:pStyle w:val="Caption"/>
                        <w:rPr>
                          <w:noProof/>
                        </w:rPr>
                      </w:pPr>
                      <w:r>
                        <w:t>Ma</w:t>
                      </w:r>
                      <w:r w:rsidR="00320074">
                        <w:t>s</w:t>
                      </w:r>
                      <w:r>
                        <w:t>low</w:t>
                      </w:r>
                      <w:r w:rsidR="00F77C0A">
                        <w:t>’s Hierarchy of Needs</w:t>
                      </w:r>
                      <w:r>
                        <w:t xml:space="preserve"> (Herrity, 2025) </w:t>
                      </w:r>
                    </w:p>
                  </w:txbxContent>
                </v:textbox>
                <w10:wrap type="square" anchorx="margin"/>
              </v:shape>
            </w:pict>
          </mc:Fallback>
        </mc:AlternateContent>
      </w:r>
      <w:r w:rsidR="000A1EA0" w:rsidRPr="00DC7A4E">
        <w:rPr>
          <w:rFonts w:ascii="Times New Roman" w:eastAsia="Times New Roman" w:hAnsi="Times New Roman" w:cs="Times New Roman"/>
          <w:kern w:val="0"/>
          <w:lang w:eastAsia="en-GB"/>
          <w14:ligatures w14:val="none"/>
        </w:rPr>
        <w:t xml:space="preserve">     </w:t>
      </w:r>
      <w:r w:rsidR="00325C12">
        <w:rPr>
          <w:rFonts w:ascii="Times New Roman" w:eastAsia="Times New Roman" w:hAnsi="Times New Roman" w:cs="Times New Roman"/>
          <w:kern w:val="0"/>
          <w:lang w:eastAsia="en-GB"/>
          <w14:ligatures w14:val="none"/>
        </w:rPr>
        <w:t xml:space="preserve">   </w:t>
      </w:r>
      <w:r w:rsidR="00F108E6" w:rsidRPr="00DC7A4E">
        <w:rPr>
          <w:rFonts w:ascii="Times New Roman" w:eastAsia="Times New Roman" w:hAnsi="Times New Roman" w:cs="Times New Roman"/>
          <w:kern w:val="0"/>
          <w:lang w:eastAsia="en-GB"/>
          <w14:ligatures w14:val="none"/>
        </w:rPr>
        <w:t xml:space="preserve">Guaranteeing non-discrimination enables all children to receive equal access to education, healthcare, and protection, which is vital for their comprehensive development. </w:t>
      </w:r>
    </w:p>
    <w:p w14:paraId="316EA1ED" w14:textId="2ACC2373" w:rsidR="00E60BF1" w:rsidRPr="00DC7A4E" w:rsidRDefault="00325C12" w:rsidP="00AC47FD">
      <w:pPr>
        <w:spacing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1C69D4">
        <w:rPr>
          <w:rFonts w:ascii="Times New Roman" w:eastAsia="Times New Roman" w:hAnsi="Times New Roman" w:cs="Times New Roman"/>
          <w:kern w:val="0"/>
          <w:lang w:eastAsia="en-GB"/>
          <w14:ligatures w14:val="none"/>
        </w:rPr>
        <w:t>According to</w:t>
      </w:r>
      <w:r w:rsidR="00F108E6" w:rsidRPr="00DC7A4E">
        <w:rPr>
          <w:rFonts w:ascii="Times New Roman" w:eastAsia="Times New Roman" w:hAnsi="Times New Roman" w:cs="Times New Roman"/>
          <w:kern w:val="0"/>
          <w:lang w:eastAsia="en-GB"/>
          <w14:ligatures w14:val="none"/>
        </w:rPr>
        <w:t xml:space="preserve"> Maslow</w:t>
      </w:r>
      <w:r w:rsidR="00161BB2" w:rsidRPr="00DC7A4E">
        <w:rPr>
          <w:rFonts w:ascii="Times New Roman" w:eastAsia="Times New Roman" w:hAnsi="Times New Roman" w:cs="Times New Roman"/>
          <w:kern w:val="0"/>
          <w:lang w:eastAsia="en-GB"/>
          <w14:ligatures w14:val="none"/>
        </w:rPr>
        <w:t>'</w:t>
      </w:r>
      <w:r w:rsidR="00F108E6" w:rsidRPr="00DC7A4E">
        <w:rPr>
          <w:rFonts w:ascii="Times New Roman" w:eastAsia="Times New Roman" w:hAnsi="Times New Roman" w:cs="Times New Roman"/>
          <w:kern w:val="0"/>
          <w:lang w:eastAsia="en-GB"/>
          <w14:ligatures w14:val="none"/>
        </w:rPr>
        <w:t xml:space="preserve">s Hierarchy of Needs, </w:t>
      </w:r>
      <w:r w:rsidR="001C69D4">
        <w:rPr>
          <w:rFonts w:ascii="Times New Roman" w:eastAsia="Times New Roman" w:hAnsi="Times New Roman" w:cs="Times New Roman"/>
          <w:kern w:val="0"/>
          <w:lang w:eastAsia="en-GB"/>
          <w14:ligatures w14:val="none"/>
        </w:rPr>
        <w:t>a</w:t>
      </w:r>
      <w:r w:rsidR="000476A1">
        <w:rPr>
          <w:rFonts w:ascii="Times New Roman" w:eastAsia="Times New Roman" w:hAnsi="Times New Roman" w:cs="Times New Roman"/>
          <w:kern w:val="0"/>
          <w:lang w:eastAsia="en-GB"/>
          <w14:ligatures w14:val="none"/>
        </w:rPr>
        <w:t xml:space="preserve"> child's basic physiological and safety needs </w:t>
      </w:r>
      <w:r w:rsidR="000C75AC">
        <w:rPr>
          <w:rFonts w:ascii="Times New Roman" w:eastAsia="Times New Roman" w:hAnsi="Times New Roman" w:cs="Times New Roman"/>
          <w:kern w:val="0"/>
          <w:lang w:eastAsia="en-GB"/>
          <w14:ligatures w14:val="none"/>
        </w:rPr>
        <w:t>are met, which</w:t>
      </w:r>
      <w:r w:rsidR="000476A1">
        <w:rPr>
          <w:rFonts w:ascii="Times New Roman" w:eastAsia="Times New Roman" w:hAnsi="Times New Roman" w:cs="Times New Roman"/>
          <w:kern w:val="0"/>
          <w:lang w:eastAsia="en-GB"/>
          <w14:ligatures w14:val="none"/>
        </w:rPr>
        <w:t xml:space="preserve"> allows them to thrive socially and emotionally (Maslow, 1954). This indicates that equality enhances self-esteem, </w:t>
      </w:r>
      <w:r w:rsidR="002D5DB5">
        <w:rPr>
          <w:rFonts w:ascii="Times New Roman" w:eastAsia="Times New Roman" w:hAnsi="Times New Roman" w:cs="Times New Roman"/>
          <w:kern w:val="0"/>
          <w:lang w:eastAsia="en-GB"/>
          <w14:ligatures w14:val="none"/>
        </w:rPr>
        <w:t xml:space="preserve">which is </w:t>
      </w:r>
      <w:r w:rsidR="000476A1">
        <w:rPr>
          <w:rFonts w:ascii="Times New Roman" w:eastAsia="Times New Roman" w:hAnsi="Times New Roman" w:cs="Times New Roman"/>
          <w:kern w:val="0"/>
          <w:lang w:eastAsia="en-GB"/>
          <w14:ligatures w14:val="none"/>
        </w:rPr>
        <w:t>vital for mental health and self-actuali</w:t>
      </w:r>
      <w:r w:rsidR="001C69D4">
        <w:rPr>
          <w:rFonts w:ascii="Times New Roman" w:eastAsia="Times New Roman" w:hAnsi="Times New Roman" w:cs="Times New Roman"/>
          <w:kern w:val="0"/>
          <w:lang w:eastAsia="en-GB"/>
          <w14:ligatures w14:val="none"/>
        </w:rPr>
        <w:t>s</w:t>
      </w:r>
      <w:r w:rsidR="000476A1">
        <w:rPr>
          <w:rFonts w:ascii="Times New Roman" w:eastAsia="Times New Roman" w:hAnsi="Times New Roman" w:cs="Times New Roman"/>
          <w:kern w:val="0"/>
          <w:lang w:eastAsia="en-GB"/>
          <w14:ligatures w14:val="none"/>
        </w:rPr>
        <w:t>ation</w:t>
      </w:r>
      <w:r w:rsidR="00AC47FD">
        <w:rPr>
          <w:rFonts w:ascii="Times New Roman" w:eastAsia="Times New Roman" w:hAnsi="Times New Roman" w:cs="Times New Roman"/>
          <w:kern w:val="0"/>
          <w:lang w:eastAsia="en-GB"/>
          <w14:ligatures w14:val="none"/>
        </w:rPr>
        <w:t xml:space="preserve">. Meanwhile, discrimination and social isolation increase the risk of anxiety, depression, and trauma in children, disrupting emotional regulation and brain development, leading to long-term mental health issues and reduced resilience, affecting social and academic success (Brandt </w:t>
      </w:r>
      <w:r w:rsidR="00AC47FD" w:rsidRPr="00C735A7">
        <w:rPr>
          <w:rFonts w:ascii="Times New Roman" w:eastAsia="Times New Roman" w:hAnsi="Times New Roman" w:cs="Times New Roman"/>
          <w:i/>
          <w:iCs/>
          <w:kern w:val="0"/>
          <w:lang w:eastAsia="en-GB"/>
          <w14:ligatures w14:val="none"/>
        </w:rPr>
        <w:t>et al</w:t>
      </w:r>
      <w:r w:rsidR="00AC47FD">
        <w:rPr>
          <w:rFonts w:ascii="Times New Roman" w:eastAsia="Times New Roman" w:hAnsi="Times New Roman" w:cs="Times New Roman"/>
          <w:kern w:val="0"/>
          <w:lang w:eastAsia="en-GB"/>
          <w14:ligatures w14:val="none"/>
        </w:rPr>
        <w:t>., 2022).</w:t>
      </w:r>
    </w:p>
    <w:p w14:paraId="102E1AE4" w14:textId="5674FCBB" w:rsidR="003940F0" w:rsidRPr="00DC7A4E" w:rsidRDefault="00E60BF1" w:rsidP="00DC7A4E">
      <w:pPr>
        <w:spacing w:after="0" w:line="360" w:lineRule="auto"/>
        <w:rPr>
          <w:rFonts w:ascii="Times New Roman" w:eastAsia="Times New Roman" w:hAnsi="Times New Roman" w:cs="Times New Roman"/>
          <w:kern w:val="0"/>
          <w:lang w:eastAsia="en-GB"/>
          <w14:ligatures w14:val="none"/>
        </w:rPr>
      </w:pPr>
      <w:r w:rsidRPr="00DC7A4E">
        <w:rPr>
          <w:rFonts w:ascii="Times New Roman" w:eastAsia="Times New Roman" w:hAnsi="Times New Roman" w:cs="Times New Roman"/>
          <w:kern w:val="0"/>
          <w:lang w:eastAsia="en-GB"/>
          <w14:ligatures w14:val="none"/>
        </w:rPr>
        <w:t xml:space="preserve">      </w:t>
      </w:r>
      <w:r w:rsidR="00542C0A">
        <w:rPr>
          <w:rFonts w:ascii="Times New Roman" w:eastAsia="Times New Roman" w:hAnsi="Times New Roman" w:cs="Times New Roman"/>
          <w:kern w:val="0"/>
          <w:lang w:eastAsia="en-GB"/>
          <w14:ligatures w14:val="none"/>
        </w:rPr>
        <w:t>Article 2 seeks to protect children, but legal anti-discrimination policies may fall short due to inconsistent enforcement and the need for community involvement and resources, making them mere formalities</w:t>
      </w:r>
      <w:r w:rsidR="00542C0A">
        <w:rPr>
          <w:rFonts w:ascii="Times New Roman" w:eastAsia="Times New Roman" w:hAnsi="Times New Roman" w:cs="Times New Roman"/>
          <w:color w:val="000000" w:themeColor="text1"/>
          <w:kern w:val="0"/>
          <w:lang w:eastAsia="en-GB"/>
          <w14:ligatures w14:val="none"/>
        </w:rPr>
        <w:t xml:space="preserve"> </w:t>
      </w:r>
      <w:r w:rsidR="00E85291" w:rsidRPr="00542C0A">
        <w:rPr>
          <w:rFonts w:ascii="Times New Roman" w:hAnsi="Times New Roman" w:cs="Times New Roman"/>
          <w:color w:val="000000" w:themeColor="text1"/>
          <w:shd w:val="clear" w:color="auto" w:fill="FFFFFF"/>
        </w:rPr>
        <w:t>(UNICEF, 2022)</w:t>
      </w:r>
      <w:r w:rsidR="00D914BE" w:rsidRPr="00542C0A">
        <w:rPr>
          <w:rFonts w:ascii="Times New Roman" w:eastAsia="Times New Roman" w:hAnsi="Times New Roman" w:cs="Times New Roman"/>
          <w:color w:val="000000" w:themeColor="text1"/>
          <w:kern w:val="0"/>
          <w:lang w:eastAsia="en-GB"/>
          <w14:ligatures w14:val="none"/>
        </w:rPr>
        <w:t xml:space="preserve">. </w:t>
      </w:r>
      <w:r w:rsidR="0010196A" w:rsidRPr="00DC7A4E">
        <w:rPr>
          <w:rFonts w:ascii="Times New Roman" w:eastAsia="Times New Roman" w:hAnsi="Times New Roman" w:cs="Times New Roman"/>
          <w:kern w:val="0"/>
          <w:lang w:eastAsia="en-GB"/>
          <w14:ligatures w14:val="none"/>
        </w:rPr>
        <w:t>Thus, t</w:t>
      </w:r>
      <w:r w:rsidR="00D914BE" w:rsidRPr="00DC7A4E">
        <w:rPr>
          <w:rFonts w:ascii="Times New Roman" w:eastAsia="Times New Roman" w:hAnsi="Times New Roman" w:cs="Times New Roman"/>
          <w:kern w:val="0"/>
          <w:lang w:eastAsia="en-GB"/>
          <w14:ligatures w14:val="none"/>
        </w:rPr>
        <w:t xml:space="preserve">he effectiveness of Article 2 depends on its practical application in schools and communities, not just </w:t>
      </w:r>
      <w:r w:rsidR="0010196A" w:rsidRPr="00DC7A4E">
        <w:rPr>
          <w:rFonts w:ascii="Times New Roman" w:eastAsia="Times New Roman" w:hAnsi="Times New Roman" w:cs="Times New Roman"/>
          <w:kern w:val="0"/>
          <w:lang w:eastAsia="en-GB"/>
          <w14:ligatures w14:val="none"/>
        </w:rPr>
        <w:t xml:space="preserve">on </w:t>
      </w:r>
      <w:r w:rsidR="00D914BE" w:rsidRPr="00DC7A4E">
        <w:rPr>
          <w:rFonts w:ascii="Times New Roman" w:eastAsia="Times New Roman" w:hAnsi="Times New Roman" w:cs="Times New Roman"/>
          <w:kern w:val="0"/>
          <w:lang w:eastAsia="en-GB"/>
          <w14:ligatures w14:val="none"/>
        </w:rPr>
        <w:t>legal documents.</w:t>
      </w:r>
    </w:p>
    <w:p w14:paraId="7F37BDA7" w14:textId="70953984" w:rsidR="0008177F" w:rsidRPr="00DC7A4E" w:rsidRDefault="0008177F" w:rsidP="00DC7A4E">
      <w:pPr>
        <w:spacing w:after="0" w:line="360" w:lineRule="auto"/>
        <w:rPr>
          <w:rFonts w:ascii="Times New Roman" w:eastAsia="Times New Roman" w:hAnsi="Times New Roman" w:cs="Times New Roman"/>
          <w:kern w:val="0"/>
          <w:lang w:eastAsia="en-GB"/>
          <w14:ligatures w14:val="none"/>
        </w:rPr>
      </w:pPr>
    </w:p>
    <w:p w14:paraId="53CA6728" w14:textId="655BBCEB" w:rsidR="003940F0" w:rsidRPr="00DC7A4E" w:rsidRDefault="003940F0" w:rsidP="001B00E7">
      <w:pPr>
        <w:pStyle w:val="Heading3"/>
        <w:rPr>
          <w:rFonts w:eastAsia="Times New Roman"/>
          <w:lang w:eastAsia="en-GB"/>
        </w:rPr>
      </w:pPr>
      <w:bookmarkStart w:id="9" w:name="_Toc197532657"/>
      <w:r w:rsidRPr="00DC7A4E">
        <w:rPr>
          <w:rFonts w:eastAsia="Times New Roman"/>
          <w:lang w:eastAsia="en-GB"/>
        </w:rPr>
        <w:t xml:space="preserve">Blog 2: Article 24 – </w:t>
      </w:r>
      <w:r w:rsidR="00FF37B8" w:rsidRPr="00DC7A4E">
        <w:rPr>
          <w:rFonts w:eastAsia="Times New Roman"/>
          <w:lang w:eastAsia="en-GB"/>
        </w:rPr>
        <w:t>Health and Health Services: An Essential Support for Children</w:t>
      </w:r>
      <w:bookmarkEnd w:id="9"/>
    </w:p>
    <w:p w14:paraId="34F658C6" w14:textId="1BB07160" w:rsidR="00413B69" w:rsidRDefault="000A66EE" w:rsidP="000A66EE">
      <w:pPr>
        <w:spacing w:line="360" w:lineRule="auto"/>
        <w:rPr>
          <w:rFonts w:ascii="Times New Roman" w:eastAsia="Times New Roman" w:hAnsi="Times New Roman" w:cs="Times New Roman"/>
          <w:kern w:val="0"/>
          <w:lang w:eastAsia="en-GB"/>
          <w14:ligatures w14:val="none"/>
        </w:rPr>
      </w:pPr>
      <w:r w:rsidRPr="00DC7A4E">
        <w:rPr>
          <w:rFonts w:ascii="Times New Roman" w:hAnsi="Times New Roman" w:cs="Times New Roman"/>
          <w:noProof/>
          <w:kern w:val="0"/>
          <w:lang w:eastAsia="en-GB"/>
          <w14:ligatures w14:val="none"/>
        </w:rPr>
        <mc:AlternateContent>
          <mc:Choice Requires="wps">
            <w:drawing>
              <wp:anchor distT="0" distB="0" distL="114300" distR="114300" simplePos="0" relativeHeight="251665408" behindDoc="0" locked="0" layoutInCell="1" allowOverlap="1" wp14:anchorId="706DB4FC" wp14:editId="372412BA">
                <wp:simplePos x="0" y="0"/>
                <wp:positionH relativeFrom="margin">
                  <wp:align>left</wp:align>
                </wp:positionH>
                <wp:positionV relativeFrom="paragraph">
                  <wp:posOffset>1243965</wp:posOffset>
                </wp:positionV>
                <wp:extent cx="1531620" cy="274320"/>
                <wp:effectExtent l="0" t="0" r="0" b="0"/>
                <wp:wrapThrough wrapText="bothSides">
                  <wp:wrapPolygon edited="0">
                    <wp:start x="0" y="0"/>
                    <wp:lineTo x="0" y="19500"/>
                    <wp:lineTo x="21224" y="19500"/>
                    <wp:lineTo x="21224" y="0"/>
                    <wp:lineTo x="0" y="0"/>
                  </wp:wrapPolygon>
                </wp:wrapThrough>
                <wp:docPr id="860588848" name="Text Box 3"/>
                <wp:cNvGraphicFramePr/>
                <a:graphic xmlns:a="http://schemas.openxmlformats.org/drawingml/2006/main">
                  <a:graphicData uri="http://schemas.microsoft.com/office/word/2010/wordprocessingShape">
                    <wps:wsp>
                      <wps:cNvSpPr txBox="1"/>
                      <wps:spPr>
                        <a:xfrm>
                          <a:off x="0" y="0"/>
                          <a:ext cx="1531620" cy="274320"/>
                        </a:xfrm>
                        <a:prstGeom prst="rect">
                          <a:avLst/>
                        </a:prstGeom>
                        <a:solidFill>
                          <a:prstClr val="white"/>
                        </a:solidFill>
                        <a:ln>
                          <a:noFill/>
                        </a:ln>
                      </wps:spPr>
                      <wps:txbx>
                        <w:txbxContent>
                          <w:p w14:paraId="3BC50967" w14:textId="121AA45E" w:rsidR="007E41AA" w:rsidRDefault="0068112E" w:rsidP="007E41AA">
                            <w:pPr>
                              <w:pStyle w:val="Caption"/>
                              <w:jc w:val="center"/>
                              <w:rPr>
                                <w:noProof/>
                              </w:rPr>
                            </w:pPr>
                            <w:r>
                              <w:t xml:space="preserve">UNCRC </w:t>
                            </w:r>
                            <w:r w:rsidR="007E41AA">
                              <w:t xml:space="preserve">Article </w:t>
                            </w:r>
                            <w:proofErr w:type="gramStart"/>
                            <w:r w:rsidR="007E41AA">
                              <w:t>24  (</w:t>
                            </w:r>
                            <w:proofErr w:type="gramEnd"/>
                            <w:r w:rsidR="007E41AA">
                              <w:t>UNICEF, 20</w:t>
                            </w:r>
                            <w:r w:rsidR="0008177F">
                              <w:t>19</w:t>
                            </w:r>
                            <w:r w:rsidR="007E41AA">
                              <w:t>)</w:t>
                            </w:r>
                          </w:p>
                        </w:txbxContent>
                      </wps:txbx>
                      <wps:bodyPr rot="0" spcFirstLastPara="0" vertOverflow="clip" horzOverflow="clip"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6DB4FC" id="Text Box 3" o:spid="_x0000_s1045" type="#_x0000_t202" style="position:absolute;margin-left:0;margin-top:97.95pt;width:120.6pt;height:21.6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" stroked="f">
                <v:textbox inset="0,0,0,0">
                  <w:txbxContent>
                    <w:p w14:paraId="3BC50967" w14:textId="121AA45E" w:rsidR="007E41AA" w:rsidRDefault="0068112E" w:rsidP="007E41AA">
                      <w:pPr>
                        <w:pStyle w:val="Caption"/>
                        <w:jc w:val="center"/>
                        <w:rPr>
                          <w:noProof/>
                        </w:rPr>
                      </w:pPr>
                      <w:r>
                        <w:t xml:space="preserve">UNCRC </w:t>
                      </w:r>
                      <w:r w:rsidR="007E41AA">
                        <w:t xml:space="preserve">Article </w:t>
                      </w:r>
                      <w:proofErr w:type="gramStart"/>
                      <w:r w:rsidR="007E41AA">
                        <w:t>24  (</w:t>
                      </w:r>
                      <w:proofErr w:type="gramEnd"/>
                      <w:r w:rsidR="007E41AA">
                        <w:t>UNICEF, 20</w:t>
                      </w:r>
                      <w:r w:rsidR="0008177F">
                        <w:t>19</w:t>
                      </w:r>
                      <w:r w:rsidR="007E41AA">
                        <w:t>)</w:t>
                      </w:r>
                    </w:p>
                  </w:txbxContent>
                </v:textbox>
                <w10:wrap type="through" anchorx="margin"/>
              </v:shape>
            </w:pict>
          </mc:Fallback>
        </mc:AlternateContent>
      </w:r>
      <w:r w:rsidRPr="00DC7A4E">
        <w:rPr>
          <w:rFonts w:ascii="Times New Roman" w:eastAsia="Times New Roman" w:hAnsi="Times New Roman" w:cs="Times New Roman"/>
          <w:noProof/>
          <w:kern w:val="0"/>
          <w:lang w:eastAsia="en-GB"/>
        </w:rPr>
        <mc:AlternateContent>
          <mc:Choice Requires="wps">
            <w:drawing>
              <wp:anchor distT="0" distB="0" distL="114300" distR="114300" simplePos="0" relativeHeight="251667456" behindDoc="0" locked="0" layoutInCell="1" allowOverlap="1" wp14:anchorId="2CFB299F" wp14:editId="5B005299">
                <wp:simplePos x="0" y="0"/>
                <wp:positionH relativeFrom="column">
                  <wp:posOffset>2659380</wp:posOffset>
                </wp:positionH>
                <wp:positionV relativeFrom="paragraph">
                  <wp:posOffset>3957955</wp:posOffset>
                </wp:positionV>
                <wp:extent cx="2926080" cy="350520"/>
                <wp:effectExtent l="0" t="0" r="26670" b="11430"/>
                <wp:wrapSquare wrapText="bothSides"/>
                <wp:docPr id="875717789" name="Rectangle 4"/>
                <wp:cNvGraphicFramePr/>
                <a:graphic xmlns:a="http://schemas.openxmlformats.org/drawingml/2006/main">
                  <a:graphicData uri="http://schemas.microsoft.com/office/word/2010/wordprocessingShape">
                    <wps:wsp>
                      <wps:cNvSpPr/>
                      <wps:spPr>
                        <a:xfrm>
                          <a:off x="0" y="0"/>
                          <a:ext cx="2926080" cy="350520"/>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txbx>
                        <w:txbxContent>
                          <w:p w14:paraId="6212595D" w14:textId="77777777" w:rsidR="00F112A7" w:rsidRDefault="00F112A7" w:rsidP="00F112A7">
                            <w:pPr>
                              <w:pStyle w:val="Caption"/>
                              <w:jc w:val="center"/>
                              <w:rPr>
                                <w:rFonts w:ascii="Times New Roman" w:eastAsia="Times New Roman" w:hAnsi="Times New Roman" w:cs="Times New Roman"/>
                                <w:kern w:val="0"/>
                                <w:lang w:eastAsia="en-GB"/>
                                <w14:ligatures w14:val="none"/>
                              </w:rPr>
                            </w:pPr>
                            <w:r w:rsidRPr="00023A40">
                              <w:t>Bronfenbrenner</w:t>
                            </w:r>
                            <w:r>
                              <w:t>'</w:t>
                            </w:r>
                            <w:r w:rsidRPr="00023A40">
                              <w:t>s Ecological Systems Theory (Santrock, 2008)</w:t>
                            </w:r>
                          </w:p>
                          <w:p w14:paraId="52068852" w14:textId="77777777" w:rsidR="00F112A7" w:rsidRDefault="00F112A7" w:rsidP="00F112A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FB299F" id="Rectangle 4" o:spid="_x0000_s1046" style="position:absolute;margin-left:209.4pt;margin-top:311.65pt;width:230.4pt;height:27.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" fillcolor="white [3201]" strokecolor="white [3212]" strokeweight="1.5pt">
                <v:textbox>
                  <w:txbxContent>
                    <w:p w14:paraId="6212595D" w14:textId="77777777" w:rsidR="00F112A7" w:rsidRDefault="00F112A7" w:rsidP="00F112A7">
                      <w:pPr>
                        <w:pStyle w:val="Caption"/>
                        <w:jc w:val="center"/>
                        <w:rPr>
                          <w:rFonts w:ascii="Times New Roman" w:eastAsia="Times New Roman" w:hAnsi="Times New Roman" w:cs="Times New Roman"/>
                          <w:kern w:val="0"/>
                          <w:lang w:eastAsia="en-GB"/>
                          <w14:ligatures w14:val="none"/>
                        </w:rPr>
                      </w:pPr>
                      <w:r w:rsidRPr="00023A40">
                        <w:t>Bronfenbrenner</w:t>
                      </w:r>
                      <w:r>
                        <w:t>'</w:t>
                      </w:r>
                      <w:r w:rsidRPr="00023A40">
                        <w:t>s Ecological Systems Theory (Santrock, 2008)</w:t>
                      </w:r>
                    </w:p>
                    <w:p w14:paraId="52068852" w14:textId="77777777" w:rsidR="00F112A7" w:rsidRDefault="00F112A7" w:rsidP="00F112A7">
                      <w:pPr>
                        <w:jc w:val="center"/>
                      </w:pPr>
                    </w:p>
                  </w:txbxContent>
                </v:textbox>
                <w10:wrap type="square"/>
              </v:rect>
            </w:pict>
          </mc:Fallback>
        </mc:AlternateContent>
      </w:r>
      <w:r w:rsidRPr="00DC7A4E">
        <w:rPr>
          <w:rFonts w:ascii="Times New Roman" w:eastAsia="Times New Roman" w:hAnsi="Times New Roman" w:cs="Times New Roman"/>
          <w:noProof/>
          <w:kern w:val="0"/>
          <w:lang w:eastAsia="en-GB"/>
          <w14:ligatures w14:val="none"/>
        </w:rPr>
        <w:drawing>
          <wp:anchor distT="0" distB="0" distL="114300" distR="114300" simplePos="0" relativeHeight="251666432" behindDoc="0" locked="0" layoutInCell="1" allowOverlap="1" wp14:anchorId="526A7319" wp14:editId="7DEF28E2">
            <wp:simplePos x="0" y="0"/>
            <wp:positionH relativeFrom="margin">
              <wp:posOffset>2786380</wp:posOffset>
            </wp:positionH>
            <wp:positionV relativeFrom="paragraph">
              <wp:posOffset>1260475</wp:posOffset>
            </wp:positionV>
            <wp:extent cx="2723515" cy="2659380"/>
            <wp:effectExtent l="0" t="0" r="635" b="7620"/>
            <wp:wrapSquare wrapText="bothSides"/>
            <wp:docPr id="971762576" name="Picture 1" descr="A diagram of different types of lif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762576" name="Picture 1" descr="A diagram of different types of life cycle&#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723515" cy="2659380"/>
                    </a:xfrm>
                    <a:prstGeom prst="rect">
                      <a:avLst/>
                    </a:prstGeom>
                  </pic:spPr>
                </pic:pic>
              </a:graphicData>
            </a:graphic>
            <wp14:sizeRelH relativeFrom="margin">
              <wp14:pctWidth>0</wp14:pctWidth>
            </wp14:sizeRelH>
            <wp14:sizeRelV relativeFrom="margin">
              <wp14:pctHeight>0</wp14:pctHeight>
            </wp14:sizeRelV>
          </wp:anchor>
        </w:drawing>
      </w:r>
      <w:r w:rsidR="0068112E" w:rsidRPr="00DC7A4E">
        <w:rPr>
          <w:rFonts w:ascii="Times New Roman" w:eastAsia="Times New Roman" w:hAnsi="Times New Roman" w:cs="Times New Roman"/>
          <w:noProof/>
          <w:kern w:val="0"/>
          <w:lang w:eastAsia="en-GB"/>
          <w14:ligatures w14:val="none"/>
        </w:rPr>
        <w:drawing>
          <wp:anchor distT="0" distB="0" distL="114300" distR="114300" simplePos="0" relativeHeight="251663360" behindDoc="0" locked="0" layoutInCell="1" allowOverlap="1" wp14:anchorId="70764836" wp14:editId="5FB4D389">
            <wp:simplePos x="0" y="0"/>
            <wp:positionH relativeFrom="margin">
              <wp:posOffset>60960</wp:posOffset>
            </wp:positionH>
            <wp:positionV relativeFrom="paragraph">
              <wp:posOffset>7620</wp:posOffset>
            </wp:positionV>
            <wp:extent cx="1318260" cy="1264920"/>
            <wp:effectExtent l="0" t="0" r="0" b="0"/>
            <wp:wrapSquare wrapText="bothSides"/>
            <wp:docPr id="1497499749" name="Picture 1" descr="A pink sign with white text and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499749" name="Picture 1" descr="A pink sign with white text and a person&#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1318260" cy="126492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noProof/>
          <w:kern w:val="0"/>
          <w:lang w:eastAsia="en-GB"/>
          <w14:ligatures w14:val="none"/>
        </w:rPr>
        <w:t xml:space="preserve">      Article 24 of the </w:t>
      </w:r>
      <w:r w:rsidRPr="000A66EE">
        <w:rPr>
          <w:rFonts w:ascii="Times New Roman" w:eastAsia="Times New Roman" w:hAnsi="Times New Roman" w:cs="Times New Roman"/>
          <w:i/>
          <w:iCs/>
          <w:noProof/>
          <w:kern w:val="0"/>
          <w:lang w:eastAsia="en-GB"/>
          <w14:ligatures w14:val="none"/>
        </w:rPr>
        <w:t xml:space="preserve">UNCRC </w:t>
      </w:r>
      <w:r>
        <w:rPr>
          <w:rFonts w:ascii="Times New Roman" w:eastAsia="Times New Roman" w:hAnsi="Times New Roman" w:cs="Times New Roman"/>
          <w:noProof/>
          <w:kern w:val="0"/>
          <w:lang w:eastAsia="en-GB"/>
          <w14:ligatures w14:val="none"/>
        </w:rPr>
        <w:t xml:space="preserve">ensures children have the right to quality healthcare, clean water, nutritious food, a safe environment, and health education for themselves and their caregivers </w:t>
      </w:r>
      <w:r w:rsidR="00AD33A6" w:rsidRPr="00DC7A4E">
        <w:rPr>
          <w:rFonts w:ascii="Times New Roman" w:eastAsia="Times New Roman" w:hAnsi="Times New Roman" w:cs="Times New Roman"/>
          <w:kern w:val="0"/>
          <w:lang w:eastAsia="en-GB"/>
          <w14:ligatures w14:val="none"/>
        </w:rPr>
        <w:t>(The United Nations, 1989).</w:t>
      </w:r>
      <w:r w:rsidR="00F112A7" w:rsidRPr="00DC7A4E">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It</w:t>
      </w:r>
      <w:r w:rsidR="00320F14" w:rsidRPr="00DC7A4E">
        <w:rPr>
          <w:rFonts w:ascii="Times New Roman" w:eastAsia="Times New Roman" w:hAnsi="Times New Roman" w:cs="Times New Roman"/>
          <w:kern w:val="0"/>
          <w:lang w:eastAsia="en-GB"/>
          <w14:ligatures w14:val="none"/>
        </w:rPr>
        <w:t xml:space="preserve"> </w:t>
      </w:r>
      <w:r w:rsidR="00161BB2" w:rsidRPr="00DC7A4E">
        <w:rPr>
          <w:rFonts w:ascii="Times New Roman" w:eastAsia="Times New Roman" w:hAnsi="Times New Roman" w:cs="Times New Roman"/>
          <w:kern w:val="0"/>
          <w:lang w:eastAsia="en-GB"/>
          <w14:ligatures w14:val="none"/>
        </w:rPr>
        <w:t>links</w:t>
      </w:r>
      <w:r w:rsidR="00320F14" w:rsidRPr="00DC7A4E">
        <w:rPr>
          <w:rFonts w:ascii="Times New Roman" w:eastAsia="Times New Roman" w:hAnsi="Times New Roman" w:cs="Times New Roman"/>
          <w:kern w:val="0"/>
          <w:lang w:eastAsia="en-GB"/>
          <w14:ligatures w14:val="none"/>
        </w:rPr>
        <w:t xml:space="preserve"> to Bronfenbrenner</w:t>
      </w:r>
      <w:r w:rsidR="00161BB2" w:rsidRPr="00DC7A4E">
        <w:rPr>
          <w:rFonts w:ascii="Times New Roman" w:eastAsia="Times New Roman" w:hAnsi="Times New Roman" w:cs="Times New Roman"/>
          <w:kern w:val="0"/>
          <w:lang w:eastAsia="en-GB"/>
          <w14:ligatures w14:val="none"/>
        </w:rPr>
        <w:t>'</w:t>
      </w:r>
      <w:r w:rsidR="00320F14" w:rsidRPr="00DC7A4E">
        <w:rPr>
          <w:rFonts w:ascii="Times New Roman" w:eastAsia="Times New Roman" w:hAnsi="Times New Roman" w:cs="Times New Roman"/>
          <w:kern w:val="0"/>
          <w:lang w:eastAsia="en-GB"/>
          <w14:ligatures w14:val="none"/>
        </w:rPr>
        <w:t>s bioecological model (1979), which emphasi</w:t>
      </w:r>
      <w:r w:rsidR="007A1F41" w:rsidRPr="00DC7A4E">
        <w:rPr>
          <w:rFonts w:ascii="Times New Roman" w:eastAsia="Times New Roman" w:hAnsi="Times New Roman" w:cs="Times New Roman"/>
          <w:kern w:val="0"/>
          <w:lang w:eastAsia="en-GB"/>
          <w14:ligatures w14:val="none"/>
        </w:rPr>
        <w:t>s</w:t>
      </w:r>
      <w:r w:rsidR="00320F14" w:rsidRPr="00DC7A4E">
        <w:rPr>
          <w:rFonts w:ascii="Times New Roman" w:eastAsia="Times New Roman" w:hAnsi="Times New Roman" w:cs="Times New Roman"/>
          <w:kern w:val="0"/>
          <w:lang w:eastAsia="en-GB"/>
          <w14:ligatures w14:val="none"/>
        </w:rPr>
        <w:t xml:space="preserve">es that </w:t>
      </w:r>
      <w:r w:rsidR="001B00E7">
        <w:rPr>
          <w:rFonts w:ascii="Times New Roman" w:eastAsia="Times New Roman" w:hAnsi="Times New Roman" w:cs="Times New Roman"/>
          <w:kern w:val="0"/>
          <w:lang w:eastAsia="en-GB"/>
          <w14:ligatures w14:val="none"/>
        </w:rPr>
        <w:t>various interconnected systems, such as family, school, community, and health services, affect a child's development</w:t>
      </w:r>
      <w:r w:rsidR="00320F14" w:rsidRPr="00DC7A4E">
        <w:rPr>
          <w:rFonts w:ascii="Times New Roman" w:eastAsia="Times New Roman" w:hAnsi="Times New Roman" w:cs="Times New Roman"/>
          <w:kern w:val="0"/>
          <w:lang w:eastAsia="en-GB"/>
          <w14:ligatures w14:val="none"/>
        </w:rPr>
        <w:t xml:space="preserve">. </w:t>
      </w:r>
      <w:r w:rsidR="00B90B3B">
        <w:rPr>
          <w:rFonts w:ascii="Times New Roman" w:eastAsia="Times New Roman" w:hAnsi="Times New Roman" w:cs="Times New Roman"/>
          <w:kern w:val="0"/>
          <w:lang w:eastAsia="en-GB"/>
          <w14:ligatures w14:val="none"/>
        </w:rPr>
        <w:t>Each level impacts overall wellbeing, from the microsystem (immediate environment) to the macrosystem (laws and societal norms).</w:t>
      </w:r>
      <w:r w:rsidR="001B00E7">
        <w:rPr>
          <w:rFonts w:ascii="Times New Roman" w:eastAsia="Times New Roman" w:hAnsi="Times New Roman" w:cs="Times New Roman"/>
          <w:kern w:val="0"/>
          <w:lang w:eastAsia="en-GB"/>
          <w14:ligatures w14:val="none"/>
        </w:rPr>
        <w:t xml:space="preserve"> </w:t>
      </w:r>
      <w:r w:rsidR="009B021C" w:rsidRPr="00DC7A4E">
        <w:rPr>
          <w:rFonts w:ascii="Times New Roman" w:eastAsia="Times New Roman" w:hAnsi="Times New Roman" w:cs="Times New Roman"/>
          <w:kern w:val="0"/>
          <w:lang w:eastAsia="en-GB"/>
          <w14:ligatures w14:val="none"/>
        </w:rPr>
        <w:t>Th</w:t>
      </w:r>
      <w:r w:rsidR="00670B78" w:rsidRPr="00DC7A4E">
        <w:rPr>
          <w:rFonts w:ascii="Times New Roman" w:eastAsia="Times New Roman" w:hAnsi="Times New Roman" w:cs="Times New Roman"/>
          <w:kern w:val="0"/>
          <w:lang w:eastAsia="en-GB"/>
          <w14:ligatures w14:val="none"/>
        </w:rPr>
        <w:t>is</w:t>
      </w:r>
      <w:r w:rsidR="00081E74" w:rsidRPr="00DC7A4E">
        <w:rPr>
          <w:rFonts w:ascii="Times New Roman" w:eastAsia="Times New Roman" w:hAnsi="Times New Roman" w:cs="Times New Roman"/>
          <w:kern w:val="0"/>
          <w:lang w:eastAsia="en-GB"/>
          <w14:ligatures w14:val="none"/>
        </w:rPr>
        <w:t xml:space="preserve"> </w:t>
      </w:r>
      <w:r w:rsidR="00670B78" w:rsidRPr="00DC7A4E">
        <w:rPr>
          <w:rFonts w:ascii="Times New Roman" w:eastAsia="Times New Roman" w:hAnsi="Times New Roman" w:cs="Times New Roman"/>
          <w:kern w:val="0"/>
          <w:lang w:eastAsia="en-GB"/>
          <w14:ligatures w14:val="none"/>
        </w:rPr>
        <w:t>means that</w:t>
      </w:r>
      <w:r w:rsidR="009B021C" w:rsidRPr="00DC7A4E">
        <w:rPr>
          <w:rFonts w:ascii="Times New Roman" w:eastAsia="Times New Roman" w:hAnsi="Times New Roman" w:cs="Times New Roman"/>
          <w:kern w:val="0"/>
          <w:lang w:eastAsia="en-GB"/>
          <w14:ligatures w14:val="none"/>
        </w:rPr>
        <w:t xml:space="preserve"> factors </w:t>
      </w:r>
      <w:r w:rsidR="00277C8D" w:rsidRPr="00DC7A4E">
        <w:rPr>
          <w:rFonts w:ascii="Times New Roman" w:eastAsia="Times New Roman" w:hAnsi="Times New Roman" w:cs="Times New Roman"/>
          <w:kern w:val="0"/>
          <w:lang w:eastAsia="en-GB"/>
          <w14:ligatures w14:val="none"/>
        </w:rPr>
        <w:t>affecting</w:t>
      </w:r>
      <w:r w:rsidR="009B021C" w:rsidRPr="00DC7A4E">
        <w:rPr>
          <w:rFonts w:ascii="Times New Roman" w:eastAsia="Times New Roman" w:hAnsi="Times New Roman" w:cs="Times New Roman"/>
          <w:kern w:val="0"/>
          <w:lang w:eastAsia="en-GB"/>
          <w14:ligatures w14:val="none"/>
        </w:rPr>
        <w:t xml:space="preserve"> health outcomes extend beyond medical care and encompass aspects like education, housing, and family support. </w:t>
      </w:r>
    </w:p>
    <w:p w14:paraId="372E29B0" w14:textId="714214DA" w:rsidR="00A2194F" w:rsidRDefault="004953F6" w:rsidP="000A66EE">
      <w:pPr>
        <w:spacing w:line="360" w:lineRule="auto"/>
        <w:rPr>
          <w:rFonts w:ascii="Times New Roman" w:hAnsi="Times New Roman" w:cs="Times New Roman"/>
        </w:rPr>
      </w:pPr>
      <w:r>
        <w:rPr>
          <w:rFonts w:ascii="Times New Roman" w:eastAsia="Times New Roman" w:hAnsi="Times New Roman" w:cs="Times New Roman"/>
          <w:kern w:val="0"/>
          <w:lang w:eastAsia="en-GB"/>
          <w14:ligatures w14:val="none"/>
        </w:rPr>
        <w:t xml:space="preserve">     </w:t>
      </w:r>
      <w:r w:rsidR="00D13095">
        <w:rPr>
          <w:rFonts w:ascii="Times New Roman" w:eastAsia="Times New Roman" w:hAnsi="Times New Roman" w:cs="Times New Roman"/>
          <w:kern w:val="0"/>
          <w:lang w:eastAsia="en-GB"/>
          <w14:ligatures w14:val="none"/>
        </w:rPr>
        <w:t xml:space="preserve"> S</w:t>
      </w:r>
      <w:r w:rsidR="001B00E7">
        <w:rPr>
          <w:rFonts w:ascii="Times New Roman" w:eastAsia="Times New Roman" w:hAnsi="Times New Roman" w:cs="Times New Roman"/>
          <w:kern w:val="0"/>
          <w:lang w:eastAsia="en-GB"/>
          <w14:ligatures w14:val="none"/>
        </w:rPr>
        <w:t xml:space="preserve">ervices </w:t>
      </w:r>
      <w:r w:rsidR="00956C08">
        <w:rPr>
          <w:rFonts w:ascii="Times New Roman" w:eastAsia="Times New Roman" w:hAnsi="Times New Roman" w:cs="Times New Roman"/>
          <w:kern w:val="0"/>
          <w:lang w:eastAsia="en-GB"/>
          <w14:ligatures w14:val="none"/>
        </w:rPr>
        <w:t>collaboration</w:t>
      </w:r>
      <w:r w:rsidR="001B00E7">
        <w:rPr>
          <w:rFonts w:ascii="Times New Roman" w:eastAsia="Times New Roman" w:hAnsi="Times New Roman" w:cs="Times New Roman"/>
          <w:kern w:val="0"/>
          <w:lang w:eastAsia="en-GB"/>
          <w14:ligatures w14:val="none"/>
        </w:rPr>
        <w:t xml:space="preserve">, </w:t>
      </w:r>
      <w:r w:rsidR="00956C08">
        <w:rPr>
          <w:rFonts w:ascii="Times New Roman" w:eastAsia="Times New Roman" w:hAnsi="Times New Roman" w:cs="Times New Roman"/>
          <w:kern w:val="0"/>
          <w:lang w:eastAsia="en-GB"/>
          <w14:ligatures w14:val="none"/>
        </w:rPr>
        <w:t>their inclusion</w:t>
      </w:r>
      <w:r w:rsidR="001B00E7">
        <w:rPr>
          <w:rFonts w:ascii="Times New Roman" w:eastAsia="Times New Roman" w:hAnsi="Times New Roman" w:cs="Times New Roman"/>
          <w:kern w:val="0"/>
          <w:lang w:eastAsia="en-GB"/>
          <w14:ligatures w14:val="none"/>
        </w:rPr>
        <w:t>, and address</w:t>
      </w:r>
      <w:r w:rsidR="00956C08">
        <w:rPr>
          <w:rFonts w:ascii="Times New Roman" w:eastAsia="Times New Roman" w:hAnsi="Times New Roman" w:cs="Times New Roman"/>
          <w:kern w:val="0"/>
          <w:lang w:eastAsia="en-GB"/>
          <w14:ligatures w14:val="none"/>
        </w:rPr>
        <w:t>ing</w:t>
      </w:r>
      <w:r w:rsidR="001B00E7">
        <w:rPr>
          <w:rFonts w:ascii="Times New Roman" w:eastAsia="Times New Roman" w:hAnsi="Times New Roman" w:cs="Times New Roman"/>
          <w:kern w:val="0"/>
          <w:lang w:eastAsia="en-GB"/>
          <w14:ligatures w14:val="none"/>
        </w:rPr>
        <w:t xml:space="preserve"> social inequalities affecting physical and mental health</w:t>
      </w:r>
      <w:r w:rsidR="00D13095">
        <w:rPr>
          <w:rFonts w:ascii="Times New Roman" w:eastAsia="Times New Roman" w:hAnsi="Times New Roman" w:cs="Times New Roman"/>
          <w:kern w:val="0"/>
          <w:lang w:eastAsia="en-GB"/>
          <w14:ligatures w14:val="none"/>
        </w:rPr>
        <w:t xml:space="preserve"> </w:t>
      </w:r>
      <w:r w:rsidR="00956C08">
        <w:rPr>
          <w:rFonts w:ascii="Times New Roman" w:eastAsia="Times New Roman" w:hAnsi="Times New Roman" w:cs="Times New Roman"/>
          <w:kern w:val="0"/>
          <w:lang w:eastAsia="en-GB"/>
          <w14:ligatures w14:val="none"/>
        </w:rPr>
        <w:t xml:space="preserve">are essential </w:t>
      </w:r>
      <w:r w:rsidR="00D13095">
        <w:rPr>
          <w:rFonts w:ascii="Times New Roman" w:eastAsia="Times New Roman" w:hAnsi="Times New Roman" w:cs="Times New Roman"/>
          <w:kern w:val="0"/>
          <w:lang w:eastAsia="en-GB"/>
          <w14:ligatures w14:val="none"/>
        </w:rPr>
        <w:t>to uphold this right</w:t>
      </w:r>
      <w:r>
        <w:rPr>
          <w:rFonts w:ascii="Times New Roman" w:eastAsia="Times New Roman" w:hAnsi="Times New Roman" w:cs="Times New Roman"/>
          <w:kern w:val="0"/>
          <w:lang w:eastAsia="en-GB"/>
          <w14:ligatures w14:val="none"/>
        </w:rPr>
        <w:t xml:space="preserve">. </w:t>
      </w:r>
      <w:r w:rsidR="009B021C" w:rsidRPr="00DC7A4E">
        <w:rPr>
          <w:rFonts w:ascii="Times New Roman" w:eastAsia="Times New Roman" w:hAnsi="Times New Roman" w:cs="Times New Roman"/>
          <w:kern w:val="0"/>
          <w:lang w:eastAsia="en-GB"/>
          <w14:ligatures w14:val="none"/>
        </w:rPr>
        <w:t xml:space="preserve">Consequently, the </w:t>
      </w:r>
      <w:r w:rsidR="009B021C" w:rsidRPr="00DC7A4E">
        <w:rPr>
          <w:rFonts w:ascii="Times New Roman" w:eastAsia="Times New Roman" w:hAnsi="Times New Roman" w:cs="Times New Roman"/>
          <w:i/>
          <w:iCs/>
          <w:kern w:val="0"/>
          <w:lang w:eastAsia="en-GB"/>
          <w14:ligatures w14:val="none"/>
        </w:rPr>
        <w:t>UK Health and Social Care Act 2012</w:t>
      </w:r>
      <w:r w:rsidR="009B021C" w:rsidRPr="00DC7A4E">
        <w:rPr>
          <w:rFonts w:ascii="Times New Roman" w:eastAsia="Times New Roman" w:hAnsi="Times New Roman" w:cs="Times New Roman"/>
          <w:kern w:val="0"/>
          <w:lang w:eastAsia="en-GB"/>
          <w14:ligatures w14:val="none"/>
        </w:rPr>
        <w:t xml:space="preserve"> (UK Government, 2012) mandates local authorities </w:t>
      </w:r>
      <w:r w:rsidR="00234B91">
        <w:rPr>
          <w:rFonts w:ascii="Times New Roman" w:eastAsia="Times New Roman" w:hAnsi="Times New Roman" w:cs="Times New Roman"/>
          <w:kern w:val="0"/>
          <w:lang w:eastAsia="en-GB"/>
          <w14:ligatures w14:val="none"/>
        </w:rPr>
        <w:t xml:space="preserve">to </w:t>
      </w:r>
      <w:r w:rsidR="009B021C" w:rsidRPr="00DC7A4E">
        <w:rPr>
          <w:rFonts w:ascii="Times New Roman" w:eastAsia="Times New Roman" w:hAnsi="Times New Roman" w:cs="Times New Roman"/>
          <w:kern w:val="0"/>
          <w:lang w:eastAsia="en-GB"/>
          <w14:ligatures w14:val="none"/>
        </w:rPr>
        <w:t>reduce health disparities and ensure access to public health services.</w:t>
      </w:r>
      <w:r w:rsidR="003B42CD">
        <w:rPr>
          <w:rFonts w:ascii="Times New Roman" w:eastAsia="Times New Roman" w:hAnsi="Times New Roman" w:cs="Times New Roman"/>
          <w:kern w:val="0"/>
          <w:lang w:eastAsia="en-GB"/>
          <w14:ligatures w14:val="none"/>
        </w:rPr>
        <w:t xml:space="preserve"> </w:t>
      </w:r>
      <w:r w:rsidR="003B42CD" w:rsidRPr="00DC7A4E">
        <w:rPr>
          <w:rFonts w:ascii="Times New Roman" w:eastAsia="Times New Roman" w:hAnsi="Times New Roman" w:cs="Times New Roman"/>
          <w:kern w:val="0"/>
          <w:lang w:eastAsia="en-GB"/>
          <w14:ligatures w14:val="none"/>
        </w:rPr>
        <w:t xml:space="preserve">The </w:t>
      </w:r>
      <w:r w:rsidR="002D1181">
        <w:rPr>
          <w:rFonts w:ascii="Times New Roman" w:eastAsia="Times New Roman" w:hAnsi="Times New Roman" w:cs="Times New Roman"/>
          <w:kern w:val="0"/>
          <w:lang w:eastAsia="en-GB"/>
          <w14:ligatures w14:val="none"/>
        </w:rPr>
        <w:t>NHS primarily fulfils the responsibilities</w:t>
      </w:r>
      <w:r w:rsidR="00A2194F">
        <w:rPr>
          <w:rFonts w:ascii="Times New Roman" w:eastAsia="Times New Roman" w:hAnsi="Times New Roman" w:cs="Times New Roman"/>
          <w:kern w:val="0"/>
          <w:lang w:eastAsia="en-GB"/>
          <w14:ligatures w14:val="none"/>
        </w:rPr>
        <w:t xml:space="preserve"> </w:t>
      </w:r>
      <w:r w:rsidR="002D1181">
        <w:rPr>
          <w:rFonts w:ascii="Times New Roman" w:eastAsia="Times New Roman" w:hAnsi="Times New Roman" w:cs="Times New Roman"/>
          <w:kern w:val="0"/>
          <w:lang w:eastAsia="en-GB"/>
          <w14:ligatures w14:val="none"/>
        </w:rPr>
        <w:t>of</w:t>
      </w:r>
      <w:r w:rsidR="00A2194F">
        <w:rPr>
          <w:rFonts w:ascii="Times New Roman" w:eastAsia="Times New Roman" w:hAnsi="Times New Roman" w:cs="Times New Roman"/>
          <w:kern w:val="0"/>
          <w:lang w:eastAsia="en-GB"/>
          <w14:ligatures w14:val="none"/>
        </w:rPr>
        <w:t xml:space="preserve"> provid</w:t>
      </w:r>
      <w:r w:rsidR="002D1181">
        <w:rPr>
          <w:rFonts w:ascii="Times New Roman" w:eastAsia="Times New Roman" w:hAnsi="Times New Roman" w:cs="Times New Roman"/>
          <w:kern w:val="0"/>
          <w:lang w:eastAsia="en-GB"/>
          <w14:ligatures w14:val="none"/>
        </w:rPr>
        <w:t>ing</w:t>
      </w:r>
      <w:r w:rsidR="00A2194F">
        <w:rPr>
          <w:rFonts w:ascii="Times New Roman" w:eastAsia="Times New Roman" w:hAnsi="Times New Roman" w:cs="Times New Roman"/>
          <w:kern w:val="0"/>
          <w:lang w:eastAsia="en-GB"/>
          <w14:ligatures w14:val="none"/>
        </w:rPr>
        <w:t xml:space="preserve"> essential healthcare services for children and young people, including GP visits, vaccinations, dental care, school nursing, mental health support through CAMHS, and specialised</w:t>
      </w:r>
      <w:r w:rsidR="00A81B22">
        <w:rPr>
          <w:rFonts w:ascii="Times New Roman" w:eastAsia="Times New Roman" w:hAnsi="Times New Roman" w:cs="Times New Roman"/>
          <w:kern w:val="0"/>
          <w:lang w:eastAsia="en-GB"/>
          <w14:ligatures w14:val="none"/>
        </w:rPr>
        <w:t xml:space="preserve"> care for disabilities or long-term conditions</w:t>
      </w:r>
      <w:r w:rsidR="00A2194F">
        <w:rPr>
          <w:rFonts w:ascii="Times New Roman" w:eastAsia="Times New Roman" w:hAnsi="Times New Roman" w:cs="Times New Roman"/>
          <w:kern w:val="0"/>
          <w:lang w:eastAsia="en-GB"/>
          <w14:ligatures w14:val="none"/>
        </w:rPr>
        <w:t xml:space="preserve"> </w:t>
      </w:r>
      <w:r w:rsidR="0083745E" w:rsidRPr="00DC7A4E">
        <w:rPr>
          <w:rFonts w:ascii="Times New Roman" w:hAnsi="Times New Roman" w:cs="Times New Roman"/>
        </w:rPr>
        <w:t>(NHS, 2023b)</w:t>
      </w:r>
      <w:r w:rsidR="001579F2" w:rsidRPr="00DC7A4E">
        <w:rPr>
          <w:rFonts w:ascii="Times New Roman" w:hAnsi="Times New Roman" w:cs="Times New Roman"/>
        </w:rPr>
        <w:t>.</w:t>
      </w:r>
    </w:p>
    <w:p w14:paraId="588266C4" w14:textId="495C7CDF" w:rsidR="0082203E" w:rsidRDefault="001579F2" w:rsidP="000A66EE">
      <w:pPr>
        <w:spacing w:line="360" w:lineRule="auto"/>
        <w:rPr>
          <w:rFonts w:ascii="Times New Roman" w:eastAsia="Times New Roman" w:hAnsi="Times New Roman" w:cs="Times New Roman"/>
          <w:kern w:val="0"/>
          <w:lang w:eastAsia="en-GB"/>
          <w14:ligatures w14:val="none"/>
        </w:rPr>
      </w:pPr>
      <w:r w:rsidRPr="00DC7A4E">
        <w:rPr>
          <w:rFonts w:ascii="Times New Roman" w:hAnsi="Times New Roman" w:cs="Times New Roman"/>
        </w:rPr>
        <w:t xml:space="preserve"> </w:t>
      </w:r>
      <w:r w:rsidR="00A2194F">
        <w:rPr>
          <w:rFonts w:ascii="Times New Roman" w:hAnsi="Times New Roman" w:cs="Times New Roman"/>
        </w:rPr>
        <w:t xml:space="preserve">    </w:t>
      </w:r>
      <w:r w:rsidR="00046AE4">
        <w:rPr>
          <w:rFonts w:ascii="Times New Roman" w:hAnsi="Times New Roman" w:cs="Times New Roman"/>
        </w:rPr>
        <w:t>The NHS provides various preventive</w:t>
      </w:r>
      <w:r w:rsidR="00A5192F">
        <w:rPr>
          <w:rFonts w:ascii="Times New Roman" w:hAnsi="Times New Roman" w:cs="Times New Roman"/>
        </w:rPr>
        <w:t xml:space="preserve"> and treatment</w:t>
      </w:r>
      <w:r w:rsidR="00046AE4">
        <w:rPr>
          <w:rFonts w:ascii="Times New Roman" w:hAnsi="Times New Roman" w:cs="Times New Roman"/>
        </w:rPr>
        <w:t xml:space="preserve"> services, but challenges such as long waiting times, staff shortages, and unequal access in disadvantaged areas hinder children's health rights (Gregory, 2024). </w:t>
      </w:r>
      <w:r w:rsidR="00A5192F" w:rsidRPr="00DC7A4E">
        <w:rPr>
          <w:rFonts w:ascii="Times New Roman" w:eastAsia="Times New Roman" w:hAnsi="Times New Roman" w:cs="Times New Roman"/>
          <w:kern w:val="0"/>
          <w:lang w:eastAsia="en-GB"/>
          <w14:ligatures w14:val="none"/>
        </w:rPr>
        <w:t>Therefore, increased investment and comprehensive, child-focused strategies are needed to fulfil the objectives of Article 24 effectively.</w:t>
      </w:r>
    </w:p>
    <w:p w14:paraId="794E7D4E" w14:textId="77777777" w:rsidR="001D0CFE" w:rsidRPr="00DC7A4E" w:rsidRDefault="001D0CFE" w:rsidP="000A66EE">
      <w:pPr>
        <w:spacing w:line="360" w:lineRule="auto"/>
        <w:rPr>
          <w:rFonts w:ascii="Times New Roman" w:eastAsia="Times New Roman" w:hAnsi="Times New Roman" w:cs="Times New Roman"/>
          <w:kern w:val="0"/>
          <w:lang w:eastAsia="en-GB"/>
          <w14:ligatures w14:val="none"/>
        </w:rPr>
      </w:pPr>
    </w:p>
    <w:p w14:paraId="37D4DDD1" w14:textId="00B91C61" w:rsidR="003940F0" w:rsidRPr="00DC7A4E" w:rsidRDefault="003940F0" w:rsidP="00D13095">
      <w:pPr>
        <w:pStyle w:val="Heading3"/>
        <w:rPr>
          <w:rFonts w:eastAsia="Times New Roman"/>
          <w:lang w:eastAsia="en-GB"/>
        </w:rPr>
      </w:pPr>
      <w:bookmarkStart w:id="10" w:name="_Toc197532658"/>
      <w:r w:rsidRPr="00DC7A4E">
        <w:rPr>
          <w:rFonts w:eastAsia="Times New Roman"/>
          <w:lang w:eastAsia="en-GB"/>
        </w:rPr>
        <w:lastRenderedPageBreak/>
        <w:t>Blog 3: Article 27 – Right to an Adequate Standard of Living</w:t>
      </w:r>
      <w:bookmarkEnd w:id="10"/>
    </w:p>
    <w:p w14:paraId="33A7FB5D" w14:textId="39DE4026" w:rsidR="00B072A6" w:rsidRDefault="007A4F7F" w:rsidP="00DC7A4E">
      <w:pPr>
        <w:spacing w:line="360" w:lineRule="auto"/>
        <w:rPr>
          <w:rFonts w:ascii="Times New Roman" w:eastAsia="Times New Roman" w:hAnsi="Times New Roman" w:cs="Times New Roman"/>
          <w:kern w:val="0"/>
          <w:lang w:eastAsia="en-GB"/>
          <w14:ligatures w14:val="none"/>
        </w:rPr>
      </w:pPr>
      <w:r w:rsidRPr="00DC7A4E">
        <w:rPr>
          <w:rFonts w:ascii="Times New Roman" w:hAnsi="Times New Roman" w:cs="Times New Roman"/>
          <w:noProof/>
        </w:rPr>
        <w:drawing>
          <wp:anchor distT="0" distB="0" distL="114300" distR="114300" simplePos="0" relativeHeight="251669504" behindDoc="1" locked="0" layoutInCell="1" allowOverlap="1" wp14:anchorId="512AA6F4" wp14:editId="366D9205">
            <wp:simplePos x="0" y="0"/>
            <wp:positionH relativeFrom="margin">
              <wp:posOffset>3596640</wp:posOffset>
            </wp:positionH>
            <wp:positionV relativeFrom="paragraph">
              <wp:posOffset>2057400</wp:posOffset>
            </wp:positionV>
            <wp:extent cx="2626360" cy="1912620"/>
            <wp:effectExtent l="0" t="0" r="2540" b="0"/>
            <wp:wrapThrough wrapText="bothSides">
              <wp:wrapPolygon edited="0">
                <wp:start x="0" y="0"/>
                <wp:lineTo x="0" y="21299"/>
                <wp:lineTo x="21464" y="21299"/>
                <wp:lineTo x="21464" y="0"/>
                <wp:lineTo x="0" y="0"/>
              </wp:wrapPolygon>
            </wp:wrapThrough>
            <wp:docPr id="384294769" name="Picture 1" descr="A diagram of social and community networks&#10;&#10;AI-generated content may be incorrect.">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294769" name="Picture 1" descr="A diagram of social and community networks&#10;&#10;AI-generated content may be incorrect.">
                      <a:extLst>
                        <a:ext uri="{C183D7F6-B498-43B3-948B-1728B52AA6E4}">
                          <adec:decorative xmlns:adec="http://schemas.microsoft.com/office/drawing/2017/decorative" val="0"/>
                        </a:ext>
                      </a:extLst>
                    </pic:cNvPr>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626360" cy="19126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C7A4E">
        <w:rPr>
          <w:rFonts w:ascii="Times New Roman" w:hAnsi="Times New Roman" w:cs="Times New Roman"/>
          <w:noProof/>
          <w:kern w:val="0"/>
          <w:lang w:eastAsia="en-GB"/>
          <w14:ligatures w14:val="none"/>
        </w:rPr>
        <mc:AlternateContent>
          <mc:Choice Requires="wps">
            <w:drawing>
              <wp:anchor distT="0" distB="0" distL="114300" distR="114300" simplePos="0" relativeHeight="251678720" behindDoc="0" locked="0" layoutInCell="1" allowOverlap="1" wp14:anchorId="5BF6DBA4" wp14:editId="5DD136D2">
                <wp:simplePos x="0" y="0"/>
                <wp:positionH relativeFrom="margin">
                  <wp:posOffset>68580</wp:posOffset>
                </wp:positionH>
                <wp:positionV relativeFrom="paragraph">
                  <wp:posOffset>1964055</wp:posOffset>
                </wp:positionV>
                <wp:extent cx="1531620" cy="274320"/>
                <wp:effectExtent l="0" t="0" r="0" b="0"/>
                <wp:wrapThrough wrapText="bothSides">
                  <wp:wrapPolygon edited="0">
                    <wp:start x="0" y="0"/>
                    <wp:lineTo x="0" y="19500"/>
                    <wp:lineTo x="21224" y="19500"/>
                    <wp:lineTo x="21224" y="0"/>
                    <wp:lineTo x="0" y="0"/>
                  </wp:wrapPolygon>
                </wp:wrapThrough>
                <wp:docPr id="944618669" name="Text Box 7"/>
                <wp:cNvGraphicFramePr/>
                <a:graphic xmlns:a="http://schemas.openxmlformats.org/drawingml/2006/main">
                  <a:graphicData uri="http://schemas.microsoft.com/office/word/2010/wordprocessingShape">
                    <wps:wsp>
                      <wps:cNvSpPr txBox="1"/>
                      <wps:spPr>
                        <a:xfrm>
                          <a:off x="0" y="0"/>
                          <a:ext cx="1531620" cy="274320"/>
                        </a:xfrm>
                        <a:prstGeom prst="rect">
                          <a:avLst/>
                        </a:prstGeom>
                        <a:solidFill>
                          <a:prstClr val="white"/>
                        </a:solidFill>
                        <a:ln>
                          <a:noFill/>
                        </a:ln>
                      </wps:spPr>
                      <wps:txbx>
                        <w:txbxContent>
                          <w:p w14:paraId="2854FBD2" w14:textId="1CEA0343" w:rsidR="007A4F7F" w:rsidRDefault="007A4F7F" w:rsidP="007A4F7F">
                            <w:pPr>
                              <w:pStyle w:val="Caption"/>
                              <w:jc w:val="center"/>
                              <w:rPr>
                                <w:noProof/>
                              </w:rPr>
                            </w:pPr>
                            <w:r>
                              <w:t xml:space="preserve">UNCRC Article </w:t>
                            </w:r>
                            <w:proofErr w:type="gramStart"/>
                            <w:r>
                              <w:t>27  (</w:t>
                            </w:r>
                            <w:proofErr w:type="gramEnd"/>
                            <w:r>
                              <w:t>UNICEF, 2019)</w:t>
                            </w:r>
                          </w:p>
                        </w:txbxContent>
                      </wps:txbx>
                      <wps:bodyPr rot="0" spcFirstLastPara="0" vertOverflow="clip" horzOverflow="clip"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F6DBA4" id="Text Box 7" o:spid="_x0000_s1047" type="#_x0000_t202" style="position:absolute;margin-left:5.4pt;margin-top:154.65pt;width:120.6pt;height:21.6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" stroked="f">
                <v:textbox inset="0,0,0,0">
                  <w:txbxContent>
                    <w:p w14:paraId="2854FBD2" w14:textId="1CEA0343" w:rsidR="007A4F7F" w:rsidRDefault="007A4F7F" w:rsidP="007A4F7F">
                      <w:pPr>
                        <w:pStyle w:val="Caption"/>
                        <w:jc w:val="center"/>
                        <w:rPr>
                          <w:noProof/>
                        </w:rPr>
                      </w:pPr>
                      <w:r>
                        <w:t xml:space="preserve">UNCRC Article </w:t>
                      </w:r>
                      <w:proofErr w:type="gramStart"/>
                      <w:r>
                        <w:t>27  (</w:t>
                      </w:r>
                      <w:proofErr w:type="gramEnd"/>
                      <w:r>
                        <w:t>UNICEF, 2019)</w:t>
                      </w:r>
                    </w:p>
                  </w:txbxContent>
                </v:textbox>
                <w10:wrap type="through" anchorx="margin"/>
              </v:shape>
            </w:pict>
          </mc:Fallback>
        </mc:AlternateContent>
      </w:r>
      <w:r w:rsidR="009A303A" w:rsidRPr="00DC7A4E">
        <w:rPr>
          <w:rFonts w:ascii="Times New Roman" w:eastAsia="Times New Roman" w:hAnsi="Times New Roman" w:cs="Times New Roman"/>
          <w:noProof/>
          <w:kern w:val="0"/>
          <w:lang w:eastAsia="en-GB"/>
          <w14:ligatures w14:val="none"/>
        </w:rPr>
        <w:drawing>
          <wp:anchor distT="0" distB="0" distL="114300" distR="114300" simplePos="0" relativeHeight="251674624" behindDoc="0" locked="0" layoutInCell="1" allowOverlap="1" wp14:anchorId="69830B02" wp14:editId="0653F456">
            <wp:simplePos x="0" y="0"/>
            <wp:positionH relativeFrom="column">
              <wp:posOffset>0</wp:posOffset>
            </wp:positionH>
            <wp:positionV relativeFrom="paragraph">
              <wp:posOffset>-1270</wp:posOffset>
            </wp:positionV>
            <wp:extent cx="1684020" cy="2133600"/>
            <wp:effectExtent l="0" t="0" r="0" b="0"/>
            <wp:wrapSquare wrapText="bothSides"/>
            <wp:docPr id="2146668596" name="Picture 1" descr="A green sig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668596" name="Picture 1" descr="A green sign with white text&#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1684020" cy="2133600"/>
                    </a:xfrm>
                    <a:prstGeom prst="rect">
                      <a:avLst/>
                    </a:prstGeom>
                  </pic:spPr>
                </pic:pic>
              </a:graphicData>
            </a:graphic>
            <wp14:sizeRelH relativeFrom="page">
              <wp14:pctWidth>0</wp14:pctWidth>
            </wp14:sizeRelH>
            <wp14:sizeRelV relativeFrom="page">
              <wp14:pctHeight>0</wp14:pctHeight>
            </wp14:sizeRelV>
          </wp:anchor>
        </w:drawing>
      </w:r>
      <w:r w:rsidR="00F000C4" w:rsidRPr="00DC7A4E">
        <w:rPr>
          <w:rFonts w:ascii="Times New Roman" w:eastAsia="Times New Roman" w:hAnsi="Times New Roman" w:cs="Times New Roman"/>
          <w:kern w:val="0"/>
          <w:lang w:eastAsia="en-GB"/>
          <w14:ligatures w14:val="none"/>
        </w:rPr>
        <w:t xml:space="preserve"> </w:t>
      </w:r>
      <w:r w:rsidR="00B072A6">
        <w:rPr>
          <w:rFonts w:ascii="Times New Roman" w:eastAsia="Times New Roman" w:hAnsi="Times New Roman" w:cs="Times New Roman"/>
          <w:kern w:val="0"/>
          <w:lang w:eastAsia="en-GB"/>
          <w14:ligatures w14:val="none"/>
        </w:rPr>
        <w:t xml:space="preserve">     </w:t>
      </w:r>
      <w:r w:rsidR="00CB26AC">
        <w:rPr>
          <w:rFonts w:ascii="Times New Roman" w:eastAsia="Times New Roman" w:hAnsi="Times New Roman" w:cs="Times New Roman"/>
          <w:kern w:val="0"/>
          <w:lang w:eastAsia="en-GB"/>
          <w14:ligatures w14:val="none"/>
        </w:rPr>
        <w:t xml:space="preserve">Article 27 of the </w:t>
      </w:r>
      <w:r w:rsidR="00CB26AC" w:rsidRPr="00CB26AC">
        <w:rPr>
          <w:rFonts w:ascii="Times New Roman" w:eastAsia="Times New Roman" w:hAnsi="Times New Roman" w:cs="Times New Roman"/>
          <w:i/>
          <w:iCs/>
          <w:kern w:val="0"/>
          <w:lang w:eastAsia="en-GB"/>
          <w14:ligatures w14:val="none"/>
        </w:rPr>
        <w:t>UNCRC</w:t>
      </w:r>
      <w:r w:rsidR="00CB26AC">
        <w:rPr>
          <w:rFonts w:ascii="Times New Roman" w:eastAsia="Times New Roman" w:hAnsi="Times New Roman" w:cs="Times New Roman"/>
          <w:kern w:val="0"/>
          <w:lang w:eastAsia="en-GB"/>
          <w14:ligatures w14:val="none"/>
        </w:rPr>
        <w:t xml:space="preserve"> states that every child has the right to a sufficient standard of living for their growth and development. It places the responsibility on parents to ensure this standard and requires governments to assist families in need (The United Nations, 1989).</w:t>
      </w:r>
    </w:p>
    <w:p w14:paraId="24354521" w14:textId="31DD8540" w:rsidR="0078299E" w:rsidRPr="00DC7A4E" w:rsidRDefault="00B072A6" w:rsidP="00DC7A4E">
      <w:pPr>
        <w:spacing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2479DC" w:rsidRPr="00DC7A4E">
        <w:rPr>
          <w:rFonts w:ascii="Times New Roman" w:eastAsia="Times New Roman" w:hAnsi="Times New Roman" w:cs="Times New Roman"/>
          <w:kern w:val="0"/>
          <w:lang w:eastAsia="en-GB"/>
          <w14:ligatures w14:val="none"/>
        </w:rPr>
        <w:t xml:space="preserve"> </w:t>
      </w:r>
      <w:r w:rsidR="0036433A">
        <w:rPr>
          <w:rFonts w:ascii="Times New Roman" w:eastAsia="Times New Roman" w:hAnsi="Times New Roman" w:cs="Times New Roman"/>
          <w:kern w:val="0"/>
          <w:lang w:eastAsia="en-GB"/>
          <w14:ligatures w14:val="none"/>
        </w:rPr>
        <w:t xml:space="preserve">In the UK, the </w:t>
      </w:r>
      <w:r w:rsidR="0036433A" w:rsidRPr="0036433A">
        <w:rPr>
          <w:rFonts w:ascii="Times New Roman" w:eastAsia="Times New Roman" w:hAnsi="Times New Roman" w:cs="Times New Roman"/>
          <w:i/>
          <w:iCs/>
          <w:kern w:val="0"/>
          <w:lang w:eastAsia="en-GB"/>
          <w14:ligatures w14:val="none"/>
        </w:rPr>
        <w:t>Children Act 1989</w:t>
      </w:r>
      <w:r w:rsidR="0036433A" w:rsidRPr="00DC7A4E">
        <w:rPr>
          <w:rFonts w:ascii="Times New Roman" w:eastAsia="Times New Roman" w:hAnsi="Times New Roman" w:cs="Times New Roman"/>
          <w:kern w:val="0"/>
          <w:lang w:eastAsia="en-GB"/>
          <w14:ligatures w14:val="none"/>
        </w:rPr>
        <w:t xml:space="preserve"> strengthens this entitlement by </w:t>
      </w:r>
      <w:r w:rsidR="0036433A">
        <w:rPr>
          <w:rFonts w:ascii="Times New Roman" w:eastAsia="Times New Roman" w:hAnsi="Times New Roman" w:cs="Times New Roman"/>
          <w:kern w:val="0"/>
          <w:lang w:eastAsia="en-GB"/>
          <w14:ligatures w14:val="none"/>
        </w:rPr>
        <w:t>mandating local authorities to provide services that support the welfare of children in need, including safe accommodation, food access, and financial aid if needed (Department for Education, 2021).</w:t>
      </w:r>
    </w:p>
    <w:p w14:paraId="0199B2F0" w14:textId="64C9C72A" w:rsidR="00113F4F" w:rsidRPr="00530C24" w:rsidRDefault="00530C24"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r w:rsidRPr="00DC7A4E">
        <w:rPr>
          <w:rFonts w:ascii="Times New Roman" w:hAnsi="Times New Roman" w:cs="Times New Roman"/>
          <w:noProof/>
        </w:rPr>
        <w:drawing>
          <wp:anchor distT="0" distB="0" distL="114300" distR="114300" simplePos="0" relativeHeight="251673600" behindDoc="0" locked="0" layoutInCell="1" allowOverlap="1" wp14:anchorId="7398C7B1" wp14:editId="03FFC5CD">
            <wp:simplePos x="0" y="0"/>
            <wp:positionH relativeFrom="margin">
              <wp:posOffset>-22860</wp:posOffset>
            </wp:positionH>
            <wp:positionV relativeFrom="paragraph">
              <wp:posOffset>1753235</wp:posOffset>
            </wp:positionV>
            <wp:extent cx="2087245" cy="1676400"/>
            <wp:effectExtent l="0" t="0" r="8255" b="0"/>
            <wp:wrapSquare wrapText="bothSides"/>
            <wp:docPr id="1365687790"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791186" name="Picture 1">
                      <a:extLst>
                        <a:ext uri="{C183D7F6-B498-43B3-948B-1728B52AA6E4}">
                          <adec:decorative xmlns:adec="http://schemas.microsoft.com/office/drawing/2017/decorative" val="1"/>
                        </a:ext>
                      </a:extLst>
                    </pic:cNvPr>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087245" cy="1676400"/>
                    </a:xfrm>
                    <a:prstGeom prst="rect">
                      <a:avLst/>
                    </a:prstGeom>
                    <a:noFill/>
                    <a:ln>
                      <a:noFill/>
                    </a:ln>
                  </pic:spPr>
                </pic:pic>
              </a:graphicData>
            </a:graphic>
            <wp14:sizeRelV relativeFrom="margin">
              <wp14:pctHeight>0</wp14:pctHeight>
            </wp14:sizeRelV>
          </wp:anchor>
        </w:drawing>
      </w:r>
      <w:r w:rsidR="00DC7A4E" w:rsidRPr="00DC7A4E">
        <w:rPr>
          <w:rFonts w:ascii="Times New Roman" w:hAnsi="Times New Roman" w:cs="Times New Roman"/>
          <w:noProof/>
          <w:kern w:val="0"/>
          <w:lang w:eastAsia="en-GB"/>
          <w14:ligatures w14:val="none"/>
        </w:rPr>
        <mc:AlternateContent>
          <mc:Choice Requires="wps">
            <w:drawing>
              <wp:anchor distT="0" distB="0" distL="114300" distR="114300" simplePos="0" relativeHeight="251671552" behindDoc="0" locked="0" layoutInCell="1" allowOverlap="1" wp14:anchorId="59BA2010" wp14:editId="2487ACE0">
                <wp:simplePos x="0" y="0"/>
                <wp:positionH relativeFrom="page">
                  <wp:posOffset>4335780</wp:posOffset>
                </wp:positionH>
                <wp:positionV relativeFrom="paragraph">
                  <wp:posOffset>896620</wp:posOffset>
                </wp:positionV>
                <wp:extent cx="2957830" cy="276860"/>
                <wp:effectExtent l="0" t="0" r="0" b="0"/>
                <wp:wrapThrough wrapText="bothSides">
                  <wp:wrapPolygon edited="0">
                    <wp:start x="0" y="0"/>
                    <wp:lineTo x="0" y="20282"/>
                    <wp:lineTo x="21424" y="20282"/>
                    <wp:lineTo x="21424" y="0"/>
                    <wp:lineTo x="0" y="0"/>
                  </wp:wrapPolygon>
                </wp:wrapThrough>
                <wp:docPr id="1714466918" name="Text Box 5"/>
                <wp:cNvGraphicFramePr/>
                <a:graphic xmlns:a="http://schemas.openxmlformats.org/drawingml/2006/main">
                  <a:graphicData uri="http://schemas.microsoft.com/office/word/2010/wordprocessingShape">
                    <wps:wsp>
                      <wps:cNvSpPr txBox="1"/>
                      <wps:spPr>
                        <a:xfrm>
                          <a:off x="0" y="0"/>
                          <a:ext cx="2957830" cy="276860"/>
                        </a:xfrm>
                        <a:prstGeom prst="rect">
                          <a:avLst/>
                        </a:prstGeom>
                        <a:solidFill>
                          <a:prstClr val="white"/>
                        </a:solidFill>
                        <a:ln>
                          <a:noFill/>
                        </a:ln>
                      </wps:spPr>
                      <wps:txbx>
                        <w:txbxContent>
                          <w:p w14:paraId="546CF9A7" w14:textId="6FCF221C" w:rsidR="009B508D" w:rsidRDefault="009B508D" w:rsidP="009B508D">
                            <w:pPr>
                              <w:pStyle w:val="Caption"/>
                              <w:jc w:val="center"/>
                              <w:rPr>
                                <w:noProof/>
                              </w:rPr>
                            </w:pPr>
                            <w:r>
                              <w:t xml:space="preserve">Social determinants of health </w:t>
                            </w:r>
                            <w:r>
                              <w:rPr>
                                <w:noProof/>
                              </w:rPr>
                              <w:t>( Dahlgren and Whitehead, 1991)</w:t>
                            </w:r>
                          </w:p>
                        </w:txbxContent>
                      </wps:txbx>
                      <wps:bodyPr rot="0" spcFirstLastPara="0" vertOverflow="clip" horzOverflow="clip"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59BA2010" id="Text Box 5" o:spid="_x0000_s1048" type="#_x0000_t202" style="position:absolute;margin-left:341.4pt;margin-top:70.6pt;width:232.9pt;height:21.8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" stroked="f">
                <v:textbox style="mso-fit-shape-to-text:t" inset="0,0,0,0">
                  <w:txbxContent>
                    <w:p w14:paraId="546CF9A7" w14:textId="6FCF221C" w:rsidR="009B508D" w:rsidRDefault="009B508D" w:rsidP="009B508D">
                      <w:pPr>
                        <w:pStyle w:val="Caption"/>
                        <w:jc w:val="center"/>
                        <w:rPr>
                          <w:noProof/>
                        </w:rPr>
                      </w:pPr>
                      <w:r>
                        <w:t xml:space="preserve">Social determinants of health </w:t>
                      </w:r>
                      <w:r>
                        <w:rPr>
                          <w:noProof/>
                        </w:rPr>
                        <w:t>( Dahlgren and Whitehead, 1991)</w:t>
                      </w:r>
                    </w:p>
                  </w:txbxContent>
                </v:textbox>
                <w10:wrap type="through" anchorx="page"/>
              </v:shape>
            </w:pict>
          </mc:Fallback>
        </mc:AlternateContent>
      </w:r>
      <w:r w:rsidR="000D2F70" w:rsidRPr="00DC7A4E">
        <w:rPr>
          <w:rFonts w:ascii="Times New Roman" w:eastAsia="Times New Roman" w:hAnsi="Times New Roman" w:cs="Times New Roman"/>
          <w:kern w:val="0"/>
          <w:lang w:eastAsia="en-GB"/>
          <w14:ligatures w14:val="none"/>
        </w:rPr>
        <w:t xml:space="preserve">      </w:t>
      </w:r>
      <w:r w:rsidR="008E33F3">
        <w:rPr>
          <w:rFonts w:ascii="Times New Roman" w:eastAsia="Times New Roman" w:hAnsi="Times New Roman" w:cs="Times New Roman"/>
          <w:kern w:val="0"/>
          <w:lang w:eastAsia="en-GB"/>
          <w14:ligatures w14:val="none"/>
        </w:rPr>
        <w:t>This Article links to the Social Determinants of Health theory (Dahlgren and Whitehead, 1991), which shows that poverty, inadequate housing, and low family income negatively affect a child's development and health. For example, children in crowded or poorly insulated homes are at greater risk of physical, educational, and emotional challenges.</w:t>
      </w:r>
    </w:p>
    <w:p w14:paraId="3F2A16C2" w14:textId="7B0015DB" w:rsidR="00C0406A" w:rsidRPr="00DC7A4E" w:rsidRDefault="00801BBE" w:rsidP="00DC7A4E">
      <w:pPr>
        <w:spacing w:before="100" w:beforeAutospacing="1" w:after="100" w:afterAutospacing="1" w:line="360" w:lineRule="auto"/>
        <w:rPr>
          <w:rFonts w:ascii="Times New Roman" w:hAnsi="Times New Roman" w:cs="Times New Roman"/>
          <w:noProof/>
          <w:kern w:val="0"/>
          <w:lang w:eastAsia="en-GB"/>
          <w14:ligatures w14:val="none"/>
        </w:rPr>
      </w:pPr>
      <w:r w:rsidRPr="00DC7A4E">
        <w:rPr>
          <w:rFonts w:ascii="Times New Roman" w:hAnsi="Times New Roman" w:cs="Times New Roman"/>
          <w:noProof/>
          <w:kern w:val="0"/>
          <w:lang w:eastAsia="en-GB"/>
          <w14:ligatures w14:val="none"/>
        </w:rPr>
        <mc:AlternateContent>
          <mc:Choice Requires="wps">
            <w:drawing>
              <wp:anchor distT="0" distB="0" distL="114300" distR="114300" simplePos="0" relativeHeight="251682816" behindDoc="0" locked="0" layoutInCell="1" allowOverlap="1" wp14:anchorId="67E6E026" wp14:editId="3E30FD3E">
                <wp:simplePos x="0" y="0"/>
                <wp:positionH relativeFrom="margin">
                  <wp:align>left</wp:align>
                </wp:positionH>
                <wp:positionV relativeFrom="paragraph">
                  <wp:posOffset>1579245</wp:posOffset>
                </wp:positionV>
                <wp:extent cx="2080260" cy="304800"/>
                <wp:effectExtent l="0" t="0" r="0" b="0"/>
                <wp:wrapThrough wrapText="bothSides">
                  <wp:wrapPolygon edited="0">
                    <wp:start x="0" y="0"/>
                    <wp:lineTo x="0" y="20250"/>
                    <wp:lineTo x="21363" y="20250"/>
                    <wp:lineTo x="21363" y="0"/>
                    <wp:lineTo x="0" y="0"/>
                  </wp:wrapPolygon>
                </wp:wrapThrough>
                <wp:docPr id="1684458049" name="Text Box 9"/>
                <wp:cNvGraphicFramePr/>
                <a:graphic xmlns:a="http://schemas.openxmlformats.org/drawingml/2006/main">
                  <a:graphicData uri="http://schemas.microsoft.com/office/word/2010/wordprocessingShape">
                    <wps:wsp>
                      <wps:cNvSpPr txBox="1"/>
                      <wps:spPr>
                        <a:xfrm>
                          <a:off x="0" y="0"/>
                          <a:ext cx="2080260" cy="304800"/>
                        </a:xfrm>
                        <a:prstGeom prst="rect">
                          <a:avLst/>
                        </a:prstGeom>
                        <a:solidFill>
                          <a:prstClr val="white"/>
                        </a:solidFill>
                        <a:ln>
                          <a:noFill/>
                        </a:ln>
                      </wps:spPr>
                      <wps:txbx>
                        <w:txbxContent>
                          <w:p w14:paraId="1F31F84F" w14:textId="3F32561F" w:rsidR="009A202A" w:rsidRDefault="009A202A" w:rsidP="009A202A">
                            <w:pPr>
                              <w:pStyle w:val="Caption"/>
                              <w:jc w:val="center"/>
                              <w:rPr>
                                <w:noProof/>
                              </w:rPr>
                            </w:pPr>
                            <w:r>
                              <w:t>Maslow’s Hierarchy of Needs (</w:t>
                            </w:r>
                            <w:r w:rsidR="00801BBE">
                              <w:t>Herrity, 2025</w:t>
                            </w:r>
                            <w:r>
                              <w:t>)</w:t>
                            </w:r>
                          </w:p>
                        </w:txbxContent>
                      </wps:txbx>
                      <wps:bodyPr rot="0" spcFirstLastPara="0" vertOverflow="clip" horzOverflow="clip"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E6E026" id="Text Box 9" o:spid="_x0000_s1049" type="#_x0000_t202" style="position:absolute;margin-left:0;margin-top:124.35pt;width:163.8pt;height:24pt;z-index:2516828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" stroked="f">
                <v:textbox inset="0,0,0,0">
                  <w:txbxContent>
                    <w:p w14:paraId="1F31F84F" w14:textId="3F32561F" w:rsidR="009A202A" w:rsidRDefault="009A202A" w:rsidP="009A202A">
                      <w:pPr>
                        <w:pStyle w:val="Caption"/>
                        <w:jc w:val="center"/>
                        <w:rPr>
                          <w:noProof/>
                        </w:rPr>
                      </w:pPr>
                      <w:r>
                        <w:t>Maslow’s Hierarchy of Needs (</w:t>
                      </w:r>
                      <w:r w:rsidR="00801BBE">
                        <w:t>Herrity, 2025</w:t>
                      </w:r>
                      <w:r>
                        <w:t>)</w:t>
                      </w:r>
                    </w:p>
                  </w:txbxContent>
                </v:textbox>
                <w10:wrap type="through" anchorx="margin"/>
              </v:shape>
            </w:pict>
          </mc:Fallback>
        </mc:AlternateContent>
      </w:r>
      <w:r w:rsidR="00C90425" w:rsidRPr="00DC7A4E">
        <w:rPr>
          <w:rFonts w:ascii="Times New Roman" w:hAnsi="Times New Roman" w:cs="Times New Roman"/>
          <w:noProof/>
          <w:kern w:val="0"/>
          <w:lang w:eastAsia="en-GB"/>
          <w14:ligatures w14:val="none"/>
        </w:rPr>
        <w:t xml:space="preserve">    </w:t>
      </w:r>
      <w:r w:rsidR="00530C24">
        <w:rPr>
          <w:rFonts w:ascii="Times New Roman" w:hAnsi="Times New Roman" w:cs="Times New Roman"/>
          <w:noProof/>
          <w:kern w:val="0"/>
          <w:lang w:eastAsia="en-GB"/>
          <w14:ligatures w14:val="none"/>
        </w:rPr>
        <w:t xml:space="preserve"> </w:t>
      </w:r>
      <w:r w:rsidR="00B9244C">
        <w:rPr>
          <w:rFonts w:ascii="Times New Roman" w:hAnsi="Times New Roman" w:cs="Times New Roman"/>
          <w:noProof/>
          <w:kern w:val="0"/>
          <w:lang w:eastAsia="en-GB"/>
          <w14:ligatures w14:val="none"/>
        </w:rPr>
        <w:t>According to Maslow's (1954) theory,</w:t>
      </w:r>
      <w:r w:rsidR="00E6689A" w:rsidRPr="00DC7A4E">
        <w:rPr>
          <w:rFonts w:ascii="Times New Roman" w:hAnsi="Times New Roman" w:cs="Times New Roman"/>
          <w:noProof/>
          <w:kern w:val="0"/>
          <w:lang w:eastAsia="en-GB"/>
          <w14:ligatures w14:val="none"/>
        </w:rPr>
        <w:t xml:space="preserve"> fundamental needs</w:t>
      </w:r>
      <w:r w:rsidR="00C90425" w:rsidRPr="00DC7A4E">
        <w:rPr>
          <w:rFonts w:ascii="Times New Roman" w:hAnsi="Times New Roman" w:cs="Times New Roman"/>
          <w:noProof/>
          <w:kern w:val="0"/>
          <w:lang w:eastAsia="en-GB"/>
          <w14:ligatures w14:val="none"/>
        </w:rPr>
        <w:t xml:space="preserve"> </w:t>
      </w:r>
      <w:r w:rsidR="00E6689A" w:rsidRPr="00DC7A4E">
        <w:rPr>
          <w:rFonts w:ascii="Times New Roman" w:hAnsi="Times New Roman" w:cs="Times New Roman"/>
          <w:noProof/>
          <w:kern w:val="0"/>
          <w:lang w:eastAsia="en-GB"/>
          <w14:ligatures w14:val="none"/>
        </w:rPr>
        <w:t>such as food, shelter, and safety</w:t>
      </w:r>
      <w:r w:rsidR="00C90425" w:rsidRPr="00DC7A4E">
        <w:rPr>
          <w:rFonts w:ascii="Times New Roman" w:hAnsi="Times New Roman" w:cs="Times New Roman"/>
          <w:noProof/>
          <w:kern w:val="0"/>
          <w:lang w:eastAsia="en-GB"/>
          <w14:ligatures w14:val="none"/>
        </w:rPr>
        <w:t xml:space="preserve"> </w:t>
      </w:r>
      <w:r w:rsidR="00E6689A" w:rsidRPr="00DC7A4E">
        <w:rPr>
          <w:rFonts w:ascii="Times New Roman" w:hAnsi="Times New Roman" w:cs="Times New Roman"/>
          <w:noProof/>
          <w:kern w:val="0"/>
          <w:lang w:eastAsia="en-GB"/>
          <w14:ligatures w14:val="none"/>
        </w:rPr>
        <w:t xml:space="preserve">must be satisfied before a child can concentrate on higher-level requirements like education, self-esteem, and personal development. </w:t>
      </w:r>
      <w:r w:rsidR="00DA557C">
        <w:rPr>
          <w:rFonts w:ascii="Times New Roman" w:hAnsi="Times New Roman" w:cs="Times New Roman"/>
          <w:noProof/>
          <w:kern w:val="0"/>
          <w:lang w:eastAsia="en-GB"/>
          <w14:ligatures w14:val="none"/>
        </w:rPr>
        <w:t xml:space="preserve">Thus, Article 27 relates to the lower tiers of the pyramid, highlighting that </w:t>
      </w:r>
      <w:r w:rsidR="00EF061B">
        <w:rPr>
          <w:rFonts w:ascii="Times New Roman" w:hAnsi="Times New Roman" w:cs="Times New Roman"/>
          <w:noProof/>
          <w:kern w:val="0"/>
          <w:lang w:eastAsia="en-GB"/>
          <w14:ligatures w14:val="none"/>
        </w:rPr>
        <w:t>a child's comprehensive development is at risk without these essentials</w:t>
      </w:r>
      <w:r w:rsidR="00DA557C">
        <w:rPr>
          <w:rFonts w:ascii="Times New Roman" w:hAnsi="Times New Roman" w:cs="Times New Roman"/>
          <w:noProof/>
          <w:kern w:val="0"/>
          <w:lang w:eastAsia="en-GB"/>
          <w14:ligatures w14:val="none"/>
        </w:rPr>
        <w:t>.</w:t>
      </w:r>
    </w:p>
    <w:p w14:paraId="5F8FD052" w14:textId="5AFA3CD3" w:rsidR="00F11EFF" w:rsidRDefault="00C0406A"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r w:rsidRPr="00DC7A4E">
        <w:rPr>
          <w:rFonts w:ascii="Times New Roman" w:eastAsia="Times New Roman" w:hAnsi="Times New Roman" w:cs="Times New Roman"/>
          <w:kern w:val="0"/>
          <w:lang w:eastAsia="en-GB"/>
          <w14:ligatures w14:val="none"/>
        </w:rPr>
        <w:t xml:space="preserve">         </w:t>
      </w:r>
      <w:r w:rsidR="00801BBE" w:rsidRPr="00DC7A4E">
        <w:rPr>
          <w:rFonts w:ascii="Times New Roman" w:eastAsia="Times New Roman" w:hAnsi="Times New Roman" w:cs="Times New Roman"/>
          <w:kern w:val="0"/>
          <w:lang w:eastAsia="en-GB"/>
          <w14:ligatures w14:val="none"/>
        </w:rPr>
        <w:t xml:space="preserve"> </w:t>
      </w:r>
      <w:r w:rsidR="001079A7">
        <w:rPr>
          <w:rFonts w:ascii="Times New Roman" w:eastAsia="Times New Roman" w:hAnsi="Times New Roman" w:cs="Times New Roman"/>
          <w:kern w:val="0"/>
          <w:lang w:eastAsia="en-GB"/>
          <w14:ligatures w14:val="none"/>
        </w:rPr>
        <w:t xml:space="preserve">These frameworks </w:t>
      </w:r>
      <w:r w:rsidR="00A77D03">
        <w:rPr>
          <w:rFonts w:ascii="Times New Roman" w:eastAsia="Times New Roman" w:hAnsi="Times New Roman" w:cs="Times New Roman"/>
          <w:kern w:val="0"/>
          <w:lang w:eastAsia="en-GB"/>
          <w14:ligatures w14:val="none"/>
        </w:rPr>
        <w:t>emphasise</w:t>
      </w:r>
      <w:r w:rsidR="001079A7">
        <w:rPr>
          <w:rFonts w:ascii="Times New Roman" w:eastAsia="Times New Roman" w:hAnsi="Times New Roman" w:cs="Times New Roman"/>
          <w:kern w:val="0"/>
          <w:lang w:eastAsia="en-GB"/>
          <w14:ligatures w14:val="none"/>
        </w:rPr>
        <w:t xml:space="preserve"> a holistic view of children's wellbeing, highlighting the need for secure environments and financial stability for their growth and development, free from poverty and neglect</w:t>
      </w:r>
      <w:r w:rsidR="00F11EFF">
        <w:rPr>
          <w:rFonts w:ascii="Times New Roman" w:eastAsia="Times New Roman" w:hAnsi="Times New Roman" w:cs="Times New Roman"/>
          <w:kern w:val="0"/>
          <w:lang w:eastAsia="en-GB"/>
          <w14:ligatures w14:val="none"/>
        </w:rPr>
        <w:t xml:space="preserve">. </w:t>
      </w:r>
      <w:r w:rsidR="00754B70">
        <w:rPr>
          <w:rFonts w:ascii="Times New Roman" w:eastAsia="Times New Roman" w:hAnsi="Times New Roman" w:cs="Times New Roman"/>
          <w:kern w:val="0"/>
          <w:lang w:eastAsia="en-GB"/>
          <w14:ligatures w14:val="none"/>
        </w:rPr>
        <w:t>The uniformity of living standards in the UK is challenging in deprived areas, with about 4.3 million children in low-income families in 2023, making up 30% of all children and reflecting an increase from 2022 (Brown, 2024).</w:t>
      </w:r>
    </w:p>
    <w:p w14:paraId="6DE78DBA" w14:textId="641B5110" w:rsidR="00D13095" w:rsidRDefault="006E161C"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lastRenderedPageBreak/>
        <w:t xml:space="preserve">        </w:t>
      </w:r>
      <w:r w:rsidR="00A77D03">
        <w:rPr>
          <w:rFonts w:ascii="Times New Roman" w:eastAsia="Times New Roman" w:hAnsi="Times New Roman" w:cs="Times New Roman"/>
          <w:kern w:val="0"/>
          <w:lang w:eastAsia="en-GB"/>
          <w14:ligatures w14:val="none"/>
        </w:rPr>
        <w:t>The UK government should boost financial aid for low-income families, ensure affordable housing, and invest in early intervention to reduce child poverty</w:t>
      </w:r>
      <w:r w:rsidR="00CD3EB1">
        <w:rPr>
          <w:rFonts w:ascii="Times New Roman" w:eastAsia="Times New Roman" w:hAnsi="Times New Roman" w:cs="Times New Roman"/>
          <w:kern w:val="0"/>
          <w:lang w:eastAsia="en-GB"/>
          <w14:ligatures w14:val="none"/>
        </w:rPr>
        <w:t>, ultimately</w:t>
      </w:r>
      <w:r w:rsidR="00A77D03">
        <w:rPr>
          <w:rFonts w:ascii="Times New Roman" w:eastAsia="Times New Roman" w:hAnsi="Times New Roman" w:cs="Times New Roman"/>
          <w:kern w:val="0"/>
          <w:lang w:eastAsia="en-GB"/>
          <w14:ligatures w14:val="none"/>
        </w:rPr>
        <w:t xml:space="preserve"> addressing regional disparities to help every child thrive</w:t>
      </w:r>
      <w:r w:rsidR="00D13095">
        <w:rPr>
          <w:rFonts w:ascii="Times New Roman" w:eastAsia="Times New Roman" w:hAnsi="Times New Roman" w:cs="Times New Roman"/>
          <w:kern w:val="0"/>
          <w:lang w:eastAsia="en-GB"/>
          <w14:ligatures w14:val="none"/>
        </w:rPr>
        <w:t>.</w:t>
      </w:r>
    </w:p>
    <w:p w14:paraId="13B5A319" w14:textId="68CBE0CC" w:rsidR="004E769B" w:rsidRPr="00DC7A4E" w:rsidRDefault="004E769B" w:rsidP="00483293">
      <w:pPr>
        <w:pStyle w:val="Heading3"/>
        <w:jc w:val="center"/>
        <w:rPr>
          <w:rFonts w:eastAsia="Times New Roman"/>
          <w:lang w:eastAsia="en-GB"/>
        </w:rPr>
      </w:pPr>
      <w:bookmarkStart w:id="11" w:name="_Toc197532659"/>
      <w:r w:rsidRPr="00DC7A4E">
        <w:rPr>
          <w:rFonts w:eastAsia="Times New Roman"/>
          <w:lang w:eastAsia="en-GB"/>
        </w:rPr>
        <w:t>Blog 4: Article 28 – The Right to Education: Reali</w:t>
      </w:r>
      <w:r w:rsidR="00577BE6" w:rsidRPr="00DC7A4E">
        <w:rPr>
          <w:rFonts w:eastAsia="Times New Roman"/>
          <w:lang w:eastAsia="en-GB"/>
        </w:rPr>
        <w:t>s</w:t>
      </w:r>
      <w:r w:rsidRPr="00DC7A4E">
        <w:rPr>
          <w:rFonts w:eastAsia="Times New Roman"/>
          <w:lang w:eastAsia="en-GB"/>
        </w:rPr>
        <w:t>ing Children's Capabilities</w:t>
      </w:r>
      <w:bookmarkEnd w:id="11"/>
    </w:p>
    <w:p w14:paraId="264447EC" w14:textId="6AA8A26B" w:rsidR="004A4184" w:rsidRPr="00DC7A4E" w:rsidRDefault="0075186B"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r w:rsidRPr="00DC7A4E">
        <w:rPr>
          <w:rFonts w:ascii="Times New Roman" w:eastAsia="Times New Roman" w:hAnsi="Times New Roman" w:cs="Times New Roman"/>
          <w:noProof/>
          <w:kern w:val="0"/>
          <w:lang w:eastAsia="en-GB"/>
        </w:rPr>
        <mc:AlternateContent>
          <mc:Choice Requires="wps">
            <w:drawing>
              <wp:anchor distT="0" distB="0" distL="114300" distR="114300" simplePos="0" relativeHeight="251687936" behindDoc="0" locked="0" layoutInCell="1" allowOverlap="1" wp14:anchorId="63CDB92B" wp14:editId="4B78DA4A">
                <wp:simplePos x="0" y="0"/>
                <wp:positionH relativeFrom="column">
                  <wp:posOffset>-233095</wp:posOffset>
                </wp:positionH>
                <wp:positionV relativeFrom="paragraph">
                  <wp:posOffset>1604979</wp:posOffset>
                </wp:positionV>
                <wp:extent cx="2575560" cy="259080"/>
                <wp:effectExtent l="0" t="0" r="15240" b="26670"/>
                <wp:wrapSquare wrapText="bothSides"/>
                <wp:docPr id="476976238" name="Rectangle 13"/>
                <wp:cNvGraphicFramePr/>
                <a:graphic xmlns:a="http://schemas.openxmlformats.org/drawingml/2006/main">
                  <a:graphicData uri="http://schemas.microsoft.com/office/word/2010/wordprocessingShape">
                    <wps:wsp>
                      <wps:cNvSpPr/>
                      <wps:spPr>
                        <a:xfrm>
                          <a:off x="0" y="0"/>
                          <a:ext cx="2575560" cy="259080"/>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3C67E36" w14:textId="269517A4" w:rsidR="004A4184" w:rsidRPr="008834D8" w:rsidRDefault="004A4184" w:rsidP="004A4184">
                            <w:pPr>
                              <w:jc w:val="center"/>
                              <w:rPr>
                                <w:i/>
                                <w:iCs/>
                                <w:color w:val="000000" w:themeColor="text1"/>
                                <w:sz w:val="22"/>
                                <w:szCs w:val="22"/>
                              </w:rPr>
                            </w:pPr>
                            <w:r w:rsidRPr="008834D8">
                              <w:rPr>
                                <w:i/>
                                <w:iCs/>
                                <w:color w:val="000000" w:themeColor="text1"/>
                                <w:sz w:val="22"/>
                                <w:szCs w:val="22"/>
                              </w:rPr>
                              <w:t>UNCRC</w:t>
                            </w:r>
                            <w:r w:rsidR="008834D8" w:rsidRPr="008834D8">
                              <w:rPr>
                                <w:i/>
                                <w:iCs/>
                                <w:color w:val="000000" w:themeColor="text1"/>
                                <w:sz w:val="22"/>
                                <w:szCs w:val="22"/>
                              </w:rPr>
                              <w:t xml:space="preserve"> Article 28 (UNICEF,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3CDB92B" id="Rectangle 13" o:spid="_x0000_s1050" style="position:absolute;margin-left:-18.35pt;margin-top:126.4pt;width:202.8pt;height:20.4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" fillcolor="white [3212]" strokecolor="white [3212]" strokeweight="1.5pt">
                <v:textbox>
                  <w:txbxContent>
                    <w:p w14:paraId="13C67E36" w14:textId="269517A4" w:rsidR="004A4184" w:rsidRPr="008834D8" w:rsidRDefault="004A4184" w:rsidP="004A4184">
                      <w:pPr>
                        <w:jc w:val="center"/>
                        <w:rPr>
                          <w:i/>
                          <w:iCs/>
                          <w:color w:val="000000" w:themeColor="text1"/>
                          <w:sz w:val="22"/>
                          <w:szCs w:val="22"/>
                        </w:rPr>
                      </w:pPr>
                      <w:r w:rsidRPr="008834D8">
                        <w:rPr>
                          <w:i/>
                          <w:iCs/>
                          <w:color w:val="000000" w:themeColor="text1"/>
                          <w:sz w:val="22"/>
                          <w:szCs w:val="22"/>
                        </w:rPr>
                        <w:t>UNCRC</w:t>
                      </w:r>
                      <w:r w:rsidR="008834D8" w:rsidRPr="008834D8">
                        <w:rPr>
                          <w:i/>
                          <w:iCs/>
                          <w:color w:val="000000" w:themeColor="text1"/>
                          <w:sz w:val="22"/>
                          <w:szCs w:val="22"/>
                        </w:rPr>
                        <w:t xml:space="preserve"> Article 28 (UNICEF, 2019)</w:t>
                      </w:r>
                    </w:p>
                  </w:txbxContent>
                </v:textbox>
                <w10:wrap type="square"/>
              </v:rect>
            </w:pict>
          </mc:Fallback>
        </mc:AlternateContent>
      </w:r>
      <w:r w:rsidR="00D13095" w:rsidRPr="00DC7A4E">
        <w:rPr>
          <w:rFonts w:ascii="Times New Roman" w:eastAsia="Times New Roman" w:hAnsi="Times New Roman" w:cs="Times New Roman"/>
          <w:noProof/>
          <w:kern w:val="0"/>
          <w:lang w:eastAsia="en-GB"/>
          <w14:ligatures w14:val="none"/>
        </w:rPr>
        <w:drawing>
          <wp:anchor distT="0" distB="0" distL="114300" distR="114300" simplePos="0" relativeHeight="251683840" behindDoc="1" locked="0" layoutInCell="1" allowOverlap="1" wp14:anchorId="2843DD29" wp14:editId="786FFD06">
            <wp:simplePos x="0" y="0"/>
            <wp:positionH relativeFrom="margin">
              <wp:posOffset>244827</wp:posOffset>
            </wp:positionH>
            <wp:positionV relativeFrom="paragraph">
              <wp:posOffset>5025</wp:posOffset>
            </wp:positionV>
            <wp:extent cx="1828800" cy="1600200"/>
            <wp:effectExtent l="0" t="0" r="0" b="0"/>
            <wp:wrapTight wrapText="bothSides">
              <wp:wrapPolygon edited="0">
                <wp:start x="0" y="0"/>
                <wp:lineTo x="0" y="21343"/>
                <wp:lineTo x="21375" y="21343"/>
                <wp:lineTo x="21375" y="0"/>
                <wp:lineTo x="0" y="0"/>
              </wp:wrapPolygon>
            </wp:wrapTight>
            <wp:docPr id="448454219" name="Picture 1" descr="A sign with a person holding boo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454219" name="Picture 1" descr="A sign with a person holding books&#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1828800" cy="1600200"/>
                    </a:xfrm>
                    <a:prstGeom prst="rect">
                      <a:avLst/>
                    </a:prstGeom>
                  </pic:spPr>
                </pic:pic>
              </a:graphicData>
            </a:graphic>
            <wp14:sizeRelH relativeFrom="margin">
              <wp14:pctWidth>0</wp14:pctWidth>
            </wp14:sizeRelH>
            <wp14:sizeRelV relativeFrom="margin">
              <wp14:pctHeight>0</wp14:pctHeight>
            </wp14:sizeRelV>
          </wp:anchor>
        </w:drawing>
      </w:r>
      <w:r w:rsidR="004E769B" w:rsidRPr="00DC7A4E">
        <w:rPr>
          <w:rFonts w:ascii="Times New Roman" w:eastAsia="Times New Roman" w:hAnsi="Times New Roman" w:cs="Times New Roman"/>
          <w:b/>
          <w:bCs/>
          <w:kern w:val="0"/>
          <w:lang w:eastAsia="en-GB"/>
          <w14:ligatures w14:val="none"/>
        </w:rPr>
        <w:t xml:space="preserve">    </w:t>
      </w:r>
      <w:r w:rsidR="001C3D2C">
        <w:rPr>
          <w:rFonts w:ascii="Times New Roman" w:eastAsia="Times New Roman" w:hAnsi="Times New Roman" w:cs="Times New Roman"/>
          <w:kern w:val="0"/>
          <w:lang w:eastAsia="en-GB"/>
          <w14:ligatures w14:val="none"/>
        </w:rPr>
        <w:t xml:space="preserve">Article 28 of the </w:t>
      </w:r>
      <w:r w:rsidR="001C3D2C" w:rsidRPr="001C3D2C">
        <w:rPr>
          <w:rFonts w:ascii="Times New Roman" w:eastAsia="Times New Roman" w:hAnsi="Times New Roman" w:cs="Times New Roman"/>
          <w:i/>
          <w:iCs/>
          <w:kern w:val="0"/>
          <w:lang w:eastAsia="en-GB"/>
          <w14:ligatures w14:val="none"/>
        </w:rPr>
        <w:t>UNCRC</w:t>
      </w:r>
      <w:r w:rsidR="001C3D2C">
        <w:rPr>
          <w:rFonts w:ascii="Times New Roman" w:eastAsia="Times New Roman" w:hAnsi="Times New Roman" w:cs="Times New Roman"/>
          <w:kern w:val="0"/>
          <w:lang w:eastAsia="en-GB"/>
          <w14:ligatures w14:val="none"/>
        </w:rPr>
        <w:t xml:space="preserve"> recognises every child's right to education, urging governments to provide free and compulsory primary and secondary education, ensure access to higher education, promote consistent attendance, reduce dropout rates, and uphold dignity in </w:t>
      </w:r>
      <w:r w:rsidR="00D13095">
        <w:rPr>
          <w:rFonts w:ascii="Times New Roman" w:eastAsia="Times New Roman" w:hAnsi="Times New Roman" w:cs="Times New Roman"/>
          <w:kern w:val="0"/>
          <w:lang w:eastAsia="en-GB"/>
          <w14:ligatures w14:val="none"/>
        </w:rPr>
        <w:t xml:space="preserve">the </w:t>
      </w:r>
      <w:r w:rsidR="001C3D2C">
        <w:rPr>
          <w:rFonts w:ascii="Times New Roman" w:eastAsia="Times New Roman" w:hAnsi="Times New Roman" w:cs="Times New Roman"/>
          <w:kern w:val="0"/>
          <w:lang w:eastAsia="en-GB"/>
          <w14:ligatures w14:val="none"/>
        </w:rPr>
        <w:t>discipline.</w:t>
      </w:r>
    </w:p>
    <w:p w14:paraId="05C4EED0" w14:textId="4D53B991" w:rsidR="001F7C3C" w:rsidRDefault="0085720F"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r w:rsidRPr="00DC7A4E">
        <w:rPr>
          <w:rFonts w:ascii="Times New Roman" w:hAnsi="Times New Roman" w:cs="Times New Roman"/>
          <w:noProof/>
        </w:rPr>
        <w:drawing>
          <wp:anchor distT="0" distB="0" distL="114300" distR="114300" simplePos="0" relativeHeight="251685888" behindDoc="0" locked="0" layoutInCell="1" allowOverlap="1" wp14:anchorId="3EB0D2C0" wp14:editId="7B4AD6A6">
            <wp:simplePos x="0" y="0"/>
            <wp:positionH relativeFrom="column">
              <wp:posOffset>3360420</wp:posOffset>
            </wp:positionH>
            <wp:positionV relativeFrom="paragraph">
              <wp:posOffset>1447165</wp:posOffset>
            </wp:positionV>
            <wp:extent cx="2537460" cy="1589405"/>
            <wp:effectExtent l="0" t="0" r="0" b="0"/>
            <wp:wrapSquare wrapText="bothSides"/>
            <wp:docPr id="324951507" name="Picture 12" descr="A diagram of a student's understan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951507" name="Picture 12" descr="A diagram of a student's understanding&#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537460" cy="15894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77BE6" w:rsidRPr="00DC7A4E">
        <w:rPr>
          <w:rFonts w:ascii="Times New Roman" w:hAnsi="Times New Roman" w:cs="Times New Roman"/>
          <w:noProof/>
          <w:kern w:val="0"/>
          <w:lang w:eastAsia="en-GB"/>
          <w14:ligatures w14:val="none"/>
        </w:rPr>
        <mc:AlternateContent>
          <mc:Choice Requires="wps">
            <w:drawing>
              <wp:anchor distT="0" distB="0" distL="114300" distR="114300" simplePos="0" relativeHeight="251689984" behindDoc="0" locked="0" layoutInCell="1" allowOverlap="1" wp14:anchorId="30C0F621" wp14:editId="765B1C0D">
                <wp:simplePos x="0" y="0"/>
                <wp:positionH relativeFrom="column">
                  <wp:posOffset>3505200</wp:posOffset>
                </wp:positionH>
                <wp:positionV relativeFrom="paragraph">
                  <wp:posOffset>3036570</wp:posOffset>
                </wp:positionV>
                <wp:extent cx="2004060" cy="487680"/>
                <wp:effectExtent l="0" t="0" r="15240" b="26670"/>
                <wp:wrapSquare wrapText="bothSides"/>
                <wp:docPr id="488906678" name="Rectangle 10"/>
                <wp:cNvGraphicFramePr/>
                <a:graphic xmlns:a="http://schemas.openxmlformats.org/drawingml/2006/main">
                  <a:graphicData uri="http://schemas.microsoft.com/office/word/2010/wordprocessingShape">
                    <wps:wsp>
                      <wps:cNvSpPr/>
                      <wps:spPr>
                        <a:xfrm>
                          <a:off x="0" y="0"/>
                          <a:ext cx="2004060" cy="487680"/>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5AF1D89" w14:textId="56C237D3" w:rsidR="00997C74" w:rsidRPr="00577BE6" w:rsidRDefault="00997C74" w:rsidP="00997C74">
                            <w:pPr>
                              <w:jc w:val="center"/>
                              <w:rPr>
                                <w:rFonts w:ascii="Arial" w:hAnsi="Arial" w:cs="Arial"/>
                                <w:i/>
                                <w:iCs/>
                                <w:color w:val="000000" w:themeColor="text1"/>
                                <w:sz w:val="20"/>
                                <w:szCs w:val="20"/>
                              </w:rPr>
                            </w:pPr>
                            <w:r w:rsidRPr="00577BE6">
                              <w:rPr>
                                <w:rFonts w:ascii="Arial" w:eastAsia="Times New Roman" w:hAnsi="Arial" w:cs="Arial"/>
                                <w:i/>
                                <w:iCs/>
                                <w:color w:val="000000" w:themeColor="text1"/>
                                <w:kern w:val="0"/>
                                <w:sz w:val="20"/>
                                <w:szCs w:val="20"/>
                                <w:lang w:eastAsia="en-GB"/>
                                <w14:ligatures w14:val="none"/>
                              </w:rPr>
                              <w:t>Vygotsky’s Sociocultural theory</w:t>
                            </w:r>
                            <w:r w:rsidR="00D00A82" w:rsidRPr="00577BE6">
                              <w:rPr>
                                <w:rFonts w:ascii="Arial" w:eastAsia="Times New Roman" w:hAnsi="Arial" w:cs="Arial"/>
                                <w:i/>
                                <w:iCs/>
                                <w:color w:val="000000" w:themeColor="text1"/>
                                <w:kern w:val="0"/>
                                <w:sz w:val="20"/>
                                <w:szCs w:val="20"/>
                                <w:lang w:eastAsia="en-GB"/>
                                <w14:ligatures w14:val="none"/>
                              </w:rPr>
                              <w:t xml:space="preserve"> </w:t>
                            </w:r>
                            <w:r w:rsidR="00577BE6" w:rsidRPr="00577BE6">
                              <w:rPr>
                                <w:rFonts w:ascii="Arial" w:eastAsia="Times New Roman" w:hAnsi="Arial" w:cs="Arial"/>
                                <w:i/>
                                <w:iCs/>
                                <w:color w:val="000000" w:themeColor="text1"/>
                                <w:kern w:val="0"/>
                                <w:sz w:val="20"/>
                                <w:szCs w:val="20"/>
                                <w:lang w:eastAsia="en-GB"/>
                                <w14:ligatures w14:val="none"/>
                              </w:rPr>
                              <w:t>(</w:t>
                            </w:r>
                            <w:r w:rsidR="00D00A82" w:rsidRPr="00577BE6">
                              <w:rPr>
                                <w:rFonts w:ascii="Arial" w:hAnsi="Arial" w:cs="Arial"/>
                                <w:i/>
                                <w:iCs/>
                                <w:color w:val="000000" w:themeColor="text1"/>
                                <w:sz w:val="20"/>
                                <w:szCs w:val="20"/>
                              </w:rPr>
                              <w:t xml:space="preserve">Kurt, 2022) </w:t>
                            </w:r>
                            <w:r w:rsidRPr="00577BE6">
                              <w:rPr>
                                <w:rFonts w:ascii="Arial" w:eastAsia="Times New Roman" w:hAnsi="Arial" w:cs="Arial"/>
                                <w:i/>
                                <w:iCs/>
                                <w:color w:val="000000" w:themeColor="text1"/>
                                <w:kern w:val="0"/>
                                <w:sz w:val="20"/>
                                <w:szCs w:val="20"/>
                                <w:lang w:eastAsia="en-GB"/>
                                <w14:ligatures w14:val="none"/>
                              </w:rPr>
                              <w:t xml:space="preserve">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30C0F621" id="Rectangle 10" o:spid="_x0000_s1051" style="position:absolute;margin-left:276pt;margin-top:239.1pt;width:157.8pt;height:38.4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" fillcolor="white [3212]" strokecolor="white [3212]" strokeweight="1.5pt">
                <v:textbox>
                  <w:txbxContent>
                    <w:p w14:paraId="75AF1D89" w14:textId="56C237D3" w:rsidR="00997C74" w:rsidRPr="00577BE6" w:rsidRDefault="00997C74" w:rsidP="00997C74">
                      <w:pPr>
                        <w:jc w:val="center"/>
                        <w:rPr>
                          <w:rFonts w:ascii="Arial" w:hAnsi="Arial" w:cs="Arial"/>
                          <w:i/>
                          <w:iCs/>
                          <w:color w:val="000000" w:themeColor="text1"/>
                          <w:sz w:val="20"/>
                          <w:szCs w:val="20"/>
                        </w:rPr>
                      </w:pPr>
                      <w:r w:rsidRPr="00577BE6">
                        <w:rPr>
                          <w:rFonts w:ascii="Arial" w:eastAsia="Times New Roman" w:hAnsi="Arial" w:cs="Arial"/>
                          <w:i/>
                          <w:iCs/>
                          <w:color w:val="000000" w:themeColor="text1"/>
                          <w:kern w:val="0"/>
                          <w:sz w:val="20"/>
                          <w:szCs w:val="20"/>
                          <w:lang w:eastAsia="en-GB"/>
                          <w14:ligatures w14:val="none"/>
                        </w:rPr>
                        <w:t>Vygotsky’s Sociocultural theory</w:t>
                      </w:r>
                      <w:r w:rsidR="00D00A82" w:rsidRPr="00577BE6">
                        <w:rPr>
                          <w:rFonts w:ascii="Arial" w:eastAsia="Times New Roman" w:hAnsi="Arial" w:cs="Arial"/>
                          <w:i/>
                          <w:iCs/>
                          <w:color w:val="000000" w:themeColor="text1"/>
                          <w:kern w:val="0"/>
                          <w:sz w:val="20"/>
                          <w:szCs w:val="20"/>
                          <w:lang w:eastAsia="en-GB"/>
                          <w14:ligatures w14:val="none"/>
                        </w:rPr>
                        <w:t xml:space="preserve"> </w:t>
                      </w:r>
                      <w:r w:rsidR="00577BE6" w:rsidRPr="00577BE6">
                        <w:rPr>
                          <w:rFonts w:ascii="Arial" w:eastAsia="Times New Roman" w:hAnsi="Arial" w:cs="Arial"/>
                          <w:i/>
                          <w:iCs/>
                          <w:color w:val="000000" w:themeColor="text1"/>
                          <w:kern w:val="0"/>
                          <w:sz w:val="20"/>
                          <w:szCs w:val="20"/>
                          <w:lang w:eastAsia="en-GB"/>
                          <w14:ligatures w14:val="none"/>
                        </w:rPr>
                        <w:t>(</w:t>
                      </w:r>
                      <w:r w:rsidR="00D00A82" w:rsidRPr="00577BE6">
                        <w:rPr>
                          <w:rFonts w:ascii="Arial" w:hAnsi="Arial" w:cs="Arial"/>
                          <w:i/>
                          <w:iCs/>
                          <w:color w:val="000000" w:themeColor="text1"/>
                          <w:sz w:val="20"/>
                          <w:szCs w:val="20"/>
                        </w:rPr>
                        <w:t xml:space="preserve">Kurt, 2022) </w:t>
                      </w:r>
                      <w:r w:rsidRPr="00577BE6">
                        <w:rPr>
                          <w:rFonts w:ascii="Arial" w:eastAsia="Times New Roman" w:hAnsi="Arial" w:cs="Arial"/>
                          <w:i/>
                          <w:iCs/>
                          <w:color w:val="000000" w:themeColor="text1"/>
                          <w:kern w:val="0"/>
                          <w:sz w:val="20"/>
                          <w:szCs w:val="20"/>
                          <w:lang w:eastAsia="en-GB"/>
                          <w14:ligatures w14:val="none"/>
                        </w:rPr>
                        <w:t xml:space="preserve"> </w:t>
                      </w:r>
                    </w:p>
                  </w:txbxContent>
                </v:textbox>
                <w10:wrap type="square"/>
              </v:rect>
            </w:pict>
          </mc:Fallback>
        </mc:AlternateContent>
      </w:r>
      <w:r w:rsidR="008834D8" w:rsidRPr="00DC7A4E">
        <w:rPr>
          <w:rFonts w:ascii="Times New Roman" w:eastAsia="Times New Roman" w:hAnsi="Times New Roman" w:cs="Times New Roman"/>
          <w:kern w:val="0"/>
          <w:lang w:eastAsia="en-GB"/>
          <w14:ligatures w14:val="none"/>
        </w:rPr>
        <w:t xml:space="preserve">  </w:t>
      </w:r>
      <w:r w:rsidR="001C3D2C">
        <w:rPr>
          <w:rFonts w:ascii="Times New Roman" w:eastAsia="Times New Roman" w:hAnsi="Times New Roman" w:cs="Times New Roman"/>
          <w:kern w:val="0"/>
          <w:lang w:eastAsia="en-GB"/>
          <w14:ligatures w14:val="none"/>
        </w:rPr>
        <w:t xml:space="preserve"> </w:t>
      </w:r>
      <w:r w:rsidR="008834D8" w:rsidRPr="00DC7A4E">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 xml:space="preserve">In the UK, this Article is </w:t>
      </w:r>
      <w:r w:rsidR="00483293">
        <w:rPr>
          <w:rFonts w:ascii="Times New Roman" w:eastAsia="Times New Roman" w:hAnsi="Times New Roman" w:cs="Times New Roman"/>
          <w:kern w:val="0"/>
          <w:lang w:eastAsia="en-GB"/>
          <w14:ligatures w14:val="none"/>
        </w:rPr>
        <w:t>included</w:t>
      </w:r>
      <w:r>
        <w:rPr>
          <w:rFonts w:ascii="Times New Roman" w:eastAsia="Times New Roman" w:hAnsi="Times New Roman" w:cs="Times New Roman"/>
          <w:kern w:val="0"/>
          <w:lang w:eastAsia="en-GB"/>
          <w14:ligatures w14:val="none"/>
        </w:rPr>
        <w:t xml:space="preserve"> in the </w:t>
      </w:r>
      <w:r w:rsidRPr="0085720F">
        <w:rPr>
          <w:rFonts w:ascii="Times New Roman" w:eastAsia="Times New Roman" w:hAnsi="Times New Roman" w:cs="Times New Roman"/>
          <w:i/>
          <w:iCs/>
          <w:kern w:val="0"/>
          <w:lang w:eastAsia="en-GB"/>
          <w14:ligatures w14:val="none"/>
        </w:rPr>
        <w:t>Education Act 1996</w:t>
      </w:r>
      <w:r>
        <w:rPr>
          <w:rFonts w:ascii="Times New Roman" w:eastAsia="Times New Roman" w:hAnsi="Times New Roman" w:cs="Times New Roman"/>
          <w:kern w:val="0"/>
          <w:lang w:eastAsia="en-GB"/>
          <w14:ligatures w14:val="none"/>
        </w:rPr>
        <w:t xml:space="preserve">, which requires that children receive education from </w:t>
      </w:r>
      <w:r w:rsidR="00483293">
        <w:rPr>
          <w:rFonts w:ascii="Times New Roman" w:eastAsia="Times New Roman" w:hAnsi="Times New Roman" w:cs="Times New Roman"/>
          <w:kern w:val="0"/>
          <w:lang w:eastAsia="en-GB"/>
          <w14:ligatures w14:val="none"/>
        </w:rPr>
        <w:t xml:space="preserve">ages </w:t>
      </w:r>
      <w:r>
        <w:rPr>
          <w:rFonts w:ascii="Times New Roman" w:eastAsia="Times New Roman" w:hAnsi="Times New Roman" w:cs="Times New Roman"/>
          <w:kern w:val="0"/>
          <w:lang w:eastAsia="en-GB"/>
          <w14:ligatures w14:val="none"/>
        </w:rPr>
        <w:t xml:space="preserve">5 to 16. Meanwhile, the </w:t>
      </w:r>
      <w:r w:rsidRPr="0085720F">
        <w:rPr>
          <w:rFonts w:ascii="Times New Roman" w:eastAsia="Times New Roman" w:hAnsi="Times New Roman" w:cs="Times New Roman"/>
          <w:i/>
          <w:iCs/>
          <w:kern w:val="0"/>
          <w:lang w:eastAsia="en-GB"/>
          <w14:ligatures w14:val="none"/>
        </w:rPr>
        <w:t>Children and Families Act 2014</w:t>
      </w:r>
      <w:r>
        <w:rPr>
          <w:rFonts w:ascii="Times New Roman" w:eastAsia="Times New Roman" w:hAnsi="Times New Roman" w:cs="Times New Roman"/>
          <w:kern w:val="0"/>
          <w:lang w:eastAsia="en-GB"/>
          <w14:ligatures w14:val="none"/>
        </w:rPr>
        <w:t xml:space="preserve"> establishes Education, Health and Care Plans (EHCPs) for children with special educational needs and disabilities (SEND), fostering equality and helping all children achieve their potential.</w:t>
      </w:r>
    </w:p>
    <w:p w14:paraId="0D692C14" w14:textId="4CFC5965" w:rsidR="004A4184" w:rsidRPr="00DC7A4E" w:rsidRDefault="0065667D" w:rsidP="00DC7A4E">
      <w:pPr>
        <w:spacing w:before="100" w:beforeAutospacing="1" w:after="100" w:afterAutospacing="1" w:line="360" w:lineRule="auto"/>
        <w:rPr>
          <w:rStyle w:val="Strong"/>
          <w:rFonts w:ascii="Times New Roman" w:eastAsia="Times New Roman" w:hAnsi="Times New Roman" w:cs="Times New Roman"/>
          <w:b w:val="0"/>
          <w:bCs w:val="0"/>
          <w:kern w:val="0"/>
          <w:lang w:eastAsia="en-GB"/>
          <w14:ligatures w14:val="none"/>
        </w:rPr>
      </w:pPr>
      <w:r w:rsidRPr="00DC7A4E">
        <w:rPr>
          <w:rFonts w:ascii="Times New Roman" w:hAnsi="Times New Roman" w:cs="Times New Roman"/>
          <w:noProof/>
        </w:rPr>
        <w:drawing>
          <wp:anchor distT="0" distB="0" distL="114300" distR="114300" simplePos="0" relativeHeight="251686912" behindDoc="0" locked="0" layoutInCell="1" allowOverlap="1" wp14:anchorId="62632C8A" wp14:editId="011987BC">
            <wp:simplePos x="0" y="0"/>
            <wp:positionH relativeFrom="column">
              <wp:posOffset>-54610</wp:posOffset>
            </wp:positionH>
            <wp:positionV relativeFrom="paragraph">
              <wp:posOffset>2135505</wp:posOffset>
            </wp:positionV>
            <wp:extent cx="2544445" cy="1379220"/>
            <wp:effectExtent l="0" t="0" r="8255" b="0"/>
            <wp:wrapSquare wrapText="bothSides"/>
            <wp:docPr id="1812834485" name="Picture 10" descr="A diagram of different stages of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834485" name="Picture 10" descr="A diagram of different stages of development&#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544445" cy="1379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F7C3C">
        <w:rPr>
          <w:rFonts w:ascii="Times New Roman" w:eastAsia="Times New Roman" w:hAnsi="Times New Roman" w:cs="Times New Roman"/>
          <w:kern w:val="0"/>
          <w:lang w:eastAsia="en-GB"/>
          <w14:ligatures w14:val="none"/>
        </w:rPr>
        <w:t xml:space="preserve">      </w:t>
      </w:r>
      <w:r w:rsidR="00D45E53">
        <w:rPr>
          <w:rFonts w:ascii="Times New Roman" w:eastAsia="Times New Roman" w:hAnsi="Times New Roman" w:cs="Times New Roman"/>
          <w:kern w:val="0"/>
          <w:lang w:eastAsia="en-GB"/>
          <w14:ligatures w14:val="none"/>
        </w:rPr>
        <w:t xml:space="preserve">Vygotsky's (1962) Sociocultural theory </w:t>
      </w:r>
      <w:r w:rsidR="00D54F0A">
        <w:rPr>
          <w:rFonts w:ascii="Times New Roman" w:eastAsia="Times New Roman" w:hAnsi="Times New Roman" w:cs="Times New Roman"/>
          <w:kern w:val="0"/>
          <w:lang w:eastAsia="en-GB"/>
          <w14:ligatures w14:val="none"/>
        </w:rPr>
        <w:t xml:space="preserve">emphasises effective education through building on existing skills with support from knowledgeable individuals, </w:t>
      </w:r>
      <w:r w:rsidR="00E275C2">
        <w:rPr>
          <w:rFonts w:ascii="Times New Roman" w:eastAsia="Times New Roman" w:hAnsi="Times New Roman" w:cs="Times New Roman"/>
          <w:kern w:val="0"/>
          <w:lang w:eastAsia="en-GB"/>
          <w14:ligatures w14:val="none"/>
        </w:rPr>
        <w:t>sustaining</w:t>
      </w:r>
      <w:r w:rsidR="00D54F0A">
        <w:rPr>
          <w:rFonts w:ascii="Times New Roman" w:eastAsia="Times New Roman" w:hAnsi="Times New Roman" w:cs="Times New Roman"/>
          <w:kern w:val="0"/>
          <w:lang w:eastAsia="en-GB"/>
          <w14:ligatures w14:val="none"/>
        </w:rPr>
        <w:t xml:space="preserve"> personalised learning and inclusion, which directly relates to Article 28. </w:t>
      </w:r>
      <w:r w:rsidR="00F62321">
        <w:rPr>
          <w:rFonts w:ascii="Times New Roman" w:eastAsia="Times New Roman" w:hAnsi="Times New Roman" w:cs="Times New Roman"/>
          <w:kern w:val="0"/>
          <w:lang w:eastAsia="en-GB"/>
          <w14:ligatures w14:val="none"/>
        </w:rPr>
        <w:t xml:space="preserve">Hence, this </w:t>
      </w:r>
      <w:r w:rsidR="00D13095">
        <w:rPr>
          <w:rFonts w:ascii="Times New Roman" w:eastAsia="Times New Roman" w:hAnsi="Times New Roman" w:cs="Times New Roman"/>
          <w:kern w:val="0"/>
          <w:lang w:eastAsia="en-GB"/>
          <w14:ligatures w14:val="none"/>
        </w:rPr>
        <w:t>A</w:t>
      </w:r>
      <w:r w:rsidR="00F62321">
        <w:rPr>
          <w:rFonts w:ascii="Times New Roman" w:eastAsia="Times New Roman" w:hAnsi="Times New Roman" w:cs="Times New Roman"/>
          <w:kern w:val="0"/>
          <w:lang w:eastAsia="en-GB"/>
          <w14:ligatures w14:val="none"/>
        </w:rPr>
        <w:t>rticle promotes empowerment through education and ensures wellbeing by encouraging inclusion and participation.</w:t>
      </w:r>
    </w:p>
    <w:p w14:paraId="00635088" w14:textId="4CC02ECB" w:rsidR="00CC54B8" w:rsidRPr="00DC7A4E" w:rsidRDefault="003E610F" w:rsidP="00DC7A4E">
      <w:pPr>
        <w:spacing w:line="360" w:lineRule="auto"/>
        <w:rPr>
          <w:rFonts w:ascii="Times New Roman" w:eastAsia="Times New Roman" w:hAnsi="Times New Roman" w:cs="Times New Roman"/>
          <w:kern w:val="0"/>
          <w:lang w:eastAsia="en-GB"/>
          <w14:ligatures w14:val="none"/>
        </w:rPr>
      </w:pPr>
      <w:r w:rsidRPr="00DC7A4E">
        <w:rPr>
          <w:rFonts w:ascii="Times New Roman" w:eastAsia="Times New Roman" w:hAnsi="Times New Roman" w:cs="Times New Roman"/>
          <w:noProof/>
          <w:kern w:val="0"/>
          <w:lang w:eastAsia="en-GB"/>
        </w:rPr>
        <mc:AlternateContent>
          <mc:Choice Requires="wps">
            <w:drawing>
              <wp:anchor distT="0" distB="0" distL="114300" distR="114300" simplePos="0" relativeHeight="251691008" behindDoc="0" locked="0" layoutInCell="1" allowOverlap="1" wp14:anchorId="335E4A65" wp14:editId="20501BDB">
                <wp:simplePos x="0" y="0"/>
                <wp:positionH relativeFrom="margin">
                  <wp:align>left</wp:align>
                </wp:positionH>
                <wp:positionV relativeFrom="paragraph">
                  <wp:posOffset>752475</wp:posOffset>
                </wp:positionV>
                <wp:extent cx="2392680" cy="419100"/>
                <wp:effectExtent l="0" t="0" r="26670" b="19050"/>
                <wp:wrapSquare wrapText="bothSides"/>
                <wp:docPr id="235286179" name="Rectangle 11"/>
                <wp:cNvGraphicFramePr/>
                <a:graphic xmlns:a="http://schemas.openxmlformats.org/drawingml/2006/main">
                  <a:graphicData uri="http://schemas.microsoft.com/office/word/2010/wordprocessingShape">
                    <wps:wsp>
                      <wps:cNvSpPr/>
                      <wps:spPr>
                        <a:xfrm>
                          <a:off x="0" y="0"/>
                          <a:ext cx="2392680" cy="419100"/>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txbx>
                        <w:txbxContent>
                          <w:p w14:paraId="2F277BF7" w14:textId="772FB18E" w:rsidR="00755B36" w:rsidRPr="003E610F" w:rsidRDefault="00755B36" w:rsidP="00755B36">
                            <w:pPr>
                              <w:jc w:val="center"/>
                              <w:rPr>
                                <w:rFonts w:ascii="Arial" w:hAnsi="Arial" w:cs="Arial"/>
                                <w:i/>
                                <w:iCs/>
                                <w:color w:val="000000" w:themeColor="text1"/>
                                <w:sz w:val="20"/>
                                <w:szCs w:val="20"/>
                              </w:rPr>
                            </w:pPr>
                            <w:r w:rsidRPr="003E610F">
                              <w:rPr>
                                <w:rStyle w:val="Strong"/>
                                <w:rFonts w:ascii="Arial" w:hAnsi="Arial" w:cs="Arial"/>
                                <w:b w:val="0"/>
                                <w:bCs w:val="0"/>
                                <w:i/>
                                <w:iCs/>
                                <w:color w:val="000000" w:themeColor="text1"/>
                                <w:sz w:val="20"/>
                                <w:szCs w:val="20"/>
                              </w:rPr>
                              <w:t>Piaget’s Cognitive Development Theory</w:t>
                            </w:r>
                            <w:r w:rsidR="003E610F" w:rsidRPr="003E610F">
                              <w:rPr>
                                <w:rStyle w:val="Strong"/>
                                <w:rFonts w:ascii="Arial" w:hAnsi="Arial" w:cs="Arial"/>
                                <w:b w:val="0"/>
                                <w:bCs w:val="0"/>
                                <w:i/>
                                <w:iCs/>
                                <w:color w:val="000000" w:themeColor="text1"/>
                                <w:sz w:val="20"/>
                                <w:szCs w:val="20"/>
                              </w:rPr>
                              <w:t xml:space="preserve"> (</w:t>
                            </w:r>
                            <w:r w:rsidR="003E610F" w:rsidRPr="003E610F">
                              <w:rPr>
                                <w:rFonts w:ascii="Arial" w:hAnsi="Arial" w:cs="Arial"/>
                                <w:i/>
                                <w:iCs/>
                                <w:color w:val="000000" w:themeColor="text1"/>
                                <w:sz w:val="20"/>
                                <w:szCs w:val="20"/>
                              </w:rPr>
                              <w:t xml:space="preserve">McLeod, 2024)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5E4A65" id="Rectangle 11" o:spid="_x0000_s1052" style="position:absolute;margin-left:0;margin-top:59.25pt;width:188.4pt;height:33pt;z-index:2516910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" fillcolor="white [3201]" strokecolor="white [3212]" strokeweight="1.5pt">
                <v:textbox>
                  <w:txbxContent>
                    <w:p w14:paraId="2F277BF7" w14:textId="772FB18E" w:rsidR="00755B36" w:rsidRPr="003E610F" w:rsidRDefault="00755B36" w:rsidP="00755B36">
                      <w:pPr>
                        <w:jc w:val="center"/>
                        <w:rPr>
                          <w:rFonts w:ascii="Arial" w:hAnsi="Arial" w:cs="Arial"/>
                          <w:i/>
                          <w:iCs/>
                          <w:color w:val="000000" w:themeColor="text1"/>
                          <w:sz w:val="20"/>
                          <w:szCs w:val="20"/>
                        </w:rPr>
                      </w:pPr>
                      <w:r w:rsidRPr="003E610F">
                        <w:rPr>
                          <w:rStyle w:val="Strong"/>
                          <w:rFonts w:ascii="Arial" w:hAnsi="Arial" w:cs="Arial"/>
                          <w:b w:val="0"/>
                          <w:bCs w:val="0"/>
                          <w:i/>
                          <w:iCs/>
                          <w:color w:val="000000" w:themeColor="text1"/>
                          <w:sz w:val="20"/>
                          <w:szCs w:val="20"/>
                        </w:rPr>
                        <w:t>Piaget’s Cognitive Development Theory</w:t>
                      </w:r>
                      <w:r w:rsidR="003E610F" w:rsidRPr="003E610F">
                        <w:rPr>
                          <w:rStyle w:val="Strong"/>
                          <w:rFonts w:ascii="Arial" w:hAnsi="Arial" w:cs="Arial"/>
                          <w:b w:val="0"/>
                          <w:bCs w:val="0"/>
                          <w:i/>
                          <w:iCs/>
                          <w:color w:val="000000" w:themeColor="text1"/>
                          <w:sz w:val="20"/>
                          <w:szCs w:val="20"/>
                        </w:rPr>
                        <w:t xml:space="preserve"> (</w:t>
                      </w:r>
                      <w:r w:rsidR="003E610F" w:rsidRPr="003E610F">
                        <w:rPr>
                          <w:rFonts w:ascii="Arial" w:hAnsi="Arial" w:cs="Arial"/>
                          <w:i/>
                          <w:iCs/>
                          <w:color w:val="000000" w:themeColor="text1"/>
                          <w:sz w:val="20"/>
                          <w:szCs w:val="20"/>
                        </w:rPr>
                        <w:t xml:space="preserve">McLeod, 2024) </w:t>
                      </w:r>
                    </w:p>
                  </w:txbxContent>
                </v:textbox>
                <w10:wrap type="square" anchorx="margin"/>
              </v:rect>
            </w:pict>
          </mc:Fallback>
        </mc:AlternateContent>
      </w:r>
      <w:r w:rsidR="00CC2FCF" w:rsidRPr="00DC7A4E">
        <w:rPr>
          <w:rStyle w:val="Strong"/>
          <w:rFonts w:ascii="Times New Roman" w:hAnsi="Times New Roman" w:cs="Times New Roman"/>
          <w:b w:val="0"/>
          <w:bCs w:val="0"/>
        </w:rPr>
        <w:t xml:space="preserve">  </w:t>
      </w:r>
      <w:r w:rsidR="0065667D">
        <w:rPr>
          <w:rStyle w:val="Strong"/>
          <w:rFonts w:ascii="Times New Roman" w:hAnsi="Times New Roman" w:cs="Times New Roman"/>
          <w:b w:val="0"/>
          <w:bCs w:val="0"/>
        </w:rPr>
        <w:t xml:space="preserve">    </w:t>
      </w:r>
      <w:r w:rsidR="00DE0090">
        <w:rPr>
          <w:rStyle w:val="Strong"/>
          <w:rFonts w:ascii="Times New Roman" w:hAnsi="Times New Roman" w:cs="Times New Roman"/>
          <w:b w:val="0"/>
          <w:bCs w:val="0"/>
        </w:rPr>
        <w:t xml:space="preserve">Article 28 </w:t>
      </w:r>
      <w:r w:rsidR="000860C0">
        <w:rPr>
          <w:rStyle w:val="Strong"/>
          <w:rFonts w:ascii="Times New Roman" w:hAnsi="Times New Roman" w:cs="Times New Roman"/>
          <w:b w:val="0"/>
          <w:bCs w:val="0"/>
        </w:rPr>
        <w:t>provisions</w:t>
      </w:r>
      <w:r w:rsidR="00DE0090">
        <w:rPr>
          <w:rStyle w:val="Strong"/>
          <w:rFonts w:ascii="Times New Roman" w:hAnsi="Times New Roman" w:cs="Times New Roman"/>
          <w:b w:val="0"/>
          <w:bCs w:val="0"/>
        </w:rPr>
        <w:t xml:space="preserve"> Piaget's Cognitive Development Theory</w:t>
      </w:r>
      <w:r w:rsidR="000860C0">
        <w:rPr>
          <w:rStyle w:val="Strong"/>
          <w:rFonts w:ascii="Times New Roman" w:hAnsi="Times New Roman" w:cs="Times New Roman"/>
          <w:b w:val="0"/>
          <w:bCs w:val="0"/>
        </w:rPr>
        <w:t xml:space="preserve"> (1952)</w:t>
      </w:r>
      <w:r w:rsidR="00DE0090">
        <w:rPr>
          <w:rStyle w:val="Strong"/>
          <w:rFonts w:ascii="Times New Roman" w:hAnsi="Times New Roman" w:cs="Times New Roman"/>
          <w:b w:val="0"/>
          <w:bCs w:val="0"/>
        </w:rPr>
        <w:t xml:space="preserve">, suggesting that children learn best </w:t>
      </w:r>
      <w:r w:rsidR="000860C0">
        <w:rPr>
          <w:rStyle w:val="Strong"/>
          <w:rFonts w:ascii="Times New Roman" w:hAnsi="Times New Roman" w:cs="Times New Roman"/>
          <w:b w:val="0"/>
          <w:bCs w:val="0"/>
        </w:rPr>
        <w:t>when</w:t>
      </w:r>
      <w:r w:rsidR="00DE0090">
        <w:rPr>
          <w:rStyle w:val="Strong"/>
          <w:rFonts w:ascii="Times New Roman" w:hAnsi="Times New Roman" w:cs="Times New Roman"/>
          <w:b w:val="0"/>
          <w:bCs w:val="0"/>
        </w:rPr>
        <w:t xml:space="preserve"> educational practices align with their developmental stages, transitioning from concrete learning in early childhood to abstract reasoning in adolescence.</w:t>
      </w:r>
      <w:r w:rsidR="00926F75">
        <w:rPr>
          <w:rStyle w:val="Strong"/>
          <w:rFonts w:ascii="Times New Roman" w:hAnsi="Times New Roman" w:cs="Times New Roman"/>
          <w:b w:val="0"/>
          <w:bCs w:val="0"/>
        </w:rPr>
        <w:t xml:space="preserve"> </w:t>
      </w:r>
      <w:r w:rsidR="009F2F68">
        <w:rPr>
          <w:rStyle w:val="Strong"/>
          <w:rFonts w:ascii="Times New Roman" w:hAnsi="Times New Roman" w:cs="Times New Roman"/>
          <w:b w:val="0"/>
          <w:bCs w:val="0"/>
        </w:rPr>
        <w:t xml:space="preserve">This theory emphasises age-appropriate </w:t>
      </w:r>
      <w:r w:rsidR="009F2F68">
        <w:rPr>
          <w:rStyle w:val="Strong"/>
          <w:rFonts w:ascii="Times New Roman" w:hAnsi="Times New Roman" w:cs="Times New Roman"/>
          <w:b w:val="0"/>
          <w:bCs w:val="0"/>
        </w:rPr>
        <w:lastRenderedPageBreak/>
        <w:t>teaching methods that promote exploration, reflected in the UK education system</w:t>
      </w:r>
      <w:r w:rsidR="00A218AF">
        <w:rPr>
          <w:rStyle w:val="Strong"/>
          <w:rFonts w:ascii="Times New Roman" w:hAnsi="Times New Roman" w:cs="Times New Roman"/>
          <w:b w:val="0"/>
          <w:bCs w:val="0"/>
        </w:rPr>
        <w:t>'</w:t>
      </w:r>
      <w:r w:rsidR="009F2F68">
        <w:rPr>
          <w:rStyle w:val="Strong"/>
          <w:rFonts w:ascii="Times New Roman" w:hAnsi="Times New Roman" w:cs="Times New Roman"/>
          <w:b w:val="0"/>
          <w:bCs w:val="0"/>
        </w:rPr>
        <w:t>s structured curriculum supporting gradual children's cognitive development</w:t>
      </w:r>
      <w:r w:rsidR="00970290">
        <w:rPr>
          <w:rStyle w:val="Strong"/>
          <w:rFonts w:ascii="Times New Roman" w:hAnsi="Times New Roman" w:cs="Times New Roman"/>
          <w:b w:val="0"/>
          <w:bCs w:val="0"/>
        </w:rPr>
        <w:t xml:space="preserve"> </w:t>
      </w:r>
      <w:r w:rsidR="0044066D" w:rsidRPr="00DC7A4E">
        <w:rPr>
          <w:rFonts w:ascii="Times New Roman" w:eastAsia="Times New Roman" w:hAnsi="Times New Roman" w:cs="Times New Roman"/>
          <w:kern w:val="0"/>
          <w:lang w:eastAsia="en-GB"/>
          <w14:ligatures w14:val="none"/>
        </w:rPr>
        <w:t xml:space="preserve">(Bourn </w:t>
      </w:r>
      <w:r w:rsidR="0044066D" w:rsidRPr="009F2F68">
        <w:rPr>
          <w:rFonts w:ascii="Times New Roman" w:eastAsia="Times New Roman" w:hAnsi="Times New Roman" w:cs="Times New Roman"/>
          <w:i/>
          <w:iCs/>
          <w:kern w:val="0"/>
          <w:lang w:eastAsia="en-GB"/>
          <w14:ligatures w14:val="none"/>
        </w:rPr>
        <w:t>et al</w:t>
      </w:r>
      <w:r w:rsidR="0044066D" w:rsidRPr="00DC7A4E">
        <w:rPr>
          <w:rFonts w:ascii="Times New Roman" w:eastAsia="Times New Roman" w:hAnsi="Times New Roman" w:cs="Times New Roman"/>
          <w:kern w:val="0"/>
          <w:lang w:eastAsia="en-GB"/>
          <w14:ligatures w14:val="none"/>
        </w:rPr>
        <w:t>., 2017).</w:t>
      </w:r>
    </w:p>
    <w:p w14:paraId="33F4B4DD" w14:textId="7A5D3150" w:rsidR="003940F0" w:rsidRDefault="0044066D"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r w:rsidRPr="00DC7A4E">
        <w:rPr>
          <w:rFonts w:ascii="Times New Roman" w:eastAsia="Times New Roman" w:hAnsi="Times New Roman" w:cs="Times New Roman"/>
          <w:kern w:val="0"/>
          <w:lang w:eastAsia="en-GB"/>
          <w14:ligatures w14:val="none"/>
        </w:rPr>
        <w:t xml:space="preserve">      </w:t>
      </w:r>
      <w:r w:rsidR="0052027B" w:rsidRPr="00DC7A4E">
        <w:rPr>
          <w:rFonts w:ascii="Times New Roman" w:eastAsia="Times New Roman" w:hAnsi="Times New Roman" w:cs="Times New Roman"/>
          <w:kern w:val="0"/>
          <w:lang w:eastAsia="en-GB"/>
          <w14:ligatures w14:val="none"/>
        </w:rPr>
        <w:t xml:space="preserve"> </w:t>
      </w:r>
      <w:r w:rsidR="00970290">
        <w:rPr>
          <w:rFonts w:ascii="Times New Roman" w:eastAsia="Times New Roman" w:hAnsi="Times New Roman" w:cs="Times New Roman"/>
          <w:kern w:val="0"/>
          <w:lang w:eastAsia="en-GB"/>
          <w14:ligatures w14:val="none"/>
        </w:rPr>
        <w:t>Reali</w:t>
      </w:r>
      <w:r w:rsidR="001B00E7">
        <w:rPr>
          <w:rFonts w:ascii="Times New Roman" w:eastAsia="Times New Roman" w:hAnsi="Times New Roman" w:cs="Times New Roman"/>
          <w:kern w:val="0"/>
          <w:lang w:eastAsia="en-GB"/>
          <w14:ligatures w14:val="none"/>
        </w:rPr>
        <w:t>s</w:t>
      </w:r>
      <w:r w:rsidR="00970290">
        <w:rPr>
          <w:rFonts w:ascii="Times New Roman" w:eastAsia="Times New Roman" w:hAnsi="Times New Roman" w:cs="Times New Roman"/>
          <w:kern w:val="0"/>
          <w:lang w:eastAsia="en-GB"/>
          <w14:ligatures w14:val="none"/>
        </w:rPr>
        <w:t>ing this right requires ensuring all children feel safe and supported in school and have access to essential resources for success, regardless of their backgrounds or abilities.</w:t>
      </w:r>
    </w:p>
    <w:p w14:paraId="725124F3" w14:textId="32B14007" w:rsidR="007B40F2" w:rsidRDefault="007B40F2"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1A2B6065" w14:textId="77777777" w:rsidR="000A320B" w:rsidRDefault="000A320B"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211EDEA8" w14:textId="77777777" w:rsidR="000A320B" w:rsidRDefault="000A320B"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04AC763F" w14:textId="77777777" w:rsidR="000A320B" w:rsidRDefault="000A320B"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44B6B370" w14:textId="77777777" w:rsidR="000A320B" w:rsidRDefault="000A320B"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3F6D5BFD" w14:textId="77777777" w:rsidR="000A320B" w:rsidRDefault="000A320B"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7341A54C" w14:textId="77777777" w:rsidR="000A320B" w:rsidRDefault="000A320B"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234BF358" w14:textId="77777777" w:rsidR="000A320B" w:rsidRDefault="000A320B"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6484A373" w14:textId="77777777" w:rsidR="000A320B" w:rsidRDefault="000A320B"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65DB4AD4" w14:textId="77777777" w:rsidR="000A320B" w:rsidRDefault="000A320B"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33F00652" w14:textId="77777777" w:rsidR="000A320B" w:rsidRDefault="000A320B"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20DD6762" w14:textId="77777777" w:rsidR="000A320B" w:rsidRDefault="000A320B"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22DD2CB0" w14:textId="77777777" w:rsidR="000A320B" w:rsidRDefault="000A320B"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434F7B27" w14:textId="77777777" w:rsidR="000A320B" w:rsidRDefault="000A320B"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03777B88" w14:textId="77777777" w:rsidR="000A320B" w:rsidRDefault="000A320B"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13566071" w14:textId="77777777" w:rsidR="000A320B" w:rsidRDefault="000A320B"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071EF399" w14:textId="77777777" w:rsidR="000A320B" w:rsidRDefault="000A320B"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7C9373D7" w14:textId="573C8AC1" w:rsidR="00E0061E" w:rsidRDefault="00A80BEC" w:rsidP="00A80BEC">
      <w:pPr>
        <w:pStyle w:val="Heading1"/>
      </w:pPr>
      <w:bookmarkStart w:id="12" w:name="_Toc197532660"/>
      <w:r>
        <w:lastRenderedPageBreak/>
        <w:t>References</w:t>
      </w:r>
      <w:bookmarkEnd w:id="12"/>
    </w:p>
    <w:p w14:paraId="48A3E87A" w14:textId="77777777" w:rsidR="00A80BEC" w:rsidRPr="00AA77DA" w:rsidRDefault="00A80BEC" w:rsidP="00A80BEC">
      <w:pPr>
        <w:pStyle w:val="NormalWeb"/>
        <w:spacing w:before="240" w:beforeAutospacing="0" w:after="240" w:afterAutospacing="0" w:line="360" w:lineRule="auto"/>
        <w:ind w:left="360"/>
        <w:jc w:val="both"/>
      </w:pPr>
      <w:r w:rsidRPr="00AA77DA">
        <w:t xml:space="preserve">Bansal, N., Karlsen, S., </w:t>
      </w:r>
      <w:proofErr w:type="spellStart"/>
      <w:r w:rsidRPr="00AA77DA">
        <w:t>Sashidharan</w:t>
      </w:r>
      <w:proofErr w:type="spellEnd"/>
      <w:r w:rsidRPr="00AA77DA">
        <w:t xml:space="preserve">, S. P., Cohen, R., Chew-Graham, C. A., and Malpass, A. (2022) 'Understanding ethnic inequalities in mental healthcare in the UK: A meta-ethnography', </w:t>
      </w:r>
      <w:proofErr w:type="spellStart"/>
      <w:r w:rsidRPr="00AA77DA">
        <w:rPr>
          <w:i/>
          <w:iCs/>
        </w:rPr>
        <w:t>PLoS</w:t>
      </w:r>
      <w:proofErr w:type="spellEnd"/>
      <w:r w:rsidRPr="00AA77DA">
        <w:rPr>
          <w:i/>
          <w:iCs/>
        </w:rPr>
        <w:t xml:space="preserve"> Medicine</w:t>
      </w:r>
      <w:r w:rsidRPr="00AA77DA">
        <w:t xml:space="preserve">, </w:t>
      </w:r>
      <w:r w:rsidRPr="00AA77DA">
        <w:rPr>
          <w:i/>
          <w:iCs/>
        </w:rPr>
        <w:t>19</w:t>
      </w:r>
      <w:r w:rsidRPr="00AA77DA">
        <w:t xml:space="preserve">(12), e1004139. Available at: </w:t>
      </w:r>
      <w:hyperlink r:id="rId27" w:history="1">
        <w:r w:rsidRPr="00AA77DA">
          <w:rPr>
            <w:rStyle w:val="Hyperlink"/>
            <w:rFonts w:eastAsiaTheme="majorEastAsia"/>
          </w:rPr>
          <w:t>https://doi.org/10.1371/journal.pmed.1004139</w:t>
        </w:r>
      </w:hyperlink>
      <w:r w:rsidRPr="00AA77DA">
        <w:rPr>
          <w:rStyle w:val="url"/>
          <w:rFonts w:eastAsiaTheme="majorEastAsia"/>
        </w:rPr>
        <w:t xml:space="preserve"> .</w:t>
      </w:r>
    </w:p>
    <w:p w14:paraId="531A6C68" w14:textId="77777777" w:rsidR="00A80BEC" w:rsidRPr="00AA77DA" w:rsidRDefault="00A80BEC" w:rsidP="00A80BEC">
      <w:pPr>
        <w:pStyle w:val="NormalWeb"/>
        <w:spacing w:before="240" w:beforeAutospacing="0" w:after="240" w:afterAutospacing="0" w:line="360" w:lineRule="auto"/>
        <w:ind w:left="360"/>
        <w:jc w:val="both"/>
      </w:pPr>
      <w:r w:rsidRPr="00AA77DA">
        <w:t xml:space="preserve">Bourn, D., Hunt, F., Ahmed, H., UCL Institute of Education and Education Development Trust (2017) </w:t>
      </w:r>
      <w:r w:rsidRPr="00AA77DA">
        <w:rPr>
          <w:i/>
          <w:iCs/>
        </w:rPr>
        <w:t>Childhood development stages and learning on global issues</w:t>
      </w:r>
      <w:r w:rsidRPr="00AA77DA">
        <w:t xml:space="preserve">. Available at: </w:t>
      </w:r>
      <w:hyperlink r:id="rId28" w:history="1">
        <w:r w:rsidRPr="00AA77DA">
          <w:rPr>
            <w:rStyle w:val="Hyperlink"/>
            <w:rFonts w:eastAsiaTheme="majorEastAsia"/>
          </w:rPr>
          <w:t>https://assets.publishing.service.gov.uk/media/5a7447eeed915d0e8e398742/253_global_learning.pdf</w:t>
        </w:r>
      </w:hyperlink>
      <w:r w:rsidRPr="00AA77DA">
        <w:rPr>
          <w:rStyle w:val="url"/>
          <w:rFonts w:eastAsiaTheme="majorEastAsia"/>
        </w:rPr>
        <w:t xml:space="preserve"> </w:t>
      </w:r>
      <w:r w:rsidRPr="00AA77DA">
        <w:rPr>
          <w:color w:val="000000"/>
        </w:rPr>
        <w:t>(Accessed 4 April 2025).</w:t>
      </w:r>
    </w:p>
    <w:p w14:paraId="37BDB4B0"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Bowlby, J. (1982) </w:t>
      </w:r>
      <w:r w:rsidRPr="00AA77DA">
        <w:rPr>
          <w:i/>
          <w:iCs/>
          <w:color w:val="000000"/>
        </w:rPr>
        <w:t>Attachment and loss</w:t>
      </w:r>
      <w:r w:rsidRPr="00AA77DA">
        <w:rPr>
          <w:color w:val="000000"/>
        </w:rPr>
        <w:t>. 2</w:t>
      </w:r>
      <w:proofErr w:type="gramStart"/>
      <w:r w:rsidRPr="00AA77DA">
        <w:rPr>
          <w:color w:val="000000"/>
          <w:vertAlign w:val="superscript"/>
        </w:rPr>
        <w:t>nd</w:t>
      </w:r>
      <w:r w:rsidRPr="00AA77DA">
        <w:rPr>
          <w:color w:val="000000"/>
        </w:rPr>
        <w:t xml:space="preserve">  </w:t>
      </w:r>
      <w:proofErr w:type="spellStart"/>
      <w:r w:rsidRPr="00AA77DA">
        <w:rPr>
          <w:color w:val="000000"/>
        </w:rPr>
        <w:t>edn</w:t>
      </w:r>
      <w:proofErr w:type="spellEnd"/>
      <w:proofErr w:type="gramEnd"/>
      <w:r w:rsidRPr="00AA77DA">
        <w:rPr>
          <w:color w:val="000000"/>
        </w:rPr>
        <w:t>. New York: Basic Books.</w:t>
      </w:r>
    </w:p>
    <w:p w14:paraId="03C994CA"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Brandt, L., Liu, S., Heim, C. and Heinz, A. (2022) 'The Effects of Social Isolation Stress and Discrimination on Mental Health', </w:t>
      </w:r>
      <w:r w:rsidRPr="00AA77DA">
        <w:rPr>
          <w:i/>
          <w:iCs/>
          <w:color w:val="000000"/>
        </w:rPr>
        <w:t>Translational Psychiatry</w:t>
      </w:r>
      <w:r w:rsidRPr="00AA77DA">
        <w:rPr>
          <w:color w:val="000000"/>
        </w:rPr>
        <w:t xml:space="preserve">, 12(1), pp.1–11. Available at:  </w:t>
      </w:r>
      <w:hyperlink r:id="rId29" w:history="1">
        <w:r w:rsidRPr="00AA77DA">
          <w:rPr>
            <w:rStyle w:val="Hyperlink"/>
          </w:rPr>
          <w:t>https://doi.org/10.1038/s41398-022-02178-4</w:t>
        </w:r>
      </w:hyperlink>
      <w:r w:rsidRPr="00AA77DA">
        <w:rPr>
          <w:color w:val="000000"/>
        </w:rPr>
        <w:t xml:space="preserve"> .</w:t>
      </w:r>
    </w:p>
    <w:p w14:paraId="675DBC7B"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Brigman, G. (2022) </w:t>
      </w:r>
      <w:r w:rsidRPr="00AA77DA">
        <w:rPr>
          <w:i/>
          <w:iCs/>
          <w:color w:val="000000"/>
        </w:rPr>
        <w:t xml:space="preserve">School </w:t>
      </w:r>
      <w:proofErr w:type="spellStart"/>
      <w:r w:rsidRPr="00AA77DA">
        <w:rPr>
          <w:i/>
          <w:iCs/>
          <w:color w:val="000000"/>
        </w:rPr>
        <w:t>counselor</w:t>
      </w:r>
      <w:proofErr w:type="spellEnd"/>
      <w:r w:rsidRPr="00AA77DA">
        <w:rPr>
          <w:i/>
          <w:iCs/>
          <w:color w:val="000000"/>
        </w:rPr>
        <w:t xml:space="preserve"> consultation: skills for working effectively with parents, teachers, and other school personnel</w:t>
      </w:r>
      <w:r w:rsidRPr="00AA77DA">
        <w:rPr>
          <w:color w:val="000000"/>
        </w:rPr>
        <w:t>. Hoboken, Nj: John Wiley &amp; Sons.</w:t>
      </w:r>
    </w:p>
    <w:p w14:paraId="1214B63E"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Bronfenbrenner, U. (1979) </w:t>
      </w:r>
      <w:r w:rsidRPr="00AA77DA">
        <w:rPr>
          <w:i/>
          <w:iCs/>
          <w:color w:val="000000"/>
        </w:rPr>
        <w:t>The Ecology of Human development: Experiments by Nature and Design</w:t>
      </w:r>
      <w:r w:rsidRPr="00AA77DA">
        <w:rPr>
          <w:color w:val="000000"/>
        </w:rPr>
        <w:t xml:space="preserve">. Cambridge: Harvard University Press. Available at: </w:t>
      </w:r>
      <w:hyperlink r:id="rId30" w:history="1">
        <w:r w:rsidRPr="00AA77DA">
          <w:rPr>
            <w:rStyle w:val="Hyperlink"/>
          </w:rPr>
          <w:t>https://khoerulanwarbk.wordpress.com/wp-content/uploads/2015/08/urie_bronfenbrenner_the_ecology_of_human_developbokos-z1.pdf</w:t>
        </w:r>
      </w:hyperlink>
      <w:r w:rsidRPr="00AA77DA">
        <w:rPr>
          <w:color w:val="000000"/>
        </w:rPr>
        <w:t xml:space="preserve">  .</w:t>
      </w:r>
    </w:p>
    <w:p w14:paraId="3FA03028"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Brown, T. (2024) </w:t>
      </w:r>
      <w:r w:rsidRPr="00AA77DA">
        <w:rPr>
          <w:i/>
          <w:iCs/>
          <w:color w:val="000000"/>
        </w:rPr>
        <w:t>Child poverty: Statistics, Causes and the UK's Policy Response</w:t>
      </w:r>
      <w:r w:rsidRPr="00AA77DA">
        <w:rPr>
          <w:color w:val="000000"/>
        </w:rPr>
        <w:t xml:space="preserve">. Available at: </w:t>
      </w:r>
      <w:hyperlink r:id="rId31" w:history="1">
        <w:r w:rsidRPr="00AA77DA">
          <w:rPr>
            <w:rStyle w:val="Hyperlink"/>
          </w:rPr>
          <w:t>https://lordslibrary.parliament.uk/child-poverty-statistics-causes-and-the-uks-policy-response/</w:t>
        </w:r>
      </w:hyperlink>
      <w:r w:rsidRPr="00AA77DA">
        <w:rPr>
          <w:color w:val="000000"/>
        </w:rPr>
        <w:t xml:space="preserve"> (Accessed 4 April 2025).</w:t>
      </w:r>
    </w:p>
    <w:p w14:paraId="7F643AE1" w14:textId="07FE635E" w:rsidR="00A80BEC" w:rsidRPr="00AA77DA" w:rsidRDefault="00A80BEC" w:rsidP="00A80BEC">
      <w:pPr>
        <w:spacing w:line="360" w:lineRule="auto"/>
        <w:ind w:left="360"/>
        <w:jc w:val="both"/>
        <w:rPr>
          <w:rFonts w:ascii="Times New Roman" w:hAnsi="Times New Roman" w:cs="Times New Roman"/>
          <w:color w:val="000000"/>
        </w:rPr>
      </w:pPr>
      <w:r w:rsidRPr="00AA77DA">
        <w:rPr>
          <w:rStyle w:val="wixui-rich-texttext"/>
          <w:rFonts w:ascii="Times New Roman" w:hAnsi="Times New Roman" w:cs="Times New Roman"/>
          <w:color w:val="000000"/>
          <w:bdr w:val="none" w:sz="0" w:space="0" w:color="auto" w:frame="1"/>
        </w:rPr>
        <w:t>Butterflies Therapy (2019)</w:t>
      </w:r>
      <w:r w:rsidRPr="00AA77DA">
        <w:rPr>
          <w:rStyle w:val="wixui-rich-texttext"/>
          <w:rFonts w:ascii="Times New Roman" w:hAnsi="Times New Roman" w:cs="Times New Roman"/>
          <w:i/>
          <w:iCs/>
          <w:color w:val="000000"/>
          <w:bdr w:val="none" w:sz="0" w:space="0" w:color="auto" w:frame="1"/>
        </w:rPr>
        <w:t xml:space="preserve"> Butterflies Therapy, Wellbeing &amp; Training Centre C.I.C..</w:t>
      </w:r>
      <w:r w:rsidRPr="00AA77DA">
        <w:rPr>
          <w:rStyle w:val="wixui-rich-texttext"/>
          <w:rFonts w:ascii="Times New Roman" w:hAnsi="Times New Roman" w:cs="Times New Roman"/>
          <w:color w:val="000000"/>
          <w:bdr w:val="none" w:sz="0" w:space="0" w:color="auto" w:frame="1"/>
        </w:rPr>
        <w:t xml:space="preserve"> </w:t>
      </w:r>
      <w:r w:rsidRPr="00AA77DA">
        <w:rPr>
          <w:rFonts w:ascii="Times New Roman" w:hAnsi="Times New Roman" w:cs="Times New Roman"/>
          <w:color w:val="000000"/>
        </w:rPr>
        <w:t xml:space="preserve">Available at: </w:t>
      </w:r>
      <w:hyperlink r:id="rId32" w:history="1">
        <w:r w:rsidRPr="00AA77DA">
          <w:rPr>
            <w:rStyle w:val="Hyperlink"/>
            <w:rFonts w:ascii="Times New Roman" w:hAnsi="Times New Roman" w:cs="Times New Roman"/>
          </w:rPr>
          <w:t>https://www.butterfliescacs.co.uk/</w:t>
        </w:r>
      </w:hyperlink>
      <w:r w:rsidRPr="00AA77DA">
        <w:rPr>
          <w:rFonts w:ascii="Times New Roman" w:hAnsi="Times New Roman" w:cs="Times New Roman"/>
          <w:color w:val="000000"/>
        </w:rPr>
        <w:t xml:space="preserve">  (Accessed 26 April 2025).</w:t>
      </w:r>
    </w:p>
    <w:p w14:paraId="4333CD76"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Children's Commissioner (2024) </w:t>
      </w:r>
      <w:r w:rsidRPr="00AA77DA">
        <w:rPr>
          <w:i/>
          <w:iCs/>
          <w:color w:val="000000"/>
        </w:rPr>
        <w:t>Over a quarter of a million children still waiting for mental health support</w:t>
      </w:r>
      <w:r w:rsidRPr="00AA77DA">
        <w:rPr>
          <w:color w:val="000000"/>
        </w:rPr>
        <w:t xml:space="preserve">. Available at: </w:t>
      </w:r>
      <w:hyperlink r:id="rId33" w:history="1">
        <w:r w:rsidRPr="00AA77DA">
          <w:rPr>
            <w:rStyle w:val="Hyperlink"/>
          </w:rPr>
          <w:t>https://www.childrenscommissioner.gov.uk/blog/over-a-quarter-of-a-million-children-still-waiting-for-mental-health-support/</w:t>
        </w:r>
      </w:hyperlink>
      <w:r w:rsidRPr="00AA77DA">
        <w:rPr>
          <w:color w:val="000000"/>
        </w:rPr>
        <w:t xml:space="preserve"> (Accessed 24  March 2025).</w:t>
      </w:r>
    </w:p>
    <w:p w14:paraId="355E0E4C"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Children's Commissioner for England (2023) </w:t>
      </w:r>
      <w:r w:rsidRPr="00AA77DA">
        <w:rPr>
          <w:i/>
          <w:iCs/>
          <w:color w:val="000000"/>
        </w:rPr>
        <w:t xml:space="preserve">Engaging parents in education. </w:t>
      </w:r>
      <w:r w:rsidRPr="00AA77DA">
        <w:rPr>
          <w:color w:val="000000"/>
        </w:rPr>
        <w:t xml:space="preserve">Available at: </w:t>
      </w:r>
      <w:hyperlink r:id="rId34" w:history="1">
        <w:r w:rsidRPr="00AA77DA">
          <w:rPr>
            <w:rStyle w:val="Hyperlink"/>
          </w:rPr>
          <w:t>https://www.childrenscommissioner.gov.uk/news-and-blogs/engaging-parents-in-education/</w:t>
        </w:r>
      </w:hyperlink>
      <w:r w:rsidRPr="00AA77DA">
        <w:rPr>
          <w:color w:val="000000"/>
        </w:rPr>
        <w:t xml:space="preserve"> (Accessed 30 April 2025).</w:t>
      </w:r>
    </w:p>
    <w:p w14:paraId="745738B2"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Children's Commissioner for England (2024) </w:t>
      </w:r>
      <w:r w:rsidRPr="00AA77DA">
        <w:rPr>
          <w:i/>
          <w:iCs/>
          <w:color w:val="000000"/>
        </w:rPr>
        <w:t>Children's Mental Health Services 2022-23</w:t>
      </w:r>
      <w:r w:rsidRPr="00AA77DA">
        <w:rPr>
          <w:color w:val="000000"/>
        </w:rPr>
        <w:t xml:space="preserve">. Available at: </w:t>
      </w:r>
      <w:hyperlink r:id="rId35" w:history="1">
        <w:r w:rsidRPr="00AA77DA">
          <w:rPr>
            <w:rStyle w:val="Hyperlink"/>
          </w:rPr>
          <w:t>https://www.childrenscommissioner.gov.uk/resource/childrens-mental-health-services-2022-23/</w:t>
        </w:r>
      </w:hyperlink>
      <w:r w:rsidRPr="00AA77DA">
        <w:rPr>
          <w:color w:val="000000"/>
        </w:rPr>
        <w:t xml:space="preserve"> (Accessed 24  March 2025).</w:t>
      </w:r>
    </w:p>
    <w:p w14:paraId="5127029E"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CIW (2025) </w:t>
      </w:r>
      <w:r w:rsidRPr="00AA77DA">
        <w:rPr>
          <w:i/>
          <w:iCs/>
          <w:color w:val="000000"/>
        </w:rPr>
        <w:t>Regulations, statutory guidance and National Minimum Standards: Adult and children's services | Care Inspectorate Wales</w:t>
      </w:r>
      <w:r w:rsidRPr="00AA77DA">
        <w:rPr>
          <w:color w:val="000000"/>
        </w:rPr>
        <w:t xml:space="preserve">. Available at: </w:t>
      </w:r>
      <w:hyperlink r:id="rId36" w:history="1">
        <w:r w:rsidRPr="00AA77DA">
          <w:rPr>
            <w:rStyle w:val="Hyperlink"/>
          </w:rPr>
          <w:t>https://www.careinspectorate.wales/regulations-statutory-guidance-and-national-minimum-standards-adult-and-childrens-services</w:t>
        </w:r>
      </w:hyperlink>
      <w:r w:rsidRPr="00AA77DA">
        <w:rPr>
          <w:color w:val="000000"/>
        </w:rPr>
        <w:t xml:space="preserve"> (Accessed 5 April 2025).</w:t>
      </w:r>
    </w:p>
    <w:p w14:paraId="609C4E46"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Dahlgren, G. and Whitehead, M. (1991) </w:t>
      </w:r>
      <w:r w:rsidRPr="00AA77DA">
        <w:rPr>
          <w:i/>
          <w:iCs/>
          <w:color w:val="000000"/>
        </w:rPr>
        <w:t>Policies and strategies to promote equity in health</w:t>
      </w:r>
      <w:r w:rsidRPr="00AA77DA">
        <w:rPr>
          <w:color w:val="000000"/>
        </w:rPr>
        <w:t xml:space="preserve">. Copenhagen: World Health Organization Regional Office </w:t>
      </w:r>
      <w:proofErr w:type="gramStart"/>
      <w:r w:rsidRPr="00AA77DA">
        <w:rPr>
          <w:color w:val="000000"/>
        </w:rPr>
        <w:t>For</w:t>
      </w:r>
      <w:proofErr w:type="gramEnd"/>
      <w:r w:rsidRPr="00AA77DA">
        <w:rPr>
          <w:color w:val="000000"/>
        </w:rPr>
        <w:t xml:space="preserve"> Europe.</w:t>
      </w:r>
    </w:p>
    <w:p w14:paraId="6773BC54"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Department for Education (2003</w:t>
      </w:r>
      <w:proofErr w:type="gramStart"/>
      <w:r w:rsidRPr="00AA77DA">
        <w:rPr>
          <w:color w:val="000000"/>
        </w:rPr>
        <w:t>)</w:t>
      </w:r>
      <w:r>
        <w:rPr>
          <w:color w:val="000000"/>
        </w:rPr>
        <w:t xml:space="preserve"> </w:t>
      </w:r>
      <w:r w:rsidRPr="00AA77DA">
        <w:rPr>
          <w:color w:val="000000"/>
        </w:rPr>
        <w:t> </w:t>
      </w:r>
      <w:r w:rsidRPr="00AA77DA">
        <w:rPr>
          <w:i/>
          <w:iCs/>
          <w:color w:val="000000"/>
        </w:rPr>
        <w:t>Every</w:t>
      </w:r>
      <w:proofErr w:type="gramEnd"/>
      <w:r w:rsidRPr="00AA77DA">
        <w:rPr>
          <w:i/>
          <w:iCs/>
          <w:color w:val="000000"/>
        </w:rPr>
        <w:t xml:space="preserve"> Child Matters</w:t>
      </w:r>
      <w:r w:rsidRPr="00AA77DA">
        <w:rPr>
          <w:color w:val="000000"/>
        </w:rPr>
        <w:t xml:space="preserve">. Available at: </w:t>
      </w:r>
      <w:hyperlink r:id="rId37" w:history="1">
        <w:r w:rsidRPr="00AA77DA">
          <w:rPr>
            <w:rStyle w:val="Hyperlink"/>
          </w:rPr>
          <w:t>https://assets.publishing.service.gov.uk/media/5a7c95a4e5274a0bb7cb806d/5860.pdf</w:t>
        </w:r>
      </w:hyperlink>
      <w:r w:rsidRPr="00AA77DA">
        <w:rPr>
          <w:color w:val="000000"/>
        </w:rPr>
        <w:t xml:space="preserve"> (Accessed 5 April 2025).</w:t>
      </w:r>
    </w:p>
    <w:p w14:paraId="5E0CC7BE"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Department for Education (2015) </w:t>
      </w:r>
      <w:r w:rsidRPr="00AA77DA">
        <w:rPr>
          <w:i/>
          <w:iCs/>
          <w:color w:val="000000"/>
        </w:rPr>
        <w:t>Supporting pupils at school with medical conditions Statutory guidance for governing bodies of maintained schools and proprietors of academies in England</w:t>
      </w:r>
      <w:r w:rsidRPr="00AA77DA">
        <w:rPr>
          <w:color w:val="000000"/>
        </w:rPr>
        <w:t xml:space="preserve">. Available at: </w:t>
      </w:r>
      <w:hyperlink r:id="rId38" w:history="1">
        <w:r w:rsidRPr="00AA77DA">
          <w:rPr>
            <w:rStyle w:val="Hyperlink"/>
          </w:rPr>
          <w:t>https://assets.publishing.service.gov.uk/media/5ce6a72e40f0b620a103bd53/supporting-pupils-at-school-with-medical-conditions.pdf</w:t>
        </w:r>
      </w:hyperlink>
      <w:r w:rsidRPr="00AA77DA">
        <w:rPr>
          <w:color w:val="000000"/>
        </w:rPr>
        <w:t xml:space="preserve"> (Accessed 30 April 2025). </w:t>
      </w:r>
    </w:p>
    <w:p w14:paraId="2B57AD13" w14:textId="77777777" w:rsidR="00A80BEC" w:rsidRPr="00AA77DA" w:rsidRDefault="00A80BEC" w:rsidP="00A80BEC">
      <w:pPr>
        <w:pStyle w:val="NormalWeb"/>
        <w:spacing w:before="240" w:beforeAutospacing="0" w:after="240" w:afterAutospacing="0" w:line="360" w:lineRule="auto"/>
        <w:ind w:left="360"/>
        <w:jc w:val="both"/>
      </w:pPr>
      <w:r w:rsidRPr="00AA77DA">
        <w:rPr>
          <w:color w:val="000000"/>
        </w:rPr>
        <w:t>Department for Education (2021) </w:t>
      </w:r>
      <w:r w:rsidRPr="00AA77DA">
        <w:rPr>
          <w:i/>
          <w:iCs/>
          <w:color w:val="000000"/>
        </w:rPr>
        <w:t>The Children Act 1989 guidance and regulations volume 2: Care planning, placement and case review</w:t>
      </w:r>
      <w:r w:rsidRPr="00AA77DA">
        <w:rPr>
          <w:color w:val="000000"/>
        </w:rPr>
        <w:t xml:space="preserve">. Available at: </w:t>
      </w:r>
      <w:hyperlink r:id="rId39" w:history="1">
        <w:r w:rsidRPr="00AA77DA">
          <w:rPr>
            <w:rStyle w:val="Hyperlink"/>
          </w:rPr>
          <w:t>https://assets.publishing.service.gov.uk/media/60e6fb43d3bf7f56896127e5/The_Children_Act_1989_guidance_and_regulations_Volume_2_care_planning__placement_and_case_review.pdf</w:t>
        </w:r>
      </w:hyperlink>
      <w:r w:rsidRPr="00AA77DA">
        <w:rPr>
          <w:color w:val="000000"/>
        </w:rPr>
        <w:t xml:space="preserve">  (Accessed 23 March 2025).</w:t>
      </w:r>
    </w:p>
    <w:p w14:paraId="5D977EB4"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Department for Education (2023a) </w:t>
      </w:r>
      <w:r w:rsidRPr="00AA77DA">
        <w:rPr>
          <w:i/>
          <w:iCs/>
          <w:color w:val="000000"/>
        </w:rPr>
        <w:t>Working Together to Safeguard Children 2023</w:t>
      </w:r>
      <w:r w:rsidRPr="00AA77DA">
        <w:rPr>
          <w:color w:val="000000"/>
        </w:rPr>
        <w:t xml:space="preserve">. Available at: </w:t>
      </w:r>
      <w:hyperlink r:id="rId40" w:history="1">
        <w:r w:rsidRPr="00AA77DA">
          <w:rPr>
            <w:rStyle w:val="Hyperlink"/>
          </w:rPr>
          <w:t>https://assets.publishing.service.gov.uk/media/669e7501ab418ab055592a7b/Working_together_to_safeguard_children_2023.pdf</w:t>
        </w:r>
      </w:hyperlink>
      <w:r w:rsidRPr="00AA77DA">
        <w:rPr>
          <w:color w:val="000000"/>
        </w:rPr>
        <w:t xml:space="preserve"> (Accessed 5 April 2025).</w:t>
      </w:r>
    </w:p>
    <w:p w14:paraId="17E4A033"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Department for Education (2023b) </w:t>
      </w:r>
      <w:r w:rsidRPr="00AA77DA">
        <w:rPr>
          <w:i/>
          <w:iCs/>
          <w:color w:val="000000"/>
        </w:rPr>
        <w:t>Using after-school clubs, tuition and community activities</w:t>
      </w:r>
      <w:r w:rsidRPr="00AA77DA">
        <w:rPr>
          <w:color w:val="000000"/>
        </w:rPr>
        <w:t xml:space="preserve">. Available at: </w:t>
      </w:r>
      <w:hyperlink r:id="rId41" w:history="1">
        <w:r w:rsidRPr="00AA77DA">
          <w:rPr>
            <w:rStyle w:val="Hyperlink"/>
          </w:rPr>
          <w:t>https://www.gov.uk/government/publications/guidance-for-parents-and-carers-on-safeguarding-children-in-out-of-school-settings/using-after-school-clubs-tuition-and-community-activities</w:t>
        </w:r>
      </w:hyperlink>
      <w:r w:rsidRPr="00AA77DA">
        <w:rPr>
          <w:color w:val="000000"/>
        </w:rPr>
        <w:t xml:space="preserve"> (Accessed 30 April 2025). </w:t>
      </w:r>
    </w:p>
    <w:p w14:paraId="38E29214" w14:textId="77777777" w:rsidR="00A80BEC" w:rsidRPr="00AA77DA" w:rsidRDefault="00A80BEC" w:rsidP="00A80BEC">
      <w:pPr>
        <w:spacing w:before="240" w:after="240" w:line="360" w:lineRule="auto"/>
        <w:ind w:left="360"/>
        <w:jc w:val="both"/>
        <w:rPr>
          <w:rFonts w:ascii="Times New Roman" w:hAnsi="Times New Roman" w:cs="Times New Roman"/>
          <w:color w:val="000000"/>
        </w:rPr>
      </w:pPr>
      <w:r w:rsidRPr="00AA77DA">
        <w:rPr>
          <w:rFonts w:ascii="Times New Roman" w:hAnsi="Times New Roman" w:cs="Times New Roman"/>
          <w:color w:val="000000"/>
        </w:rPr>
        <w:t xml:space="preserve">Department for Education (2024) </w:t>
      </w:r>
      <w:r w:rsidRPr="00AA77DA">
        <w:rPr>
          <w:rFonts w:ascii="Times New Roman" w:hAnsi="Times New Roman" w:cs="Times New Roman"/>
          <w:i/>
          <w:iCs/>
          <w:color w:val="000000"/>
        </w:rPr>
        <w:t xml:space="preserve">Nurture Group Provision Guidance </w:t>
      </w:r>
      <w:proofErr w:type="gramStart"/>
      <w:r w:rsidRPr="00AA77DA">
        <w:rPr>
          <w:rFonts w:ascii="Times New Roman" w:hAnsi="Times New Roman" w:cs="Times New Roman"/>
          <w:i/>
          <w:iCs/>
          <w:color w:val="000000"/>
        </w:rPr>
        <w:t>For</w:t>
      </w:r>
      <w:proofErr w:type="gramEnd"/>
      <w:r w:rsidRPr="00AA77DA">
        <w:rPr>
          <w:rFonts w:ascii="Times New Roman" w:hAnsi="Times New Roman" w:cs="Times New Roman"/>
          <w:i/>
          <w:iCs/>
          <w:color w:val="000000"/>
        </w:rPr>
        <w:t xml:space="preserve"> Schools</w:t>
      </w:r>
      <w:r w:rsidRPr="00AA77DA">
        <w:rPr>
          <w:rFonts w:ascii="Times New Roman" w:hAnsi="Times New Roman" w:cs="Times New Roman"/>
          <w:color w:val="000000"/>
        </w:rPr>
        <w:t xml:space="preserve">. Available at: </w:t>
      </w:r>
      <w:hyperlink r:id="rId42" w:history="1">
        <w:r w:rsidRPr="00AA77DA">
          <w:rPr>
            <w:rStyle w:val="Hyperlink"/>
            <w:rFonts w:ascii="Times New Roman" w:hAnsi="Times New Roman" w:cs="Times New Roman"/>
          </w:rPr>
          <w:t>https://www.education-ni.gov.uk/sites/default/files/publications/education/Nurture%20Group%20Provision%20-%20Guidance%20for%20Schools%20September%202024%20pdf.PDF</w:t>
        </w:r>
      </w:hyperlink>
      <w:r w:rsidRPr="00AA77DA">
        <w:rPr>
          <w:rFonts w:ascii="Times New Roman" w:hAnsi="Times New Roman" w:cs="Times New Roman"/>
          <w:color w:val="000000"/>
        </w:rPr>
        <w:t xml:space="preserve"> (Accessed 30 April 2025).</w:t>
      </w:r>
    </w:p>
    <w:p w14:paraId="670AE307"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Department for Education and Skills (2011) </w:t>
      </w:r>
      <w:r w:rsidRPr="00AA77DA">
        <w:rPr>
          <w:i/>
          <w:iCs/>
          <w:color w:val="000000"/>
        </w:rPr>
        <w:t>Children Act 2004 - Explanatory Notes</w:t>
      </w:r>
      <w:r w:rsidRPr="00AA77DA">
        <w:rPr>
          <w:color w:val="000000"/>
        </w:rPr>
        <w:t xml:space="preserve">. Available at: </w:t>
      </w:r>
      <w:hyperlink r:id="rId43" w:history="1">
        <w:r w:rsidRPr="00AA77DA">
          <w:rPr>
            <w:rStyle w:val="Hyperlink"/>
          </w:rPr>
          <w:t>https://www.legislation.gov.uk/ukpga/2004/31/notes/division/1/1</w:t>
        </w:r>
      </w:hyperlink>
      <w:r w:rsidRPr="00AA77DA">
        <w:rPr>
          <w:color w:val="000000"/>
        </w:rPr>
        <w:t xml:space="preserve"> (Accessed 5 April 2025).</w:t>
      </w:r>
    </w:p>
    <w:p w14:paraId="27B4749D"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English Government (2023) </w:t>
      </w:r>
      <w:r w:rsidRPr="00AA77DA">
        <w:rPr>
          <w:i/>
          <w:iCs/>
          <w:color w:val="000000"/>
        </w:rPr>
        <w:t>Commissioning health visitors and school nurses for public health services for children aged 0 to 19</w:t>
      </w:r>
      <w:r w:rsidRPr="00AA77DA">
        <w:rPr>
          <w:color w:val="000000"/>
        </w:rPr>
        <w:t xml:space="preserve">. Available at: </w:t>
      </w:r>
      <w:hyperlink r:id="rId44" w:history="1">
        <w:r w:rsidRPr="00AA77DA">
          <w:rPr>
            <w:rStyle w:val="Hyperlink"/>
          </w:rPr>
          <w:t>https://www.gov.uk/government/publications/healthy-child-programme-0-to-19-health-visitor-and-school-nurse-commissioning/commissioning-health-visitors-and-school-nurses-for-public-health-services-for-children-aged-0-to-19</w:t>
        </w:r>
      </w:hyperlink>
      <w:r w:rsidRPr="00AA77DA">
        <w:rPr>
          <w:color w:val="000000"/>
        </w:rPr>
        <w:t xml:space="preserve"> (Accessed 4 May 2025).</w:t>
      </w:r>
    </w:p>
    <w:p w14:paraId="50EA622F"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Erikson, E.H. (1980) </w:t>
      </w:r>
      <w:r w:rsidRPr="00AA77DA">
        <w:rPr>
          <w:i/>
          <w:iCs/>
          <w:color w:val="000000"/>
        </w:rPr>
        <w:t>Identity and the life cycle</w:t>
      </w:r>
      <w:r w:rsidRPr="00AA77DA">
        <w:rPr>
          <w:color w:val="000000"/>
        </w:rPr>
        <w:t>. New York; London: W.W. Norton.</w:t>
      </w:r>
    </w:p>
    <w:p w14:paraId="4AC572ED"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Future Generations </w:t>
      </w:r>
      <w:r w:rsidRPr="00AA77DA">
        <w:t>Commissioner for</w:t>
      </w:r>
      <w:r w:rsidRPr="00AA77DA">
        <w:rPr>
          <w:color w:val="000000"/>
        </w:rPr>
        <w:t xml:space="preserve"> Wales (2025) </w:t>
      </w:r>
      <w:r w:rsidRPr="00AA77DA">
        <w:rPr>
          <w:i/>
          <w:iCs/>
          <w:color w:val="000000"/>
        </w:rPr>
        <w:t>Impact of the Act - Future Generations Wales</w:t>
      </w:r>
      <w:r w:rsidRPr="00AA77DA">
        <w:rPr>
          <w:color w:val="000000"/>
        </w:rPr>
        <w:t xml:space="preserve">. Available at: </w:t>
      </w:r>
      <w:hyperlink r:id="rId45" w:history="1">
        <w:r w:rsidRPr="00AA77DA">
          <w:rPr>
            <w:rStyle w:val="Hyperlink"/>
          </w:rPr>
          <w:t>https://futuregenerations.wales/explore/impact/impact-of-the-act/</w:t>
        </w:r>
      </w:hyperlink>
      <w:r w:rsidRPr="00AA77DA">
        <w:rPr>
          <w:color w:val="000000"/>
        </w:rPr>
        <w:t xml:space="preserve"> (Accessed 14 April 2025).</w:t>
      </w:r>
    </w:p>
    <w:p w14:paraId="13D6BD60"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Garratt, K., Kirk-Wade, E. and Long, R. (2024)</w:t>
      </w:r>
      <w:r>
        <w:rPr>
          <w:color w:val="000000"/>
        </w:rPr>
        <w:t xml:space="preserve"> </w:t>
      </w:r>
      <w:r w:rsidRPr="00AA77DA">
        <w:rPr>
          <w:i/>
          <w:iCs/>
          <w:color w:val="000000"/>
        </w:rPr>
        <w:t>Children and young people's mental health: policy and services (England)</w:t>
      </w:r>
      <w:r w:rsidRPr="00AA77DA">
        <w:rPr>
          <w:color w:val="000000"/>
        </w:rPr>
        <w:t xml:space="preserve">. Available at: </w:t>
      </w:r>
      <w:hyperlink r:id="rId46" w:history="1">
        <w:r w:rsidRPr="00AA77DA">
          <w:rPr>
            <w:rStyle w:val="Hyperlink"/>
          </w:rPr>
          <w:t>https://researchbriefings.files.parliament.uk/documents/CBP-7196/CBP-7196.pdf</w:t>
        </w:r>
      </w:hyperlink>
      <w:r w:rsidRPr="00AA77DA">
        <w:rPr>
          <w:color w:val="000000"/>
        </w:rPr>
        <w:t xml:space="preserve"> (Accessed 4 May 2025).</w:t>
      </w:r>
    </w:p>
    <w:p w14:paraId="302BC618"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Gregory, A.  (2024) 'Long delays to NHS care for children in England 'creating forgotten generation', </w:t>
      </w:r>
      <w:r w:rsidRPr="00AA77DA">
        <w:rPr>
          <w:i/>
          <w:iCs/>
          <w:color w:val="000000"/>
        </w:rPr>
        <w:t>The Guardian</w:t>
      </w:r>
      <w:r w:rsidRPr="00AA77DA">
        <w:rPr>
          <w:color w:val="000000"/>
        </w:rPr>
        <w:t xml:space="preserve">, 15 July. Available at: </w:t>
      </w:r>
      <w:hyperlink r:id="rId47" w:history="1">
        <w:r w:rsidRPr="00AA77DA">
          <w:rPr>
            <w:rStyle w:val="Hyperlink"/>
          </w:rPr>
          <w:t>https://www.theguardian.com/society/article/2024/jul/15/long-delays-to-nhs-care-for-children-in-england-creating-forgotten-generation</w:t>
        </w:r>
      </w:hyperlink>
      <w:r w:rsidRPr="00AA77DA">
        <w:rPr>
          <w:color w:val="000000"/>
        </w:rPr>
        <w:t xml:space="preserve"> (Accessed 4 April 2025).</w:t>
      </w:r>
    </w:p>
    <w:p w14:paraId="1A5B65BB" w14:textId="4536C14C"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Guzman, V., Doyle, F., Foley, R., Craven, P., Crowe, N., Wilson, P., Smith, A., Hegarty, G. and Pertl, M.M. (2023) Socio-ecological determinants of older people's mental health and wellbeing during COVID-19: A qualitative analysis within the Irish context', </w:t>
      </w:r>
      <w:r w:rsidRPr="00AA77DA">
        <w:rPr>
          <w:i/>
          <w:iCs/>
          <w:color w:val="000000"/>
        </w:rPr>
        <w:t>Frontiers in Public Health</w:t>
      </w:r>
      <w:r w:rsidRPr="00AA77DA">
        <w:rPr>
          <w:color w:val="000000"/>
        </w:rPr>
        <w:t xml:space="preserve">, 11. Available at: </w:t>
      </w:r>
      <w:hyperlink r:id="rId48" w:history="1">
        <w:r w:rsidRPr="00AA77DA">
          <w:rPr>
            <w:rStyle w:val="Hyperlink"/>
          </w:rPr>
          <w:t>https://doi.org/10.3389/fpubh.2023.1148758</w:t>
        </w:r>
      </w:hyperlink>
      <w:r w:rsidRPr="00AA77DA">
        <w:rPr>
          <w:color w:val="000000"/>
        </w:rPr>
        <w:t xml:space="preserve"> .</w:t>
      </w:r>
    </w:p>
    <w:p w14:paraId="3F5A76B3"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t xml:space="preserve">Hansen, A. S., </w:t>
      </w:r>
      <w:proofErr w:type="spellStart"/>
      <w:r w:rsidRPr="00AA77DA">
        <w:t>Telléus</w:t>
      </w:r>
      <w:proofErr w:type="spellEnd"/>
      <w:r w:rsidRPr="00AA77DA">
        <w:t xml:space="preserve">, G. K., Mohr-Jensen, C., and Lauritsen, M. B. (2021) 'Parent-perceived barriers to accessing services for their child's mental health problems', </w:t>
      </w:r>
      <w:r w:rsidRPr="00AA77DA">
        <w:rPr>
          <w:i/>
          <w:iCs/>
        </w:rPr>
        <w:t>Child and Adolescent Psychiatry and Mental Health</w:t>
      </w:r>
      <w:r w:rsidRPr="00AA77DA">
        <w:t xml:space="preserve">, </w:t>
      </w:r>
      <w:r w:rsidRPr="00AA77DA">
        <w:rPr>
          <w:i/>
          <w:iCs/>
        </w:rPr>
        <w:t>15</w:t>
      </w:r>
      <w:r w:rsidRPr="00AA77DA">
        <w:t xml:space="preserve">(1). </w:t>
      </w:r>
      <w:hyperlink r:id="rId49" w:history="1">
        <w:r w:rsidRPr="00AA77DA">
          <w:rPr>
            <w:rStyle w:val="Hyperlink"/>
            <w:rFonts w:eastAsiaTheme="majorEastAsia"/>
          </w:rPr>
          <w:t>https://doi.org/10.1186/s13034-021-00357-7</w:t>
        </w:r>
      </w:hyperlink>
      <w:r w:rsidRPr="00AA77DA">
        <w:rPr>
          <w:rStyle w:val="url"/>
          <w:rFonts w:eastAsiaTheme="majorEastAsia"/>
        </w:rPr>
        <w:t xml:space="preserve"> .</w:t>
      </w:r>
    </w:p>
    <w:p w14:paraId="0C887A9C"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Hazell, C.M., Fixsen, A. and Berry, C. (2022) 'Is it time to change the approach of mental health stigma campaigns? An experimental investigation of the effect of campaign wording on stigma and help-seeking intentions', </w:t>
      </w:r>
      <w:r w:rsidRPr="00AA77DA">
        <w:rPr>
          <w:i/>
          <w:iCs/>
          <w:color w:val="000000"/>
        </w:rPr>
        <w:t>PLOS ONE</w:t>
      </w:r>
      <w:r w:rsidRPr="00AA77DA">
        <w:rPr>
          <w:color w:val="000000"/>
        </w:rPr>
        <w:t xml:space="preserve">, 17(8), p.e0273254. Available at: </w:t>
      </w:r>
      <w:hyperlink r:id="rId50" w:history="1">
        <w:r w:rsidRPr="00AA77DA">
          <w:rPr>
            <w:rStyle w:val="Hyperlink"/>
          </w:rPr>
          <w:t>https://doi.org/10.1371/journal.pone.0273254</w:t>
        </w:r>
      </w:hyperlink>
      <w:r w:rsidRPr="00AA77DA">
        <w:rPr>
          <w:color w:val="000000"/>
        </w:rPr>
        <w:t xml:space="preserve"> .</w:t>
      </w:r>
    </w:p>
    <w:p w14:paraId="6AD47462"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Herrity, J. (2025) </w:t>
      </w:r>
      <w:r w:rsidRPr="00AA77DA">
        <w:rPr>
          <w:i/>
          <w:iCs/>
          <w:color w:val="000000"/>
        </w:rPr>
        <w:t>Applying Maslow's Hierarchy of Needs in the Workplace.</w:t>
      </w:r>
      <w:r w:rsidRPr="00AA77DA">
        <w:rPr>
          <w:color w:val="000000"/>
        </w:rPr>
        <w:t xml:space="preserve"> Available at: </w:t>
      </w:r>
      <w:hyperlink r:id="rId51" w:history="1">
        <w:r w:rsidRPr="00AA77DA">
          <w:rPr>
            <w:rStyle w:val="Hyperlink"/>
          </w:rPr>
          <w:t>https://www.indeed.com/career-advice/career-development/maslows-hierarchy-of-needs</w:t>
        </w:r>
      </w:hyperlink>
      <w:r w:rsidRPr="00AA77DA">
        <w:rPr>
          <w:color w:val="000000"/>
        </w:rPr>
        <w:t xml:space="preserve"> (Accessed 4 April 2025).</w:t>
      </w:r>
    </w:p>
    <w:p w14:paraId="7381B8E7"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HIW, CIW and Estyn (2024) </w:t>
      </w:r>
      <w:r w:rsidRPr="00AA77DA">
        <w:rPr>
          <w:i/>
          <w:iCs/>
          <w:color w:val="000000"/>
        </w:rPr>
        <w:t>How are healthcare, education, and children's services supporting the mental health needs of children and young people in Wales?.</w:t>
      </w:r>
      <w:r w:rsidRPr="00AA77DA">
        <w:rPr>
          <w:color w:val="000000"/>
        </w:rPr>
        <w:t xml:space="preserve"> Available at: </w:t>
      </w:r>
      <w:hyperlink r:id="rId52" w:history="1">
        <w:r w:rsidRPr="00AA77DA">
          <w:rPr>
            <w:rStyle w:val="Hyperlink"/>
          </w:rPr>
          <w:t>https://www.hiw.org.uk/system/files/2024-11/20241121%20HIW%20Children%20and%20Young%20People%20Mental%20Health%20Joint%20Review%20-%20EN_0.pdf</w:t>
        </w:r>
      </w:hyperlink>
      <w:r w:rsidRPr="00AA77DA">
        <w:rPr>
          <w:color w:val="000000"/>
        </w:rPr>
        <w:t xml:space="preserve"> (Accessed 24 March 2025).</w:t>
      </w:r>
    </w:p>
    <w:p w14:paraId="529F65EF" w14:textId="77777777" w:rsidR="00A80BEC" w:rsidRPr="00AA77DA" w:rsidRDefault="00A80BEC" w:rsidP="00A80BEC">
      <w:pPr>
        <w:pStyle w:val="NormalWeb"/>
        <w:spacing w:before="240" w:beforeAutospacing="0" w:after="240" w:afterAutospacing="0" w:line="360" w:lineRule="auto"/>
        <w:ind w:left="360"/>
        <w:jc w:val="both"/>
      </w:pPr>
      <w:r w:rsidRPr="00AA77DA">
        <w:t xml:space="preserve">Holland, S., Howe, S., Future Generations Commissioner for Wales and Children's Commissioner for Wales (2021) </w:t>
      </w:r>
      <w:r w:rsidRPr="00AA77DA">
        <w:rPr>
          <w:i/>
          <w:iCs/>
        </w:rPr>
        <w:t xml:space="preserve">The Right Way: A Wales Future Fit </w:t>
      </w:r>
      <w:proofErr w:type="gramStart"/>
      <w:r w:rsidRPr="00AA77DA">
        <w:rPr>
          <w:i/>
          <w:iCs/>
        </w:rPr>
        <w:t>For</w:t>
      </w:r>
      <w:proofErr w:type="gramEnd"/>
      <w:r w:rsidRPr="00AA77DA">
        <w:rPr>
          <w:i/>
          <w:iCs/>
        </w:rPr>
        <w:t xml:space="preserve"> Children</w:t>
      </w:r>
      <w:r w:rsidRPr="00AA77DA">
        <w:t xml:space="preserve">. Available at: </w:t>
      </w:r>
      <w:hyperlink r:id="rId53" w:history="1">
        <w:r w:rsidRPr="00AA77DA">
          <w:rPr>
            <w:rStyle w:val="Hyperlink"/>
            <w:rFonts w:eastAsiaTheme="majorEastAsia"/>
          </w:rPr>
          <w:t>https://www.childcomwales.org.uk/wp-content/uploads/2021/10/CCFW-FGCW-Report-_English_01.pdf</w:t>
        </w:r>
      </w:hyperlink>
      <w:r w:rsidRPr="00AA77DA">
        <w:rPr>
          <w:rStyle w:val="url"/>
          <w:rFonts w:eastAsiaTheme="majorEastAsia"/>
        </w:rPr>
        <w:t xml:space="preserve"> </w:t>
      </w:r>
      <w:r w:rsidRPr="00AA77DA">
        <w:rPr>
          <w:color w:val="000000"/>
        </w:rPr>
        <w:t>(Accessed 14 April 2025).</w:t>
      </w:r>
    </w:p>
    <w:p w14:paraId="481670F1"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t xml:space="preserve">Hutchinson, J., </w:t>
      </w:r>
      <w:proofErr w:type="spellStart"/>
      <w:r w:rsidRPr="00AA77DA">
        <w:t>Crenna</w:t>
      </w:r>
      <w:proofErr w:type="spellEnd"/>
      <w:r w:rsidRPr="00AA77DA">
        <w:t xml:space="preserve">-Jennings, W., Khan, S. and Education Policy Institute (2020) </w:t>
      </w:r>
      <w:r w:rsidRPr="00AA77DA">
        <w:rPr>
          <w:i/>
          <w:iCs/>
        </w:rPr>
        <w:t>Annual Report on Young People's Mental Health</w:t>
      </w:r>
      <w:r w:rsidRPr="00AA77DA">
        <w:t xml:space="preserve">. Available at: </w:t>
      </w:r>
      <w:hyperlink r:id="rId54" w:history="1">
        <w:r w:rsidRPr="00AA77DA">
          <w:rPr>
            <w:rStyle w:val="Hyperlink"/>
            <w:rFonts w:eastAsiaTheme="majorEastAsia"/>
          </w:rPr>
          <w:t>https://epi.org.uk/wp-content/uploads/2020/01/Access-to-CAMHS-in-2019_EPI.pdf</w:t>
        </w:r>
      </w:hyperlink>
      <w:r w:rsidRPr="00AA77DA">
        <w:rPr>
          <w:rStyle w:val="url"/>
          <w:rFonts w:eastAsiaTheme="majorEastAsia"/>
        </w:rPr>
        <w:t xml:space="preserve"> </w:t>
      </w:r>
      <w:r w:rsidRPr="00AA77DA">
        <w:rPr>
          <w:color w:val="000000"/>
        </w:rPr>
        <w:t>(Accessed 24 March 2025).</w:t>
      </w:r>
    </w:p>
    <w:p w14:paraId="1FF7B5B4" w14:textId="77777777" w:rsidR="00A80BEC" w:rsidRPr="00AA77DA" w:rsidRDefault="00A80BEC" w:rsidP="00A80BEC">
      <w:pPr>
        <w:pStyle w:val="NormalWeb"/>
        <w:spacing w:before="240" w:beforeAutospacing="0" w:after="240" w:afterAutospacing="0" w:line="360" w:lineRule="auto"/>
        <w:ind w:left="360"/>
        <w:jc w:val="both"/>
      </w:pPr>
      <w:r w:rsidRPr="00AA77DA">
        <w:rPr>
          <w:color w:val="000000"/>
        </w:rPr>
        <w:lastRenderedPageBreak/>
        <w:t xml:space="preserve">Johnson, L. (2024) </w:t>
      </w:r>
      <w:r w:rsidRPr="00AA77DA">
        <w:rPr>
          <w:i/>
          <w:iCs/>
          <w:color w:val="000000"/>
        </w:rPr>
        <w:t>Psychoeducation in CAMHS</w:t>
      </w:r>
      <w:r w:rsidRPr="00AA77DA">
        <w:rPr>
          <w:color w:val="000000"/>
        </w:rPr>
        <w:t xml:space="preserve">. Available at: </w:t>
      </w:r>
      <w:hyperlink r:id="rId55" w:history="1">
        <w:r w:rsidRPr="00AA77DA">
          <w:rPr>
            <w:rStyle w:val="Hyperlink"/>
          </w:rPr>
          <w:t>https://www.healthforteens.co.uk/leicestercity/psychoeducation-in-camhs/</w:t>
        </w:r>
      </w:hyperlink>
      <w:r w:rsidRPr="00AA77DA">
        <w:rPr>
          <w:color w:val="000000"/>
        </w:rPr>
        <w:t xml:space="preserve"> </w:t>
      </w:r>
      <w:proofErr w:type="gramStart"/>
      <w:r w:rsidRPr="00AA77DA">
        <w:rPr>
          <w:color w:val="000000"/>
        </w:rPr>
        <w:t>Accessed  23</w:t>
      </w:r>
      <w:proofErr w:type="gramEnd"/>
      <w:r w:rsidRPr="00AA77DA">
        <w:rPr>
          <w:color w:val="000000"/>
        </w:rPr>
        <w:t xml:space="preserve"> March 2025).     </w:t>
      </w:r>
    </w:p>
    <w:p w14:paraId="7D02804C"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Kaushik, D., Garg, M. and Mishra, A. (2023) 'Exploring Developmental Pathways: An In- Depth Analysis of Bronfenbrenner's Bioecological Model', </w:t>
      </w:r>
      <w:r w:rsidRPr="00AA77DA">
        <w:rPr>
          <w:i/>
          <w:iCs/>
        </w:rPr>
        <w:t>International Journal for Multidisciplinary Research</w:t>
      </w:r>
      <w:r w:rsidRPr="00AA77DA">
        <w:rPr>
          <w:color w:val="000000"/>
        </w:rPr>
        <w:t xml:space="preserve">. Available at: </w:t>
      </w:r>
      <w:hyperlink r:id="rId56" w:history="1">
        <w:r w:rsidRPr="00AA77DA">
          <w:rPr>
            <w:rStyle w:val="Hyperlink"/>
          </w:rPr>
          <w:t>https://pdfs.semanticscholar.org/c432/05aded5ffac6c315f71518f9201b1005d120.pdf</w:t>
        </w:r>
      </w:hyperlink>
      <w:r w:rsidRPr="00AA77DA">
        <w:rPr>
          <w:color w:val="000000"/>
        </w:rPr>
        <w:t xml:space="preserve"> .</w:t>
      </w:r>
    </w:p>
    <w:p w14:paraId="6400CF81" w14:textId="77777777" w:rsidR="00A80BEC" w:rsidRPr="00AA77DA" w:rsidRDefault="00A80BEC" w:rsidP="00A80BEC">
      <w:pPr>
        <w:pStyle w:val="NormalWeb"/>
        <w:spacing w:before="240" w:beforeAutospacing="0" w:after="240" w:afterAutospacing="0" w:line="360" w:lineRule="auto"/>
        <w:ind w:left="360"/>
        <w:jc w:val="both"/>
      </w:pPr>
      <w:r w:rsidRPr="00AA77DA">
        <w:t xml:space="preserve">Kurt, S. (2022) </w:t>
      </w:r>
      <w:r w:rsidRPr="00AA77DA">
        <w:rPr>
          <w:i/>
          <w:iCs/>
        </w:rPr>
        <w:t>Vygotsky's Theories and How to Incorporate Vygotsky's Theories in The Classroom</w:t>
      </w:r>
      <w:r w:rsidRPr="00AA77DA">
        <w:t xml:space="preserve">. Education Library. Available at:  </w:t>
      </w:r>
      <w:hyperlink r:id="rId57" w:history="1">
        <w:r w:rsidRPr="00AA77DA">
          <w:rPr>
            <w:rStyle w:val="Hyperlink"/>
            <w:rFonts w:eastAsiaTheme="majorEastAsia"/>
          </w:rPr>
          <w:t>https://educationlibrary.org/vygotskys-theories-and-how-to-incorporate-vygotskys-theories-in-the-classroom/</w:t>
        </w:r>
      </w:hyperlink>
      <w:r w:rsidRPr="00AA77DA">
        <w:rPr>
          <w:rStyle w:val="url"/>
          <w:rFonts w:eastAsiaTheme="majorEastAsia"/>
        </w:rPr>
        <w:t xml:space="preserve"> </w:t>
      </w:r>
      <w:r w:rsidRPr="00AA77DA">
        <w:rPr>
          <w:color w:val="000000"/>
        </w:rPr>
        <w:t>(Accessed 4 April 2025).</w:t>
      </w:r>
    </w:p>
    <w:p w14:paraId="0E257749" w14:textId="1B505DE8" w:rsidR="00A80BEC" w:rsidRPr="00AA77DA" w:rsidRDefault="00A80BEC" w:rsidP="00A80BEC">
      <w:pPr>
        <w:pStyle w:val="NormalWeb"/>
        <w:spacing w:before="240" w:beforeAutospacing="0" w:after="240" w:afterAutospacing="0" w:line="360" w:lineRule="auto"/>
        <w:ind w:left="360"/>
        <w:jc w:val="both"/>
      </w:pPr>
      <w:r w:rsidRPr="00AA77DA">
        <w:t xml:space="preserve">Lorentzen, V., Fagermo, K., </w:t>
      </w:r>
      <w:proofErr w:type="spellStart"/>
      <w:r w:rsidRPr="00AA77DA">
        <w:t>Handegård</w:t>
      </w:r>
      <w:proofErr w:type="spellEnd"/>
      <w:r w:rsidRPr="00AA77DA">
        <w:t xml:space="preserve">, B. H., </w:t>
      </w:r>
      <w:proofErr w:type="spellStart"/>
      <w:r w:rsidRPr="00AA77DA">
        <w:t>Skre</w:t>
      </w:r>
      <w:proofErr w:type="spellEnd"/>
      <w:r w:rsidRPr="00AA77DA">
        <w:t>, I. and Neumer, S. (2020) 'A randomi</w:t>
      </w:r>
      <w:r w:rsidR="0061105F">
        <w:t>s</w:t>
      </w:r>
      <w:r w:rsidRPr="00AA77DA">
        <w:t xml:space="preserve">ed controlled trial of a six-session cognitive behavioural treatment of emotional disorders in adolescents 14–17 years old in child and adolescent mental health services (CAMHS)', </w:t>
      </w:r>
      <w:r w:rsidRPr="00AA77DA">
        <w:rPr>
          <w:i/>
          <w:iCs/>
        </w:rPr>
        <w:t>BMC Psychology</w:t>
      </w:r>
      <w:r w:rsidRPr="00AA77DA">
        <w:t xml:space="preserve">, </w:t>
      </w:r>
      <w:r w:rsidRPr="00AA77DA">
        <w:rPr>
          <w:i/>
          <w:iCs/>
        </w:rPr>
        <w:t>8</w:t>
      </w:r>
      <w:r w:rsidRPr="00AA77DA">
        <w:t xml:space="preserve">(1). Available at: </w:t>
      </w:r>
      <w:hyperlink r:id="rId58" w:history="1">
        <w:r w:rsidRPr="00AA77DA">
          <w:rPr>
            <w:rStyle w:val="Hyperlink"/>
            <w:rFonts w:eastAsiaTheme="majorEastAsia"/>
          </w:rPr>
          <w:t>https://doi.org/10.1186/s40359-020-0393-x</w:t>
        </w:r>
      </w:hyperlink>
      <w:r w:rsidRPr="00AA77DA">
        <w:rPr>
          <w:rStyle w:val="url"/>
          <w:rFonts w:eastAsiaTheme="majorEastAsia"/>
        </w:rPr>
        <w:t xml:space="preserve"> .</w:t>
      </w:r>
    </w:p>
    <w:p w14:paraId="4E5DE2D1"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Martin, F., Dahmash, D., Tsang, A., Glover, S.C., Duncan, C. and Halligan, S.L. (2023) 'Interventions to support parents and carers of young people with mental health difficulties: a systematic review protocol', </w:t>
      </w:r>
      <w:r w:rsidRPr="00AA77DA">
        <w:rPr>
          <w:i/>
          <w:iCs/>
          <w:color w:val="000000"/>
        </w:rPr>
        <w:t>BMJ Open</w:t>
      </w:r>
      <w:r w:rsidRPr="00AA77DA">
        <w:rPr>
          <w:color w:val="000000"/>
        </w:rPr>
        <w:t xml:space="preserve">, 13(6), </w:t>
      </w:r>
      <w:proofErr w:type="gramStart"/>
      <w:r w:rsidRPr="00AA77DA">
        <w:rPr>
          <w:color w:val="000000"/>
        </w:rPr>
        <w:t>pp.e</w:t>
      </w:r>
      <w:proofErr w:type="gramEnd"/>
      <w:r w:rsidRPr="00AA77DA">
        <w:rPr>
          <w:color w:val="000000"/>
        </w:rPr>
        <w:t xml:space="preserve">073940–e073940. Available at: </w:t>
      </w:r>
      <w:hyperlink r:id="rId59" w:history="1">
        <w:r w:rsidRPr="00AA77DA">
          <w:rPr>
            <w:rStyle w:val="Hyperlink"/>
          </w:rPr>
          <w:t>https://doi.org/10.1136/bmjopen-2023-073940</w:t>
        </w:r>
      </w:hyperlink>
      <w:r w:rsidRPr="00AA77DA">
        <w:rPr>
          <w:color w:val="000000"/>
        </w:rPr>
        <w:t xml:space="preserve"> .</w:t>
      </w:r>
    </w:p>
    <w:p w14:paraId="02D347B8"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Maslow, A.H. (1954) </w:t>
      </w:r>
      <w:r w:rsidRPr="00AA77DA">
        <w:rPr>
          <w:i/>
          <w:iCs/>
          <w:color w:val="000000"/>
        </w:rPr>
        <w:t>Motivation and personality</w:t>
      </w:r>
      <w:r w:rsidRPr="00AA77DA">
        <w:rPr>
          <w:color w:val="000000"/>
        </w:rPr>
        <w:t>. New York: Harper &amp; Row.</w:t>
      </w:r>
    </w:p>
    <w:p w14:paraId="7E72FE82"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t xml:space="preserve">McGuigan, A., </w:t>
      </w:r>
      <w:r>
        <w:t xml:space="preserve">Houston, L., Watkins, D., Hughes, B., McCaul, L., Wilson, K., Morgan, C., Kavanagh, L., </w:t>
      </w:r>
      <w:proofErr w:type="spellStart"/>
      <w:r>
        <w:t>Teggart</w:t>
      </w:r>
      <w:proofErr w:type="spellEnd"/>
      <w:r>
        <w:t xml:space="preserve">, T., Rooney, C., Kennedy, M., Clarke, K., McKenna, C., McCafferty, M., Rogers, S., Breslin, E., Emerson, M., Ilsley, J., Heather, H., Short, M., McGovern, P., and Nelson, J. (2018) </w:t>
      </w:r>
      <w:r w:rsidRPr="00762353">
        <w:rPr>
          <w:i/>
          <w:iCs/>
        </w:rPr>
        <w:t>Working Together: A Pathway for Children and Young People through CAMHS. Working together is at the heart of everything we do.</w:t>
      </w:r>
      <w:r w:rsidRPr="00AA77DA">
        <w:rPr>
          <w:i/>
          <w:iCs/>
          <w:color w:val="000000"/>
        </w:rPr>
        <w:t xml:space="preserve"> </w:t>
      </w:r>
      <w:r w:rsidRPr="00AA77DA">
        <w:rPr>
          <w:color w:val="000000"/>
        </w:rPr>
        <w:t xml:space="preserve">Available at: </w:t>
      </w:r>
      <w:hyperlink r:id="rId60" w:history="1">
        <w:r w:rsidRPr="00AA77DA">
          <w:rPr>
            <w:rStyle w:val="Hyperlink"/>
          </w:rPr>
          <w:t>https://www.familysupportni.gov.uk/Content/uploads/userUploads/CAMHS-Pathway.pdf</w:t>
        </w:r>
      </w:hyperlink>
      <w:r w:rsidRPr="00AA77DA">
        <w:rPr>
          <w:color w:val="000000"/>
        </w:rPr>
        <w:t xml:space="preserve"> (Accessed 23 March 2025).</w:t>
      </w:r>
    </w:p>
    <w:p w14:paraId="1C9AC8ED"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lastRenderedPageBreak/>
        <w:t xml:space="preserve">McLeod, S. (2024) </w:t>
      </w:r>
      <w:r w:rsidRPr="00AA77DA">
        <w:rPr>
          <w:i/>
          <w:iCs/>
        </w:rPr>
        <w:t>Piaget's Theory and Stages of Cognitive Development</w:t>
      </w:r>
      <w:r w:rsidRPr="00AA77DA">
        <w:t xml:space="preserve">. </w:t>
      </w:r>
      <w:r w:rsidRPr="00AA77DA">
        <w:rPr>
          <w:i/>
          <w:iCs/>
        </w:rPr>
        <w:t>Simply Psychology</w:t>
      </w:r>
      <w:r w:rsidRPr="00AA77DA">
        <w:t xml:space="preserve">. Available at: </w:t>
      </w:r>
      <w:hyperlink r:id="rId61" w:history="1">
        <w:r w:rsidRPr="00AA77DA">
          <w:rPr>
            <w:rStyle w:val="Hyperlink"/>
            <w:rFonts w:eastAsiaTheme="majorEastAsia"/>
          </w:rPr>
          <w:t>https://www.simplypsychology.org/piaget.html</w:t>
        </w:r>
      </w:hyperlink>
      <w:r w:rsidRPr="00AA77DA">
        <w:rPr>
          <w:rStyle w:val="url"/>
          <w:rFonts w:eastAsiaTheme="majorEastAsia"/>
        </w:rPr>
        <w:t xml:space="preserve"> </w:t>
      </w:r>
      <w:r w:rsidRPr="00AA77DA">
        <w:rPr>
          <w:color w:val="000000"/>
        </w:rPr>
        <w:t>(Accessed 4 April 2025).</w:t>
      </w:r>
    </w:p>
    <w:p w14:paraId="791AF4B3"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Newman, K.L., Kapil Sayal, Ewart, C., Lang, A., Bhardwaj, A., </w:t>
      </w:r>
      <w:proofErr w:type="spellStart"/>
      <w:r w:rsidRPr="00AA77DA">
        <w:rPr>
          <w:color w:val="000000"/>
        </w:rPr>
        <w:t>Bernadka</w:t>
      </w:r>
      <w:proofErr w:type="spellEnd"/>
      <w:r w:rsidRPr="00AA77DA">
        <w:rPr>
          <w:color w:val="000000"/>
        </w:rPr>
        <w:t xml:space="preserve"> Dubicka, Marshall, T. and Thomson, L. (2024) 'Snakes and Ladders: The experience of being referred to and seen by Child and Adolescent Mental Health Services', </w:t>
      </w:r>
      <w:r w:rsidRPr="00AA77DA">
        <w:rPr>
          <w:i/>
          <w:iCs/>
          <w:color w:val="000000"/>
        </w:rPr>
        <w:t>SSM. Mental health</w:t>
      </w:r>
      <w:r w:rsidRPr="00AA77DA">
        <w:rPr>
          <w:color w:val="000000"/>
        </w:rPr>
        <w:t xml:space="preserve">, pp.100343–100343. Available at: </w:t>
      </w:r>
      <w:hyperlink r:id="rId62" w:history="1">
        <w:r w:rsidRPr="00AA77DA">
          <w:rPr>
            <w:rStyle w:val="Hyperlink"/>
          </w:rPr>
          <w:t>https://doi.org/10.1016/j.ssmmh.2024.100343</w:t>
        </w:r>
      </w:hyperlink>
      <w:r w:rsidRPr="00AA77DA">
        <w:rPr>
          <w:color w:val="000000"/>
        </w:rPr>
        <w:t xml:space="preserve"> .</w:t>
      </w:r>
    </w:p>
    <w:p w14:paraId="1A2A779B" w14:textId="77777777" w:rsidR="00A80BEC" w:rsidRPr="00AA77DA" w:rsidRDefault="00A80BEC" w:rsidP="00A80BEC">
      <w:pPr>
        <w:pStyle w:val="NormalWeb"/>
        <w:spacing w:before="240" w:beforeAutospacing="0" w:after="240" w:afterAutospacing="0" w:line="360" w:lineRule="auto"/>
        <w:ind w:left="360"/>
        <w:jc w:val="both"/>
      </w:pPr>
      <w:r w:rsidRPr="00AA77DA">
        <w:t xml:space="preserve">NHS (2019) </w:t>
      </w:r>
      <w:r w:rsidRPr="00AA77DA">
        <w:rPr>
          <w:i/>
          <w:iCs/>
        </w:rPr>
        <w:t>The NHS Long Term plan</w:t>
      </w:r>
      <w:r w:rsidRPr="00AA77DA">
        <w:t xml:space="preserve">. Available at:  </w:t>
      </w:r>
      <w:hyperlink r:id="rId63" w:history="1">
        <w:r w:rsidRPr="00AA77DA">
          <w:rPr>
            <w:rStyle w:val="Hyperlink"/>
            <w:rFonts w:eastAsiaTheme="majorEastAsia"/>
          </w:rPr>
          <w:t>https://www.longtermplan.nhs.uk/wp-content/uploads/2019/08/nhs-long-term-plan-version-1.2.pdf</w:t>
        </w:r>
      </w:hyperlink>
      <w:r w:rsidRPr="00AA77DA">
        <w:rPr>
          <w:rStyle w:val="url"/>
          <w:rFonts w:eastAsiaTheme="majorEastAsia"/>
        </w:rPr>
        <w:t xml:space="preserve"> </w:t>
      </w:r>
      <w:r w:rsidRPr="00AA77DA">
        <w:rPr>
          <w:color w:val="000000"/>
        </w:rPr>
        <w:t>(Accessed  23 March 2025).</w:t>
      </w:r>
    </w:p>
    <w:p w14:paraId="6A3B4375"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NHS (2023a</w:t>
      </w:r>
      <w:r w:rsidRPr="00AA77DA">
        <w:rPr>
          <w:i/>
          <w:iCs/>
          <w:color w:val="000000"/>
        </w:rPr>
        <w:t xml:space="preserve">) </w:t>
      </w:r>
      <w:r w:rsidRPr="00AA77DA">
        <w:rPr>
          <w:i/>
          <w:iCs/>
        </w:rPr>
        <w:t>Child and Adolescent Mental Health Services Benchmarking Analysis for NHS Wales 2021/22</w:t>
      </w:r>
      <w:r w:rsidRPr="00AA77DA">
        <w:t xml:space="preserve">. Available at: </w:t>
      </w:r>
      <w:hyperlink r:id="rId64" w:anchor=":~:text=The%20mean%20average%20in%20Wales%20was%2039%20WTEs%20and%20this,CYP%20beds%20in%202020%2F21.&amp;text=Finance%20In%202021%2F22%20costs,%C2%A3222%2C388%20in%202020%2F21" w:history="1">
        <w:r w:rsidRPr="00AA77DA">
          <w:rPr>
            <w:rStyle w:val="Hyperlink"/>
          </w:rPr>
          <w:t>https://nccu.nhs.wales/qais/events/cbmcj2023/nhs-benchmarking-report-camhs-202122/#:~:text=The%20mean%20average%20in%20Wales%20was%2039%20WTEs%20and%20this,CYP%20beds%20in%202020%2F21.&amp;text=Finance%20In%202021%2F22%20costs,%C2%A3222%2C388%20in%202020%2F21</w:t>
        </w:r>
      </w:hyperlink>
      <w:r w:rsidRPr="00AA77DA">
        <w:t xml:space="preserve"> </w:t>
      </w:r>
      <w:r w:rsidRPr="00AA77DA">
        <w:rPr>
          <w:color w:val="000000"/>
        </w:rPr>
        <w:t>(Accessed 24  March 2025).</w:t>
      </w:r>
    </w:p>
    <w:p w14:paraId="7E97CAA6"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NHS (2023b) </w:t>
      </w:r>
      <w:r w:rsidRPr="00AA77DA">
        <w:rPr>
          <w:i/>
          <w:iCs/>
          <w:color w:val="000000"/>
        </w:rPr>
        <w:t>Children and young people's services</w:t>
      </w:r>
      <w:r w:rsidRPr="00AA77DA">
        <w:rPr>
          <w:color w:val="000000"/>
        </w:rPr>
        <w:t xml:space="preserve">. Available at: </w:t>
      </w:r>
      <w:hyperlink r:id="rId65" w:history="1">
        <w:r w:rsidRPr="00AA77DA">
          <w:rPr>
            <w:rStyle w:val="Hyperlink"/>
          </w:rPr>
          <w:t>https://www.nhs.uk/conditions/social-care-and-support-guide/caring-for-children-and-young-people/children-and-young-peoples-services/</w:t>
        </w:r>
      </w:hyperlink>
      <w:r w:rsidRPr="00AA77DA">
        <w:rPr>
          <w:color w:val="000000"/>
        </w:rPr>
        <w:t xml:space="preserve"> (Accessed 4 April 2025).</w:t>
      </w:r>
    </w:p>
    <w:p w14:paraId="204638C5" w14:textId="77777777" w:rsidR="00A80BEC" w:rsidRPr="00AA77DA" w:rsidRDefault="00A80BEC" w:rsidP="00A80BEC">
      <w:pPr>
        <w:pStyle w:val="NormalWeb"/>
        <w:spacing w:before="240" w:beforeAutospacing="0" w:after="240" w:afterAutospacing="0" w:line="360" w:lineRule="auto"/>
        <w:ind w:left="360"/>
        <w:jc w:val="both"/>
      </w:pPr>
      <w:r w:rsidRPr="00AA77DA">
        <w:t xml:space="preserve">NICE (2019) </w:t>
      </w:r>
      <w:r w:rsidRPr="00AA77DA">
        <w:rPr>
          <w:i/>
          <w:iCs/>
        </w:rPr>
        <w:t>Improving young people's experiences in transition to and from inpatient mental health settings</w:t>
      </w:r>
      <w:r w:rsidRPr="00AA77DA">
        <w:t xml:space="preserve">. Available at: </w:t>
      </w:r>
      <w:hyperlink r:id="rId66" w:anchor=":~:text=parents%20or%20carers.-,Care%20and%20support%20after%20discharge,on%20the%20principles%20of%20recovery" w:history="1">
        <w:r w:rsidRPr="00AA77DA">
          <w:rPr>
            <w:rStyle w:val="Hyperlink"/>
            <w:rFonts w:eastAsiaTheme="majorEastAsia"/>
          </w:rPr>
          <w:t>https://www.nice.org.uk/about/nice-communities/social-care/quick-guides/improving-young-people-s-experiences-in-transition-to-and-from-inpatient-mental-health-settings#:~:text=parents%20or%20carers.-,Care%20and%20support%20after%20discharge,on%20the%20principles%20of%20recovery</w:t>
        </w:r>
      </w:hyperlink>
      <w:r w:rsidRPr="00AA77DA">
        <w:rPr>
          <w:rStyle w:val="url"/>
          <w:rFonts w:eastAsiaTheme="majorEastAsia"/>
        </w:rPr>
        <w:t xml:space="preserve"> </w:t>
      </w:r>
      <w:r w:rsidRPr="00AA77DA">
        <w:rPr>
          <w:color w:val="000000"/>
        </w:rPr>
        <w:t>(Accessed 25 March 2025).</w:t>
      </w:r>
    </w:p>
    <w:p w14:paraId="40FC97C9"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Norfolk and Suffolk NHS Foundation Trust (2021) </w:t>
      </w:r>
      <w:r w:rsidRPr="00AA77DA">
        <w:rPr>
          <w:i/>
          <w:iCs/>
          <w:color w:val="000000"/>
        </w:rPr>
        <w:t>The Child and Adolescent Mental Health Service (CAMHS) at Norfolk and Suffolk NHS Foundation Trust</w:t>
      </w:r>
      <w:r w:rsidRPr="00AA77DA">
        <w:rPr>
          <w:color w:val="000000"/>
        </w:rPr>
        <w:t xml:space="preserve">. Available at: </w:t>
      </w:r>
      <w:hyperlink r:id="rId67" w:history="1">
        <w:r w:rsidRPr="00AA77DA">
          <w:rPr>
            <w:rStyle w:val="Hyperlink"/>
          </w:rPr>
          <w:t>https://www.youtube.com/watch?v=em1yckn5TJ4</w:t>
        </w:r>
      </w:hyperlink>
      <w:r w:rsidRPr="00AA77DA">
        <w:rPr>
          <w:color w:val="000000"/>
        </w:rPr>
        <w:t xml:space="preserve">  (Accessed 23 March 2025).</w:t>
      </w:r>
    </w:p>
    <w:p w14:paraId="3557D908"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lastRenderedPageBreak/>
        <w:t>NSPCC (2024</w:t>
      </w:r>
      <w:proofErr w:type="gramStart"/>
      <w:r w:rsidRPr="00AA77DA">
        <w:rPr>
          <w:color w:val="000000"/>
        </w:rPr>
        <w:t>)</w:t>
      </w:r>
      <w:r>
        <w:rPr>
          <w:color w:val="000000"/>
        </w:rPr>
        <w:t xml:space="preserve"> </w:t>
      </w:r>
      <w:r w:rsidRPr="00AA77DA">
        <w:rPr>
          <w:color w:val="000000"/>
        </w:rPr>
        <w:t> </w:t>
      </w:r>
      <w:r w:rsidRPr="00AA77DA">
        <w:rPr>
          <w:i/>
          <w:iCs/>
          <w:color w:val="000000"/>
        </w:rPr>
        <w:t>History</w:t>
      </w:r>
      <w:proofErr w:type="gramEnd"/>
      <w:r w:rsidRPr="00AA77DA">
        <w:rPr>
          <w:i/>
          <w:iCs/>
          <w:color w:val="000000"/>
        </w:rPr>
        <w:t xml:space="preserve"> of Child Protection in the UK</w:t>
      </w:r>
      <w:r w:rsidRPr="00AA77DA">
        <w:rPr>
          <w:color w:val="000000"/>
        </w:rPr>
        <w:t xml:space="preserve">. Available at: </w:t>
      </w:r>
      <w:hyperlink r:id="rId68" w:history="1">
        <w:r w:rsidRPr="00AA77DA">
          <w:rPr>
            <w:rStyle w:val="Hyperlink"/>
          </w:rPr>
          <w:t>https://learning.nspcc.org.uk/child-protection-system/history-of-child-protection-in-the-uk</w:t>
        </w:r>
      </w:hyperlink>
      <w:r w:rsidRPr="00AA77DA">
        <w:rPr>
          <w:color w:val="000000"/>
        </w:rPr>
        <w:t xml:space="preserve"> (Accessed 5 April 2025).</w:t>
      </w:r>
    </w:p>
    <w:p w14:paraId="062DC7AD" w14:textId="77777777" w:rsidR="00A80BEC" w:rsidRPr="00AA77DA" w:rsidRDefault="00A80BEC" w:rsidP="00A80BEC">
      <w:pPr>
        <w:spacing w:before="240" w:after="240" w:line="360" w:lineRule="auto"/>
        <w:ind w:left="360"/>
        <w:jc w:val="both"/>
        <w:rPr>
          <w:rFonts w:ascii="Times New Roman" w:hAnsi="Times New Roman" w:cs="Times New Roman"/>
          <w:color w:val="000000"/>
        </w:rPr>
      </w:pPr>
      <w:r w:rsidRPr="00AA77DA">
        <w:rPr>
          <w:rFonts w:ascii="Times New Roman" w:hAnsi="Times New Roman" w:cs="Times New Roman"/>
          <w:color w:val="000000"/>
        </w:rPr>
        <w:t xml:space="preserve">Office for Health Improvement and Disparities (2023) </w:t>
      </w:r>
      <w:r w:rsidRPr="00AA77DA">
        <w:rPr>
          <w:rFonts w:ascii="Times New Roman" w:hAnsi="Times New Roman" w:cs="Times New Roman"/>
          <w:i/>
          <w:iCs/>
          <w:color w:val="000000"/>
        </w:rPr>
        <w:t>Commissioning Health Visitors and School Nurses for Public Health Services for Children Aged 0 to 19</w:t>
      </w:r>
      <w:r w:rsidRPr="00AA77DA">
        <w:rPr>
          <w:rFonts w:ascii="Times New Roman" w:hAnsi="Times New Roman" w:cs="Times New Roman"/>
          <w:color w:val="000000"/>
        </w:rPr>
        <w:t xml:space="preserve">. Available at: </w:t>
      </w:r>
      <w:hyperlink r:id="rId69" w:history="1">
        <w:r w:rsidRPr="00AA77DA">
          <w:rPr>
            <w:rStyle w:val="Hyperlink"/>
            <w:rFonts w:ascii="Times New Roman" w:hAnsi="Times New Roman" w:cs="Times New Roman"/>
          </w:rPr>
          <w:t>https://www.gov.uk/government/publications/healthy-child-programme-0-to-19-health-visitor-and-school-nurse-commissioning/commissioning-health-visitors-and-school-nurses-for-public-health-services-for-children-aged-0-to-19</w:t>
        </w:r>
      </w:hyperlink>
      <w:r w:rsidRPr="00AA77DA">
        <w:rPr>
          <w:rFonts w:ascii="Times New Roman" w:hAnsi="Times New Roman" w:cs="Times New Roman"/>
          <w:color w:val="000000"/>
        </w:rPr>
        <w:t xml:space="preserve"> (Accessed 30 April 2025).</w:t>
      </w:r>
    </w:p>
    <w:p w14:paraId="2551DB11"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Office for Health Improvement and Disparities (2023) </w:t>
      </w:r>
      <w:r w:rsidRPr="00AA77DA">
        <w:rPr>
          <w:i/>
          <w:iCs/>
          <w:color w:val="000000"/>
        </w:rPr>
        <w:t>Healthy Child Programme</w:t>
      </w:r>
      <w:r w:rsidRPr="00AA77DA">
        <w:rPr>
          <w:color w:val="000000"/>
        </w:rPr>
        <w:t xml:space="preserve">. Available at: </w:t>
      </w:r>
      <w:hyperlink r:id="rId70" w:history="1">
        <w:r w:rsidRPr="00AA77DA">
          <w:rPr>
            <w:rStyle w:val="Hyperlink"/>
          </w:rPr>
          <w:t>https://www.gov.uk/government/collections/healthy-child-programme</w:t>
        </w:r>
      </w:hyperlink>
      <w:r w:rsidRPr="00AA77DA">
        <w:rPr>
          <w:color w:val="000000"/>
        </w:rPr>
        <w:t xml:space="preserve"> (Accessed 30 April 2025).</w:t>
      </w:r>
    </w:p>
    <w:p w14:paraId="504DDCE3"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Ofsted (2023) </w:t>
      </w:r>
      <w:r w:rsidRPr="00AA77DA">
        <w:rPr>
          <w:i/>
          <w:iCs/>
          <w:color w:val="000000"/>
        </w:rPr>
        <w:t>Protocol between Ofsted and services managed by local authorities: children's social care providers</w:t>
      </w:r>
      <w:r w:rsidRPr="00AA77DA">
        <w:rPr>
          <w:color w:val="000000"/>
        </w:rPr>
        <w:t xml:space="preserve">. Available at: </w:t>
      </w:r>
      <w:hyperlink r:id="rId71" w:history="1">
        <w:r w:rsidRPr="00AA77DA">
          <w:rPr>
            <w:rStyle w:val="Hyperlink"/>
          </w:rPr>
          <w:t>https://www.gov.uk/government/publications/protocols-between-ofsted-and-other-organisations-in-relation-to-childcare/protocol-between-ofsted-and-services-managed-by-local-authorities-childrens-social-care-providers</w:t>
        </w:r>
      </w:hyperlink>
      <w:r w:rsidRPr="00AA77DA">
        <w:rPr>
          <w:color w:val="000000"/>
        </w:rPr>
        <w:t xml:space="preserve"> (Accessed 5 April 2025).</w:t>
      </w:r>
    </w:p>
    <w:p w14:paraId="561FD5C4" w14:textId="77777777" w:rsidR="00A80BEC" w:rsidRPr="00AA77DA" w:rsidRDefault="00A80BEC" w:rsidP="00A80BEC">
      <w:pPr>
        <w:pStyle w:val="NormalWeb"/>
        <w:spacing w:before="240" w:beforeAutospacing="0" w:after="240" w:afterAutospacing="0" w:line="360" w:lineRule="auto"/>
        <w:ind w:left="360"/>
        <w:jc w:val="both"/>
      </w:pPr>
      <w:r w:rsidRPr="00AA77DA">
        <w:rPr>
          <w:color w:val="000000"/>
        </w:rPr>
        <w:t xml:space="preserve">Parkin, E. and Long, R. (2021) </w:t>
      </w:r>
      <w:r w:rsidRPr="00AA77DA">
        <w:rPr>
          <w:i/>
          <w:iCs/>
        </w:rPr>
        <w:t>Support for children and young people's mental health</w:t>
      </w:r>
      <w:r w:rsidRPr="00AA77DA">
        <w:t xml:space="preserve">. Available at: </w:t>
      </w:r>
      <w:hyperlink r:id="rId72" w:history="1">
        <w:r w:rsidRPr="00AA77DA">
          <w:rPr>
            <w:rStyle w:val="Hyperlink"/>
          </w:rPr>
          <w:t>https://dera.ioe.ac.uk/id/eprint/38340/1/CBP-7196%20%28redacted%29.pdf</w:t>
        </w:r>
      </w:hyperlink>
      <w:r w:rsidRPr="00AA77DA">
        <w:t xml:space="preserve"> </w:t>
      </w:r>
      <w:r w:rsidRPr="00AA77DA">
        <w:rPr>
          <w:color w:val="000000"/>
        </w:rPr>
        <w:t>(</w:t>
      </w:r>
      <w:proofErr w:type="gramStart"/>
      <w:r w:rsidRPr="00AA77DA">
        <w:rPr>
          <w:color w:val="000000"/>
        </w:rPr>
        <w:t>Accessed  23</w:t>
      </w:r>
      <w:proofErr w:type="gramEnd"/>
      <w:r w:rsidRPr="00AA77DA">
        <w:rPr>
          <w:color w:val="000000"/>
        </w:rPr>
        <w:t xml:space="preserve"> March 2025).</w:t>
      </w:r>
    </w:p>
    <w:p w14:paraId="1E58B039"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Piaget, J. (1952) </w:t>
      </w:r>
      <w:r w:rsidRPr="00AA77DA">
        <w:rPr>
          <w:i/>
          <w:iCs/>
          <w:color w:val="000000"/>
        </w:rPr>
        <w:t>The origins of intelligence in children</w:t>
      </w:r>
      <w:r w:rsidRPr="00AA77DA">
        <w:rPr>
          <w:color w:val="000000"/>
        </w:rPr>
        <w:t>. New York: International Universities Press.</w:t>
      </w:r>
    </w:p>
    <w:p w14:paraId="4B6D4363"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Public Health England (2020) </w:t>
      </w:r>
      <w:r w:rsidRPr="00AA77DA">
        <w:rPr>
          <w:i/>
          <w:iCs/>
          <w:color w:val="000000"/>
        </w:rPr>
        <w:t>Community-centred public health Taking a whole system approach Briefing of research findings</w:t>
      </w:r>
      <w:r w:rsidRPr="00AA77DA">
        <w:rPr>
          <w:color w:val="000000"/>
        </w:rPr>
        <w:t xml:space="preserve">. Available at: </w:t>
      </w:r>
      <w:hyperlink r:id="rId73" w:history="1">
        <w:r w:rsidRPr="00AA77DA">
          <w:rPr>
            <w:rStyle w:val="Hyperlink"/>
          </w:rPr>
          <w:t>https://assets.publishing.service.gov.uk/media/5e184c78e5274a06b1c3c5f9/WSA_Briefing.pdf</w:t>
        </w:r>
      </w:hyperlink>
      <w:r w:rsidRPr="00AA77DA">
        <w:rPr>
          <w:color w:val="000000"/>
        </w:rPr>
        <w:t xml:space="preserve"> (Accessed 30 April 2025).</w:t>
      </w:r>
    </w:p>
    <w:p w14:paraId="39BF0E26"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Rainer, C., Treloar, N., Abdinasir, K. and Edwards, P. (2024) </w:t>
      </w:r>
      <w:r w:rsidRPr="00AA77DA">
        <w:t>A DUAL CRISIS THE HIDDEN LINK BETWEEN POVERTY AND CHILDREN'S MENTAL HEALTH</w:t>
      </w:r>
      <w:r w:rsidRPr="00AA77DA">
        <w:rPr>
          <w:color w:val="000000"/>
        </w:rPr>
        <w:t xml:space="preserve">. Available at: </w:t>
      </w:r>
      <w:hyperlink r:id="rId74" w:history="1">
        <w:r w:rsidRPr="00AA77DA">
          <w:rPr>
            <w:rStyle w:val="Hyperlink"/>
          </w:rPr>
          <w:t>https://www.centreformentalhealth.org.uk/wp-content/uploads/2024/07/CentreforMH_ADualCrisis.pdf</w:t>
        </w:r>
      </w:hyperlink>
      <w:r w:rsidRPr="00AA77DA">
        <w:rPr>
          <w:color w:val="000000"/>
        </w:rPr>
        <w:t xml:space="preserve">  (Accessed 4 May 2025).</w:t>
      </w:r>
    </w:p>
    <w:p w14:paraId="718E91D5" w14:textId="77777777" w:rsidR="00A80BEC" w:rsidRPr="00AA77DA" w:rsidRDefault="00A80BEC" w:rsidP="00A80BEC">
      <w:pPr>
        <w:pStyle w:val="NormalWeb"/>
        <w:spacing w:before="240" w:beforeAutospacing="0" w:after="240" w:afterAutospacing="0" w:line="360" w:lineRule="auto"/>
        <w:ind w:left="360"/>
        <w:jc w:val="both"/>
      </w:pPr>
      <w:r w:rsidRPr="00AA77DA">
        <w:rPr>
          <w:color w:val="000000"/>
        </w:rPr>
        <w:lastRenderedPageBreak/>
        <w:t xml:space="preserve">Royal College of Psychiatrists (2025) </w:t>
      </w:r>
      <w:r w:rsidRPr="00AA77DA">
        <w:rPr>
          <w:i/>
          <w:iCs/>
        </w:rPr>
        <w:t>Who is who in CAMHS for young people</w:t>
      </w:r>
      <w:r w:rsidRPr="00AA77DA">
        <w:t xml:space="preserve">. Available at: </w:t>
      </w:r>
      <w:hyperlink r:id="rId75" w:anchor=":~:text=Who%20works%20in%20CAMHS?,behavioural%20and%20mental%20health%20problems" w:history="1">
        <w:r w:rsidRPr="00AA77DA">
          <w:rPr>
            <w:rStyle w:val="Hyperlink"/>
            <w:rFonts w:eastAsiaTheme="majorEastAsia"/>
          </w:rPr>
          <w:t>https://www.rcpsych.ac.uk/mental-health/parents-and-young-people/who-s-who-in-child-and-adolescent-mental-health-services-(camhs-)-information-for-parents-and-carers#:~:text=Who%20works%20in%20CAMHS?,behavioural%20and%20mental%20health%20problems</w:t>
        </w:r>
      </w:hyperlink>
      <w:r w:rsidRPr="00AA77DA">
        <w:rPr>
          <w:rStyle w:val="url"/>
          <w:rFonts w:eastAsiaTheme="majorEastAsia"/>
        </w:rPr>
        <w:t xml:space="preserve"> </w:t>
      </w:r>
      <w:r w:rsidRPr="00AA77DA">
        <w:rPr>
          <w:color w:val="000000"/>
        </w:rPr>
        <w:t xml:space="preserve">(Accessed  23 March 2025).     </w:t>
      </w:r>
    </w:p>
    <w:p w14:paraId="057D83E8"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Santrock, J.W. (2008) </w:t>
      </w:r>
      <w:r w:rsidRPr="00AA77DA">
        <w:rPr>
          <w:i/>
          <w:iCs/>
          <w:color w:val="000000"/>
        </w:rPr>
        <w:t>Essentials of Life-span development</w:t>
      </w:r>
      <w:r w:rsidRPr="00AA77DA">
        <w:rPr>
          <w:color w:val="000000"/>
        </w:rPr>
        <w:t xml:space="preserve">. Boston, Ma: </w:t>
      </w:r>
      <w:proofErr w:type="spellStart"/>
      <w:r w:rsidRPr="00AA77DA">
        <w:rPr>
          <w:color w:val="000000"/>
        </w:rPr>
        <w:t>Mcgraw-Hill</w:t>
      </w:r>
      <w:proofErr w:type="spellEnd"/>
      <w:r w:rsidRPr="00AA77DA">
        <w:rPr>
          <w:color w:val="000000"/>
        </w:rPr>
        <w:t xml:space="preserve"> Higher Education.</w:t>
      </w:r>
    </w:p>
    <w:p w14:paraId="3B3A0192"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Stanley, K. and Kuo, N.-C. (2022) "It Takes a Village': Approaching the Development of School-Family-Community Partnerships through Bronfenbrenner's Socio-Ecological Perspectives', </w:t>
      </w:r>
      <w:r w:rsidRPr="00AA77DA">
        <w:rPr>
          <w:i/>
          <w:iCs/>
          <w:color w:val="000000"/>
        </w:rPr>
        <w:t>Journal of Human Sciences and Extension</w:t>
      </w:r>
      <w:r w:rsidRPr="00AA77DA">
        <w:rPr>
          <w:color w:val="000000"/>
        </w:rPr>
        <w:t xml:space="preserve">, 10(1). Available at: </w:t>
      </w:r>
      <w:hyperlink r:id="rId76" w:history="1">
        <w:r w:rsidRPr="00AA77DA">
          <w:rPr>
            <w:rStyle w:val="Hyperlink"/>
          </w:rPr>
          <w:t>https://doi.org/10.54718/cqbw6379</w:t>
        </w:r>
      </w:hyperlink>
      <w:r w:rsidRPr="00AA77DA">
        <w:rPr>
          <w:color w:val="000000"/>
        </w:rPr>
        <w:t xml:space="preserve"> .</w:t>
      </w:r>
    </w:p>
    <w:p w14:paraId="3B5B10E9" w14:textId="77777777" w:rsidR="00A80BEC" w:rsidRPr="00AA77DA" w:rsidRDefault="00A80BEC" w:rsidP="00A80BEC">
      <w:pPr>
        <w:pStyle w:val="NormalWeb"/>
        <w:spacing w:before="0" w:beforeAutospacing="0" w:after="0" w:afterAutospacing="0" w:line="360" w:lineRule="auto"/>
        <w:ind w:left="360"/>
        <w:jc w:val="both"/>
        <w:rPr>
          <w:color w:val="000000"/>
        </w:rPr>
      </w:pPr>
      <w:r w:rsidRPr="00AA77DA">
        <w:rPr>
          <w:color w:val="000000"/>
        </w:rPr>
        <w:t>Stepping Stones Pre-school (2020) </w:t>
      </w:r>
      <w:r w:rsidRPr="00AA77DA">
        <w:rPr>
          <w:i/>
          <w:iCs/>
          <w:color w:val="000000"/>
        </w:rPr>
        <w:t>Stepping Stones Pre-School - Safeguarding</w:t>
      </w:r>
      <w:r w:rsidRPr="00AA77DA">
        <w:rPr>
          <w:color w:val="000000"/>
        </w:rPr>
        <w:t xml:space="preserve">. Available at: </w:t>
      </w:r>
      <w:hyperlink r:id="rId77" w:history="1">
        <w:r w:rsidRPr="00AA77DA">
          <w:rPr>
            <w:rStyle w:val="Hyperlink"/>
          </w:rPr>
          <w:t>https://www.steppingstonesfordingbridge.co.uk/safeguardingphp</w:t>
        </w:r>
      </w:hyperlink>
      <w:r w:rsidRPr="00AA77DA">
        <w:rPr>
          <w:color w:val="000000"/>
        </w:rPr>
        <w:t xml:space="preserve"> (Accessed 26 April 2025).</w:t>
      </w:r>
    </w:p>
    <w:p w14:paraId="2FA49070"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The Church of England (2019) </w:t>
      </w:r>
      <w:r w:rsidRPr="00AA77DA">
        <w:rPr>
          <w:i/>
          <w:iCs/>
          <w:color w:val="000000"/>
        </w:rPr>
        <w:t xml:space="preserve">Our work with children and young people. </w:t>
      </w:r>
      <w:r w:rsidRPr="00AA77DA">
        <w:rPr>
          <w:color w:val="000000"/>
        </w:rPr>
        <w:t xml:space="preserve">Available at: </w:t>
      </w:r>
      <w:hyperlink r:id="rId78" w:history="1">
        <w:r w:rsidRPr="00AA77DA">
          <w:rPr>
            <w:rStyle w:val="Hyperlink"/>
          </w:rPr>
          <w:t>https://www.churchofengland.org/about/children-and-young-people/our-work-children-and-young-people</w:t>
        </w:r>
      </w:hyperlink>
      <w:r w:rsidRPr="00AA77DA">
        <w:rPr>
          <w:color w:val="000000"/>
        </w:rPr>
        <w:t xml:space="preserve"> (Accessed 30 April 2025).</w:t>
      </w:r>
    </w:p>
    <w:p w14:paraId="5745F1B4"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t xml:space="preserve">The United Nations (1989) </w:t>
      </w:r>
      <w:r w:rsidRPr="00AA77DA">
        <w:rPr>
          <w:i/>
          <w:iCs/>
        </w:rPr>
        <w:t>Convention on the Rights of the Child</w:t>
      </w:r>
      <w:r w:rsidRPr="00AA77DA">
        <w:t xml:space="preserve">. Available at: </w:t>
      </w:r>
      <w:hyperlink r:id="rId79" w:history="1">
        <w:r w:rsidRPr="00AA77DA">
          <w:rPr>
            <w:rStyle w:val="Hyperlink"/>
            <w:rFonts w:eastAsiaTheme="majorEastAsia"/>
          </w:rPr>
          <w:t>https://www.unicef.org.uk/wp-content/uploads/2016/08/unicef-convention-rights-child-uncrc.pdf</w:t>
        </w:r>
      </w:hyperlink>
      <w:r w:rsidRPr="00AA77DA">
        <w:rPr>
          <w:rStyle w:val="url"/>
          <w:rFonts w:eastAsiaTheme="majorEastAsia"/>
        </w:rPr>
        <w:t xml:space="preserve"> </w:t>
      </w:r>
      <w:r w:rsidRPr="00AA77DA">
        <w:rPr>
          <w:color w:val="000000"/>
        </w:rPr>
        <w:t>(Accessed 4 April 2025).</w:t>
      </w:r>
    </w:p>
    <w:p w14:paraId="31565823"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The Young Lives Foundation (n.d.) </w:t>
      </w:r>
      <w:r w:rsidRPr="00AA77DA">
        <w:rPr>
          <w:i/>
          <w:iCs/>
          <w:color w:val="000000"/>
        </w:rPr>
        <w:t>Volunteer Mentors</w:t>
      </w:r>
      <w:r w:rsidRPr="00AA77DA">
        <w:rPr>
          <w:color w:val="000000"/>
        </w:rPr>
        <w:t xml:space="preserve">. Available at: </w:t>
      </w:r>
      <w:hyperlink r:id="rId80" w:history="1">
        <w:r w:rsidRPr="00AA77DA">
          <w:rPr>
            <w:rStyle w:val="Hyperlink"/>
          </w:rPr>
          <w:t>https://ylf.org.uk/how-you-can-help/volunteer-mentors/</w:t>
        </w:r>
      </w:hyperlink>
      <w:r w:rsidRPr="00AA77DA">
        <w:rPr>
          <w:color w:val="000000"/>
        </w:rPr>
        <w:t xml:space="preserve"> (Accessed 30 April 2025).</w:t>
      </w:r>
    </w:p>
    <w:p w14:paraId="58801712"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UK </w:t>
      </w:r>
      <w:proofErr w:type="gramStart"/>
      <w:r w:rsidRPr="00AA77DA">
        <w:rPr>
          <w:color w:val="000000"/>
        </w:rPr>
        <w:t>Government  (</w:t>
      </w:r>
      <w:proofErr w:type="gramEnd"/>
      <w:r w:rsidRPr="00AA77DA">
        <w:rPr>
          <w:color w:val="000000"/>
        </w:rPr>
        <w:t xml:space="preserve">1996) </w:t>
      </w:r>
      <w:r w:rsidRPr="00AA77DA">
        <w:rPr>
          <w:i/>
          <w:iCs/>
          <w:color w:val="000000"/>
        </w:rPr>
        <w:t>Education Act 1996</w:t>
      </w:r>
      <w:r w:rsidRPr="00AA77DA">
        <w:rPr>
          <w:color w:val="000000"/>
        </w:rPr>
        <w:t xml:space="preserve">. Available at: </w:t>
      </w:r>
      <w:hyperlink r:id="rId81" w:history="1">
        <w:r w:rsidRPr="00AA77DA">
          <w:rPr>
            <w:rStyle w:val="Hyperlink"/>
          </w:rPr>
          <w:t>https://www.legislation.gov.uk/ukpga/1996/56/contents</w:t>
        </w:r>
      </w:hyperlink>
      <w:r w:rsidRPr="00AA77DA">
        <w:rPr>
          <w:color w:val="000000"/>
        </w:rPr>
        <w:t xml:space="preserve"> (Accessed 4 April 2025).</w:t>
      </w:r>
    </w:p>
    <w:p w14:paraId="4501FE02"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UK </w:t>
      </w:r>
      <w:proofErr w:type="gramStart"/>
      <w:r w:rsidRPr="00AA77DA">
        <w:rPr>
          <w:color w:val="000000"/>
        </w:rPr>
        <w:t>Government  (</w:t>
      </w:r>
      <w:proofErr w:type="gramEnd"/>
      <w:r w:rsidRPr="00AA77DA">
        <w:rPr>
          <w:color w:val="000000"/>
        </w:rPr>
        <w:t>2012</w:t>
      </w:r>
      <w:proofErr w:type="gramStart"/>
      <w:r w:rsidRPr="00AA77DA">
        <w:rPr>
          <w:color w:val="000000"/>
        </w:rPr>
        <w:t>) </w:t>
      </w:r>
      <w:r>
        <w:rPr>
          <w:color w:val="000000"/>
        </w:rPr>
        <w:t xml:space="preserve"> </w:t>
      </w:r>
      <w:r w:rsidRPr="00AA77DA">
        <w:rPr>
          <w:i/>
          <w:iCs/>
          <w:color w:val="000000"/>
        </w:rPr>
        <w:t>Health</w:t>
      </w:r>
      <w:proofErr w:type="gramEnd"/>
      <w:r w:rsidRPr="00AA77DA">
        <w:rPr>
          <w:i/>
          <w:iCs/>
          <w:color w:val="000000"/>
        </w:rPr>
        <w:t xml:space="preserve"> and Social Care Act 2012</w:t>
      </w:r>
      <w:r w:rsidRPr="00AA77DA">
        <w:rPr>
          <w:color w:val="000000"/>
        </w:rPr>
        <w:t xml:space="preserve">. Available at: </w:t>
      </w:r>
      <w:hyperlink r:id="rId82" w:history="1">
        <w:r w:rsidRPr="00AA77DA">
          <w:rPr>
            <w:rStyle w:val="Hyperlink"/>
          </w:rPr>
          <w:t>https://www.legislation.gov.uk/ukpga/2012/7/contents</w:t>
        </w:r>
      </w:hyperlink>
      <w:r w:rsidRPr="00AA77DA">
        <w:rPr>
          <w:color w:val="000000"/>
        </w:rPr>
        <w:t xml:space="preserve"> (Accessed 4 April 2025).</w:t>
      </w:r>
    </w:p>
    <w:p w14:paraId="787A5EDA"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UK Government (1983</w:t>
      </w:r>
      <w:proofErr w:type="gramStart"/>
      <w:r w:rsidRPr="00AA77DA">
        <w:rPr>
          <w:color w:val="000000"/>
        </w:rPr>
        <w:t>) </w:t>
      </w:r>
      <w:r>
        <w:rPr>
          <w:color w:val="000000"/>
        </w:rPr>
        <w:t xml:space="preserve"> </w:t>
      </w:r>
      <w:r w:rsidRPr="00AA77DA">
        <w:rPr>
          <w:i/>
          <w:iCs/>
          <w:color w:val="000000"/>
        </w:rPr>
        <w:t>Mental</w:t>
      </w:r>
      <w:proofErr w:type="gramEnd"/>
      <w:r w:rsidRPr="00AA77DA">
        <w:rPr>
          <w:i/>
          <w:iCs/>
          <w:color w:val="000000"/>
        </w:rPr>
        <w:t xml:space="preserve"> Health Act 1983</w:t>
      </w:r>
      <w:r w:rsidRPr="00AA77DA">
        <w:rPr>
          <w:color w:val="000000"/>
        </w:rPr>
        <w:t xml:space="preserve">. Available at: </w:t>
      </w:r>
      <w:hyperlink r:id="rId83" w:history="1">
        <w:r w:rsidRPr="00AA77DA">
          <w:rPr>
            <w:rStyle w:val="Hyperlink"/>
          </w:rPr>
          <w:t>https://www.legislation.gov.uk/ukpga/1983/20/contents</w:t>
        </w:r>
      </w:hyperlink>
      <w:r w:rsidRPr="00AA77DA">
        <w:rPr>
          <w:color w:val="000000"/>
        </w:rPr>
        <w:t xml:space="preserve"> (Accessed 30 April 2025). </w:t>
      </w:r>
    </w:p>
    <w:p w14:paraId="0995C005" w14:textId="77777777" w:rsidR="00A80BEC" w:rsidRPr="00AA77DA" w:rsidRDefault="00A80BEC" w:rsidP="00A80BEC">
      <w:pPr>
        <w:pStyle w:val="NormalWeb"/>
        <w:spacing w:before="240" w:beforeAutospacing="0" w:after="240" w:afterAutospacing="0" w:line="360" w:lineRule="auto"/>
        <w:ind w:left="360"/>
        <w:jc w:val="both"/>
      </w:pPr>
      <w:r w:rsidRPr="00AA77DA">
        <w:lastRenderedPageBreak/>
        <w:t xml:space="preserve">UK Government (2004) </w:t>
      </w:r>
      <w:r w:rsidRPr="00AA77DA">
        <w:rPr>
          <w:i/>
          <w:iCs/>
        </w:rPr>
        <w:t>Children Act 2004</w:t>
      </w:r>
      <w:r w:rsidRPr="00AA77DA">
        <w:t xml:space="preserve">. Available at: </w:t>
      </w:r>
      <w:hyperlink r:id="rId84" w:history="1">
        <w:r w:rsidRPr="00AA77DA">
          <w:rPr>
            <w:rStyle w:val="Hyperlink"/>
            <w:rFonts w:eastAsiaTheme="majorEastAsia"/>
          </w:rPr>
          <w:t>https://www.legislation.gov.uk/ukpga/2004/31/contents</w:t>
        </w:r>
      </w:hyperlink>
      <w:r w:rsidRPr="00AA77DA">
        <w:rPr>
          <w:rStyle w:val="url"/>
          <w:rFonts w:eastAsiaTheme="majorEastAsia"/>
        </w:rPr>
        <w:t xml:space="preserve"> </w:t>
      </w:r>
      <w:r w:rsidRPr="00AA77DA">
        <w:rPr>
          <w:color w:val="000000"/>
        </w:rPr>
        <w:t>(Accessed 5 April 2025).</w:t>
      </w:r>
    </w:p>
    <w:p w14:paraId="50F425CE"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UK Government (2010</w:t>
      </w:r>
      <w:proofErr w:type="gramStart"/>
      <w:r w:rsidRPr="00AA77DA">
        <w:rPr>
          <w:color w:val="000000"/>
        </w:rPr>
        <w:t xml:space="preserve">)  </w:t>
      </w:r>
      <w:r w:rsidRPr="00AA77DA">
        <w:rPr>
          <w:i/>
          <w:iCs/>
          <w:color w:val="000000"/>
        </w:rPr>
        <w:t>Equality</w:t>
      </w:r>
      <w:proofErr w:type="gramEnd"/>
      <w:r w:rsidRPr="00AA77DA">
        <w:rPr>
          <w:i/>
          <w:iCs/>
          <w:color w:val="000000"/>
        </w:rPr>
        <w:t xml:space="preserve"> Act 2010</w:t>
      </w:r>
      <w:r w:rsidRPr="00AA77DA">
        <w:rPr>
          <w:color w:val="000000"/>
        </w:rPr>
        <w:t xml:space="preserve">. Available at: </w:t>
      </w:r>
      <w:hyperlink r:id="rId85" w:history="1">
        <w:r w:rsidRPr="00AA77DA">
          <w:rPr>
            <w:rStyle w:val="Hyperlink"/>
          </w:rPr>
          <w:t>https://www.legislation.gov.uk/ukpga/2010/15/contents</w:t>
        </w:r>
      </w:hyperlink>
      <w:r w:rsidRPr="00AA77DA">
        <w:rPr>
          <w:color w:val="000000"/>
        </w:rPr>
        <w:t xml:space="preserve"> (Accessed </w:t>
      </w:r>
      <w:proofErr w:type="gramStart"/>
      <w:r w:rsidRPr="00AA77DA">
        <w:rPr>
          <w:color w:val="000000"/>
        </w:rPr>
        <w:t>23  March</w:t>
      </w:r>
      <w:proofErr w:type="gramEnd"/>
      <w:r w:rsidRPr="00AA77DA">
        <w:rPr>
          <w:color w:val="000000"/>
        </w:rPr>
        <w:t xml:space="preserve"> 2025).</w:t>
      </w:r>
    </w:p>
    <w:p w14:paraId="415B2D32"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UK Government (2014) </w:t>
      </w:r>
      <w:r w:rsidRPr="00AA77DA">
        <w:rPr>
          <w:i/>
          <w:iCs/>
          <w:color w:val="000000"/>
        </w:rPr>
        <w:t>Children and Families Act 2014</w:t>
      </w:r>
      <w:r w:rsidRPr="00AA77DA">
        <w:rPr>
          <w:color w:val="000000"/>
        </w:rPr>
        <w:t xml:space="preserve">. Available at: </w:t>
      </w:r>
      <w:hyperlink r:id="rId86" w:history="1">
        <w:r w:rsidRPr="00AA77DA">
          <w:rPr>
            <w:rStyle w:val="Hyperlink"/>
          </w:rPr>
          <w:t>https://www.legislation.gov.uk/ukpga/2014/6/contents</w:t>
        </w:r>
      </w:hyperlink>
      <w:r w:rsidRPr="00AA77DA">
        <w:rPr>
          <w:color w:val="000000"/>
        </w:rPr>
        <w:t xml:space="preserve"> (Accessed 4 April 2025).</w:t>
      </w:r>
    </w:p>
    <w:p w14:paraId="61E1BD70"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UK Government (2023) </w:t>
      </w:r>
      <w:r w:rsidRPr="00AA77DA">
        <w:rPr>
          <w:i/>
          <w:iCs/>
          <w:color w:val="000000"/>
        </w:rPr>
        <w:t xml:space="preserve">Family Hubs and Start for Life </w:t>
      </w:r>
      <w:proofErr w:type="spellStart"/>
      <w:r w:rsidRPr="00AA77DA">
        <w:rPr>
          <w:i/>
          <w:iCs/>
          <w:color w:val="000000"/>
        </w:rPr>
        <w:t>programme</w:t>
      </w:r>
      <w:r w:rsidRPr="00AA77DA">
        <w:rPr>
          <w:color w:val="000000"/>
        </w:rPr>
        <w:t>.Available</w:t>
      </w:r>
      <w:proofErr w:type="spellEnd"/>
      <w:r w:rsidRPr="00AA77DA">
        <w:rPr>
          <w:color w:val="000000"/>
        </w:rPr>
        <w:t xml:space="preserve"> at: </w:t>
      </w:r>
      <w:hyperlink r:id="rId87" w:history="1">
        <w:r w:rsidRPr="00AA77DA">
          <w:rPr>
            <w:rStyle w:val="Hyperlink"/>
          </w:rPr>
          <w:t>https://www.gov.uk/government/collections/family-hubs-and-start-for-life-programme</w:t>
        </w:r>
      </w:hyperlink>
      <w:r w:rsidRPr="00AA77DA">
        <w:rPr>
          <w:color w:val="000000"/>
        </w:rPr>
        <w:t xml:space="preserve"> (Accessed 4 May 2025).</w:t>
      </w:r>
    </w:p>
    <w:p w14:paraId="2C2D6F92"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Understanding Society (2024) </w:t>
      </w:r>
      <w:r w:rsidRPr="00AA77DA">
        <w:rPr>
          <w:i/>
          <w:iCs/>
          <w:color w:val="000000"/>
        </w:rPr>
        <w:t>Youth clubs improve teens health, wellbeing and education</w:t>
      </w:r>
      <w:r w:rsidRPr="00AA77DA">
        <w:rPr>
          <w:color w:val="000000"/>
        </w:rPr>
        <w:t xml:space="preserve">. Available at: </w:t>
      </w:r>
      <w:hyperlink r:id="rId88" w:history="1">
        <w:r w:rsidRPr="00AA77DA">
          <w:rPr>
            <w:rStyle w:val="Hyperlink"/>
          </w:rPr>
          <w:t>https://www.understandingsociety.ac.uk/news/2024/03/04/youth-clubs-improve-teens-health-wellbeing-and-education/</w:t>
        </w:r>
      </w:hyperlink>
      <w:r w:rsidRPr="00AA77DA">
        <w:rPr>
          <w:color w:val="000000"/>
        </w:rPr>
        <w:t xml:space="preserve"> (Accessed 30 April 2025).</w:t>
      </w:r>
    </w:p>
    <w:p w14:paraId="661DED82"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t>UNICEF (2019)</w:t>
      </w:r>
      <w:r w:rsidRPr="00AA77DA">
        <w:rPr>
          <w:i/>
          <w:iCs/>
        </w:rPr>
        <w:t xml:space="preserve"> Poster of UN Convention on the Rights of the Child (Child-friendly version). Available at:</w:t>
      </w:r>
      <w:r w:rsidRPr="00AA77DA">
        <w:t xml:space="preserve"> </w:t>
      </w:r>
      <w:hyperlink r:id="rId89" w:history="1">
        <w:r w:rsidRPr="00AA77DA">
          <w:rPr>
            <w:rStyle w:val="Hyperlink"/>
            <w:rFonts w:eastAsiaTheme="majorEastAsia"/>
          </w:rPr>
          <w:t>https://edu.unicef.org.hk/en/CRC-icon-poster</w:t>
        </w:r>
      </w:hyperlink>
      <w:r w:rsidRPr="00AA77DA">
        <w:rPr>
          <w:rStyle w:val="url"/>
          <w:rFonts w:eastAsiaTheme="majorEastAsia"/>
        </w:rPr>
        <w:t xml:space="preserve"> </w:t>
      </w:r>
      <w:r w:rsidRPr="00AA77DA">
        <w:rPr>
          <w:color w:val="000000"/>
        </w:rPr>
        <w:t>(Accessed 4 April 2025).</w:t>
      </w:r>
    </w:p>
    <w:p w14:paraId="252D7A48"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UNICEF (2022) </w:t>
      </w:r>
      <w:r w:rsidRPr="00AA77DA">
        <w:rPr>
          <w:i/>
          <w:iCs/>
          <w:color w:val="000000"/>
        </w:rPr>
        <w:t xml:space="preserve">Rights denied </w:t>
      </w:r>
      <w:proofErr w:type="gramStart"/>
      <w:r w:rsidRPr="00AA77DA">
        <w:rPr>
          <w:i/>
          <w:iCs/>
          <w:color w:val="000000"/>
        </w:rPr>
        <w:t>The</w:t>
      </w:r>
      <w:proofErr w:type="gramEnd"/>
      <w:r w:rsidRPr="00AA77DA">
        <w:rPr>
          <w:i/>
          <w:iCs/>
          <w:color w:val="000000"/>
        </w:rPr>
        <w:t xml:space="preserve"> impact of discrimination on children</w:t>
      </w:r>
      <w:r w:rsidRPr="00AA77DA">
        <w:rPr>
          <w:color w:val="000000"/>
        </w:rPr>
        <w:t xml:space="preserve">. Available at: </w:t>
      </w:r>
      <w:hyperlink r:id="rId90" w:history="1">
        <w:r w:rsidRPr="00AA77DA">
          <w:rPr>
            <w:rStyle w:val="Hyperlink"/>
          </w:rPr>
          <w:t>https://www.unicef.org/media/130801/file/rights-denied-discrimination-children-EN.pdf</w:t>
        </w:r>
      </w:hyperlink>
      <w:r w:rsidRPr="00AA77DA">
        <w:rPr>
          <w:color w:val="000000"/>
        </w:rPr>
        <w:t xml:space="preserve"> (Accessed 4 April 2025).</w:t>
      </w:r>
    </w:p>
    <w:p w14:paraId="5CB8DEC4"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UNICEF (2024) </w:t>
      </w:r>
      <w:r w:rsidRPr="00AA77DA">
        <w:rPr>
          <w:i/>
          <w:iCs/>
          <w:color w:val="000000"/>
        </w:rPr>
        <w:t>UN Convention on the Rights of the Child (UNCRC)</w:t>
      </w:r>
      <w:r w:rsidRPr="00AA77DA">
        <w:rPr>
          <w:color w:val="000000"/>
        </w:rPr>
        <w:t xml:space="preserve">. Available at: </w:t>
      </w:r>
      <w:hyperlink r:id="rId91" w:history="1">
        <w:r w:rsidRPr="00AA77DA">
          <w:rPr>
            <w:rStyle w:val="Hyperlink"/>
          </w:rPr>
          <w:t>https://www.unicef.org.uk/what-we-do/un-convention-child-rights /</w:t>
        </w:r>
      </w:hyperlink>
      <w:r w:rsidRPr="00AA77DA">
        <w:rPr>
          <w:color w:val="000000"/>
        </w:rPr>
        <w:t xml:space="preserve"> (Accessed </w:t>
      </w:r>
      <w:proofErr w:type="gramStart"/>
      <w:r w:rsidRPr="00AA77DA">
        <w:rPr>
          <w:color w:val="000000"/>
        </w:rPr>
        <w:t>23  March</w:t>
      </w:r>
      <w:proofErr w:type="gramEnd"/>
      <w:r w:rsidRPr="00AA77DA">
        <w:rPr>
          <w:color w:val="000000"/>
        </w:rPr>
        <w:t xml:space="preserve"> 2025).</w:t>
      </w:r>
    </w:p>
    <w:p w14:paraId="3B46F166"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United Nations (2025</w:t>
      </w:r>
      <w:proofErr w:type="gramStart"/>
      <w:r w:rsidRPr="00AA77DA">
        <w:rPr>
          <w:color w:val="000000"/>
        </w:rPr>
        <w:t>) </w:t>
      </w:r>
      <w:r>
        <w:rPr>
          <w:color w:val="000000"/>
        </w:rPr>
        <w:t xml:space="preserve"> </w:t>
      </w:r>
      <w:r w:rsidRPr="00AA77DA">
        <w:rPr>
          <w:i/>
          <w:iCs/>
          <w:color w:val="000000"/>
        </w:rPr>
        <w:t>The</w:t>
      </w:r>
      <w:proofErr w:type="gramEnd"/>
      <w:r w:rsidRPr="00AA77DA">
        <w:rPr>
          <w:i/>
          <w:iCs/>
          <w:color w:val="000000"/>
        </w:rPr>
        <w:t xml:space="preserve"> 17 Sustainable Development Goals</w:t>
      </w:r>
      <w:r w:rsidRPr="00AA77DA">
        <w:rPr>
          <w:color w:val="000000"/>
        </w:rPr>
        <w:t xml:space="preserve">. Available at: </w:t>
      </w:r>
      <w:hyperlink r:id="rId92" w:history="1">
        <w:r w:rsidRPr="00AA77DA">
          <w:rPr>
            <w:rStyle w:val="Hyperlink"/>
          </w:rPr>
          <w:t>https://sdgs.un.org/goals</w:t>
        </w:r>
      </w:hyperlink>
      <w:r w:rsidRPr="00AA77DA">
        <w:rPr>
          <w:color w:val="000000"/>
        </w:rPr>
        <w:t xml:space="preserve"> (Accessed 14 April 2025).</w:t>
      </w:r>
    </w:p>
    <w:p w14:paraId="2BA7BAFC" w14:textId="77777777" w:rsidR="00A80BEC" w:rsidRPr="00AA77DA" w:rsidRDefault="00A80BEC" w:rsidP="00A80BEC">
      <w:pPr>
        <w:pStyle w:val="NormalWeb"/>
        <w:spacing w:before="240" w:beforeAutospacing="0" w:after="240" w:afterAutospacing="0" w:line="360" w:lineRule="auto"/>
        <w:ind w:left="360"/>
        <w:jc w:val="both"/>
        <w:rPr>
          <w:rStyle w:val="url"/>
        </w:rPr>
      </w:pPr>
      <w:proofErr w:type="spellStart"/>
      <w:r w:rsidRPr="00AA77DA">
        <w:t>Versitano</w:t>
      </w:r>
      <w:proofErr w:type="spellEnd"/>
      <w:r w:rsidRPr="00AA77DA">
        <w:t xml:space="preserve">, S., Butler, G., and Perkes, I. (2023) 'Art and other group therapies with adolescents in inpatient mental health care', </w:t>
      </w:r>
      <w:r w:rsidRPr="00AA77DA">
        <w:rPr>
          <w:i/>
          <w:iCs/>
        </w:rPr>
        <w:t>International Journal of Art Therapy</w:t>
      </w:r>
      <w:r w:rsidRPr="00AA77DA">
        <w:t xml:space="preserve">, </w:t>
      </w:r>
      <w:r w:rsidRPr="00AA77DA">
        <w:rPr>
          <w:i/>
          <w:iCs/>
        </w:rPr>
        <w:t>29</w:t>
      </w:r>
      <w:r w:rsidRPr="00AA77DA">
        <w:t xml:space="preserve">(2), 80–87. Available at: </w:t>
      </w:r>
      <w:hyperlink r:id="rId93" w:history="1">
        <w:r w:rsidRPr="00AA77DA">
          <w:rPr>
            <w:rStyle w:val="Hyperlink"/>
            <w:rFonts w:eastAsiaTheme="majorEastAsia"/>
          </w:rPr>
          <w:t>https://doi.org/10.1080/17454832.2023.2217891</w:t>
        </w:r>
      </w:hyperlink>
      <w:r w:rsidRPr="00AA77DA">
        <w:rPr>
          <w:rStyle w:val="url"/>
          <w:rFonts w:eastAsiaTheme="majorEastAsia"/>
        </w:rPr>
        <w:t xml:space="preserve"> .</w:t>
      </w:r>
    </w:p>
    <w:p w14:paraId="5CBD22B9"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Vorlíček, M., </w:t>
      </w:r>
      <w:proofErr w:type="spellStart"/>
      <w:r w:rsidRPr="00AA77DA">
        <w:rPr>
          <w:color w:val="000000"/>
        </w:rPr>
        <w:t>Dygrýn</w:t>
      </w:r>
      <w:proofErr w:type="spellEnd"/>
      <w:r w:rsidRPr="00AA77DA">
        <w:rPr>
          <w:color w:val="000000"/>
        </w:rPr>
        <w:t xml:space="preserve">, J., Janda, D., Voráčová, J., Duncan, S., Sigmund, E. and </w:t>
      </w:r>
      <w:proofErr w:type="spellStart"/>
      <w:r w:rsidRPr="00AA77DA">
        <w:rPr>
          <w:color w:val="000000"/>
        </w:rPr>
        <w:t>Sigmundová</w:t>
      </w:r>
      <w:proofErr w:type="spellEnd"/>
      <w:r w:rsidRPr="00AA77DA">
        <w:rPr>
          <w:color w:val="000000"/>
        </w:rPr>
        <w:t>, D. (2025) 'Raising active children: how family and school shape health-</w:t>
      </w:r>
      <w:r w:rsidRPr="00AA77DA">
        <w:rPr>
          <w:color w:val="000000"/>
        </w:rPr>
        <w:lastRenderedPageBreak/>
        <w:t>promoting physical activity—findings from the FAMIPASS study', </w:t>
      </w:r>
      <w:r w:rsidRPr="00AA77DA">
        <w:rPr>
          <w:i/>
          <w:iCs/>
          <w:color w:val="000000"/>
        </w:rPr>
        <w:t>Frontiers in Sports and Active Living</w:t>
      </w:r>
      <w:r w:rsidRPr="00AA77DA">
        <w:rPr>
          <w:color w:val="000000"/>
        </w:rPr>
        <w:t xml:space="preserve">, 7. Available at: </w:t>
      </w:r>
      <w:hyperlink r:id="rId94" w:history="1">
        <w:r w:rsidRPr="00AA77DA">
          <w:rPr>
            <w:rStyle w:val="Hyperlink"/>
          </w:rPr>
          <w:t>https://doi.org/10.3389/fspor.2025.1530398</w:t>
        </w:r>
      </w:hyperlink>
      <w:r w:rsidRPr="00AA77DA">
        <w:rPr>
          <w:color w:val="000000"/>
        </w:rPr>
        <w:t xml:space="preserve"> .</w:t>
      </w:r>
    </w:p>
    <w:p w14:paraId="5EE9F07E"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Vygotsky, L. (1962) </w:t>
      </w:r>
      <w:r w:rsidRPr="00AA77DA">
        <w:rPr>
          <w:i/>
          <w:iCs/>
          <w:color w:val="000000"/>
        </w:rPr>
        <w:t>Thought and language</w:t>
      </w:r>
      <w:r w:rsidRPr="00AA77DA">
        <w:rPr>
          <w:color w:val="000000"/>
        </w:rPr>
        <w:t>. Cambridge, Mass.: MIT Press.</w:t>
      </w:r>
    </w:p>
    <w:p w14:paraId="4FBBF115"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Wales Safeguarding Procedures (2022) </w:t>
      </w:r>
      <w:r w:rsidRPr="00AA77DA">
        <w:rPr>
          <w:i/>
          <w:iCs/>
          <w:color w:val="000000"/>
        </w:rPr>
        <w:t>Safeguarding Wales</w:t>
      </w:r>
      <w:r w:rsidRPr="00AA77DA">
        <w:rPr>
          <w:color w:val="000000"/>
        </w:rPr>
        <w:t xml:space="preserve">. Available at: </w:t>
      </w:r>
      <w:hyperlink r:id="rId95" w:history="1">
        <w:r w:rsidRPr="00AA77DA">
          <w:rPr>
            <w:rStyle w:val="Hyperlink"/>
          </w:rPr>
          <w:t>https://safeguarding.wales/en/chi-i/chi-i-c6/c6-p11/</w:t>
        </w:r>
      </w:hyperlink>
      <w:r w:rsidRPr="00AA77DA">
        <w:rPr>
          <w:color w:val="000000"/>
        </w:rPr>
        <w:t xml:space="preserve"> (Accessed 14 April 2025).</w:t>
      </w:r>
    </w:p>
    <w:p w14:paraId="781C8E43"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Welsh Government (2011) </w:t>
      </w:r>
      <w:r w:rsidRPr="00AA77DA">
        <w:rPr>
          <w:i/>
          <w:iCs/>
          <w:color w:val="000000"/>
        </w:rPr>
        <w:t>Rights of Children and Young Persons (Wales) Measure 2011</w:t>
      </w:r>
      <w:r w:rsidRPr="00AA77DA">
        <w:rPr>
          <w:color w:val="000000"/>
        </w:rPr>
        <w:t xml:space="preserve">. Available at: </w:t>
      </w:r>
      <w:hyperlink r:id="rId96" w:history="1">
        <w:r w:rsidRPr="00AA77DA">
          <w:rPr>
            <w:rStyle w:val="Hyperlink"/>
          </w:rPr>
          <w:t>https://www.legislation.gov.uk/mwa/2011/2/contents</w:t>
        </w:r>
      </w:hyperlink>
      <w:r w:rsidRPr="00AA77DA">
        <w:rPr>
          <w:color w:val="000000"/>
        </w:rPr>
        <w:t xml:space="preserve"> (Accessed 14 April 2025).</w:t>
      </w:r>
    </w:p>
    <w:p w14:paraId="7A8AA629" w14:textId="60A26AA2" w:rsidR="00A80BEC" w:rsidRPr="00AA77DA" w:rsidRDefault="00A80BEC" w:rsidP="00A80BEC">
      <w:pPr>
        <w:pStyle w:val="NormalWeb"/>
        <w:spacing w:before="240" w:beforeAutospacing="0" w:after="160" w:afterAutospacing="0" w:line="360" w:lineRule="auto"/>
        <w:ind w:left="360"/>
        <w:jc w:val="both"/>
        <w:rPr>
          <w:color w:val="000000"/>
        </w:rPr>
      </w:pPr>
      <w:r w:rsidRPr="00AA77DA">
        <w:rPr>
          <w:color w:val="000000"/>
        </w:rPr>
        <w:t xml:space="preserve">Welsh Government (2015) </w:t>
      </w:r>
      <w:r w:rsidRPr="00AA77DA">
        <w:rPr>
          <w:i/>
          <w:iCs/>
          <w:color w:val="000000"/>
        </w:rPr>
        <w:t>The Wellbeing of Future Generations</w:t>
      </w:r>
      <w:r w:rsidRPr="00AA77DA">
        <w:rPr>
          <w:color w:val="000000"/>
        </w:rPr>
        <w:t xml:space="preserve">. Available at: </w:t>
      </w:r>
      <w:hyperlink r:id="rId97" w:history="1">
        <w:r w:rsidRPr="00AA77DA">
          <w:rPr>
            <w:rStyle w:val="Hyperlink"/>
          </w:rPr>
          <w:t>https://www.gov.wales/well-being-of-future-generations-wales</w:t>
        </w:r>
      </w:hyperlink>
      <w:r w:rsidRPr="00AA77DA">
        <w:rPr>
          <w:color w:val="000000"/>
        </w:rPr>
        <w:t xml:space="preserve"> (Accessed 26 April 2025).</w:t>
      </w:r>
    </w:p>
    <w:p w14:paraId="34155C9F"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Welsh Government (2020</w:t>
      </w:r>
      <w:r>
        <w:rPr>
          <w:color w:val="000000"/>
        </w:rPr>
        <w:t>a</w:t>
      </w:r>
      <w:r w:rsidRPr="00AA77DA">
        <w:rPr>
          <w:color w:val="000000"/>
        </w:rPr>
        <w:t xml:space="preserve">) </w:t>
      </w:r>
      <w:r w:rsidRPr="00AA77DA">
        <w:rPr>
          <w:i/>
          <w:iCs/>
          <w:color w:val="000000"/>
        </w:rPr>
        <w:t>Children (Abolition of Defence of Reasonable Punishment) (Wales) Act 2020</w:t>
      </w:r>
      <w:r w:rsidRPr="00AA77DA">
        <w:rPr>
          <w:color w:val="000000"/>
        </w:rPr>
        <w:t xml:space="preserve">. Available at: </w:t>
      </w:r>
      <w:hyperlink r:id="rId98" w:history="1">
        <w:r w:rsidRPr="00AA77DA">
          <w:rPr>
            <w:rStyle w:val="Hyperlink"/>
          </w:rPr>
          <w:t>https://www.legislation.gov.uk/anaw/2020/3</w:t>
        </w:r>
      </w:hyperlink>
      <w:r w:rsidRPr="00AA77DA">
        <w:rPr>
          <w:color w:val="000000"/>
        </w:rPr>
        <w:t xml:space="preserve"> (Accessed 14 April 2025).</w:t>
      </w:r>
    </w:p>
    <w:p w14:paraId="328EFEA1" w14:textId="77777777" w:rsidR="00A80BEC" w:rsidRPr="00AA77DA" w:rsidRDefault="00A80BEC" w:rsidP="00A80BEC">
      <w:pPr>
        <w:pStyle w:val="NormalWeb"/>
        <w:spacing w:before="240" w:beforeAutospacing="0" w:after="240" w:afterAutospacing="0" w:line="360" w:lineRule="auto"/>
        <w:ind w:left="360"/>
        <w:jc w:val="both"/>
      </w:pPr>
      <w:r w:rsidRPr="00AA77DA">
        <w:t>Welsh Government (2020</w:t>
      </w:r>
      <w:r>
        <w:t>b</w:t>
      </w:r>
      <w:r w:rsidRPr="00AA77DA">
        <w:t xml:space="preserve">) </w:t>
      </w:r>
      <w:r w:rsidRPr="00AA77DA">
        <w:rPr>
          <w:i/>
          <w:iCs/>
        </w:rPr>
        <w:t>TOGETHER FOR MENTAL HEALTH DELIVERY PLAN 2019-2022</w:t>
      </w:r>
      <w:r w:rsidRPr="00AA77DA">
        <w:t xml:space="preserve">. Available at:  </w:t>
      </w:r>
      <w:hyperlink r:id="rId99" w:history="1">
        <w:r w:rsidRPr="00AA77DA">
          <w:rPr>
            <w:rStyle w:val="Hyperlink"/>
            <w:rFonts w:eastAsiaTheme="majorEastAsia"/>
          </w:rPr>
          <w:t>https://www.gov.wales/sites/default/files/publications/2020-01/together-for-mental-health-delivery-plan-2019-to-2022.pdf</w:t>
        </w:r>
      </w:hyperlink>
      <w:r w:rsidRPr="00AA77DA">
        <w:rPr>
          <w:rStyle w:val="url"/>
          <w:rFonts w:eastAsiaTheme="majorEastAsia"/>
        </w:rPr>
        <w:t xml:space="preserve"> </w:t>
      </w:r>
      <w:r w:rsidRPr="00AA77DA">
        <w:t xml:space="preserve"> </w:t>
      </w:r>
      <w:r w:rsidRPr="00AA77DA">
        <w:rPr>
          <w:color w:val="000000"/>
        </w:rPr>
        <w:t xml:space="preserve">(Accessed  23 March 2025).    </w:t>
      </w:r>
    </w:p>
    <w:p w14:paraId="32CB292D" w14:textId="51E1A384"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 xml:space="preserve">Welsh Government (2024a) </w:t>
      </w:r>
      <w:r w:rsidRPr="00AA77DA">
        <w:rPr>
          <w:i/>
          <w:iCs/>
        </w:rPr>
        <w:t xml:space="preserve">Statutory Guidance on the Wellbeing of Future Generations (Wales) Act 2015. </w:t>
      </w:r>
      <w:r w:rsidRPr="00AA77DA">
        <w:t xml:space="preserve">Available at: </w:t>
      </w:r>
      <w:hyperlink r:id="rId100" w:history="1">
        <w:r w:rsidRPr="00AA77DA">
          <w:rPr>
            <w:rStyle w:val="Hyperlink"/>
          </w:rPr>
          <w:t>https://www.gov.wales/sites/default/files/publications/2024-07/spsf-1-core-guidance.pdf</w:t>
        </w:r>
      </w:hyperlink>
      <w:r w:rsidRPr="00AA77DA">
        <w:t xml:space="preserve"> </w:t>
      </w:r>
      <w:r w:rsidRPr="00AA77DA">
        <w:rPr>
          <w:color w:val="000000"/>
        </w:rPr>
        <w:t>(Accessed 14 April 2025).</w:t>
      </w:r>
    </w:p>
    <w:p w14:paraId="36F77026" w14:textId="77777777" w:rsidR="00A80BEC" w:rsidRPr="00AA77DA" w:rsidRDefault="00A80BEC" w:rsidP="00A80BEC">
      <w:pPr>
        <w:pStyle w:val="NormalWeb"/>
        <w:spacing w:before="240" w:beforeAutospacing="0" w:after="240" w:afterAutospacing="0" w:line="360" w:lineRule="auto"/>
        <w:ind w:left="360"/>
        <w:jc w:val="both"/>
        <w:rPr>
          <w:color w:val="000000"/>
        </w:rPr>
      </w:pPr>
      <w:r w:rsidRPr="00AA77DA">
        <w:rPr>
          <w:color w:val="000000"/>
        </w:rPr>
        <w:t>Welsh Government (2024b) </w:t>
      </w:r>
      <w:r w:rsidRPr="00AA77DA">
        <w:rPr>
          <w:i/>
          <w:iCs/>
          <w:color w:val="000000"/>
        </w:rPr>
        <w:t xml:space="preserve">The Children (Abolition of Defence of Reasonable Punishment) (Wales) Act 2020: data release for March 2022 to March 2023. </w:t>
      </w:r>
      <w:r w:rsidRPr="00AA77DA">
        <w:rPr>
          <w:color w:val="000000"/>
        </w:rPr>
        <w:t xml:space="preserve">Available at: </w:t>
      </w:r>
      <w:hyperlink r:id="rId101" w:history="1">
        <w:r w:rsidRPr="00AA77DA">
          <w:rPr>
            <w:rStyle w:val="Hyperlink"/>
          </w:rPr>
          <w:t>https://www.gov.wales/children-abolition-defence-reasonable-punishment-wales-act-2020-data-release-march-2022-march-2023-html</w:t>
        </w:r>
      </w:hyperlink>
      <w:r w:rsidRPr="00AA77DA">
        <w:rPr>
          <w:color w:val="000000"/>
        </w:rPr>
        <w:t xml:space="preserve"> (Accessed 14 April 2025).</w:t>
      </w:r>
    </w:p>
    <w:p w14:paraId="4D96429D" w14:textId="77777777" w:rsidR="00A80BEC" w:rsidRPr="00AA77DA" w:rsidRDefault="00A80BEC" w:rsidP="00A80BEC">
      <w:pPr>
        <w:pStyle w:val="NormalWeb"/>
        <w:spacing w:before="240" w:beforeAutospacing="0" w:after="240" w:afterAutospacing="0" w:line="360" w:lineRule="auto"/>
        <w:ind w:left="360"/>
        <w:jc w:val="both"/>
      </w:pPr>
      <w:r w:rsidRPr="00AA77DA">
        <w:t xml:space="preserve">Welsh Ministers (2024) </w:t>
      </w:r>
      <w:r w:rsidRPr="00AA77DA">
        <w:rPr>
          <w:i/>
          <w:iCs/>
        </w:rPr>
        <w:t>Children's Rights Impact assessment</w:t>
      </w:r>
      <w:r w:rsidRPr="00AA77DA">
        <w:t xml:space="preserve">. Available at: </w:t>
      </w:r>
      <w:hyperlink r:id="rId102" w:history="1">
        <w:r w:rsidRPr="00AA77DA">
          <w:rPr>
            <w:rStyle w:val="Hyperlink"/>
            <w:rFonts w:eastAsiaTheme="majorEastAsia"/>
          </w:rPr>
          <w:t>https://www.gov.wales/sites/default/files/consultations/2024-02/childrens-rights-impact-assessment_3.pdf</w:t>
        </w:r>
      </w:hyperlink>
      <w:r w:rsidRPr="00AA77DA">
        <w:rPr>
          <w:rStyle w:val="url"/>
          <w:rFonts w:eastAsiaTheme="majorEastAsia"/>
        </w:rPr>
        <w:t xml:space="preserve"> </w:t>
      </w:r>
      <w:r w:rsidRPr="00AA77DA">
        <w:rPr>
          <w:color w:val="000000"/>
        </w:rPr>
        <w:t>(Accessed 14 April 2025).</w:t>
      </w:r>
    </w:p>
    <w:p w14:paraId="18864E97" w14:textId="77777777" w:rsidR="00A80BEC" w:rsidRPr="00AA77DA" w:rsidRDefault="00A80BEC" w:rsidP="00A80BEC">
      <w:pPr>
        <w:pStyle w:val="NormalWeb"/>
        <w:spacing w:before="0" w:beforeAutospacing="0" w:after="0" w:afterAutospacing="0" w:line="360" w:lineRule="auto"/>
        <w:ind w:left="360"/>
        <w:jc w:val="both"/>
        <w:rPr>
          <w:color w:val="000000"/>
        </w:rPr>
      </w:pPr>
      <w:r w:rsidRPr="00AA77DA">
        <w:rPr>
          <w:color w:val="000000"/>
        </w:rPr>
        <w:lastRenderedPageBreak/>
        <w:t xml:space="preserve">Welsh Parliament (2020) </w:t>
      </w:r>
      <w:r w:rsidRPr="00AA77DA">
        <w:rPr>
          <w:i/>
          <w:iCs/>
          <w:color w:val="000000"/>
        </w:rPr>
        <w:t>Children's rights in Wales</w:t>
      </w:r>
      <w:r w:rsidRPr="00AA77DA">
        <w:rPr>
          <w:color w:val="000000"/>
        </w:rPr>
        <w:t xml:space="preserve">. Available at: </w:t>
      </w:r>
      <w:hyperlink r:id="rId103" w:history="1">
        <w:r w:rsidRPr="00AA77DA">
          <w:rPr>
            <w:rStyle w:val="Hyperlink"/>
          </w:rPr>
          <w:t>https://senedd.wales/media/dmvlv1t4/cr-ld13405-r-e.pdf</w:t>
        </w:r>
      </w:hyperlink>
      <w:r w:rsidRPr="00AA77DA">
        <w:rPr>
          <w:color w:val="000000"/>
        </w:rPr>
        <w:t xml:space="preserve"> (Accessed 26 April 2025).</w:t>
      </w:r>
    </w:p>
    <w:p w14:paraId="7381AA41" w14:textId="77777777" w:rsidR="00A80BEC" w:rsidRPr="00AA77DA" w:rsidRDefault="00A80BEC" w:rsidP="00A80BEC">
      <w:pPr>
        <w:pStyle w:val="NormalWeb"/>
        <w:spacing w:before="240" w:beforeAutospacing="0" w:after="240" w:afterAutospacing="0" w:line="360" w:lineRule="auto"/>
        <w:ind w:left="360"/>
        <w:jc w:val="both"/>
        <w:rPr>
          <w:color w:val="000000"/>
        </w:rPr>
      </w:pPr>
      <w:proofErr w:type="spellStart"/>
      <w:r w:rsidRPr="00AA77DA">
        <w:rPr>
          <w:color w:val="000000"/>
        </w:rPr>
        <w:t>Zilanawala</w:t>
      </w:r>
      <w:proofErr w:type="spellEnd"/>
      <w:r w:rsidRPr="00AA77DA">
        <w:rPr>
          <w:color w:val="000000"/>
        </w:rPr>
        <w:t>, A. and McMunn, A. (2022) 'Nonstandard work schedules in the UK: What are the implications for parental mental health and relationship happiness?', </w:t>
      </w:r>
      <w:r w:rsidRPr="00AA77DA">
        <w:rPr>
          <w:i/>
          <w:iCs/>
          <w:color w:val="000000"/>
        </w:rPr>
        <w:t>Community, Work &amp; Family</w:t>
      </w:r>
      <w:r w:rsidRPr="00AA77DA">
        <w:rPr>
          <w:color w:val="000000"/>
        </w:rPr>
        <w:t xml:space="preserve">, pp.1–24. Available at: </w:t>
      </w:r>
      <w:hyperlink r:id="rId104" w:history="1">
        <w:r w:rsidRPr="00AA77DA">
          <w:rPr>
            <w:rStyle w:val="Hyperlink"/>
          </w:rPr>
          <w:t>https://doi.org/10.1080/13668803.2022.2077173</w:t>
        </w:r>
      </w:hyperlink>
      <w:r w:rsidRPr="00AA77DA">
        <w:rPr>
          <w:color w:val="000000"/>
        </w:rPr>
        <w:t>.</w:t>
      </w:r>
    </w:p>
    <w:p w14:paraId="270BF02C" w14:textId="77777777" w:rsidR="00A80BEC" w:rsidRDefault="00A80BEC" w:rsidP="00A80BEC"/>
    <w:p w14:paraId="16CE8551" w14:textId="77777777" w:rsidR="00CC6FFF" w:rsidRDefault="00CC6FFF" w:rsidP="00CC6FFF">
      <w:pPr>
        <w:pStyle w:val="NormalWeb"/>
        <w:rPr>
          <w:rFonts w:ascii="Calibri" w:hAnsi="Calibri" w:cs="Calibri"/>
          <w:color w:val="000000"/>
          <w:sz w:val="27"/>
          <w:szCs w:val="27"/>
        </w:rPr>
      </w:pPr>
      <w:r>
        <w:rPr>
          <w:rFonts w:ascii="Calibri" w:hAnsi="Calibri" w:cs="Calibri"/>
          <w:color w:val="000000"/>
          <w:sz w:val="27"/>
          <w:szCs w:val="27"/>
        </w:rPr>
        <w:t>‌</w:t>
      </w:r>
    </w:p>
    <w:p w14:paraId="36683BC4" w14:textId="77777777" w:rsidR="00CC6FFF" w:rsidRDefault="00CC6FFF" w:rsidP="003E743C">
      <w:pPr>
        <w:pStyle w:val="NormalWeb"/>
        <w:spacing w:before="0" w:beforeAutospacing="0" w:after="0" w:afterAutospacing="0" w:line="360" w:lineRule="atLeast"/>
        <w:rPr>
          <w:rFonts w:ascii="Calibri" w:hAnsi="Calibri" w:cs="Calibri"/>
          <w:color w:val="000000"/>
          <w:sz w:val="27"/>
          <w:szCs w:val="27"/>
        </w:rPr>
      </w:pPr>
    </w:p>
    <w:p w14:paraId="16342741" w14:textId="77777777" w:rsidR="003E743C" w:rsidRDefault="003E743C" w:rsidP="003E743C">
      <w:pPr>
        <w:pStyle w:val="NormalWeb"/>
        <w:rPr>
          <w:rFonts w:ascii="Calibri" w:hAnsi="Calibri" w:cs="Calibri"/>
          <w:color w:val="000000"/>
          <w:sz w:val="27"/>
          <w:szCs w:val="27"/>
        </w:rPr>
      </w:pPr>
      <w:r>
        <w:rPr>
          <w:rFonts w:ascii="Calibri" w:hAnsi="Calibri" w:cs="Calibri"/>
          <w:color w:val="000000"/>
          <w:sz w:val="27"/>
          <w:szCs w:val="27"/>
        </w:rPr>
        <w:t>‌</w:t>
      </w:r>
    </w:p>
    <w:p w14:paraId="56060526" w14:textId="77777777" w:rsidR="003E743C" w:rsidRPr="002A3BEF" w:rsidRDefault="003E743C" w:rsidP="002E0754">
      <w:pPr>
        <w:pStyle w:val="NormalWeb"/>
        <w:spacing w:before="240" w:beforeAutospacing="0" w:after="160" w:afterAutospacing="0" w:line="360" w:lineRule="auto"/>
        <w:rPr>
          <w:color w:val="000000"/>
        </w:rPr>
      </w:pPr>
    </w:p>
    <w:p w14:paraId="3E515F1A" w14:textId="77777777" w:rsidR="002E0754" w:rsidRPr="00B1147F" w:rsidRDefault="002E0754" w:rsidP="00B1147F">
      <w:pPr>
        <w:rPr>
          <w:rFonts w:ascii="Times New Roman" w:hAnsi="Times New Roman" w:cs="Times New Roman"/>
          <w:color w:val="7A9E1E"/>
        </w:rPr>
      </w:pPr>
    </w:p>
    <w:p w14:paraId="3A257509" w14:textId="77777777" w:rsidR="00443243" w:rsidRDefault="00443243" w:rsidP="00443243">
      <w:pPr>
        <w:pStyle w:val="NormalWeb"/>
        <w:rPr>
          <w:rFonts w:ascii="Calibri" w:hAnsi="Calibri" w:cs="Calibri"/>
          <w:color w:val="000000"/>
          <w:sz w:val="27"/>
          <w:szCs w:val="27"/>
        </w:rPr>
      </w:pPr>
      <w:r>
        <w:rPr>
          <w:rFonts w:ascii="Calibri" w:hAnsi="Calibri" w:cs="Calibri"/>
          <w:color w:val="000000"/>
          <w:sz w:val="27"/>
          <w:szCs w:val="27"/>
        </w:rPr>
        <w:t>‌</w:t>
      </w:r>
    </w:p>
    <w:p w14:paraId="69D96FD2" w14:textId="77777777" w:rsidR="00443243" w:rsidRPr="00DC7A4E" w:rsidRDefault="00443243"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2B5F1D29" w14:textId="6DCC1FE7" w:rsidR="00DC7A4E" w:rsidRPr="00DC7A4E" w:rsidRDefault="00DC7A4E" w:rsidP="00DC7A4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06EE0CC9" w14:textId="4C362CEB" w:rsidR="003940F0" w:rsidRPr="00DC7A4E" w:rsidRDefault="003940F0" w:rsidP="00DC7A4E">
      <w:pPr>
        <w:spacing w:line="360" w:lineRule="auto"/>
        <w:rPr>
          <w:rFonts w:ascii="Times New Roman" w:hAnsi="Times New Roman" w:cs="Times New Roman"/>
        </w:rPr>
      </w:pPr>
    </w:p>
    <w:sectPr w:rsidR="003940F0" w:rsidRPr="00DC7A4E" w:rsidSect="000A320B">
      <w:headerReference w:type="even" r:id="rId105"/>
      <w:headerReference w:type="default" r:id="rId106"/>
      <w:footerReference w:type="even" r:id="rId107"/>
      <w:footerReference w:type="default" r:id="rId108"/>
      <w:headerReference w:type="first" r:id="rId109"/>
      <w:footerReference w:type="first" r:id="rId1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AD7923" w14:textId="77777777" w:rsidR="006B0606" w:rsidRDefault="006B0606" w:rsidP="00153CA1">
      <w:pPr>
        <w:spacing w:after="0" w:line="240" w:lineRule="auto"/>
      </w:pPr>
      <w:r>
        <w:separator/>
      </w:r>
    </w:p>
  </w:endnote>
  <w:endnote w:type="continuationSeparator" w:id="0">
    <w:p w14:paraId="4121B10A" w14:textId="77777777" w:rsidR="006B0606" w:rsidRDefault="006B0606" w:rsidP="00153C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2A0847" w14:textId="77777777" w:rsidR="00153CA1" w:rsidRDefault="00153C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6365438"/>
      <w:docPartObj>
        <w:docPartGallery w:val="Page Numbers (Bottom of Page)"/>
        <w:docPartUnique/>
      </w:docPartObj>
    </w:sdtPr>
    <w:sdtEndPr>
      <w:rPr>
        <w:noProof/>
      </w:rPr>
    </w:sdtEndPr>
    <w:sdtContent>
      <w:p w14:paraId="1767EEBE" w14:textId="466D4826" w:rsidR="00845C54" w:rsidRDefault="00845C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519BF2" w14:textId="77777777" w:rsidR="00153CA1" w:rsidRDefault="00153C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5302800"/>
      <w:docPartObj>
        <w:docPartGallery w:val="Page Numbers (Bottom of Page)"/>
        <w:docPartUnique/>
      </w:docPartObj>
    </w:sdtPr>
    <w:sdtEndPr>
      <w:rPr>
        <w:noProof/>
      </w:rPr>
    </w:sdtEndPr>
    <w:sdtContent>
      <w:p w14:paraId="74DCB4F2" w14:textId="77F8DAD9" w:rsidR="00153CA1" w:rsidRDefault="00153C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52DC5D" w14:textId="77777777" w:rsidR="00153CA1" w:rsidRDefault="00153C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33B789" w14:textId="77777777" w:rsidR="006B0606" w:rsidRDefault="006B0606" w:rsidP="00153CA1">
      <w:pPr>
        <w:spacing w:after="0" w:line="240" w:lineRule="auto"/>
      </w:pPr>
      <w:r>
        <w:separator/>
      </w:r>
    </w:p>
  </w:footnote>
  <w:footnote w:type="continuationSeparator" w:id="0">
    <w:p w14:paraId="07DC9256" w14:textId="77777777" w:rsidR="006B0606" w:rsidRDefault="006B0606" w:rsidP="00153C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EF3A50" w14:textId="77777777" w:rsidR="00153CA1" w:rsidRDefault="00153C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6C20FB" w14:textId="6144B525" w:rsidR="00153CA1" w:rsidRDefault="00153CA1">
    <w:pPr>
      <w:pStyle w:val="Header"/>
    </w:pPr>
  </w:p>
  <w:p w14:paraId="49BBF3C4" w14:textId="77777777" w:rsidR="00153CA1" w:rsidRDefault="00153C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278CEC" w14:textId="77777777" w:rsidR="00153CA1" w:rsidRDefault="00153C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E514F"/>
    <w:multiLevelType w:val="hybridMultilevel"/>
    <w:tmpl w:val="2C54034C"/>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4716A5A"/>
    <w:multiLevelType w:val="hybridMultilevel"/>
    <w:tmpl w:val="98FCA9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08202A"/>
    <w:multiLevelType w:val="hybridMultilevel"/>
    <w:tmpl w:val="27FC61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2469815">
    <w:abstractNumId w:val="0"/>
  </w:num>
  <w:num w:numId="2" w16cid:durableId="116054179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647009791">
    <w:abstractNumId w:val="2"/>
  </w:num>
  <w:num w:numId="4" w16cid:durableId="15328410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c1MbOwMDY1NTI2MTJS0lEKTi0uzszPAykwMq4FAOkslf4tAAAA"/>
  </w:docVars>
  <w:rsids>
    <w:rsidRoot w:val="003940F0"/>
    <w:rsid w:val="00000739"/>
    <w:rsid w:val="000020D9"/>
    <w:rsid w:val="000046F2"/>
    <w:rsid w:val="00013E76"/>
    <w:rsid w:val="0001574F"/>
    <w:rsid w:val="00017807"/>
    <w:rsid w:val="000202FA"/>
    <w:rsid w:val="00026199"/>
    <w:rsid w:val="00030C3D"/>
    <w:rsid w:val="0003129C"/>
    <w:rsid w:val="00035512"/>
    <w:rsid w:val="00042DE0"/>
    <w:rsid w:val="00046AE4"/>
    <w:rsid w:val="000476A1"/>
    <w:rsid w:val="00057C9C"/>
    <w:rsid w:val="0006429A"/>
    <w:rsid w:val="000642B9"/>
    <w:rsid w:val="000721D4"/>
    <w:rsid w:val="000734B6"/>
    <w:rsid w:val="00073E88"/>
    <w:rsid w:val="00075650"/>
    <w:rsid w:val="0008177F"/>
    <w:rsid w:val="00081E74"/>
    <w:rsid w:val="000860C0"/>
    <w:rsid w:val="00091C8C"/>
    <w:rsid w:val="00095119"/>
    <w:rsid w:val="000A1EA0"/>
    <w:rsid w:val="000A320B"/>
    <w:rsid w:val="000A66EE"/>
    <w:rsid w:val="000C3D4B"/>
    <w:rsid w:val="000C75AC"/>
    <w:rsid w:val="000D2C86"/>
    <w:rsid w:val="000D2F70"/>
    <w:rsid w:val="000E37C0"/>
    <w:rsid w:val="00101136"/>
    <w:rsid w:val="0010196A"/>
    <w:rsid w:val="001079A7"/>
    <w:rsid w:val="00113F4F"/>
    <w:rsid w:val="00114337"/>
    <w:rsid w:val="00114E41"/>
    <w:rsid w:val="001276E5"/>
    <w:rsid w:val="001278D0"/>
    <w:rsid w:val="0014659C"/>
    <w:rsid w:val="0015266B"/>
    <w:rsid w:val="00153CA1"/>
    <w:rsid w:val="001579F2"/>
    <w:rsid w:val="00161BB2"/>
    <w:rsid w:val="0016341D"/>
    <w:rsid w:val="00165104"/>
    <w:rsid w:val="0016618F"/>
    <w:rsid w:val="001755E8"/>
    <w:rsid w:val="00192D68"/>
    <w:rsid w:val="001B00E7"/>
    <w:rsid w:val="001B4E9A"/>
    <w:rsid w:val="001C3D2C"/>
    <w:rsid w:val="001C69D4"/>
    <w:rsid w:val="001D0718"/>
    <w:rsid w:val="001D0CFE"/>
    <w:rsid w:val="001D28CF"/>
    <w:rsid w:val="001D3DCC"/>
    <w:rsid w:val="001F7C3C"/>
    <w:rsid w:val="00224FAF"/>
    <w:rsid w:val="0022609A"/>
    <w:rsid w:val="002304C3"/>
    <w:rsid w:val="00231EBE"/>
    <w:rsid w:val="00232832"/>
    <w:rsid w:val="00234B91"/>
    <w:rsid w:val="00237915"/>
    <w:rsid w:val="00237CE0"/>
    <w:rsid w:val="002424AC"/>
    <w:rsid w:val="002479DC"/>
    <w:rsid w:val="00277C8D"/>
    <w:rsid w:val="002864F8"/>
    <w:rsid w:val="002B0D0B"/>
    <w:rsid w:val="002D1181"/>
    <w:rsid w:val="002D4FBB"/>
    <w:rsid w:val="002D5DB5"/>
    <w:rsid w:val="002D652B"/>
    <w:rsid w:val="002E0754"/>
    <w:rsid w:val="002E35B4"/>
    <w:rsid w:val="002F1677"/>
    <w:rsid w:val="00312321"/>
    <w:rsid w:val="003147CC"/>
    <w:rsid w:val="00317259"/>
    <w:rsid w:val="003172F9"/>
    <w:rsid w:val="00320074"/>
    <w:rsid w:val="00320279"/>
    <w:rsid w:val="00320F14"/>
    <w:rsid w:val="00323E3F"/>
    <w:rsid w:val="00325C12"/>
    <w:rsid w:val="00335DB8"/>
    <w:rsid w:val="003415B7"/>
    <w:rsid w:val="003510F9"/>
    <w:rsid w:val="00355FC8"/>
    <w:rsid w:val="0036433A"/>
    <w:rsid w:val="0037579E"/>
    <w:rsid w:val="00387A91"/>
    <w:rsid w:val="003940F0"/>
    <w:rsid w:val="003A1CD9"/>
    <w:rsid w:val="003B42CD"/>
    <w:rsid w:val="003D1C62"/>
    <w:rsid w:val="003E610F"/>
    <w:rsid w:val="003E743C"/>
    <w:rsid w:val="003F2F24"/>
    <w:rsid w:val="00401618"/>
    <w:rsid w:val="00401FBB"/>
    <w:rsid w:val="00402AB2"/>
    <w:rsid w:val="004035B8"/>
    <w:rsid w:val="00403D30"/>
    <w:rsid w:val="0040730D"/>
    <w:rsid w:val="00411803"/>
    <w:rsid w:val="00413B69"/>
    <w:rsid w:val="00420717"/>
    <w:rsid w:val="00421A72"/>
    <w:rsid w:val="004220F2"/>
    <w:rsid w:val="00424AFE"/>
    <w:rsid w:val="004260AB"/>
    <w:rsid w:val="00433766"/>
    <w:rsid w:val="0044066D"/>
    <w:rsid w:val="00443243"/>
    <w:rsid w:val="00445855"/>
    <w:rsid w:val="00462967"/>
    <w:rsid w:val="004662F0"/>
    <w:rsid w:val="004677D9"/>
    <w:rsid w:val="00474E88"/>
    <w:rsid w:val="004759FB"/>
    <w:rsid w:val="00483293"/>
    <w:rsid w:val="004953F6"/>
    <w:rsid w:val="004A192A"/>
    <w:rsid w:val="004A2DDC"/>
    <w:rsid w:val="004A4184"/>
    <w:rsid w:val="004A72E6"/>
    <w:rsid w:val="004B281F"/>
    <w:rsid w:val="004D034F"/>
    <w:rsid w:val="004E1A6B"/>
    <w:rsid w:val="004E54E7"/>
    <w:rsid w:val="004E769B"/>
    <w:rsid w:val="004F2CBF"/>
    <w:rsid w:val="00501BA0"/>
    <w:rsid w:val="00503938"/>
    <w:rsid w:val="0051014D"/>
    <w:rsid w:val="0052027B"/>
    <w:rsid w:val="0052463E"/>
    <w:rsid w:val="00530C24"/>
    <w:rsid w:val="0053189C"/>
    <w:rsid w:val="00535937"/>
    <w:rsid w:val="00542C0A"/>
    <w:rsid w:val="00577133"/>
    <w:rsid w:val="00577BE6"/>
    <w:rsid w:val="00581900"/>
    <w:rsid w:val="005A49EE"/>
    <w:rsid w:val="005E2788"/>
    <w:rsid w:val="005F61FE"/>
    <w:rsid w:val="0061105F"/>
    <w:rsid w:val="00614C65"/>
    <w:rsid w:val="00617D3D"/>
    <w:rsid w:val="006438ED"/>
    <w:rsid w:val="00645267"/>
    <w:rsid w:val="0065667D"/>
    <w:rsid w:val="00670B78"/>
    <w:rsid w:val="00671A73"/>
    <w:rsid w:val="006771DE"/>
    <w:rsid w:val="00680F30"/>
    <w:rsid w:val="0068112E"/>
    <w:rsid w:val="00683D84"/>
    <w:rsid w:val="006931C1"/>
    <w:rsid w:val="006B0606"/>
    <w:rsid w:val="006C6DE8"/>
    <w:rsid w:val="006E161C"/>
    <w:rsid w:val="006F03B1"/>
    <w:rsid w:val="006F1B4B"/>
    <w:rsid w:val="00704688"/>
    <w:rsid w:val="00711481"/>
    <w:rsid w:val="0075186B"/>
    <w:rsid w:val="007535D2"/>
    <w:rsid w:val="00754B70"/>
    <w:rsid w:val="00755B36"/>
    <w:rsid w:val="00757D5B"/>
    <w:rsid w:val="007655D2"/>
    <w:rsid w:val="00766A36"/>
    <w:rsid w:val="00774419"/>
    <w:rsid w:val="0078299E"/>
    <w:rsid w:val="00783DE6"/>
    <w:rsid w:val="0079308F"/>
    <w:rsid w:val="0079606D"/>
    <w:rsid w:val="007971C3"/>
    <w:rsid w:val="007A1F41"/>
    <w:rsid w:val="007A4F7F"/>
    <w:rsid w:val="007B14CB"/>
    <w:rsid w:val="007B40F2"/>
    <w:rsid w:val="007C4765"/>
    <w:rsid w:val="007E25EB"/>
    <w:rsid w:val="007E41AA"/>
    <w:rsid w:val="007F5FD7"/>
    <w:rsid w:val="00801BBE"/>
    <w:rsid w:val="008032A2"/>
    <w:rsid w:val="008079C3"/>
    <w:rsid w:val="008119AF"/>
    <w:rsid w:val="00821C0A"/>
    <w:rsid w:val="0082203E"/>
    <w:rsid w:val="008253D0"/>
    <w:rsid w:val="008319B0"/>
    <w:rsid w:val="00835735"/>
    <w:rsid w:val="0083745E"/>
    <w:rsid w:val="00845C54"/>
    <w:rsid w:val="0085720F"/>
    <w:rsid w:val="008834D8"/>
    <w:rsid w:val="00883BB8"/>
    <w:rsid w:val="008934E7"/>
    <w:rsid w:val="008A2DFD"/>
    <w:rsid w:val="008C0491"/>
    <w:rsid w:val="008C2B98"/>
    <w:rsid w:val="008C304F"/>
    <w:rsid w:val="008C5A44"/>
    <w:rsid w:val="008E33F3"/>
    <w:rsid w:val="008E7B6B"/>
    <w:rsid w:val="008F34D7"/>
    <w:rsid w:val="008F4765"/>
    <w:rsid w:val="00914BF6"/>
    <w:rsid w:val="00916E69"/>
    <w:rsid w:val="00924642"/>
    <w:rsid w:val="00926F75"/>
    <w:rsid w:val="00941FC7"/>
    <w:rsid w:val="00943134"/>
    <w:rsid w:val="0094333A"/>
    <w:rsid w:val="009436D3"/>
    <w:rsid w:val="00944CD2"/>
    <w:rsid w:val="00944DDC"/>
    <w:rsid w:val="00956C08"/>
    <w:rsid w:val="00961DA2"/>
    <w:rsid w:val="00970290"/>
    <w:rsid w:val="00970631"/>
    <w:rsid w:val="0097353E"/>
    <w:rsid w:val="00975DDE"/>
    <w:rsid w:val="00976BDF"/>
    <w:rsid w:val="00983F74"/>
    <w:rsid w:val="00984280"/>
    <w:rsid w:val="00997C74"/>
    <w:rsid w:val="009A202A"/>
    <w:rsid w:val="009A303A"/>
    <w:rsid w:val="009B021C"/>
    <w:rsid w:val="009B16D5"/>
    <w:rsid w:val="009B508D"/>
    <w:rsid w:val="009D1155"/>
    <w:rsid w:val="009D499F"/>
    <w:rsid w:val="009E51E8"/>
    <w:rsid w:val="009E6FAF"/>
    <w:rsid w:val="009F1239"/>
    <w:rsid w:val="009F2F68"/>
    <w:rsid w:val="009F4D10"/>
    <w:rsid w:val="00A02AA6"/>
    <w:rsid w:val="00A136C0"/>
    <w:rsid w:val="00A1763F"/>
    <w:rsid w:val="00A20808"/>
    <w:rsid w:val="00A218AF"/>
    <w:rsid w:val="00A2194F"/>
    <w:rsid w:val="00A5192F"/>
    <w:rsid w:val="00A664BC"/>
    <w:rsid w:val="00A77D03"/>
    <w:rsid w:val="00A80BEC"/>
    <w:rsid w:val="00A817E4"/>
    <w:rsid w:val="00A81B22"/>
    <w:rsid w:val="00A92913"/>
    <w:rsid w:val="00AA73C4"/>
    <w:rsid w:val="00AA77DA"/>
    <w:rsid w:val="00AB0238"/>
    <w:rsid w:val="00AC0B04"/>
    <w:rsid w:val="00AC47FD"/>
    <w:rsid w:val="00AD33A6"/>
    <w:rsid w:val="00AE04A2"/>
    <w:rsid w:val="00AE18C3"/>
    <w:rsid w:val="00AE3947"/>
    <w:rsid w:val="00AF327E"/>
    <w:rsid w:val="00B072A6"/>
    <w:rsid w:val="00B07A7C"/>
    <w:rsid w:val="00B1147F"/>
    <w:rsid w:val="00B11FC2"/>
    <w:rsid w:val="00B204C2"/>
    <w:rsid w:val="00B204D6"/>
    <w:rsid w:val="00B23A25"/>
    <w:rsid w:val="00B25545"/>
    <w:rsid w:val="00B25F71"/>
    <w:rsid w:val="00B3157E"/>
    <w:rsid w:val="00B54666"/>
    <w:rsid w:val="00B66BA3"/>
    <w:rsid w:val="00B66F1F"/>
    <w:rsid w:val="00B820B7"/>
    <w:rsid w:val="00B82E16"/>
    <w:rsid w:val="00B84E6D"/>
    <w:rsid w:val="00B90B3B"/>
    <w:rsid w:val="00B9244C"/>
    <w:rsid w:val="00B93677"/>
    <w:rsid w:val="00BB0AE0"/>
    <w:rsid w:val="00BB4D78"/>
    <w:rsid w:val="00BC2774"/>
    <w:rsid w:val="00BE17C5"/>
    <w:rsid w:val="00BE22B7"/>
    <w:rsid w:val="00BE6866"/>
    <w:rsid w:val="00BF1D04"/>
    <w:rsid w:val="00C0406A"/>
    <w:rsid w:val="00C04182"/>
    <w:rsid w:val="00C128CF"/>
    <w:rsid w:val="00C17C8C"/>
    <w:rsid w:val="00C20447"/>
    <w:rsid w:val="00C30B86"/>
    <w:rsid w:val="00C61DA6"/>
    <w:rsid w:val="00C6387C"/>
    <w:rsid w:val="00C66B62"/>
    <w:rsid w:val="00C735A7"/>
    <w:rsid w:val="00C803F8"/>
    <w:rsid w:val="00C862B9"/>
    <w:rsid w:val="00C90425"/>
    <w:rsid w:val="00CA67FC"/>
    <w:rsid w:val="00CB26AC"/>
    <w:rsid w:val="00CB310F"/>
    <w:rsid w:val="00CB5B5C"/>
    <w:rsid w:val="00CC2FCF"/>
    <w:rsid w:val="00CC54B8"/>
    <w:rsid w:val="00CC6FFF"/>
    <w:rsid w:val="00CD3EB1"/>
    <w:rsid w:val="00D00A82"/>
    <w:rsid w:val="00D13095"/>
    <w:rsid w:val="00D158DD"/>
    <w:rsid w:val="00D16305"/>
    <w:rsid w:val="00D20BCC"/>
    <w:rsid w:val="00D36953"/>
    <w:rsid w:val="00D45E53"/>
    <w:rsid w:val="00D45ED4"/>
    <w:rsid w:val="00D51CE4"/>
    <w:rsid w:val="00D54F0A"/>
    <w:rsid w:val="00D675E6"/>
    <w:rsid w:val="00D861A8"/>
    <w:rsid w:val="00D914BE"/>
    <w:rsid w:val="00D93CBE"/>
    <w:rsid w:val="00DA557C"/>
    <w:rsid w:val="00DA5AE4"/>
    <w:rsid w:val="00DC7A4E"/>
    <w:rsid w:val="00DD39B1"/>
    <w:rsid w:val="00DE0090"/>
    <w:rsid w:val="00DE4A02"/>
    <w:rsid w:val="00E0061E"/>
    <w:rsid w:val="00E03D87"/>
    <w:rsid w:val="00E275C2"/>
    <w:rsid w:val="00E36BF5"/>
    <w:rsid w:val="00E50AD2"/>
    <w:rsid w:val="00E60BF1"/>
    <w:rsid w:val="00E63863"/>
    <w:rsid w:val="00E6491A"/>
    <w:rsid w:val="00E65A67"/>
    <w:rsid w:val="00E66066"/>
    <w:rsid w:val="00E664EC"/>
    <w:rsid w:val="00E6689A"/>
    <w:rsid w:val="00E80470"/>
    <w:rsid w:val="00E85291"/>
    <w:rsid w:val="00E8725E"/>
    <w:rsid w:val="00E959DF"/>
    <w:rsid w:val="00EA0691"/>
    <w:rsid w:val="00EA5F40"/>
    <w:rsid w:val="00EB745B"/>
    <w:rsid w:val="00EC5BC4"/>
    <w:rsid w:val="00ED302F"/>
    <w:rsid w:val="00EE0C8E"/>
    <w:rsid w:val="00EE4E49"/>
    <w:rsid w:val="00EF04DB"/>
    <w:rsid w:val="00EF061B"/>
    <w:rsid w:val="00EF225D"/>
    <w:rsid w:val="00F000C4"/>
    <w:rsid w:val="00F108E6"/>
    <w:rsid w:val="00F112A7"/>
    <w:rsid w:val="00F11EFF"/>
    <w:rsid w:val="00F13A27"/>
    <w:rsid w:val="00F13C1D"/>
    <w:rsid w:val="00F26FA1"/>
    <w:rsid w:val="00F37713"/>
    <w:rsid w:val="00F4161D"/>
    <w:rsid w:val="00F476F7"/>
    <w:rsid w:val="00F62321"/>
    <w:rsid w:val="00F72218"/>
    <w:rsid w:val="00F72C1F"/>
    <w:rsid w:val="00F733EC"/>
    <w:rsid w:val="00F77C0A"/>
    <w:rsid w:val="00F8042C"/>
    <w:rsid w:val="00F80C37"/>
    <w:rsid w:val="00F82F67"/>
    <w:rsid w:val="00FA60FD"/>
    <w:rsid w:val="00FE29AD"/>
    <w:rsid w:val="00FF37B8"/>
    <w:rsid w:val="00FF4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F426A4"/>
  <w15:chartTrackingRefBased/>
  <w15:docId w15:val="{B14C36E8-77A4-40DB-B07B-C12212039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310F"/>
  </w:style>
  <w:style w:type="paragraph" w:styleId="Heading1">
    <w:name w:val="heading 1"/>
    <w:basedOn w:val="Normal"/>
    <w:next w:val="Normal"/>
    <w:link w:val="Heading1Char"/>
    <w:uiPriority w:val="9"/>
    <w:qFormat/>
    <w:rsid w:val="003940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940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940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40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40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40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40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40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40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0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940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940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40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40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40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40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40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40F0"/>
    <w:rPr>
      <w:rFonts w:eastAsiaTheme="majorEastAsia" w:cstheme="majorBidi"/>
      <w:color w:val="272727" w:themeColor="text1" w:themeTint="D8"/>
    </w:rPr>
  </w:style>
  <w:style w:type="paragraph" w:styleId="Title">
    <w:name w:val="Title"/>
    <w:basedOn w:val="Normal"/>
    <w:next w:val="Normal"/>
    <w:link w:val="TitleChar"/>
    <w:uiPriority w:val="10"/>
    <w:qFormat/>
    <w:rsid w:val="003940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40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40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40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40F0"/>
    <w:pPr>
      <w:spacing w:before="160"/>
      <w:jc w:val="center"/>
    </w:pPr>
    <w:rPr>
      <w:i/>
      <w:iCs/>
      <w:color w:val="404040" w:themeColor="text1" w:themeTint="BF"/>
    </w:rPr>
  </w:style>
  <w:style w:type="character" w:customStyle="1" w:styleId="QuoteChar">
    <w:name w:val="Quote Char"/>
    <w:basedOn w:val="DefaultParagraphFont"/>
    <w:link w:val="Quote"/>
    <w:uiPriority w:val="29"/>
    <w:rsid w:val="003940F0"/>
    <w:rPr>
      <w:i/>
      <w:iCs/>
      <w:color w:val="404040" w:themeColor="text1" w:themeTint="BF"/>
    </w:rPr>
  </w:style>
  <w:style w:type="paragraph" w:styleId="ListParagraph">
    <w:name w:val="List Paragraph"/>
    <w:basedOn w:val="Normal"/>
    <w:uiPriority w:val="34"/>
    <w:qFormat/>
    <w:rsid w:val="003940F0"/>
    <w:pPr>
      <w:ind w:left="720"/>
      <w:contextualSpacing/>
    </w:pPr>
  </w:style>
  <w:style w:type="character" w:styleId="IntenseEmphasis">
    <w:name w:val="Intense Emphasis"/>
    <w:basedOn w:val="DefaultParagraphFont"/>
    <w:uiPriority w:val="21"/>
    <w:qFormat/>
    <w:rsid w:val="003940F0"/>
    <w:rPr>
      <w:i/>
      <w:iCs/>
      <w:color w:val="0F4761" w:themeColor="accent1" w:themeShade="BF"/>
    </w:rPr>
  </w:style>
  <w:style w:type="paragraph" w:styleId="IntenseQuote">
    <w:name w:val="Intense Quote"/>
    <w:basedOn w:val="Normal"/>
    <w:next w:val="Normal"/>
    <w:link w:val="IntenseQuoteChar"/>
    <w:uiPriority w:val="30"/>
    <w:qFormat/>
    <w:rsid w:val="003940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40F0"/>
    <w:rPr>
      <w:i/>
      <w:iCs/>
      <w:color w:val="0F4761" w:themeColor="accent1" w:themeShade="BF"/>
    </w:rPr>
  </w:style>
  <w:style w:type="character" w:styleId="IntenseReference">
    <w:name w:val="Intense Reference"/>
    <w:basedOn w:val="DefaultParagraphFont"/>
    <w:uiPriority w:val="32"/>
    <w:qFormat/>
    <w:rsid w:val="003940F0"/>
    <w:rPr>
      <w:b/>
      <w:bCs/>
      <w:smallCaps/>
      <w:color w:val="0F4761" w:themeColor="accent1" w:themeShade="BF"/>
      <w:spacing w:val="5"/>
    </w:rPr>
  </w:style>
  <w:style w:type="character" w:styleId="Strong">
    <w:name w:val="Strong"/>
    <w:basedOn w:val="DefaultParagraphFont"/>
    <w:uiPriority w:val="22"/>
    <w:qFormat/>
    <w:rsid w:val="003940F0"/>
    <w:rPr>
      <w:b/>
      <w:bCs/>
    </w:rPr>
  </w:style>
  <w:style w:type="character" w:styleId="Emphasis">
    <w:name w:val="Emphasis"/>
    <w:basedOn w:val="DefaultParagraphFont"/>
    <w:uiPriority w:val="20"/>
    <w:qFormat/>
    <w:rsid w:val="003940F0"/>
    <w:rPr>
      <w:i/>
      <w:iCs/>
    </w:rPr>
  </w:style>
  <w:style w:type="character" w:styleId="Hyperlink">
    <w:name w:val="Hyperlink"/>
    <w:basedOn w:val="DefaultParagraphFont"/>
    <w:uiPriority w:val="99"/>
    <w:unhideWhenUsed/>
    <w:rsid w:val="003940F0"/>
    <w:rPr>
      <w:color w:val="0000FF"/>
      <w:u w:val="single"/>
    </w:rPr>
  </w:style>
  <w:style w:type="paragraph" w:styleId="Caption">
    <w:name w:val="caption"/>
    <w:basedOn w:val="Normal"/>
    <w:next w:val="Normal"/>
    <w:uiPriority w:val="35"/>
    <w:unhideWhenUsed/>
    <w:qFormat/>
    <w:rsid w:val="000020D9"/>
    <w:pPr>
      <w:spacing w:after="200" w:line="240" w:lineRule="auto"/>
    </w:pPr>
    <w:rPr>
      <w:i/>
      <w:iCs/>
      <w:color w:val="0E2841" w:themeColor="text2"/>
      <w:sz w:val="18"/>
      <w:szCs w:val="18"/>
    </w:rPr>
  </w:style>
  <w:style w:type="character" w:customStyle="1" w:styleId="relative">
    <w:name w:val="relative"/>
    <w:basedOn w:val="DefaultParagraphFont"/>
    <w:rsid w:val="00F733EC"/>
  </w:style>
  <w:style w:type="character" w:customStyle="1" w:styleId="ms-1">
    <w:name w:val="ms-1"/>
    <w:basedOn w:val="DefaultParagraphFont"/>
    <w:rsid w:val="00F733EC"/>
  </w:style>
  <w:style w:type="character" w:customStyle="1" w:styleId="max-w-full">
    <w:name w:val="max-w-full"/>
    <w:basedOn w:val="DefaultParagraphFont"/>
    <w:rsid w:val="00F733EC"/>
  </w:style>
  <w:style w:type="paragraph" w:styleId="NormalWeb">
    <w:name w:val="Normal (Web)"/>
    <w:basedOn w:val="Normal"/>
    <w:uiPriority w:val="99"/>
    <w:unhideWhenUsed/>
    <w:rsid w:val="00F80C3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F80C3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80C37"/>
    <w:pPr>
      <w:spacing w:after="100"/>
    </w:pPr>
  </w:style>
  <w:style w:type="paragraph" w:styleId="TOC2">
    <w:name w:val="toc 2"/>
    <w:basedOn w:val="Normal"/>
    <w:next w:val="Normal"/>
    <w:autoRedefine/>
    <w:uiPriority w:val="39"/>
    <w:unhideWhenUsed/>
    <w:rsid w:val="00F80C37"/>
    <w:pPr>
      <w:spacing w:after="100"/>
      <w:ind w:left="240"/>
    </w:pPr>
  </w:style>
  <w:style w:type="paragraph" w:styleId="TOC3">
    <w:name w:val="toc 3"/>
    <w:basedOn w:val="Normal"/>
    <w:next w:val="Normal"/>
    <w:autoRedefine/>
    <w:uiPriority w:val="39"/>
    <w:unhideWhenUsed/>
    <w:rsid w:val="00F80C37"/>
    <w:pPr>
      <w:spacing w:after="100"/>
      <w:ind w:left="480"/>
    </w:pPr>
  </w:style>
  <w:style w:type="character" w:styleId="UnresolvedMention">
    <w:name w:val="Unresolved Mention"/>
    <w:basedOn w:val="DefaultParagraphFont"/>
    <w:uiPriority w:val="99"/>
    <w:semiHidden/>
    <w:unhideWhenUsed/>
    <w:rsid w:val="00443243"/>
    <w:rPr>
      <w:color w:val="605E5C"/>
      <w:shd w:val="clear" w:color="auto" w:fill="E1DFDD"/>
    </w:rPr>
  </w:style>
  <w:style w:type="character" w:customStyle="1" w:styleId="wixui-rich-texttext">
    <w:name w:val="wixui-rich-text__text"/>
    <w:basedOn w:val="DefaultParagraphFont"/>
    <w:rsid w:val="0052463E"/>
  </w:style>
  <w:style w:type="paragraph" w:styleId="NoSpacing">
    <w:name w:val="No Spacing"/>
    <w:link w:val="NoSpacingChar"/>
    <w:uiPriority w:val="1"/>
    <w:qFormat/>
    <w:rsid w:val="000A320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A320B"/>
    <w:rPr>
      <w:rFonts w:eastAsiaTheme="minorEastAsia"/>
      <w:kern w:val="0"/>
      <w:sz w:val="22"/>
      <w:szCs w:val="22"/>
      <w:lang w:val="en-US"/>
      <w14:ligatures w14:val="none"/>
    </w:rPr>
  </w:style>
  <w:style w:type="paragraph" w:styleId="Header">
    <w:name w:val="header"/>
    <w:basedOn w:val="Normal"/>
    <w:link w:val="HeaderChar"/>
    <w:uiPriority w:val="99"/>
    <w:unhideWhenUsed/>
    <w:rsid w:val="00153C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CA1"/>
  </w:style>
  <w:style w:type="paragraph" w:styleId="Footer">
    <w:name w:val="footer"/>
    <w:basedOn w:val="Normal"/>
    <w:link w:val="FooterChar"/>
    <w:uiPriority w:val="99"/>
    <w:unhideWhenUsed/>
    <w:rsid w:val="00153C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CA1"/>
  </w:style>
  <w:style w:type="character" w:customStyle="1" w:styleId="url">
    <w:name w:val="url"/>
    <w:basedOn w:val="DefaultParagraphFont"/>
    <w:rsid w:val="00AA77DA"/>
  </w:style>
  <w:style w:type="character" w:styleId="FollowedHyperlink">
    <w:name w:val="FollowedHyperlink"/>
    <w:basedOn w:val="DefaultParagraphFont"/>
    <w:uiPriority w:val="99"/>
    <w:semiHidden/>
    <w:unhideWhenUsed/>
    <w:rsid w:val="00A80BE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402123">
      <w:bodyDiv w:val="1"/>
      <w:marLeft w:val="0"/>
      <w:marRight w:val="0"/>
      <w:marTop w:val="0"/>
      <w:marBottom w:val="0"/>
      <w:divBdr>
        <w:top w:val="none" w:sz="0" w:space="0" w:color="auto"/>
        <w:left w:val="none" w:sz="0" w:space="0" w:color="auto"/>
        <w:bottom w:val="none" w:sz="0" w:space="0" w:color="auto"/>
        <w:right w:val="none" w:sz="0" w:space="0" w:color="auto"/>
      </w:divBdr>
    </w:div>
    <w:div w:id="74983369">
      <w:bodyDiv w:val="1"/>
      <w:marLeft w:val="0"/>
      <w:marRight w:val="0"/>
      <w:marTop w:val="0"/>
      <w:marBottom w:val="0"/>
      <w:divBdr>
        <w:top w:val="none" w:sz="0" w:space="0" w:color="auto"/>
        <w:left w:val="none" w:sz="0" w:space="0" w:color="auto"/>
        <w:bottom w:val="none" w:sz="0" w:space="0" w:color="auto"/>
        <w:right w:val="none" w:sz="0" w:space="0" w:color="auto"/>
      </w:divBdr>
    </w:div>
    <w:div w:id="628709896">
      <w:bodyDiv w:val="1"/>
      <w:marLeft w:val="0"/>
      <w:marRight w:val="0"/>
      <w:marTop w:val="0"/>
      <w:marBottom w:val="0"/>
      <w:divBdr>
        <w:top w:val="none" w:sz="0" w:space="0" w:color="auto"/>
        <w:left w:val="none" w:sz="0" w:space="0" w:color="auto"/>
        <w:bottom w:val="none" w:sz="0" w:space="0" w:color="auto"/>
        <w:right w:val="none" w:sz="0" w:space="0" w:color="auto"/>
      </w:divBdr>
    </w:div>
    <w:div w:id="650867771">
      <w:bodyDiv w:val="1"/>
      <w:marLeft w:val="0"/>
      <w:marRight w:val="0"/>
      <w:marTop w:val="0"/>
      <w:marBottom w:val="0"/>
      <w:divBdr>
        <w:top w:val="none" w:sz="0" w:space="0" w:color="auto"/>
        <w:left w:val="none" w:sz="0" w:space="0" w:color="auto"/>
        <w:bottom w:val="none" w:sz="0" w:space="0" w:color="auto"/>
        <w:right w:val="none" w:sz="0" w:space="0" w:color="auto"/>
      </w:divBdr>
    </w:div>
    <w:div w:id="673607812">
      <w:bodyDiv w:val="1"/>
      <w:marLeft w:val="0"/>
      <w:marRight w:val="0"/>
      <w:marTop w:val="0"/>
      <w:marBottom w:val="0"/>
      <w:divBdr>
        <w:top w:val="none" w:sz="0" w:space="0" w:color="auto"/>
        <w:left w:val="none" w:sz="0" w:space="0" w:color="auto"/>
        <w:bottom w:val="none" w:sz="0" w:space="0" w:color="auto"/>
        <w:right w:val="none" w:sz="0" w:space="0" w:color="auto"/>
      </w:divBdr>
    </w:div>
    <w:div w:id="751241472">
      <w:bodyDiv w:val="1"/>
      <w:marLeft w:val="0"/>
      <w:marRight w:val="0"/>
      <w:marTop w:val="0"/>
      <w:marBottom w:val="0"/>
      <w:divBdr>
        <w:top w:val="none" w:sz="0" w:space="0" w:color="auto"/>
        <w:left w:val="none" w:sz="0" w:space="0" w:color="auto"/>
        <w:bottom w:val="none" w:sz="0" w:space="0" w:color="auto"/>
        <w:right w:val="none" w:sz="0" w:space="0" w:color="auto"/>
      </w:divBdr>
    </w:div>
    <w:div w:id="768548861">
      <w:bodyDiv w:val="1"/>
      <w:marLeft w:val="0"/>
      <w:marRight w:val="0"/>
      <w:marTop w:val="0"/>
      <w:marBottom w:val="0"/>
      <w:divBdr>
        <w:top w:val="none" w:sz="0" w:space="0" w:color="auto"/>
        <w:left w:val="none" w:sz="0" w:space="0" w:color="auto"/>
        <w:bottom w:val="none" w:sz="0" w:space="0" w:color="auto"/>
        <w:right w:val="none" w:sz="0" w:space="0" w:color="auto"/>
      </w:divBdr>
    </w:div>
    <w:div w:id="789084918">
      <w:bodyDiv w:val="1"/>
      <w:marLeft w:val="0"/>
      <w:marRight w:val="0"/>
      <w:marTop w:val="0"/>
      <w:marBottom w:val="0"/>
      <w:divBdr>
        <w:top w:val="none" w:sz="0" w:space="0" w:color="auto"/>
        <w:left w:val="none" w:sz="0" w:space="0" w:color="auto"/>
        <w:bottom w:val="none" w:sz="0" w:space="0" w:color="auto"/>
        <w:right w:val="none" w:sz="0" w:space="0" w:color="auto"/>
      </w:divBdr>
    </w:div>
    <w:div w:id="891844648">
      <w:bodyDiv w:val="1"/>
      <w:marLeft w:val="0"/>
      <w:marRight w:val="0"/>
      <w:marTop w:val="0"/>
      <w:marBottom w:val="0"/>
      <w:divBdr>
        <w:top w:val="none" w:sz="0" w:space="0" w:color="auto"/>
        <w:left w:val="none" w:sz="0" w:space="0" w:color="auto"/>
        <w:bottom w:val="none" w:sz="0" w:space="0" w:color="auto"/>
        <w:right w:val="none" w:sz="0" w:space="0" w:color="auto"/>
      </w:divBdr>
    </w:div>
    <w:div w:id="1040326151">
      <w:bodyDiv w:val="1"/>
      <w:marLeft w:val="0"/>
      <w:marRight w:val="0"/>
      <w:marTop w:val="0"/>
      <w:marBottom w:val="0"/>
      <w:divBdr>
        <w:top w:val="none" w:sz="0" w:space="0" w:color="auto"/>
        <w:left w:val="none" w:sz="0" w:space="0" w:color="auto"/>
        <w:bottom w:val="none" w:sz="0" w:space="0" w:color="auto"/>
        <w:right w:val="none" w:sz="0" w:space="0" w:color="auto"/>
      </w:divBdr>
    </w:div>
    <w:div w:id="1055280363">
      <w:bodyDiv w:val="1"/>
      <w:marLeft w:val="0"/>
      <w:marRight w:val="0"/>
      <w:marTop w:val="0"/>
      <w:marBottom w:val="0"/>
      <w:divBdr>
        <w:top w:val="none" w:sz="0" w:space="0" w:color="auto"/>
        <w:left w:val="none" w:sz="0" w:space="0" w:color="auto"/>
        <w:bottom w:val="none" w:sz="0" w:space="0" w:color="auto"/>
        <w:right w:val="none" w:sz="0" w:space="0" w:color="auto"/>
      </w:divBdr>
      <w:divsChild>
        <w:div w:id="420028680">
          <w:marLeft w:val="0"/>
          <w:marRight w:val="0"/>
          <w:marTop w:val="0"/>
          <w:marBottom w:val="0"/>
          <w:divBdr>
            <w:top w:val="none" w:sz="0" w:space="0" w:color="auto"/>
            <w:left w:val="none" w:sz="0" w:space="0" w:color="auto"/>
            <w:bottom w:val="none" w:sz="0" w:space="0" w:color="auto"/>
            <w:right w:val="none" w:sz="0" w:space="0" w:color="auto"/>
          </w:divBdr>
          <w:divsChild>
            <w:div w:id="442773107">
              <w:marLeft w:val="0"/>
              <w:marRight w:val="0"/>
              <w:marTop w:val="0"/>
              <w:marBottom w:val="0"/>
              <w:divBdr>
                <w:top w:val="none" w:sz="0" w:space="0" w:color="auto"/>
                <w:left w:val="none" w:sz="0" w:space="0" w:color="auto"/>
                <w:bottom w:val="none" w:sz="0" w:space="0" w:color="auto"/>
                <w:right w:val="none" w:sz="0" w:space="0" w:color="auto"/>
              </w:divBdr>
              <w:divsChild>
                <w:div w:id="36973842">
                  <w:marLeft w:val="0"/>
                  <w:marRight w:val="0"/>
                  <w:marTop w:val="0"/>
                  <w:marBottom w:val="0"/>
                  <w:divBdr>
                    <w:top w:val="none" w:sz="0" w:space="0" w:color="auto"/>
                    <w:left w:val="none" w:sz="0" w:space="0" w:color="auto"/>
                    <w:bottom w:val="none" w:sz="0" w:space="0" w:color="auto"/>
                    <w:right w:val="none" w:sz="0" w:space="0" w:color="auto"/>
                  </w:divBdr>
                  <w:divsChild>
                    <w:div w:id="1438017623">
                      <w:marLeft w:val="0"/>
                      <w:marRight w:val="0"/>
                      <w:marTop w:val="0"/>
                      <w:marBottom w:val="0"/>
                      <w:divBdr>
                        <w:top w:val="none" w:sz="0" w:space="0" w:color="auto"/>
                        <w:left w:val="none" w:sz="0" w:space="0" w:color="auto"/>
                        <w:bottom w:val="none" w:sz="0" w:space="0" w:color="auto"/>
                        <w:right w:val="none" w:sz="0" w:space="0" w:color="auto"/>
                      </w:divBdr>
                      <w:divsChild>
                        <w:div w:id="1872377025">
                          <w:marLeft w:val="0"/>
                          <w:marRight w:val="0"/>
                          <w:marTop w:val="0"/>
                          <w:marBottom w:val="0"/>
                          <w:divBdr>
                            <w:top w:val="none" w:sz="0" w:space="0" w:color="auto"/>
                            <w:left w:val="none" w:sz="0" w:space="0" w:color="auto"/>
                            <w:bottom w:val="none" w:sz="0" w:space="0" w:color="auto"/>
                            <w:right w:val="none" w:sz="0" w:space="0" w:color="auto"/>
                          </w:divBdr>
                          <w:divsChild>
                            <w:div w:id="787117003">
                              <w:marLeft w:val="0"/>
                              <w:marRight w:val="0"/>
                              <w:marTop w:val="0"/>
                              <w:marBottom w:val="0"/>
                              <w:divBdr>
                                <w:top w:val="none" w:sz="0" w:space="0" w:color="auto"/>
                                <w:left w:val="none" w:sz="0" w:space="0" w:color="auto"/>
                                <w:bottom w:val="none" w:sz="0" w:space="0" w:color="auto"/>
                                <w:right w:val="none" w:sz="0" w:space="0" w:color="auto"/>
                              </w:divBdr>
                              <w:divsChild>
                                <w:div w:id="1979874684">
                                  <w:marLeft w:val="0"/>
                                  <w:marRight w:val="0"/>
                                  <w:marTop w:val="0"/>
                                  <w:marBottom w:val="0"/>
                                  <w:divBdr>
                                    <w:top w:val="none" w:sz="0" w:space="0" w:color="auto"/>
                                    <w:left w:val="none" w:sz="0" w:space="0" w:color="auto"/>
                                    <w:bottom w:val="none" w:sz="0" w:space="0" w:color="auto"/>
                                    <w:right w:val="none" w:sz="0" w:space="0" w:color="auto"/>
                                  </w:divBdr>
                                  <w:divsChild>
                                    <w:div w:id="1624993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0458021">
      <w:bodyDiv w:val="1"/>
      <w:marLeft w:val="0"/>
      <w:marRight w:val="0"/>
      <w:marTop w:val="0"/>
      <w:marBottom w:val="0"/>
      <w:divBdr>
        <w:top w:val="none" w:sz="0" w:space="0" w:color="auto"/>
        <w:left w:val="none" w:sz="0" w:space="0" w:color="auto"/>
        <w:bottom w:val="none" w:sz="0" w:space="0" w:color="auto"/>
        <w:right w:val="none" w:sz="0" w:space="0" w:color="auto"/>
      </w:divBdr>
    </w:div>
    <w:div w:id="1295481347">
      <w:bodyDiv w:val="1"/>
      <w:marLeft w:val="0"/>
      <w:marRight w:val="0"/>
      <w:marTop w:val="0"/>
      <w:marBottom w:val="0"/>
      <w:divBdr>
        <w:top w:val="none" w:sz="0" w:space="0" w:color="auto"/>
        <w:left w:val="none" w:sz="0" w:space="0" w:color="auto"/>
        <w:bottom w:val="none" w:sz="0" w:space="0" w:color="auto"/>
        <w:right w:val="none" w:sz="0" w:space="0" w:color="auto"/>
      </w:divBdr>
    </w:div>
    <w:div w:id="1663120863">
      <w:bodyDiv w:val="1"/>
      <w:marLeft w:val="0"/>
      <w:marRight w:val="0"/>
      <w:marTop w:val="0"/>
      <w:marBottom w:val="0"/>
      <w:divBdr>
        <w:top w:val="none" w:sz="0" w:space="0" w:color="auto"/>
        <w:left w:val="none" w:sz="0" w:space="0" w:color="auto"/>
        <w:bottom w:val="none" w:sz="0" w:space="0" w:color="auto"/>
        <w:right w:val="none" w:sz="0" w:space="0" w:color="auto"/>
      </w:divBdr>
    </w:div>
    <w:div w:id="1727870481">
      <w:bodyDiv w:val="1"/>
      <w:marLeft w:val="0"/>
      <w:marRight w:val="0"/>
      <w:marTop w:val="0"/>
      <w:marBottom w:val="0"/>
      <w:divBdr>
        <w:top w:val="none" w:sz="0" w:space="0" w:color="auto"/>
        <w:left w:val="none" w:sz="0" w:space="0" w:color="auto"/>
        <w:bottom w:val="none" w:sz="0" w:space="0" w:color="auto"/>
        <w:right w:val="none" w:sz="0" w:space="0" w:color="auto"/>
      </w:divBdr>
    </w:div>
    <w:div w:id="1972590280">
      <w:bodyDiv w:val="1"/>
      <w:marLeft w:val="0"/>
      <w:marRight w:val="0"/>
      <w:marTop w:val="0"/>
      <w:marBottom w:val="0"/>
      <w:divBdr>
        <w:top w:val="none" w:sz="0" w:space="0" w:color="auto"/>
        <w:left w:val="none" w:sz="0" w:space="0" w:color="auto"/>
        <w:bottom w:val="none" w:sz="0" w:space="0" w:color="auto"/>
        <w:right w:val="none" w:sz="0" w:space="0" w:color="auto"/>
      </w:divBdr>
    </w:div>
    <w:div w:id="1974670041">
      <w:bodyDiv w:val="1"/>
      <w:marLeft w:val="0"/>
      <w:marRight w:val="0"/>
      <w:marTop w:val="0"/>
      <w:marBottom w:val="0"/>
      <w:divBdr>
        <w:top w:val="none" w:sz="0" w:space="0" w:color="auto"/>
        <w:left w:val="none" w:sz="0" w:space="0" w:color="auto"/>
        <w:bottom w:val="none" w:sz="0" w:space="0" w:color="auto"/>
        <w:right w:val="none" w:sz="0" w:space="0" w:color="auto"/>
      </w:divBdr>
    </w:div>
    <w:div w:id="2064711973">
      <w:bodyDiv w:val="1"/>
      <w:marLeft w:val="0"/>
      <w:marRight w:val="0"/>
      <w:marTop w:val="0"/>
      <w:marBottom w:val="0"/>
      <w:divBdr>
        <w:top w:val="none" w:sz="0" w:space="0" w:color="auto"/>
        <w:left w:val="none" w:sz="0" w:space="0" w:color="auto"/>
        <w:bottom w:val="none" w:sz="0" w:space="0" w:color="auto"/>
        <w:right w:val="none" w:sz="0" w:space="0" w:color="auto"/>
      </w:divBdr>
    </w:div>
    <w:div w:id="2106458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jpeg"/><Relationship Id="rId21" Type="http://schemas.openxmlformats.org/officeDocument/2006/relationships/image" Target="media/image14.jpeg"/><Relationship Id="rId42" Type="http://schemas.openxmlformats.org/officeDocument/2006/relationships/hyperlink" Target="https://www.education-ni.gov.uk/sites/default/files/publications/education/Nurture%20Group%20Provision%20-%20Guidance%20for%20Schools%20September%202024%20pdf.PDF" TargetMode="External"/><Relationship Id="rId47" Type="http://schemas.openxmlformats.org/officeDocument/2006/relationships/hyperlink" Target="https://www.theguardian.com/society/article/2024/jul/15/long-delays-to-nhs-care-for-children-in-england-creating-forgotten-generation" TargetMode="External"/><Relationship Id="rId63" Type="http://schemas.openxmlformats.org/officeDocument/2006/relationships/hyperlink" Target="https://www.longtermplan.nhs.uk/wp-content/uploads/2019/08/nhs-long-term-plan-version-1.2.pdf" TargetMode="External"/><Relationship Id="rId68" Type="http://schemas.openxmlformats.org/officeDocument/2006/relationships/hyperlink" Target="https://learning.nspcc.org.uk/child-protection-system/history-of-child-protection-in-the-uk" TargetMode="External"/><Relationship Id="rId84" Type="http://schemas.openxmlformats.org/officeDocument/2006/relationships/hyperlink" Target="https://www.legislation.gov.uk/ukpga/2004/31/contents" TargetMode="External"/><Relationship Id="rId89" Type="http://schemas.openxmlformats.org/officeDocument/2006/relationships/hyperlink" Target="https://edu.unicef.org.hk/en/CRC-icon-poster" TargetMode="External"/><Relationship Id="rId112" Type="http://schemas.openxmlformats.org/officeDocument/2006/relationships/theme" Target="theme/theme1.xml"/><Relationship Id="rId16" Type="http://schemas.openxmlformats.org/officeDocument/2006/relationships/image" Target="media/image9.png"/><Relationship Id="rId107" Type="http://schemas.openxmlformats.org/officeDocument/2006/relationships/footer" Target="footer1.xml"/><Relationship Id="rId11" Type="http://schemas.openxmlformats.org/officeDocument/2006/relationships/image" Target="media/image4.jpeg"/><Relationship Id="rId32" Type="http://schemas.openxmlformats.org/officeDocument/2006/relationships/hyperlink" Target="https://www.butterfliescacs.co.uk/" TargetMode="External"/><Relationship Id="rId37" Type="http://schemas.openxmlformats.org/officeDocument/2006/relationships/hyperlink" Target="https://assets.publishing.service.gov.uk/media/5a7c95a4e5274a0bb7cb806d/5860.pdf" TargetMode="External"/><Relationship Id="rId53" Type="http://schemas.openxmlformats.org/officeDocument/2006/relationships/hyperlink" Target="https://www.childcomwales.org.uk/wp-content/uploads/2021/10/CCFW-FGCW-Report-_English_01.pdf" TargetMode="External"/><Relationship Id="rId58" Type="http://schemas.openxmlformats.org/officeDocument/2006/relationships/hyperlink" Target="https://doi.org/10.1186/s40359-020-0393-x" TargetMode="External"/><Relationship Id="rId74" Type="http://schemas.openxmlformats.org/officeDocument/2006/relationships/hyperlink" Target="https://www.centreformentalhealth.org.uk/wp-content/uploads/2024/07/CentreforMH_ADualCrisis.pdf" TargetMode="External"/><Relationship Id="rId79" Type="http://schemas.openxmlformats.org/officeDocument/2006/relationships/hyperlink" Target="https://www.unicef.org.uk/wp-content/uploads/2016/08/unicef-convention-rights-child-uncrc.pdf" TargetMode="External"/><Relationship Id="rId102" Type="http://schemas.openxmlformats.org/officeDocument/2006/relationships/hyperlink" Target="https://www.gov.wales/sites/default/files/consultations/2024-02/childrens-rights-impact-assessment_3.pdf" TargetMode="External"/><Relationship Id="rId5" Type="http://schemas.openxmlformats.org/officeDocument/2006/relationships/webSettings" Target="webSettings.xml"/><Relationship Id="rId90" Type="http://schemas.openxmlformats.org/officeDocument/2006/relationships/hyperlink" Target="https://www.unicef.org/media/130801/file/rights-denied-discrimination-children-EN.pdf" TargetMode="External"/><Relationship Id="rId95" Type="http://schemas.openxmlformats.org/officeDocument/2006/relationships/hyperlink" Target="https://safeguarding.wales/en/chi-i/chi-i-c6/c6-p11/" TargetMode="External"/><Relationship Id="rId22" Type="http://schemas.openxmlformats.org/officeDocument/2006/relationships/image" Target="media/image15.png"/><Relationship Id="rId27" Type="http://schemas.openxmlformats.org/officeDocument/2006/relationships/hyperlink" Target="https://doi.org/10.1371/journal.pmed.1004139" TargetMode="External"/><Relationship Id="rId43" Type="http://schemas.openxmlformats.org/officeDocument/2006/relationships/hyperlink" Target="https://www.legislation.gov.uk/ukpga/2004/31/notes/division/1/1" TargetMode="External"/><Relationship Id="rId48" Type="http://schemas.openxmlformats.org/officeDocument/2006/relationships/hyperlink" Target="https://doi.org/10.3389/fpubh.2023.1148758" TargetMode="External"/><Relationship Id="rId64" Type="http://schemas.openxmlformats.org/officeDocument/2006/relationships/hyperlink" Target="https://nccu.nhs.wales/qais/events/cbmcj2023/nhs-benchmarking-report-camhs-202122/" TargetMode="External"/><Relationship Id="rId69" Type="http://schemas.openxmlformats.org/officeDocument/2006/relationships/hyperlink" Target="https://www.gov.uk/government/publications/healthy-child-programme-0-to-19-health-visitor-and-school-nurse-commissioning/commissioning-health-visitors-and-school-nurses-for-public-health-services-for-children-aged-0-to-19" TargetMode="External"/><Relationship Id="rId80" Type="http://schemas.openxmlformats.org/officeDocument/2006/relationships/hyperlink" Target="https://ylf.org.uk/how-you-can-help/volunteer-mentors/" TargetMode="External"/><Relationship Id="rId85" Type="http://schemas.openxmlformats.org/officeDocument/2006/relationships/hyperlink" Target="https://www.legislation.gov.uk/ukpga/2010/15/contents"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www.childrenscommissioner.gov.uk/blog/over-a-quarter-of-a-million-children-still-waiting-for-mental-health-support/" TargetMode="External"/><Relationship Id="rId38" Type="http://schemas.openxmlformats.org/officeDocument/2006/relationships/hyperlink" Target="https://assets.publishing.service.gov.uk/media/5ce6a72e40f0b620a103bd53/supporting-pupils-at-school-with-medical-conditions.pdf" TargetMode="External"/><Relationship Id="rId59" Type="http://schemas.openxmlformats.org/officeDocument/2006/relationships/hyperlink" Target="https://doi.org/10.1136/bmjopen-2023-073940" TargetMode="External"/><Relationship Id="rId103" Type="http://schemas.openxmlformats.org/officeDocument/2006/relationships/hyperlink" Target="https://senedd.wales/media/dmvlv1t4/cr-ld13405-r-e.pdf" TargetMode="External"/><Relationship Id="rId108" Type="http://schemas.openxmlformats.org/officeDocument/2006/relationships/footer" Target="footer2.xml"/><Relationship Id="rId54" Type="http://schemas.openxmlformats.org/officeDocument/2006/relationships/hyperlink" Target="https://epi.org.uk/wp-content/uploads/2020/01/Access-to-CAMHS-in-2019_EPI.pdf" TargetMode="External"/><Relationship Id="rId70" Type="http://schemas.openxmlformats.org/officeDocument/2006/relationships/hyperlink" Target="https://www.gov.uk/government/collections/healthy-child-programme" TargetMode="External"/><Relationship Id="rId75" Type="http://schemas.openxmlformats.org/officeDocument/2006/relationships/hyperlink" Target="https://www.rcpsych.ac.uk/mental-health/parents-and-young-people/who-s-who-in-child-and-adolescent-mental-health-services-(camhs-)-information-for-parents-and-carers" TargetMode="External"/><Relationship Id="rId91" Type="http://schemas.openxmlformats.org/officeDocument/2006/relationships/hyperlink" Target="https://www.unicef.org.uk/what-we-do/un-convention-child-rights%20/" TargetMode="External"/><Relationship Id="rId96" Type="http://schemas.openxmlformats.org/officeDocument/2006/relationships/hyperlink" Target="https://www.legislation.gov.uk/mwa/2011/2/content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hyperlink" Target="https://assets.publishing.service.gov.uk/media/5a7447eeed915d0e8e398742/253_global_learning.pdf" TargetMode="External"/><Relationship Id="rId36" Type="http://schemas.openxmlformats.org/officeDocument/2006/relationships/hyperlink" Target="https://www.careinspectorate.wales/regulations-statutory-guidance-and-national-minimum-standards-adult-and-childrens-services" TargetMode="External"/><Relationship Id="rId49" Type="http://schemas.openxmlformats.org/officeDocument/2006/relationships/hyperlink" Target="https://doi.org/10.1186/s13034-021-00357-7" TargetMode="External"/><Relationship Id="rId57" Type="http://schemas.openxmlformats.org/officeDocument/2006/relationships/hyperlink" Target="https://educationlibrary.org/vygotskys-theories-and-how-to-incorporate-vygotskys-theories-in-the-classroom/" TargetMode="External"/><Relationship Id="rId106" Type="http://schemas.openxmlformats.org/officeDocument/2006/relationships/header" Target="header2.xml"/><Relationship Id="rId10" Type="http://schemas.openxmlformats.org/officeDocument/2006/relationships/image" Target="media/image3.png"/><Relationship Id="rId31" Type="http://schemas.openxmlformats.org/officeDocument/2006/relationships/hyperlink" Target="https://lordslibrary.parliament.uk/child-poverty-statistics-causes-and-the-uks-policy-response/" TargetMode="External"/><Relationship Id="rId44" Type="http://schemas.openxmlformats.org/officeDocument/2006/relationships/hyperlink" Target="https://www.gov.uk/government/publications/healthy-child-programme-0-to-19-health-visitor-and-school-nurse-commissioning/commissioning-health-visitors-and-school-nurses-for-public-health-services-for-children-aged-0-to-19" TargetMode="External"/><Relationship Id="rId52" Type="http://schemas.openxmlformats.org/officeDocument/2006/relationships/hyperlink" Target="https://www.hiw.org.uk/system/files/2024-11/20241121%20HIW%20Children%20and%20Young%20People%20Mental%20Health%20Joint%20Review%20-%20EN_0.pdf" TargetMode="External"/><Relationship Id="rId60" Type="http://schemas.openxmlformats.org/officeDocument/2006/relationships/hyperlink" Target="https://www.familysupportni.gov.uk/Content/uploads/userUploads/CAMHS-Pathway.pdf" TargetMode="External"/><Relationship Id="rId65" Type="http://schemas.openxmlformats.org/officeDocument/2006/relationships/hyperlink" Target="https://www.nhs.uk/conditions/social-care-and-support-guide/caring-for-children-and-young-people/children-and-young-peoples-services/" TargetMode="External"/><Relationship Id="rId73" Type="http://schemas.openxmlformats.org/officeDocument/2006/relationships/hyperlink" Target="https://assets.publishing.service.gov.uk/media/5e184c78e5274a06b1c3c5f9/WSA_Briefing.pdf" TargetMode="External"/><Relationship Id="rId78" Type="http://schemas.openxmlformats.org/officeDocument/2006/relationships/hyperlink" Target="https://www.churchofengland.org/about/children-and-young-people/our-work-children-and-young-people" TargetMode="External"/><Relationship Id="rId81" Type="http://schemas.openxmlformats.org/officeDocument/2006/relationships/hyperlink" Target="https://www.legislation.gov.uk/ukpga/1996/56/contents" TargetMode="External"/><Relationship Id="rId86" Type="http://schemas.openxmlformats.org/officeDocument/2006/relationships/hyperlink" Target="https://www.legislation.gov.uk/ukpga/2014/6/contents" TargetMode="External"/><Relationship Id="rId94" Type="http://schemas.openxmlformats.org/officeDocument/2006/relationships/hyperlink" Target="https://doi.org/10.3389/fspor.2025.1530398" TargetMode="External"/><Relationship Id="rId99" Type="http://schemas.openxmlformats.org/officeDocument/2006/relationships/hyperlink" Target="https://www.gov.wales/sites/default/files/publications/2020-01/together-for-mental-health-delivery-plan-2019-to-2022.pdf" TargetMode="External"/><Relationship Id="rId101" Type="http://schemas.openxmlformats.org/officeDocument/2006/relationships/hyperlink" Target="https://www.gov.wales/children-abolition-defence-reasonable-punishment-wales-act-2020-data-release-march-2022-march-2023-html"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jpeg"/><Relationship Id="rId39" Type="http://schemas.openxmlformats.org/officeDocument/2006/relationships/hyperlink" Target="https://assets.publishing.service.gov.uk/media/60e6fb43d3bf7f56896127e5/The_Children_Act_1989_guidance_and_regulations_Volume_2_care_planning__placement_and_case_review.pdf" TargetMode="External"/><Relationship Id="rId109" Type="http://schemas.openxmlformats.org/officeDocument/2006/relationships/header" Target="header3.xml"/><Relationship Id="rId34" Type="http://schemas.openxmlformats.org/officeDocument/2006/relationships/hyperlink" Target="https://www.childrenscommissioner.gov.uk/news-and-blogs/engaging-parents-in-education/" TargetMode="External"/><Relationship Id="rId50" Type="http://schemas.openxmlformats.org/officeDocument/2006/relationships/hyperlink" Target="https://doi.org/10.1371/journal.pone.0273254" TargetMode="External"/><Relationship Id="rId55" Type="http://schemas.openxmlformats.org/officeDocument/2006/relationships/hyperlink" Target="https://www.healthforteens.co.uk/leicestercity/psychoeducation-in-camhs/" TargetMode="External"/><Relationship Id="rId76" Type="http://schemas.openxmlformats.org/officeDocument/2006/relationships/hyperlink" Target="https://doi.org/10.54718/cqbw6379" TargetMode="External"/><Relationship Id="rId97" Type="http://schemas.openxmlformats.org/officeDocument/2006/relationships/hyperlink" Target="https://www.gov.wales/well-being-of-future-generations-wales" TargetMode="External"/><Relationship Id="rId104" Type="http://schemas.openxmlformats.org/officeDocument/2006/relationships/hyperlink" Target="https://doi.org/10.1080/13668803.2022.2077173" TargetMode="External"/><Relationship Id="rId7" Type="http://schemas.openxmlformats.org/officeDocument/2006/relationships/endnotes" Target="endnotes.xml"/><Relationship Id="rId71" Type="http://schemas.openxmlformats.org/officeDocument/2006/relationships/hyperlink" Target="https://www.gov.uk/government/publications/protocols-between-ofsted-and-other-organisations-in-relation-to-childcare/protocol-between-ofsted-and-services-managed-by-local-authorities-childrens-social-care-providers" TargetMode="External"/><Relationship Id="rId92" Type="http://schemas.openxmlformats.org/officeDocument/2006/relationships/hyperlink" Target="https://sdgs.un.org/goals" TargetMode="External"/><Relationship Id="rId2" Type="http://schemas.openxmlformats.org/officeDocument/2006/relationships/numbering" Target="numbering.xml"/><Relationship Id="rId29" Type="http://schemas.openxmlformats.org/officeDocument/2006/relationships/hyperlink" Target="https://doi.org/10.1038/s41398-022-02178-4" TargetMode="External"/><Relationship Id="rId24" Type="http://schemas.openxmlformats.org/officeDocument/2006/relationships/image" Target="media/image17.png"/><Relationship Id="rId40" Type="http://schemas.openxmlformats.org/officeDocument/2006/relationships/hyperlink" Target="https://assets.publishing.service.gov.uk/media/669e7501ab418ab055592a7b/Working_together_to_safeguard_children_2023.pdf" TargetMode="External"/><Relationship Id="rId45" Type="http://schemas.openxmlformats.org/officeDocument/2006/relationships/hyperlink" Target="https://futuregenerations.wales/explore/impact/impact-of-the-act/" TargetMode="External"/><Relationship Id="rId66" Type="http://schemas.openxmlformats.org/officeDocument/2006/relationships/hyperlink" Target="https://www.nice.org.uk/about/nice-communities/social-care/quick-guides/improving-young-people-s-experiences-in-transition-to-and-from-inpatient-mental-health-settings" TargetMode="External"/><Relationship Id="rId87" Type="http://schemas.openxmlformats.org/officeDocument/2006/relationships/hyperlink" Target="https://www.gov.uk/government/collections/family-hubs-and-start-for-life-programme" TargetMode="External"/><Relationship Id="rId110" Type="http://schemas.openxmlformats.org/officeDocument/2006/relationships/footer" Target="footer3.xml"/><Relationship Id="rId61" Type="http://schemas.openxmlformats.org/officeDocument/2006/relationships/hyperlink" Target="https://www.simplypsychology.org/piaget.html" TargetMode="External"/><Relationship Id="rId82" Type="http://schemas.openxmlformats.org/officeDocument/2006/relationships/hyperlink" Target="https://www.legislation.gov.uk/ukpga/2012/7/contents"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khoerulanwarbk.wordpress.com/wp-content/uploads/2015/08/urie_bronfenbrenner_the_ecology_of_human_developbokos-z1.pdf" TargetMode="External"/><Relationship Id="rId35" Type="http://schemas.openxmlformats.org/officeDocument/2006/relationships/hyperlink" Target="https://www.childrenscommissioner.gov.uk/resource/childrens-mental-health-services-2022-23/" TargetMode="External"/><Relationship Id="rId56" Type="http://schemas.openxmlformats.org/officeDocument/2006/relationships/hyperlink" Target="https://pdfs.semanticscholar.org/c432/05aded5ffac6c315f71518f9201b1005d120.pdf" TargetMode="External"/><Relationship Id="rId77" Type="http://schemas.openxmlformats.org/officeDocument/2006/relationships/hyperlink" Target="https://www.steppingstonesfordingbridge.co.uk/safeguardingphp" TargetMode="External"/><Relationship Id="rId100" Type="http://schemas.openxmlformats.org/officeDocument/2006/relationships/hyperlink" Target="https://www.gov.wales/sites/default/files/publications/2024-07/spsf-1-core-guidance.pdf" TargetMode="External"/><Relationship Id="rId105" Type="http://schemas.openxmlformats.org/officeDocument/2006/relationships/header" Target="header1.xml"/><Relationship Id="rId8" Type="http://schemas.openxmlformats.org/officeDocument/2006/relationships/image" Target="media/image1.jpeg"/><Relationship Id="rId51" Type="http://schemas.openxmlformats.org/officeDocument/2006/relationships/hyperlink" Target="https://www.indeed.com/career-advice/career-development/maslows-hierarchy-of-needs" TargetMode="External"/><Relationship Id="rId72" Type="http://schemas.openxmlformats.org/officeDocument/2006/relationships/hyperlink" Target="https://dera.ioe.ac.uk/id/eprint/38340/1/CBP-7196%20%28redacted%29.pdf" TargetMode="External"/><Relationship Id="rId93" Type="http://schemas.openxmlformats.org/officeDocument/2006/relationships/hyperlink" Target="https://doi.org/10.1080/17454832.2023.2217891" TargetMode="External"/><Relationship Id="rId98" Type="http://schemas.openxmlformats.org/officeDocument/2006/relationships/hyperlink" Target="https://www.legislation.gov.uk/anaw/2020/3" TargetMode="Externa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hyperlink" Target="https://researchbriefings.files.parliament.uk/documents/CBP-7196/CBP-7196.pdf" TargetMode="External"/><Relationship Id="rId67" Type="http://schemas.openxmlformats.org/officeDocument/2006/relationships/hyperlink" Target="https://www.youtube.com/watch?v=em1yckn5TJ4" TargetMode="External"/><Relationship Id="rId20" Type="http://schemas.openxmlformats.org/officeDocument/2006/relationships/image" Target="media/image13.png"/><Relationship Id="rId41" Type="http://schemas.openxmlformats.org/officeDocument/2006/relationships/hyperlink" Target="https://www.gov.uk/government/publications/guidance-for-parents-and-carers-on-safeguarding-children-in-out-of-school-settings/using-after-school-clubs-tuition-and-community-activities" TargetMode="External"/><Relationship Id="rId62" Type="http://schemas.openxmlformats.org/officeDocument/2006/relationships/hyperlink" Target="https://doi.org/10.1016/j.ssmmh.2024.100343" TargetMode="External"/><Relationship Id="rId83" Type="http://schemas.openxmlformats.org/officeDocument/2006/relationships/hyperlink" Target="https://www.legislation.gov.uk/ukpga/1983/20/contents" TargetMode="External"/><Relationship Id="rId88" Type="http://schemas.openxmlformats.org/officeDocument/2006/relationships/hyperlink" Target="https://www.understandingsociety.ac.uk/news/2024/03/04/youth-clubs-improve-teens-health-wellbeing-and-education/" TargetMode="External"/><Relationship Id="rId11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2499CF-353E-432A-B299-45F59D7F27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TotalTime>
  <Pages>27</Pages>
  <Words>6572</Words>
  <Characters>47982</Characters>
  <Application>Microsoft Office Word</Application>
  <DocSecurity>0</DocSecurity>
  <Lines>827</Lines>
  <Paragraphs>218</Paragraphs>
  <ScaleCrop>false</ScaleCrop>
  <Company/>
  <LinksUpToDate>false</LinksUpToDate>
  <CharactersWithSpaces>54336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and Young People’s Health, Wellbeing and Community Engagement</dc:title>
  <dc:subject>BMHP5018</dc:subject>
  <dc:creator>Ana Tanase</dc:creator>
  <cp:keywords/>
  <dc:description/>
  <cp:lastModifiedBy>Ana Tanase</cp:lastModifiedBy>
  <cp:revision>367</cp:revision>
  <dcterms:created xsi:type="dcterms:W3CDTF">2025-03-27T11:01:00Z</dcterms:created>
  <dcterms:modified xsi:type="dcterms:W3CDTF">2025-05-07T16:50:00Z</dcterms:modified>
  <cp:category>Student number: 1917778</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28f9187b-8d5d-40b0-89fe-8979c91f0d55</vt:lpwstr>
  </property>
</Properties>
</file>