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180" w:rsidRDefault="00C65180">
      <w:pPr>
        <w:spacing w:after="0" w:line="480" w:lineRule="auto"/>
        <w:ind w:firstLine="720"/>
        <w:jc w:val="both"/>
        <w:rPr>
          <w:rFonts w:ascii="Times New Roman" w:hAnsi="Times New Roman" w:cs="Times New Roman"/>
          <w:sz w:val="24"/>
          <w:szCs w:val="24"/>
          <w:lang w:val="en-US"/>
        </w:rPr>
      </w:pPr>
    </w:p>
    <w:p w:rsidR="00C65180" w:rsidRDefault="00C65180">
      <w:pPr>
        <w:spacing w:after="0" w:line="480" w:lineRule="auto"/>
        <w:jc w:val="center"/>
        <w:rPr>
          <w:rFonts w:asciiTheme="majorBidi" w:hAnsiTheme="majorBidi" w:cstheme="majorBidi"/>
          <w:b/>
          <w:bCs/>
          <w:sz w:val="24"/>
          <w:szCs w:val="24"/>
        </w:rPr>
      </w:pPr>
    </w:p>
    <w:p w:rsidR="00C65180" w:rsidRDefault="00D51E59">
      <w:pPr>
        <w:spacing w:after="0" w:line="480" w:lineRule="auto"/>
        <w:jc w:val="center"/>
        <w:rPr>
          <w:rFonts w:ascii="Times New Roman" w:hAnsi="Times New Roman" w:cs="Times New Roman"/>
          <w:sz w:val="24"/>
          <w:szCs w:val="24"/>
        </w:rPr>
      </w:pPr>
      <w:r>
        <w:rPr>
          <w:rFonts w:asciiTheme="majorBidi" w:hAnsiTheme="majorBidi" w:cstheme="majorBidi"/>
          <w:b/>
          <w:bCs/>
          <w:sz w:val="24"/>
          <w:szCs w:val="24"/>
        </w:rPr>
        <w:t>Enhancing Employability through Professional Career Development</w:t>
      </w:r>
    </w:p>
    <w:p w:rsidR="00C65180" w:rsidRDefault="00D51E59">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Sundar</w:t>
      </w:r>
    </w:p>
    <w:p w:rsidR="00C65180" w:rsidRDefault="00C65180">
      <w:pPr>
        <w:spacing w:after="0" w:line="480" w:lineRule="auto"/>
        <w:jc w:val="center"/>
        <w:rPr>
          <w:rFonts w:ascii="Times New Roman" w:hAnsi="Times New Roman" w:cs="Times New Roman"/>
          <w:sz w:val="24"/>
          <w:szCs w:val="24"/>
        </w:rPr>
      </w:pPr>
    </w:p>
    <w:p w:rsidR="00C65180" w:rsidRDefault="00C65180">
      <w:pPr>
        <w:spacing w:after="0" w:line="480" w:lineRule="auto"/>
        <w:jc w:val="center"/>
        <w:rPr>
          <w:rFonts w:ascii="Times New Roman" w:hAnsi="Times New Roman" w:cs="Times New Roman"/>
          <w:sz w:val="24"/>
          <w:szCs w:val="24"/>
        </w:rPr>
      </w:pPr>
    </w:p>
    <w:p w:rsidR="00C65180" w:rsidRDefault="00C65180">
      <w:pPr>
        <w:spacing w:after="0" w:line="480" w:lineRule="auto"/>
        <w:jc w:val="center"/>
        <w:rPr>
          <w:rFonts w:ascii="Times New Roman" w:hAnsi="Times New Roman" w:cs="Times New Roman"/>
          <w:sz w:val="24"/>
          <w:szCs w:val="24"/>
        </w:rPr>
      </w:pPr>
    </w:p>
    <w:p w:rsidR="00C65180" w:rsidRDefault="00C65180">
      <w:pPr>
        <w:spacing w:after="0" w:line="480" w:lineRule="auto"/>
        <w:jc w:val="center"/>
        <w:rPr>
          <w:rFonts w:ascii="Times New Roman" w:hAnsi="Times New Roman" w:cs="Times New Roman"/>
          <w:sz w:val="24"/>
          <w:szCs w:val="24"/>
        </w:rPr>
      </w:pPr>
    </w:p>
    <w:p w:rsidR="00C65180" w:rsidRDefault="00C65180">
      <w:pPr>
        <w:spacing w:after="0" w:line="480" w:lineRule="auto"/>
        <w:jc w:val="center"/>
        <w:rPr>
          <w:rFonts w:ascii="Times New Roman" w:hAnsi="Times New Roman" w:cs="Times New Roman"/>
          <w:sz w:val="24"/>
          <w:szCs w:val="24"/>
        </w:rPr>
      </w:pPr>
    </w:p>
    <w:p w:rsidR="00C65180" w:rsidRDefault="00D51E59">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Student ID:</w:t>
      </w:r>
    </w:p>
    <w:p w:rsidR="00C65180" w:rsidRDefault="00D51E59">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Course:</w:t>
      </w:r>
    </w:p>
    <w:p w:rsidR="00C65180" w:rsidRDefault="00D51E59">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Professor:</w:t>
      </w:r>
    </w:p>
    <w:p w:rsidR="00C65180" w:rsidRDefault="00C65180">
      <w:pPr>
        <w:spacing w:after="0" w:line="480" w:lineRule="auto"/>
        <w:jc w:val="center"/>
        <w:rPr>
          <w:rFonts w:ascii="Times New Roman" w:hAnsi="Times New Roman" w:cs="Times New Roman"/>
          <w:b/>
          <w:sz w:val="24"/>
          <w:szCs w:val="24"/>
        </w:rPr>
      </w:pPr>
    </w:p>
    <w:p w:rsidR="00C65180" w:rsidRDefault="00C65180">
      <w:pPr>
        <w:spacing w:after="0" w:line="480" w:lineRule="auto"/>
        <w:jc w:val="center"/>
        <w:rPr>
          <w:rFonts w:ascii="Times New Roman" w:hAnsi="Times New Roman" w:cs="Times New Roman"/>
          <w:b/>
          <w:sz w:val="24"/>
          <w:szCs w:val="24"/>
        </w:rPr>
      </w:pPr>
    </w:p>
    <w:p w:rsidR="00C65180" w:rsidRDefault="00C65180">
      <w:pPr>
        <w:pStyle w:val="NormalWeb"/>
        <w:spacing w:before="0" w:beforeAutospacing="0" w:after="0" w:afterAutospacing="0" w:line="480" w:lineRule="auto"/>
        <w:ind w:left="58"/>
        <w:jc w:val="center"/>
        <w:rPr>
          <w:b/>
          <w:lang w:val="en-GB"/>
        </w:rPr>
      </w:pPr>
    </w:p>
    <w:p w:rsidR="00C65180" w:rsidRDefault="00C65180">
      <w:pPr>
        <w:pStyle w:val="NormalWeb"/>
        <w:spacing w:before="0" w:beforeAutospacing="0" w:after="0" w:afterAutospacing="0" w:line="480" w:lineRule="auto"/>
        <w:ind w:left="58"/>
        <w:jc w:val="center"/>
        <w:rPr>
          <w:b/>
          <w:lang w:val="en-GB"/>
        </w:rPr>
      </w:pPr>
    </w:p>
    <w:p w:rsidR="00C65180" w:rsidRDefault="00C65180">
      <w:pPr>
        <w:pStyle w:val="NormalWeb"/>
        <w:spacing w:before="0" w:beforeAutospacing="0" w:after="0" w:afterAutospacing="0" w:line="480" w:lineRule="auto"/>
        <w:ind w:left="58"/>
        <w:jc w:val="center"/>
        <w:rPr>
          <w:b/>
          <w:lang w:val="en-GB"/>
        </w:rPr>
      </w:pPr>
    </w:p>
    <w:p w:rsidR="00C65180" w:rsidRDefault="00D51E59">
      <w:pPr>
        <w:pStyle w:val="NormalWeb"/>
        <w:spacing w:before="0" w:beforeAutospacing="0" w:after="0" w:afterAutospacing="0" w:line="480" w:lineRule="auto"/>
        <w:ind w:left="58"/>
        <w:jc w:val="center"/>
        <w:rPr>
          <w:b/>
          <w:lang w:val="en-GB"/>
        </w:rPr>
      </w:pPr>
      <w:r>
        <w:rPr>
          <w:b/>
          <w:lang w:val="en-GB"/>
        </w:rPr>
        <w:t>1</w:t>
      </w:r>
      <w:r>
        <w:rPr>
          <w:b/>
          <w:vertAlign w:val="superscript"/>
          <w:lang w:val="en-GB"/>
        </w:rPr>
        <w:t>st</w:t>
      </w:r>
      <w:r>
        <w:rPr>
          <w:b/>
          <w:lang w:val="en-GB"/>
        </w:rPr>
        <w:t xml:space="preserve"> Nov, 2023</w:t>
      </w:r>
    </w:p>
    <w:p w:rsidR="00C65180" w:rsidRDefault="00D51E59">
      <w:pPr>
        <w:rPr>
          <w:rFonts w:ascii="Times New Roman" w:eastAsia="Times New Roman" w:hAnsi="Times New Roman" w:cs="Times New Roman"/>
          <w:b/>
          <w:sz w:val="24"/>
          <w:szCs w:val="24"/>
        </w:rPr>
      </w:pPr>
      <w:r>
        <w:rPr>
          <w:b/>
        </w:rPr>
        <w:br w:type="page"/>
      </w:r>
    </w:p>
    <w:sdt>
      <w:sdtPr>
        <w:rPr>
          <w:rFonts w:ascii="SimSun" w:eastAsia="SimSun" w:hAnsi="SimSun" w:cstheme="minorBidi"/>
          <w:sz w:val="21"/>
          <w:szCs w:val="22"/>
          <w:lang w:val="en-GB"/>
        </w:rPr>
        <w:id w:val="147464183"/>
        <w15:color w:val="DBDBDB"/>
        <w:docPartObj>
          <w:docPartGallery w:val="Table of Contents"/>
          <w:docPartUnique/>
        </w:docPartObj>
      </w:sdtPr>
      <w:sdtEndPr>
        <w:rPr>
          <w:rFonts w:ascii="Times New Roman" w:eastAsia="Times New Roman" w:hAnsi="Times New Roman" w:cs="Times New Roman"/>
          <w:sz w:val="24"/>
          <w:szCs w:val="24"/>
        </w:rPr>
      </w:sdtEndPr>
      <w:sdtContent>
        <w:p w:rsidR="00C65180" w:rsidRDefault="00D51E59">
          <w:pPr>
            <w:pStyle w:val="NormalWeb"/>
            <w:spacing w:before="0" w:beforeAutospacing="0" w:after="0" w:afterAutospacing="0" w:line="480" w:lineRule="auto"/>
            <w:ind w:left="58"/>
            <w:jc w:val="center"/>
            <w:rPr>
              <w:b/>
              <w:lang w:val="en-GB"/>
            </w:rPr>
          </w:pPr>
          <w:r>
            <w:rPr>
              <w:b/>
              <w:lang w:val="en-GB"/>
            </w:rPr>
            <w:t>Table of Contents</w:t>
          </w:r>
        </w:p>
        <w:p w:rsidR="00C65180" w:rsidRDefault="00C65180">
          <w:pPr>
            <w:spacing w:after="0" w:line="240" w:lineRule="auto"/>
            <w:jc w:val="center"/>
          </w:pPr>
        </w:p>
        <w:p w:rsidR="00C65180" w:rsidRPr="00B61E21" w:rsidRDefault="00D51E59" w:rsidP="000F5EED">
          <w:pPr>
            <w:pStyle w:val="TOC1"/>
            <w:tabs>
              <w:tab w:val="right" w:leader="dot" w:pos="9360"/>
            </w:tabs>
            <w:spacing w:line="480" w:lineRule="auto"/>
            <w:jc w:val="both"/>
            <w:rPr>
              <w:rFonts w:ascii="Times New Roman" w:hAnsi="Times New Roman" w:cs="Times New Roman"/>
              <w:sz w:val="24"/>
              <w:szCs w:val="24"/>
            </w:rPr>
          </w:pPr>
          <w:r w:rsidRPr="00B61E21">
            <w:rPr>
              <w:rFonts w:ascii="Times New Roman" w:hAnsi="Times New Roman" w:cs="Times New Roman"/>
              <w:b/>
              <w:sz w:val="24"/>
              <w:szCs w:val="24"/>
            </w:rPr>
            <w:fldChar w:fldCharType="begin"/>
          </w:r>
          <w:r w:rsidRPr="00B61E21">
            <w:rPr>
              <w:rFonts w:ascii="Times New Roman" w:hAnsi="Times New Roman" w:cs="Times New Roman"/>
              <w:b/>
              <w:sz w:val="24"/>
              <w:szCs w:val="24"/>
            </w:rPr>
            <w:instrText xml:space="preserve">TOC \o "1-3" \h \u </w:instrText>
          </w:r>
          <w:r w:rsidRPr="00B61E21">
            <w:rPr>
              <w:rFonts w:ascii="Times New Roman" w:hAnsi="Times New Roman" w:cs="Times New Roman"/>
              <w:b/>
              <w:sz w:val="24"/>
              <w:szCs w:val="24"/>
            </w:rPr>
            <w:fldChar w:fldCharType="separate"/>
          </w:r>
          <w:hyperlink w:anchor="_Toc13143" w:history="1">
            <w:r w:rsidRPr="00B61E21">
              <w:rPr>
                <w:rFonts w:ascii="Times New Roman" w:hAnsi="Times New Roman" w:cs="Times New Roman"/>
                <w:sz w:val="24"/>
                <w:szCs w:val="24"/>
              </w:rPr>
              <w:t>Introduction</w:t>
            </w:r>
            <w:r w:rsidRPr="00B61E21">
              <w:rPr>
                <w:rFonts w:ascii="Times New Roman" w:hAnsi="Times New Roman" w:cs="Times New Roman"/>
                <w:sz w:val="24"/>
                <w:szCs w:val="24"/>
              </w:rPr>
              <w:tab/>
            </w:r>
            <w:r w:rsidRPr="00B61E21">
              <w:rPr>
                <w:rFonts w:ascii="Times New Roman" w:hAnsi="Times New Roman" w:cs="Times New Roman"/>
                <w:sz w:val="24"/>
                <w:szCs w:val="24"/>
              </w:rPr>
              <w:fldChar w:fldCharType="begin"/>
            </w:r>
            <w:r w:rsidRPr="00B61E21">
              <w:rPr>
                <w:rFonts w:ascii="Times New Roman" w:hAnsi="Times New Roman" w:cs="Times New Roman"/>
                <w:sz w:val="24"/>
                <w:szCs w:val="24"/>
              </w:rPr>
              <w:instrText xml:space="preserve"> PAGEREF _Toc13143 \h </w:instrText>
            </w:r>
            <w:r w:rsidRPr="00B61E21">
              <w:rPr>
                <w:rFonts w:ascii="Times New Roman" w:hAnsi="Times New Roman" w:cs="Times New Roman"/>
                <w:sz w:val="24"/>
                <w:szCs w:val="24"/>
              </w:rPr>
            </w:r>
            <w:r w:rsidRPr="00B61E21">
              <w:rPr>
                <w:rFonts w:ascii="Times New Roman" w:hAnsi="Times New Roman" w:cs="Times New Roman"/>
                <w:sz w:val="24"/>
                <w:szCs w:val="24"/>
              </w:rPr>
              <w:fldChar w:fldCharType="separate"/>
            </w:r>
            <w:r w:rsidRPr="00B61E21">
              <w:rPr>
                <w:rFonts w:ascii="Times New Roman" w:hAnsi="Times New Roman" w:cs="Times New Roman"/>
                <w:sz w:val="24"/>
                <w:szCs w:val="24"/>
              </w:rPr>
              <w:t>3</w:t>
            </w:r>
            <w:r w:rsidRPr="00B61E21">
              <w:rPr>
                <w:rFonts w:ascii="Times New Roman" w:hAnsi="Times New Roman" w:cs="Times New Roman"/>
                <w:sz w:val="24"/>
                <w:szCs w:val="24"/>
              </w:rPr>
              <w:fldChar w:fldCharType="end"/>
            </w:r>
          </w:hyperlink>
        </w:p>
        <w:p w:rsidR="00C65180" w:rsidRPr="00B61E21" w:rsidRDefault="00D2091C" w:rsidP="000F5EED">
          <w:pPr>
            <w:pStyle w:val="TOC1"/>
            <w:tabs>
              <w:tab w:val="right" w:leader="dot" w:pos="9360"/>
            </w:tabs>
            <w:spacing w:line="480" w:lineRule="auto"/>
            <w:jc w:val="both"/>
            <w:rPr>
              <w:rFonts w:ascii="Times New Roman" w:hAnsi="Times New Roman" w:cs="Times New Roman"/>
              <w:sz w:val="24"/>
              <w:szCs w:val="24"/>
            </w:rPr>
          </w:pPr>
          <w:hyperlink w:anchor="_Toc9587" w:history="1">
            <w:r w:rsidR="00D51E59" w:rsidRPr="00B61E21">
              <w:rPr>
                <w:rFonts w:ascii="Times New Roman" w:hAnsi="Times New Roman" w:cs="Times New Roman"/>
                <w:sz w:val="24"/>
                <w:szCs w:val="24"/>
              </w:rPr>
              <w:t>Concrete Experience</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_Toc9587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3</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2"/>
            <w:tabs>
              <w:tab w:val="right" w:leader="dot" w:pos="9360"/>
            </w:tabs>
            <w:spacing w:line="480" w:lineRule="auto"/>
            <w:ind w:leftChars="0" w:left="0"/>
            <w:jc w:val="both"/>
            <w:rPr>
              <w:rFonts w:ascii="Times New Roman" w:hAnsi="Times New Roman" w:cs="Times New Roman"/>
              <w:sz w:val="24"/>
              <w:szCs w:val="24"/>
            </w:rPr>
          </w:pPr>
          <w:hyperlink w:anchor="_Toc9778" w:history="1">
            <w:r w:rsidR="00D51E59" w:rsidRPr="00B61E21">
              <w:rPr>
                <w:rFonts w:ascii="Times New Roman" w:hAnsi="Times New Roman" w:cs="Times New Roman"/>
                <w:sz w:val="24"/>
                <w:szCs w:val="24"/>
              </w:rPr>
              <w:t>SWOT Analysis</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_Toc9778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3</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2"/>
            <w:tabs>
              <w:tab w:val="right" w:leader="dot" w:pos="9360"/>
            </w:tabs>
            <w:spacing w:line="480" w:lineRule="auto"/>
            <w:ind w:leftChars="0" w:left="0"/>
            <w:jc w:val="both"/>
            <w:rPr>
              <w:rFonts w:ascii="Times New Roman" w:hAnsi="Times New Roman" w:cs="Times New Roman"/>
              <w:sz w:val="24"/>
              <w:szCs w:val="24"/>
            </w:rPr>
          </w:pPr>
          <w:hyperlink w:anchor="_Toc28975" w:history="1">
            <w:r w:rsidR="00D51E59" w:rsidRPr="00B61E21">
              <w:rPr>
                <w:rFonts w:ascii="Times New Roman" w:hAnsi="Times New Roman" w:cs="Times New Roman"/>
                <w:sz w:val="24"/>
                <w:szCs w:val="24"/>
              </w:rPr>
              <w:t>SMART</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_Toc28975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4</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1"/>
            <w:tabs>
              <w:tab w:val="right" w:leader="dot" w:pos="9360"/>
            </w:tabs>
            <w:spacing w:line="480" w:lineRule="auto"/>
            <w:jc w:val="both"/>
            <w:rPr>
              <w:rFonts w:ascii="Times New Roman" w:hAnsi="Times New Roman" w:cs="Times New Roman"/>
              <w:sz w:val="24"/>
              <w:szCs w:val="24"/>
            </w:rPr>
          </w:pPr>
          <w:hyperlink w:anchor="_Toc28986" w:history="1">
            <w:r w:rsidR="00D51E59" w:rsidRPr="00B61E21">
              <w:rPr>
                <w:rFonts w:ascii="Times New Roman" w:hAnsi="Times New Roman" w:cs="Times New Roman"/>
                <w:sz w:val="24"/>
                <w:szCs w:val="24"/>
              </w:rPr>
              <w:t>Reflective Observation</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_Toc28986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4</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2"/>
            <w:tabs>
              <w:tab w:val="right" w:leader="dot" w:pos="9360"/>
            </w:tabs>
            <w:spacing w:line="480" w:lineRule="auto"/>
            <w:ind w:leftChars="0" w:left="0"/>
            <w:jc w:val="both"/>
            <w:rPr>
              <w:rFonts w:ascii="Times New Roman" w:hAnsi="Times New Roman" w:cs="Times New Roman"/>
              <w:sz w:val="24"/>
              <w:szCs w:val="24"/>
            </w:rPr>
          </w:pPr>
          <w:hyperlink w:anchor="_Toc13318" w:history="1">
            <w:r w:rsidR="00D51E59" w:rsidRPr="00B61E21">
              <w:rPr>
                <w:rFonts w:ascii="Times New Roman" w:hAnsi="Times New Roman" w:cs="Times New Roman"/>
                <w:sz w:val="24"/>
                <w:szCs w:val="24"/>
              </w:rPr>
              <w:t>Johari Window</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_Toc13318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4</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2"/>
            <w:tabs>
              <w:tab w:val="right" w:leader="dot" w:pos="9360"/>
            </w:tabs>
            <w:spacing w:line="480" w:lineRule="auto"/>
            <w:ind w:leftChars="0" w:left="0"/>
            <w:jc w:val="both"/>
            <w:rPr>
              <w:rFonts w:ascii="Times New Roman" w:hAnsi="Times New Roman" w:cs="Times New Roman"/>
              <w:sz w:val="24"/>
              <w:szCs w:val="24"/>
            </w:rPr>
          </w:pPr>
          <w:hyperlink w:anchor="_Toc12554" w:history="1">
            <w:r w:rsidR="00D51E59" w:rsidRPr="00B61E21">
              <w:rPr>
                <w:rFonts w:ascii="Times New Roman" w:hAnsi="Times New Roman" w:cs="Times New Roman"/>
                <w:sz w:val="24"/>
                <w:szCs w:val="24"/>
              </w:rPr>
              <w:t>PDP</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_Toc12554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4</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1"/>
            <w:tabs>
              <w:tab w:val="right" w:leader="dot" w:pos="9360"/>
            </w:tabs>
            <w:spacing w:line="480" w:lineRule="auto"/>
            <w:jc w:val="both"/>
            <w:rPr>
              <w:rFonts w:ascii="Times New Roman" w:hAnsi="Times New Roman" w:cs="Times New Roman"/>
              <w:sz w:val="24"/>
              <w:szCs w:val="24"/>
            </w:rPr>
          </w:pPr>
          <w:hyperlink w:anchor="_Toc32570" w:history="1">
            <w:r w:rsidR="00D51E59" w:rsidRPr="00B61E21">
              <w:rPr>
                <w:rFonts w:ascii="Times New Roman" w:hAnsi="Times New Roman" w:cs="Times New Roman"/>
                <w:sz w:val="24"/>
                <w:szCs w:val="24"/>
              </w:rPr>
              <w:t>Abstract Conceptualisation</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_Toc32570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5</w:t>
            </w:r>
            <w:r w:rsidR="00D51E59" w:rsidRPr="00B61E21">
              <w:rPr>
                <w:rFonts w:ascii="Times New Roman" w:hAnsi="Times New Roman" w:cs="Times New Roman"/>
                <w:sz w:val="24"/>
                <w:szCs w:val="24"/>
              </w:rPr>
              <w:fldChar w:fldCharType="end"/>
            </w:r>
          </w:hyperlink>
        </w:p>
        <w:p w:rsidR="00C65180" w:rsidRPr="00B61E21" w:rsidRDefault="00D2091C" w:rsidP="00D51E59">
          <w:pPr>
            <w:pStyle w:val="TOC2"/>
            <w:tabs>
              <w:tab w:val="right" w:leader="dot" w:pos="9360"/>
            </w:tabs>
            <w:spacing w:line="480" w:lineRule="auto"/>
            <w:ind w:leftChars="0" w:left="0"/>
            <w:jc w:val="both"/>
            <w:rPr>
              <w:rFonts w:ascii="Times New Roman" w:hAnsi="Times New Roman" w:cs="Times New Roman"/>
              <w:sz w:val="24"/>
              <w:szCs w:val="24"/>
            </w:rPr>
          </w:pPr>
          <w:hyperlink w:anchor="_Toc17572" w:history="1">
            <w:r w:rsidR="00D51E59" w:rsidRPr="00B61E21">
              <w:rPr>
                <w:rFonts w:ascii="Times New Roman" w:hAnsi="Times New Roman" w:cs="Times New Roman"/>
                <w:sz w:val="24"/>
                <w:szCs w:val="24"/>
              </w:rPr>
              <w:t>Learning Styles</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_Toc17572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5</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1"/>
            <w:tabs>
              <w:tab w:val="right" w:leader="dot" w:pos="9360"/>
            </w:tabs>
            <w:spacing w:line="480" w:lineRule="auto"/>
            <w:jc w:val="both"/>
            <w:rPr>
              <w:rFonts w:ascii="Times New Roman" w:hAnsi="Times New Roman" w:cs="Times New Roman"/>
              <w:sz w:val="24"/>
              <w:szCs w:val="24"/>
            </w:rPr>
          </w:pPr>
          <w:hyperlink w:anchor="_Toc9571" w:history="1">
            <w:r w:rsidR="00D51E59" w:rsidRPr="00B61E21">
              <w:rPr>
                <w:rFonts w:ascii="Times New Roman" w:hAnsi="Times New Roman" w:cs="Times New Roman"/>
                <w:bCs/>
                <w:sz w:val="24"/>
                <w:szCs w:val="24"/>
              </w:rPr>
              <w:t>Conclusion</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_Toc9571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6</w:t>
            </w:r>
            <w:r w:rsidR="00D51E59" w:rsidRPr="00B61E21">
              <w:rPr>
                <w:rFonts w:ascii="Times New Roman" w:hAnsi="Times New Roman" w:cs="Times New Roman"/>
                <w:sz w:val="24"/>
                <w:szCs w:val="24"/>
              </w:rPr>
              <w:fldChar w:fldCharType="end"/>
            </w:r>
          </w:hyperlink>
        </w:p>
        <w:p w:rsidR="00C65180" w:rsidRPr="00B61E21" w:rsidRDefault="00D2091C" w:rsidP="000F5EED">
          <w:pPr>
            <w:pStyle w:val="TOC1"/>
            <w:tabs>
              <w:tab w:val="right" w:leader="dot" w:pos="9360"/>
            </w:tabs>
            <w:spacing w:line="480" w:lineRule="auto"/>
            <w:jc w:val="both"/>
            <w:rPr>
              <w:rFonts w:ascii="Times New Roman" w:hAnsi="Times New Roman" w:cs="Times New Roman"/>
              <w:sz w:val="24"/>
              <w:szCs w:val="24"/>
            </w:rPr>
          </w:pPr>
          <w:hyperlink w:anchor="_Toc27997" w:history="1">
            <w:r w:rsidR="00D51E59" w:rsidRPr="00B61E21">
              <w:rPr>
                <w:rFonts w:ascii="Times New Roman" w:hAnsi="Times New Roman" w:cs="Times New Roman"/>
                <w:sz w:val="24"/>
                <w:szCs w:val="24"/>
              </w:rPr>
              <w:t>References</w:t>
            </w:r>
            <w:r w:rsidR="00D51E59" w:rsidRPr="00B61E21">
              <w:rPr>
                <w:rFonts w:ascii="Times New Roman" w:hAnsi="Times New Roman" w:cs="Times New Roman"/>
                <w:sz w:val="24"/>
                <w:szCs w:val="24"/>
              </w:rPr>
              <w:tab/>
            </w:r>
            <w:r w:rsidR="00D51E59" w:rsidRPr="00B61E21">
              <w:rPr>
                <w:rFonts w:ascii="Times New Roman" w:hAnsi="Times New Roman" w:cs="Times New Roman"/>
                <w:sz w:val="24"/>
                <w:szCs w:val="24"/>
              </w:rPr>
              <w:fldChar w:fldCharType="begin"/>
            </w:r>
            <w:r w:rsidR="00D51E59" w:rsidRPr="00B61E21">
              <w:rPr>
                <w:rFonts w:ascii="Times New Roman" w:hAnsi="Times New Roman" w:cs="Times New Roman"/>
                <w:sz w:val="24"/>
                <w:szCs w:val="24"/>
              </w:rPr>
              <w:instrText xml:space="preserve"> PAGEREF _Toc27997 \h </w:instrText>
            </w:r>
            <w:r w:rsidR="00D51E59" w:rsidRPr="00B61E21">
              <w:rPr>
                <w:rFonts w:ascii="Times New Roman" w:hAnsi="Times New Roman" w:cs="Times New Roman"/>
                <w:sz w:val="24"/>
                <w:szCs w:val="24"/>
              </w:rPr>
            </w:r>
            <w:r w:rsidR="00D51E59" w:rsidRPr="00B61E21">
              <w:rPr>
                <w:rFonts w:ascii="Times New Roman" w:hAnsi="Times New Roman" w:cs="Times New Roman"/>
                <w:sz w:val="24"/>
                <w:szCs w:val="24"/>
              </w:rPr>
              <w:fldChar w:fldCharType="separate"/>
            </w:r>
            <w:r w:rsidR="00D51E59" w:rsidRPr="00B61E21">
              <w:rPr>
                <w:rFonts w:ascii="Times New Roman" w:hAnsi="Times New Roman" w:cs="Times New Roman"/>
                <w:sz w:val="24"/>
                <w:szCs w:val="24"/>
              </w:rPr>
              <w:t>7</w:t>
            </w:r>
            <w:r w:rsidR="00D51E59" w:rsidRPr="00B61E21">
              <w:rPr>
                <w:rFonts w:ascii="Times New Roman" w:hAnsi="Times New Roman" w:cs="Times New Roman"/>
                <w:sz w:val="24"/>
                <w:szCs w:val="24"/>
              </w:rPr>
              <w:fldChar w:fldCharType="end"/>
            </w:r>
          </w:hyperlink>
        </w:p>
        <w:p w:rsidR="00C65180" w:rsidRDefault="00D51E59" w:rsidP="000F5EED">
          <w:pPr>
            <w:pStyle w:val="NormalWeb"/>
            <w:spacing w:before="0" w:beforeAutospacing="0" w:after="0" w:afterAutospacing="0" w:line="480" w:lineRule="auto"/>
            <w:ind w:left="58"/>
            <w:jc w:val="both"/>
            <w:rPr>
              <w:b/>
              <w:lang w:val="en-GB"/>
            </w:rPr>
          </w:pPr>
          <w:r w:rsidRPr="00B61E21">
            <w:rPr>
              <w:lang w:val="en-GB"/>
            </w:rPr>
            <w:fldChar w:fldCharType="end"/>
          </w:r>
        </w:p>
      </w:sdtContent>
    </w:sdt>
    <w:p w:rsidR="00C65180" w:rsidRDefault="00C65180">
      <w:pPr>
        <w:spacing w:line="480" w:lineRule="auto"/>
        <w:jc w:val="both"/>
        <w:rPr>
          <w:rFonts w:ascii="Times New Roman" w:hAnsi="Times New Roman" w:cs="Times New Roman"/>
          <w:sz w:val="24"/>
          <w:szCs w:val="24"/>
        </w:rPr>
      </w:pPr>
    </w:p>
    <w:p w:rsidR="00C65180" w:rsidRDefault="00C65180">
      <w:pPr>
        <w:spacing w:line="480" w:lineRule="auto"/>
        <w:jc w:val="both"/>
        <w:rPr>
          <w:rFonts w:asciiTheme="majorBidi" w:hAnsiTheme="majorBidi" w:cstheme="majorBidi"/>
          <w:b/>
          <w:bCs/>
          <w:sz w:val="24"/>
          <w:szCs w:val="24"/>
        </w:rPr>
      </w:pPr>
    </w:p>
    <w:p w:rsidR="00C65180" w:rsidRDefault="00C65180">
      <w:pPr>
        <w:spacing w:line="480" w:lineRule="auto"/>
        <w:jc w:val="both"/>
        <w:rPr>
          <w:rFonts w:asciiTheme="majorBidi" w:hAnsiTheme="majorBidi" w:cstheme="majorBidi"/>
          <w:b/>
          <w:bCs/>
          <w:sz w:val="24"/>
          <w:szCs w:val="24"/>
        </w:rPr>
      </w:pPr>
    </w:p>
    <w:p w:rsidR="00C65180" w:rsidRDefault="00C65180">
      <w:pPr>
        <w:spacing w:line="480" w:lineRule="auto"/>
        <w:jc w:val="both"/>
        <w:rPr>
          <w:rFonts w:asciiTheme="majorBidi" w:hAnsiTheme="majorBidi" w:cstheme="majorBidi"/>
          <w:b/>
          <w:bCs/>
          <w:sz w:val="24"/>
          <w:szCs w:val="24"/>
        </w:rPr>
      </w:pPr>
    </w:p>
    <w:p w:rsidR="00C65180" w:rsidRDefault="00D51E59">
      <w:pPr>
        <w:rPr>
          <w:rFonts w:asciiTheme="majorBidi" w:hAnsiTheme="majorBidi" w:cstheme="majorBidi"/>
          <w:b/>
          <w:bCs/>
          <w:sz w:val="24"/>
          <w:szCs w:val="24"/>
        </w:rPr>
      </w:pPr>
      <w:r>
        <w:rPr>
          <w:rFonts w:asciiTheme="majorBidi" w:hAnsiTheme="majorBidi" w:cstheme="majorBidi"/>
          <w:b/>
          <w:bCs/>
          <w:sz w:val="24"/>
          <w:szCs w:val="24"/>
        </w:rPr>
        <w:br w:type="page"/>
      </w:r>
    </w:p>
    <w:p w:rsidR="00C65180" w:rsidRDefault="00D51E59">
      <w:pPr>
        <w:spacing w:line="480" w:lineRule="auto"/>
        <w:jc w:val="both"/>
        <w:rPr>
          <w:rFonts w:asciiTheme="majorBidi" w:hAnsiTheme="majorBidi" w:cstheme="majorBidi"/>
          <w:b/>
          <w:bCs/>
          <w:sz w:val="24"/>
          <w:szCs w:val="24"/>
        </w:rPr>
      </w:pPr>
      <w:r>
        <w:rPr>
          <w:rFonts w:asciiTheme="majorBidi" w:hAnsiTheme="majorBidi" w:cstheme="majorBidi"/>
          <w:b/>
          <w:bCs/>
          <w:sz w:val="24"/>
          <w:szCs w:val="24"/>
        </w:rPr>
        <w:lastRenderedPageBreak/>
        <w:t>Title: Enhancing Employability through Professional Career Development: A Reflective Analysis</w:t>
      </w:r>
    </w:p>
    <w:p w:rsidR="00C65180" w:rsidRDefault="00D51E59">
      <w:pPr>
        <w:pStyle w:val="Heading1"/>
      </w:pPr>
      <w:bookmarkStart w:id="0" w:name="_Toc13143"/>
      <w:r>
        <w:t>Introduction</w:t>
      </w:r>
      <w:bookmarkEnd w:id="0"/>
    </w:p>
    <w:p w:rsidR="00C65180" w:rsidRDefault="00D51E59">
      <w:pPr>
        <w:spacing w:line="480" w:lineRule="auto"/>
        <w:ind w:firstLine="720"/>
        <w:jc w:val="both"/>
        <w:rPr>
          <w:rFonts w:asciiTheme="majorBidi" w:hAnsiTheme="majorBidi" w:cstheme="majorBidi"/>
          <w:b/>
          <w:bCs/>
          <w:sz w:val="24"/>
          <w:szCs w:val="24"/>
        </w:rPr>
      </w:pPr>
      <w:r>
        <w:rPr>
          <w:rFonts w:asciiTheme="majorBidi" w:hAnsiTheme="majorBidi" w:cstheme="majorBidi"/>
          <w:sz w:val="24"/>
          <w:szCs w:val="24"/>
        </w:rPr>
        <w:t xml:space="preserve">Skills for professional career growth come into play when there is a need for a combination of theoretical knowledge and practical experience, as this is what is required for success in any industry. This essay is going to be a personal assessment of what I've learned and how I ve applied the principles discussed in class that pertain to professional career growth. The foundation for the reflection will be Kolb's model of experiential learning, which includes the components of Active </w:t>
      </w:r>
      <w:r>
        <w:rPr>
          <w:rFonts w:asciiTheme="majorBidi" w:hAnsiTheme="majorBidi" w:cstheme="majorBidi"/>
          <w:b/>
          <w:bCs/>
          <w:sz w:val="24"/>
          <w:szCs w:val="24"/>
        </w:rPr>
        <w:t>Experimentation.</w:t>
      </w:r>
    </w:p>
    <w:p w:rsidR="00C65180" w:rsidRDefault="00D51E59">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Reflective Observation and Concrete Experience, respectively. Abstract Conceptualisation is also a component of the model.</w:t>
      </w:r>
    </w:p>
    <w:p w:rsidR="00C65180" w:rsidRDefault="00D51E59">
      <w:pPr>
        <w:pStyle w:val="Heading1"/>
      </w:pPr>
      <w:bookmarkStart w:id="1" w:name="_Toc9587"/>
      <w:r>
        <w:t>Concrete Experience</w:t>
      </w:r>
      <w:bookmarkEnd w:id="1"/>
    </w:p>
    <w:p w:rsidR="00C65180" w:rsidRDefault="00D51E59">
      <w:pPr>
        <w:pStyle w:val="Heading2"/>
      </w:pPr>
      <w:bookmarkStart w:id="2" w:name="_Toc9778"/>
      <w:r>
        <w:t>SWOT Analysis</w:t>
      </w:r>
      <w:bookmarkEnd w:id="2"/>
    </w:p>
    <w:p w:rsidR="00C65180" w:rsidRDefault="00D51E59">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Throughout the entirety of the Professional Career Development classes that I attended, each of the several models, beginning with the SWOT analysis, was covered in great depth. I was able to get a comprehensive understanding of SWOT analysis thanks to the provision of examples and case studies, which benefited not only my personal life but also my professional career in equal measure. For instance, I've realised that despite the fact that I am pretty good at conversing with other people, I struggle greatly to manage my own time successfully, that networking events present both chances and obstacles and that the business sector as a whole is constantly experiencing change.</w:t>
      </w:r>
    </w:p>
    <w:p w:rsidR="00C65180" w:rsidRDefault="00D51E59">
      <w:pPr>
        <w:pStyle w:val="Heading2"/>
      </w:pPr>
      <w:bookmarkStart w:id="3" w:name="_Toc28975"/>
      <w:r>
        <w:lastRenderedPageBreak/>
        <w:t>SMART</w:t>
      </w:r>
      <w:bookmarkEnd w:id="3"/>
    </w:p>
    <w:p w:rsidR="00C65180" w:rsidRDefault="00D51E59">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In order for goals to be successful, they need to be SMART, which stands for specific, measurable, attainable, relevant, and time-bound. This aspect of the process was also very crucial. I utilised this framework to plan out a series of quantifiable actions to better my career, such as acquiring a certification in my profession within the next six months. One of these steps is to earn a diploma in my field within the next six months. I was able to monitor my progress and validate that the goals I set for myself were attainable, pertinent, and congruent with the direction my career was headed in, all while adhering to a predetermined schedule.</w:t>
      </w:r>
    </w:p>
    <w:p w:rsidR="00C65180" w:rsidRDefault="00D51E59">
      <w:pPr>
        <w:pStyle w:val="Heading1"/>
      </w:pPr>
      <w:bookmarkStart w:id="4" w:name="_Toc28986"/>
      <w:r>
        <w:t>Reflective Observation</w:t>
      </w:r>
      <w:bookmarkEnd w:id="4"/>
    </w:p>
    <w:p w:rsidR="00C65180" w:rsidRDefault="00D51E59">
      <w:pPr>
        <w:pStyle w:val="Heading2"/>
      </w:pPr>
      <w:bookmarkStart w:id="5" w:name="_Toc13318"/>
      <w:r>
        <w:t>Johari Window</w:t>
      </w:r>
      <w:bookmarkEnd w:id="5"/>
    </w:p>
    <w:p w:rsidR="00C65180" w:rsidRDefault="00D51E59">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The Johari Window is a notion that I find to be incredibly helpful in better grasping both myself and other people (Levenson, 2017). It does this by dividing the world into nine different categories. I was able to increase the amount of information I was willing to disclose while simultaneously decreasing the amount of information I was hiding by asking for feedback from both my peers and my superiors. Not only did I acquire a more profound comprehension of who I am, but as a consequence of this, I also developed into a member of the team who makes a greater contribution.</w:t>
      </w:r>
    </w:p>
    <w:p w:rsidR="00C65180" w:rsidRDefault="00D51E59">
      <w:pPr>
        <w:pStyle w:val="Heading2"/>
      </w:pPr>
      <w:bookmarkStart w:id="6" w:name="_Toc12554"/>
      <w:r>
        <w:t>PDP</w:t>
      </w:r>
      <w:bookmarkEnd w:id="6"/>
    </w:p>
    <w:p w:rsidR="00C65180" w:rsidRDefault="00D51E59">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 xml:space="preserve">The importance of creating a strategy for one own professional progress was underlined, which led to a detailed conversation about Personal Development Plans (Haga, 2020), often known as PDPs. I devised a system for my personal growth that included both short-term and long-term goals, as well as training and outreach activities. This encouraged a more systematic approach to </w:t>
      </w:r>
      <w:r>
        <w:rPr>
          <w:rFonts w:asciiTheme="majorBidi" w:hAnsiTheme="majorBidi" w:cstheme="majorBidi"/>
          <w:sz w:val="24"/>
          <w:szCs w:val="24"/>
        </w:rPr>
        <w:lastRenderedPageBreak/>
        <w:t>professional development as well as regular opportunities for self-evaluation and correction (Preston,2023).</w:t>
      </w:r>
    </w:p>
    <w:p w:rsidR="00C65180" w:rsidRDefault="00D51E59">
      <w:pPr>
        <w:pStyle w:val="Heading1"/>
      </w:pPr>
      <w:bookmarkStart w:id="7" w:name="_Toc32570"/>
      <w:r>
        <w:t>Abstract Conceptualisation</w:t>
      </w:r>
      <w:bookmarkEnd w:id="7"/>
    </w:p>
    <w:p w:rsidR="00C65180" w:rsidRDefault="00D51E59">
      <w:pPr>
        <w:pStyle w:val="Heading2"/>
      </w:pPr>
      <w:bookmarkStart w:id="8" w:name="_Toc17572"/>
      <w:r>
        <w:t>Learning Styles</w:t>
      </w:r>
      <w:bookmarkEnd w:id="8"/>
    </w:p>
    <w:p w:rsidR="00C65180" w:rsidRDefault="00D51E59">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 xml:space="preserve">The concept of distinct Learning Styles was vital in assisting me in figuring out how I take in and remember knowledge because it provided me with a framework for analysing my learning processes. Because I know that I remember ability most effectively when it is visually presented to me, making use of mind maps and a variety of other visual aids was a regular part of my study regimen. I was able to absorb and remember even the most difficult knowledge because it was presented in a way that was favourable to the mode of learning that I found most effective for me. </w:t>
      </w:r>
      <w:r>
        <w:rPr>
          <w:rFonts w:ascii="Times New Roman" w:hAnsi="Times New Roman" w:cs="Times New Roman"/>
          <w:sz w:val="24"/>
          <w:szCs w:val="24"/>
        </w:rPr>
        <w:t>As we have seen, there are numerous ways in which a mental health and social care student might grow and develop (Hirsh, 2019). As I mentioned, I can see the flaws in my educational path more clearly now than when I was still in school. Students who have recently been admitted to or are planning to enrol in a degree programme would do well to take note of this advice and adhere to it as they begin their academic careers. They should talk to their seniors or friends currently taking the classes to discover how they overcame these obstacles and how they may help them get started on their study schedule. Students like myself are understandably ecstatic to gain admission to a prestigious foreign institution of higher education. However, it is strongly advised that prospective international students learn as much as they can about the study habits of these institutions before enrolling (</w:t>
      </w:r>
      <w:r>
        <w:rPr>
          <w:rFonts w:asciiTheme="majorBidi" w:hAnsiTheme="majorBidi" w:cstheme="majorBidi"/>
          <w:bCs/>
          <w:sz w:val="24"/>
          <w:szCs w:val="24"/>
        </w:rPr>
        <w:t>Greenhalgh, 2021).</w:t>
      </w:r>
    </w:p>
    <w:p w:rsidR="00C65180" w:rsidRDefault="00D51E59">
      <w:pPr>
        <w:spacing w:line="48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helps me use the concepts I learned in class by giving me a chance to put them into practice. Understanding the patient's mental health issue and delivering the answer to it so that they can find relief from mental disease is, in my opinion, an essential benefit. This is why I went </w:t>
      </w:r>
      <w:r>
        <w:rPr>
          <w:rFonts w:ascii="Times New Roman" w:eastAsia="Times New Roman" w:hAnsi="Times New Roman" w:cs="Times New Roman"/>
          <w:sz w:val="24"/>
          <w:szCs w:val="24"/>
          <w:lang w:eastAsia="en-GB"/>
        </w:rPr>
        <w:lastRenderedPageBreak/>
        <w:t>into this field of study; now that I've graduated, I feel like I know what I'm doing in terms of mental health practice, and that's because the school I attended did a great job preparing me for this kind of work. Finally, there is a high demand for mental health professionals. Thus, this area has a lot of room to grow within the healthcare sector while offering attractive salaries (Pell, 2023).</w:t>
      </w:r>
    </w:p>
    <w:p w:rsidR="00C65180" w:rsidRDefault="00D51E5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Finally, students need to participate in lectures and seminars hosted by other university departments. The benefit of these seminars is undeniable because they provide a venue where students can pick the brains of eminent academics, seasoned professionals, and renowned professors. Students can benefit greatly in the long run from acquiring such a breadth of knowledge, as they can apply those concepts in their professional lives (Mantai, 2023).</w:t>
      </w:r>
    </w:p>
    <w:p w:rsidR="00C65180" w:rsidRDefault="00D51E59">
      <w:pPr>
        <w:spacing w:line="480" w:lineRule="auto"/>
        <w:jc w:val="both"/>
        <w:outlineLvl w:val="0"/>
        <w:rPr>
          <w:rFonts w:ascii="Times New Roman" w:hAnsi="Times New Roman" w:cs="Times New Roman"/>
          <w:b/>
          <w:bCs/>
          <w:sz w:val="24"/>
          <w:szCs w:val="24"/>
        </w:rPr>
      </w:pPr>
      <w:bookmarkStart w:id="9" w:name="_Toc9571"/>
      <w:r>
        <w:rPr>
          <w:rFonts w:ascii="Times New Roman" w:hAnsi="Times New Roman" w:cs="Times New Roman"/>
          <w:b/>
          <w:bCs/>
          <w:sz w:val="24"/>
          <w:szCs w:val="24"/>
        </w:rPr>
        <w:t>Conclusion</w:t>
      </w:r>
      <w:bookmarkEnd w:id="9"/>
    </w:p>
    <w:p w:rsidR="00C65180" w:rsidRDefault="00D51E5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first Module was an introduction that gave me the study skills I needed to succeed. Another topic was an overview of projects we used to finish our homework assignments in subsequent years. The second Module was more difficult since it included various topics relevant to a professional's daily work. The first Module covered "Employability Across the Life Course" and "Research Method." Other topics included "Understanding "Ethics, Society, and Employability," "Safeguarding," and "Understanding the Policy."</w:t>
      </w:r>
    </w:p>
    <w:p w:rsidR="00C65180" w:rsidRDefault="00C65180">
      <w:pPr>
        <w:spacing w:line="480" w:lineRule="auto"/>
        <w:jc w:val="both"/>
        <w:rPr>
          <w:rFonts w:ascii="Times New Roman" w:hAnsi="Times New Roman" w:cs="Times New Roman"/>
          <w:b/>
          <w:bCs/>
          <w:sz w:val="24"/>
          <w:szCs w:val="24"/>
        </w:rPr>
      </w:pPr>
    </w:p>
    <w:p w:rsidR="00C65180" w:rsidRDefault="00D51E59">
      <w:pPr>
        <w:rPr>
          <w:rFonts w:ascii="Times New Roman" w:hAnsi="Times New Roman" w:cs="Times New Roman"/>
          <w:b/>
          <w:bCs/>
          <w:sz w:val="24"/>
          <w:szCs w:val="24"/>
        </w:rPr>
      </w:pPr>
      <w:r>
        <w:rPr>
          <w:rFonts w:ascii="Times New Roman" w:hAnsi="Times New Roman" w:cs="Times New Roman"/>
          <w:b/>
          <w:bCs/>
          <w:sz w:val="24"/>
          <w:szCs w:val="24"/>
        </w:rPr>
        <w:br w:type="page"/>
      </w:r>
    </w:p>
    <w:p w:rsidR="00C65180" w:rsidRDefault="00D51E59">
      <w:pPr>
        <w:pStyle w:val="Heading1"/>
        <w:jc w:val="center"/>
      </w:pPr>
      <w:bookmarkStart w:id="10" w:name="_Toc27997"/>
      <w:r>
        <w:lastRenderedPageBreak/>
        <w:t>References</w:t>
      </w:r>
      <w:bookmarkEnd w:id="10"/>
    </w:p>
    <w:p w:rsidR="00943937" w:rsidRDefault="00943937" w:rsidP="00943937">
      <w:pPr>
        <w:spacing w:line="480" w:lineRule="auto"/>
        <w:ind w:left="720" w:hanging="720"/>
        <w:rPr>
          <w:rFonts w:asciiTheme="majorBidi" w:hAnsiTheme="majorBidi" w:cstheme="majorBidi"/>
          <w:bCs/>
          <w:sz w:val="24"/>
          <w:szCs w:val="24"/>
        </w:rPr>
      </w:pPr>
      <w:r>
        <w:rPr>
          <w:rFonts w:asciiTheme="majorBidi" w:hAnsiTheme="majorBidi" w:cstheme="majorBidi"/>
          <w:bCs/>
          <w:sz w:val="24"/>
          <w:szCs w:val="24"/>
        </w:rPr>
        <w:t>Greenhalgh, T., Wherton, J., Papoutsi, C., Lynch, J., Hughes, G., A;Court, C.,Shaw, S. (2021);Beyond adoption: A new framework for theorizing and evaluating nonadoption,pp. 39</w:t>
      </w:r>
    </w:p>
    <w:p w:rsidR="00943937" w:rsidRDefault="00943937" w:rsidP="00943937">
      <w:pPr>
        <w:spacing w:line="480" w:lineRule="auto"/>
        <w:ind w:left="720" w:hanging="720"/>
        <w:rPr>
          <w:rFonts w:asciiTheme="majorBidi" w:hAnsiTheme="majorBidi" w:cstheme="majorBidi"/>
          <w:bCs/>
          <w:sz w:val="24"/>
          <w:szCs w:val="24"/>
        </w:rPr>
      </w:pPr>
      <w:r>
        <w:rPr>
          <w:rFonts w:asciiTheme="majorBidi" w:hAnsiTheme="majorBidi" w:cstheme="majorBidi"/>
          <w:bCs/>
          <w:sz w:val="24"/>
          <w:szCs w:val="24"/>
        </w:rPr>
        <w:t>Haga, S.B., O&amp;;Daniel, J.M., Tindall, G.M., Mills, R.,Lipkus, I.M. (2020);Primary care patients views and decisions about, experience and outcomes of, direct-to-consumer personal genome testing: A longitudinal study&amp;#39;, PLOS ONE,15(3), p. e0229982</w:t>
      </w:r>
    </w:p>
    <w:p w:rsidR="00943937" w:rsidRDefault="00943937" w:rsidP="00943937">
      <w:pPr>
        <w:spacing w:line="480" w:lineRule="auto"/>
        <w:ind w:left="720" w:hanging="720"/>
        <w:rPr>
          <w:rFonts w:asciiTheme="majorBidi" w:hAnsiTheme="majorBidi" w:cstheme="majorBidi"/>
          <w:bCs/>
          <w:sz w:val="24"/>
          <w:szCs w:val="24"/>
        </w:rPr>
      </w:pPr>
      <w:r>
        <w:rPr>
          <w:rFonts w:asciiTheme="majorBidi" w:hAnsiTheme="majorBidi" w:cstheme="majorBidi"/>
          <w:bCs/>
          <w:sz w:val="24"/>
          <w:szCs w:val="24"/>
        </w:rPr>
        <w:t>Hirsh, A.T., Hollingshead, N.A., &amp;amp; Bair, M.J. (2019) . Health disparities: The importance of culture and health communication&amp;#39;, American Journal of Lifestyle Medicine, 13(4), pp. 396–398</w:t>
      </w:r>
    </w:p>
    <w:p w:rsidR="00943937" w:rsidRDefault="00943937" w:rsidP="00943937">
      <w:pPr>
        <w:spacing w:line="480" w:lineRule="auto"/>
        <w:ind w:left="720" w:hanging="720"/>
        <w:rPr>
          <w:rFonts w:ascii="Times New Roman" w:hAnsi="Times New Roman" w:cs="Times New Roman"/>
          <w:sz w:val="24"/>
          <w:szCs w:val="24"/>
        </w:rPr>
      </w:pPr>
      <w:r>
        <w:rPr>
          <w:rFonts w:asciiTheme="majorBidi" w:hAnsiTheme="majorBidi" w:cstheme="majorBidi"/>
          <w:bCs/>
          <w:sz w:val="24"/>
          <w:szCs w:val="24"/>
        </w:rPr>
        <w:t>Levenson, R., Anderson, R., Boult, C., Boyd, C., Brody, A., Miller, R., &amp;amp; Szanton, S. (2017) .Challenges and opportunities in patient-centered care: A roadmap for transforming the healthcare system&amp;#39;, Academic Medicine, 92(3), pp. 323–328.</w:t>
      </w:r>
    </w:p>
    <w:p w:rsidR="00943937" w:rsidRDefault="00943937" w:rsidP="00943937">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Mantai, L. and Marrone, M., 2023. Academic career progression from early career researcher to professor: what can we learn from job ads. </w:t>
      </w:r>
      <w:r>
        <w:rPr>
          <w:rFonts w:ascii="Times New Roman" w:hAnsi="Times New Roman" w:cs="Times New Roman"/>
          <w:i/>
          <w:iCs/>
          <w:sz w:val="24"/>
          <w:szCs w:val="24"/>
        </w:rPr>
        <w:t>Studies in Higher Education</w:t>
      </w:r>
      <w:r>
        <w:rPr>
          <w:rFonts w:ascii="Times New Roman" w:hAnsi="Times New Roman" w:cs="Times New Roman"/>
          <w:sz w:val="24"/>
          <w:szCs w:val="24"/>
        </w:rPr>
        <w:t xml:space="preserve">, </w:t>
      </w:r>
      <w:r>
        <w:rPr>
          <w:rFonts w:ascii="Times New Roman" w:hAnsi="Times New Roman" w:cs="Times New Roman"/>
          <w:i/>
          <w:iCs/>
          <w:sz w:val="24"/>
          <w:szCs w:val="24"/>
        </w:rPr>
        <w:t>48</w:t>
      </w:r>
      <w:r>
        <w:rPr>
          <w:rFonts w:ascii="Times New Roman" w:hAnsi="Times New Roman" w:cs="Times New Roman"/>
          <w:sz w:val="24"/>
          <w:szCs w:val="24"/>
        </w:rPr>
        <w:t>(6), pp.797-812.https://doi.org/10.1080/03075079.2023.2167974</w:t>
      </w:r>
    </w:p>
    <w:p w:rsidR="00943937" w:rsidRDefault="00943937" w:rsidP="00943937">
      <w:pPr>
        <w:spacing w:line="480" w:lineRule="auto"/>
        <w:ind w:left="720" w:hanging="720"/>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Pell, G. R. (2023). </w:t>
      </w:r>
      <w:r>
        <w:rPr>
          <w:rFonts w:ascii="Times New Roman" w:eastAsia="SimSun" w:hAnsi="Times New Roman" w:cs="Times New Roman"/>
          <w:i/>
          <w:iCs/>
          <w:sz w:val="24"/>
          <w:szCs w:val="24"/>
          <w:shd w:val="clear" w:color="auto" w:fill="FFFFFF"/>
        </w:rPr>
        <w:t>Tearing Down and Building Up in the Contemporary Workplace: How Reflective Writing Inspires Workplace Learning and Well-Being</w:t>
      </w:r>
      <w:r>
        <w:rPr>
          <w:rFonts w:ascii="Times New Roman" w:eastAsia="SimSun" w:hAnsi="Times New Roman" w:cs="Times New Roman"/>
          <w:sz w:val="24"/>
          <w:szCs w:val="24"/>
          <w:shd w:val="clear" w:color="auto" w:fill="FFFFFF"/>
        </w:rPr>
        <w:t> (Doctoral dissertation, Southeastern University).</w:t>
      </w:r>
    </w:p>
    <w:p w:rsidR="00C65180" w:rsidRDefault="00943937" w:rsidP="00943937">
      <w:pPr>
        <w:spacing w:line="480" w:lineRule="auto"/>
        <w:ind w:left="720" w:hanging="720"/>
        <w:rPr>
          <w:rFonts w:asciiTheme="majorBidi" w:hAnsiTheme="majorBidi" w:cstheme="majorBidi"/>
          <w:sz w:val="24"/>
          <w:szCs w:val="24"/>
        </w:rPr>
      </w:pPr>
      <w:r>
        <w:rPr>
          <w:rFonts w:ascii="Times New Roman" w:eastAsia="SimSun" w:hAnsi="Times New Roman" w:cs="Times New Roman"/>
          <w:sz w:val="24"/>
          <w:szCs w:val="24"/>
          <w:shd w:val="clear" w:color="auto" w:fill="FFFFFF"/>
        </w:rPr>
        <w:t>Preston, J. (2023). 1. People management for techies: the challenges of teaching leadership and people management to technically-focused apprentices. </w:t>
      </w:r>
      <w:r>
        <w:rPr>
          <w:rFonts w:ascii="Times New Roman" w:eastAsia="SimSun" w:hAnsi="Times New Roman" w:cs="Times New Roman"/>
          <w:i/>
          <w:iCs/>
          <w:sz w:val="24"/>
          <w:szCs w:val="24"/>
          <w:shd w:val="clear" w:color="auto" w:fill="FFFFFF"/>
        </w:rPr>
        <w:t>Business Teaching Beyond Silos: Interdisciplinary and Multidisciplinary Learning</w:t>
      </w:r>
      <w:r>
        <w:rPr>
          <w:rFonts w:ascii="Times New Roman" w:eastAsia="SimSun" w:hAnsi="Times New Roman" w:cs="Times New Roman"/>
          <w:sz w:val="24"/>
          <w:szCs w:val="24"/>
          <w:shd w:val="clear" w:color="auto" w:fill="FFFFFF"/>
        </w:rPr>
        <w:t>, 13.</w:t>
      </w:r>
      <w:bookmarkStart w:id="11" w:name="_GoBack"/>
      <w:bookmarkEnd w:id="11"/>
    </w:p>
    <w:sectPr w:rsidR="00C6518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091C" w:rsidRDefault="00D2091C">
      <w:pPr>
        <w:spacing w:line="240" w:lineRule="auto"/>
      </w:pPr>
      <w:r>
        <w:separator/>
      </w:r>
    </w:p>
  </w:endnote>
  <w:endnote w:type="continuationSeparator" w:id="0">
    <w:p w:rsidR="00D2091C" w:rsidRDefault="00D209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091C" w:rsidRDefault="00D2091C">
      <w:pPr>
        <w:spacing w:after="0"/>
      </w:pPr>
      <w:r>
        <w:separator/>
      </w:r>
    </w:p>
  </w:footnote>
  <w:footnote w:type="continuationSeparator" w:id="0">
    <w:p w:rsidR="00D2091C" w:rsidRDefault="00D2091C">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5962819"/>
      <w:docPartObj>
        <w:docPartGallery w:val="AutoText"/>
      </w:docPartObj>
    </w:sdtPr>
    <w:sdtEndPr>
      <w:rPr>
        <w:rFonts w:asciiTheme="majorBidi" w:hAnsiTheme="majorBidi" w:cstheme="majorBidi"/>
        <w:sz w:val="24"/>
        <w:szCs w:val="24"/>
      </w:rPr>
    </w:sdtEndPr>
    <w:sdtContent>
      <w:p w:rsidR="00C65180" w:rsidRDefault="00D51E59">
        <w:pPr>
          <w:pStyle w:val="Header"/>
          <w:jc w:val="right"/>
          <w:rPr>
            <w:rFonts w:asciiTheme="majorBidi" w:hAnsiTheme="majorBidi" w:cstheme="majorBidi"/>
            <w:sz w:val="24"/>
            <w:szCs w:val="24"/>
          </w:rPr>
        </w:pPr>
        <w:r>
          <w:rPr>
            <w:rFonts w:asciiTheme="majorBidi" w:hAnsiTheme="majorBidi" w:cstheme="majorBidi"/>
            <w:sz w:val="24"/>
            <w:szCs w:val="24"/>
          </w:rPr>
          <w:fldChar w:fldCharType="begin"/>
        </w:r>
        <w:r>
          <w:rPr>
            <w:rFonts w:asciiTheme="majorBidi" w:hAnsiTheme="majorBidi" w:cstheme="majorBidi"/>
            <w:sz w:val="24"/>
            <w:szCs w:val="24"/>
          </w:rPr>
          <w:instrText xml:space="preserve"> PAGE   \* MERGEFORMAT </w:instrText>
        </w:r>
        <w:r>
          <w:rPr>
            <w:rFonts w:asciiTheme="majorBidi" w:hAnsiTheme="majorBidi" w:cstheme="majorBidi"/>
            <w:sz w:val="24"/>
            <w:szCs w:val="24"/>
          </w:rPr>
          <w:fldChar w:fldCharType="separate"/>
        </w:r>
        <w:r w:rsidR="00943937">
          <w:rPr>
            <w:rFonts w:asciiTheme="majorBidi" w:hAnsiTheme="majorBidi" w:cstheme="majorBidi"/>
            <w:noProof/>
            <w:sz w:val="24"/>
            <w:szCs w:val="24"/>
          </w:rPr>
          <w:t>3</w:t>
        </w:r>
        <w:r>
          <w:rPr>
            <w:rFonts w:asciiTheme="majorBidi" w:hAnsiTheme="majorBidi" w:cstheme="majorBidi"/>
            <w:sz w:val="24"/>
            <w:szCs w:val="24"/>
          </w:rPr>
          <w:fldChar w:fldCharType="end"/>
        </w:r>
      </w:p>
    </w:sdtContent>
  </w:sdt>
  <w:p w:rsidR="00C65180" w:rsidRDefault="00C651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Y2MDcwMjcxNzGwNDFS0lEKTi0uzszPAykwrAUAPMev5SwAAAA="/>
  </w:docVars>
  <w:rsids>
    <w:rsidRoot w:val="00661733"/>
    <w:rsid w:val="00023B45"/>
    <w:rsid w:val="000F5EED"/>
    <w:rsid w:val="001431D4"/>
    <w:rsid w:val="002B60AA"/>
    <w:rsid w:val="002E3989"/>
    <w:rsid w:val="003B3FB3"/>
    <w:rsid w:val="0043049D"/>
    <w:rsid w:val="00584A4A"/>
    <w:rsid w:val="00661733"/>
    <w:rsid w:val="006C119E"/>
    <w:rsid w:val="00943937"/>
    <w:rsid w:val="009E4FB9"/>
    <w:rsid w:val="00B61E21"/>
    <w:rsid w:val="00C65180"/>
    <w:rsid w:val="00C77A7F"/>
    <w:rsid w:val="00C92776"/>
    <w:rsid w:val="00CC1A45"/>
    <w:rsid w:val="00D2091C"/>
    <w:rsid w:val="00D51E59"/>
    <w:rsid w:val="00DE6464"/>
    <w:rsid w:val="00E321D2"/>
    <w:rsid w:val="00E62646"/>
    <w:rsid w:val="00F06917"/>
    <w:rsid w:val="00FF549A"/>
    <w:rsid w:val="1FA91AC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0A4354D-9485-0840-B2A5-A7A3F1579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2"/>
      <w:lang w:val="en-GB"/>
    </w:rPr>
  </w:style>
  <w:style w:type="paragraph" w:styleId="Heading1">
    <w:name w:val="heading 1"/>
    <w:basedOn w:val="Normal"/>
    <w:next w:val="Normal"/>
    <w:link w:val="Heading1Char"/>
    <w:uiPriority w:val="9"/>
    <w:qFormat/>
    <w:pPr>
      <w:keepNext/>
      <w:keepLines/>
      <w:spacing w:after="0" w:line="48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pPr>
      <w:keepNext/>
      <w:keepLines/>
      <w:spacing w:after="0" w:line="48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uiPriority w:val="39"/>
    <w:unhideWhenUsed/>
  </w:style>
  <w:style w:type="paragraph" w:styleId="TOC2">
    <w:name w:val="toc 2"/>
    <w:basedOn w:val="Normal"/>
    <w:next w:val="Normal"/>
    <w:uiPriority w:val="39"/>
    <w:semiHidden/>
    <w:unhideWhenUsed/>
    <w:pPr>
      <w:ind w:leftChars="200" w:left="420"/>
    </w:pPr>
  </w:style>
  <w:style w:type="character" w:customStyle="1" w:styleId="HeaderChar">
    <w:name w:val="Header Char"/>
    <w:basedOn w:val="DefaultParagraphFont"/>
    <w:link w:val="Header"/>
    <w:uiPriority w:val="99"/>
    <w:rPr>
      <w:lang w:val="en-GB"/>
    </w:rPr>
  </w:style>
  <w:style w:type="character" w:customStyle="1" w:styleId="FooterChar">
    <w:name w:val="Footer Char"/>
    <w:basedOn w:val="DefaultParagraphFont"/>
    <w:link w:val="Footer"/>
    <w:uiPriority w:val="99"/>
    <w:rPr>
      <w:lang w:val="en-GB"/>
    </w:rPr>
  </w:style>
  <w:style w:type="character" w:customStyle="1" w:styleId="Heading1Char">
    <w:name w:val="Heading 1 Char"/>
    <w:basedOn w:val="DefaultParagraphFont"/>
    <w:link w:val="Heading1"/>
    <w:uiPriority w:val="9"/>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lang w:val="en-GB"/>
    </w:r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0189A-FF99-4EE3-B3B8-063F17B79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1329</Words>
  <Characters>7578</Characters>
  <Application>Microsoft Office Word</Application>
  <DocSecurity>0</DocSecurity>
  <Lines>63</Lines>
  <Paragraphs>17</Paragraphs>
  <ScaleCrop>false</ScaleCrop>
  <Company/>
  <LinksUpToDate>false</LinksUpToDate>
  <CharactersWithSpaces>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2023-11-01T13:04:00Z</dcterms:created>
  <dcterms:modified xsi:type="dcterms:W3CDTF">2023-11-01T13:11:00Z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2DA4B50521BB4ED9882F3DB0B5D6AC75_13</vt:lpwstr>
  </property>
</Properties>
</file>