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bookmarkStart w:id="26" w:name="_GoBack"/>
      <w:bookmarkEnd w:id="26"/>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r>
        <w:rPr>
          <w:rFonts w:hint="default" w:ascii="Arial" w:hAnsi="Arial" w:cs="Arial"/>
          <w:b/>
          <w:sz w:val="24"/>
          <w:szCs w:val="24"/>
        </w:rPr>
        <w:t>IBC Challenges</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Unit name:</w:t>
      </w:r>
      <w:r>
        <w:rPr>
          <w:rFonts w:hint="default" w:ascii="Arial" w:hAnsi="Arial" w:eastAsia="Calibri" w:cs="Arial"/>
          <w:b/>
          <w:sz w:val="24"/>
          <w:szCs w:val="24"/>
        </w:rPr>
        <w:t>International Business Communications</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Module code:BMBM6021</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Lecturer:</w:t>
      </w:r>
      <w:r>
        <w:rPr>
          <w:rFonts w:hint="default" w:ascii="Arial" w:hAnsi="Arial" w:cs="Arial"/>
          <w:b/>
          <w:sz w:val="24"/>
          <w:szCs w:val="24"/>
        </w:rPr>
        <w:t>Lisa Knight</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Student name:Yaotao Zhang</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Student ID number:2307177</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r>
        <w:rPr>
          <w:rFonts w:hint="default" w:ascii="Arial" w:hAnsi="Arial" w:cs="Arial"/>
          <w:b/>
          <w:bCs/>
          <w:sz w:val="24"/>
          <w:szCs w:val="24"/>
          <w:lang w:val="en-US" w:eastAsia="zh-CN"/>
        </w:rPr>
        <w:t>Date submitted:January 17, 2024</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br w:type="page"/>
      </w:r>
    </w:p>
    <w:sdt>
      <w:sdtPr>
        <w:rPr>
          <w:rFonts w:hint="default" w:ascii="Arial" w:hAnsi="Arial" w:eastAsia="宋体" w:cs="Arial"/>
          <w:sz w:val="24"/>
          <w:szCs w:val="24"/>
          <w:lang w:val="en-US" w:eastAsia="en-US" w:bidi="ar-SA"/>
        </w:rPr>
        <w:id w:val="147469661"/>
        <w15:color w:val="DBDBDB"/>
        <w:docPartObj>
          <w:docPartGallery w:val="Table of Contents"/>
          <w:docPartUnique/>
        </w:docPartObj>
      </w:sdtPr>
      <w:sdtEndPr>
        <w:rPr>
          <w:rFonts w:hint="default" w:ascii="Arial" w:hAnsi="Arial" w:cs="Arial" w:eastAsiaTheme="minorHAnsi"/>
          <w:sz w:val="24"/>
          <w:szCs w:val="24"/>
          <w:lang w:val="en-US" w:eastAsia="en-US" w:bidi="ar-SA"/>
        </w:rPr>
      </w:sdtEndPr>
      <w:sdtContent>
        <w:p>
          <w:pPr>
            <w:pageBreakBefore w:val="0"/>
            <w:widowControl/>
            <w:kinsoku/>
            <w:wordWrap/>
            <w:overflowPunct/>
            <w:topLinePunct w:val="0"/>
            <w:autoSpaceDE/>
            <w:autoSpaceDN/>
            <w:bidi w:val="0"/>
            <w:adjustRightInd/>
            <w:snapToGrid/>
            <w:spacing w:before="0" w:beforeLines="0" w:after="0" w:afterLines="0" w:line="480" w:lineRule="auto"/>
            <w:ind w:left="0" w:leftChars="0" w:right="0" w:rightChars="0" w:firstLine="0" w:firstLineChars="0"/>
            <w:jc w:val="both"/>
            <w:textAlignment w:val="auto"/>
            <w:rPr>
              <w:rFonts w:hint="default" w:ascii="Arial" w:hAnsi="Arial" w:eastAsia="宋体" w:cs="Arial"/>
              <w:sz w:val="24"/>
              <w:szCs w:val="24"/>
              <w:lang w:eastAsia="zh-CN"/>
            </w:rPr>
          </w:pPr>
        </w:p>
        <w:p>
          <w:pPr>
            <w:pStyle w:val="6"/>
            <w:tabs>
              <w:tab w:val="right" w:leader="dot" w:pos="9360"/>
            </w:tabs>
          </w:pPr>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r>
            <w:rPr>
              <w:rFonts w:hint="default" w:ascii="Arial" w:hAnsi="Arial" w:cs="Arial"/>
              <w:szCs w:val="24"/>
            </w:rPr>
            <w:fldChar w:fldCharType="begin"/>
          </w:r>
          <w:r>
            <w:rPr>
              <w:rFonts w:hint="default" w:ascii="Arial" w:hAnsi="Arial" w:cs="Arial"/>
              <w:szCs w:val="24"/>
            </w:rPr>
            <w:instrText xml:space="preserve"> HYPERLINK \l _Toc29445 </w:instrText>
          </w:r>
          <w:r>
            <w:rPr>
              <w:rFonts w:hint="default" w:ascii="Arial" w:hAnsi="Arial" w:cs="Arial"/>
              <w:szCs w:val="24"/>
            </w:rPr>
            <w:fldChar w:fldCharType="separate"/>
          </w:r>
          <w:r>
            <w:rPr>
              <w:rFonts w:hint="default" w:ascii="Arial" w:hAnsi="Arial" w:cs="Arial"/>
              <w:szCs w:val="24"/>
            </w:rPr>
            <w:t>1.0 Executive Summary</w:t>
          </w:r>
          <w:r>
            <w:tab/>
          </w:r>
          <w:r>
            <w:fldChar w:fldCharType="begin"/>
          </w:r>
          <w:r>
            <w:instrText xml:space="preserve"> PAGEREF _Toc29445 \h </w:instrText>
          </w:r>
          <w:r>
            <w:fldChar w:fldCharType="separate"/>
          </w:r>
          <w:r>
            <w:t>3</w:t>
          </w:r>
          <w:r>
            <w:fldChar w:fldCharType="end"/>
          </w:r>
          <w:r>
            <w:rPr>
              <w:rFonts w:hint="default" w:ascii="Arial" w:hAnsi="Arial" w:cs="Arial"/>
              <w:szCs w:val="24"/>
            </w:rPr>
            <w:fldChar w:fldCharType="end"/>
          </w:r>
        </w:p>
        <w:p>
          <w:pPr>
            <w:pStyle w:val="6"/>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_Toc29179 </w:instrText>
          </w:r>
          <w:r>
            <w:rPr>
              <w:rFonts w:hint="default" w:ascii="Arial" w:hAnsi="Arial" w:cs="Arial"/>
              <w:szCs w:val="24"/>
            </w:rPr>
            <w:fldChar w:fldCharType="separate"/>
          </w:r>
          <w:r>
            <w:rPr>
              <w:rFonts w:hint="default" w:ascii="Arial" w:hAnsi="Arial" w:cs="Arial"/>
              <w:szCs w:val="24"/>
            </w:rPr>
            <w:t>2.0 Introduction</w:t>
          </w:r>
          <w:r>
            <w:tab/>
          </w:r>
          <w:r>
            <w:fldChar w:fldCharType="begin"/>
          </w:r>
          <w:r>
            <w:instrText xml:space="preserve"> PAGEREF _Toc29179 \h </w:instrText>
          </w:r>
          <w:r>
            <w:fldChar w:fldCharType="separate"/>
          </w:r>
          <w:r>
            <w:t>4</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_Toc14023 </w:instrText>
          </w:r>
          <w:r>
            <w:rPr>
              <w:rFonts w:hint="default" w:ascii="Arial" w:hAnsi="Arial" w:cs="Arial"/>
              <w:szCs w:val="24"/>
            </w:rPr>
            <w:fldChar w:fldCharType="separate"/>
          </w:r>
          <w:r>
            <w:rPr>
              <w:rFonts w:hint="default" w:ascii="Arial" w:hAnsi="Arial" w:cs="Arial"/>
              <w:szCs w:val="24"/>
            </w:rPr>
            <w:t>2.1 Background</w:t>
          </w:r>
          <w:r>
            <w:tab/>
          </w:r>
          <w:r>
            <w:fldChar w:fldCharType="begin"/>
          </w:r>
          <w:r>
            <w:instrText xml:space="preserve"> PAGEREF _Toc14023 \h </w:instrText>
          </w:r>
          <w:r>
            <w:fldChar w:fldCharType="separate"/>
          </w:r>
          <w:r>
            <w:t>4</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_Toc4678 </w:instrText>
          </w:r>
          <w:r>
            <w:rPr>
              <w:rFonts w:hint="default" w:ascii="Arial" w:hAnsi="Arial" w:cs="Arial"/>
              <w:szCs w:val="24"/>
            </w:rPr>
            <w:fldChar w:fldCharType="separate"/>
          </w:r>
          <w:r>
            <w:rPr>
              <w:rFonts w:hint="default" w:ascii="Arial" w:hAnsi="Arial" w:cs="Arial"/>
              <w:szCs w:val="24"/>
            </w:rPr>
            <w:t>2.2 Contrasting Business Cultures</w:t>
          </w:r>
          <w:r>
            <w:tab/>
          </w:r>
          <w:r>
            <w:fldChar w:fldCharType="begin"/>
          </w:r>
          <w:r>
            <w:instrText xml:space="preserve"> PAGEREF _Toc4678 \h </w:instrText>
          </w:r>
          <w:r>
            <w:fldChar w:fldCharType="separate"/>
          </w:r>
          <w:r>
            <w:t>4</w:t>
          </w:r>
          <w:r>
            <w:fldChar w:fldCharType="end"/>
          </w:r>
          <w:r>
            <w:rPr>
              <w:rFonts w:hint="default" w:ascii="Arial" w:hAnsi="Arial" w:cs="Arial"/>
              <w:szCs w:val="24"/>
            </w:rPr>
            <w:fldChar w:fldCharType="end"/>
          </w:r>
        </w:p>
        <w:p>
          <w:pPr>
            <w:pStyle w:val="6"/>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_Toc30033 </w:instrText>
          </w:r>
          <w:r>
            <w:rPr>
              <w:rFonts w:hint="default" w:ascii="Arial" w:hAnsi="Arial" w:cs="Arial"/>
              <w:szCs w:val="24"/>
            </w:rPr>
            <w:fldChar w:fldCharType="separate"/>
          </w:r>
          <w:r>
            <w:rPr>
              <w:rFonts w:hint="default" w:ascii="Arial" w:hAnsi="Arial" w:cs="Arial"/>
              <w:szCs w:val="24"/>
            </w:rPr>
            <w:t>3.0 Cultural foundations and business challenges</w:t>
          </w:r>
          <w:r>
            <w:tab/>
          </w:r>
          <w:r>
            <w:fldChar w:fldCharType="begin"/>
          </w:r>
          <w:r>
            <w:instrText xml:space="preserve"> PAGEREF _Toc30033 \h </w:instrText>
          </w:r>
          <w:r>
            <w:fldChar w:fldCharType="separate"/>
          </w:r>
          <w:r>
            <w:t>6</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_Toc21003 </w:instrText>
          </w:r>
          <w:r>
            <w:rPr>
              <w:rFonts w:hint="default" w:ascii="Arial" w:hAnsi="Arial" w:cs="Arial"/>
              <w:szCs w:val="24"/>
            </w:rPr>
            <w:fldChar w:fldCharType="separate"/>
          </w:r>
          <w:r>
            <w:rPr>
              <w:rFonts w:hint="default" w:ascii="Arial" w:hAnsi="Arial" w:eastAsia="宋体" w:cs="Arial"/>
              <w:szCs w:val="24"/>
              <w:lang w:val="en-US" w:eastAsia="zh-CN"/>
            </w:rPr>
            <w:t>3.1Introduction to intercultural communication theory</w:t>
          </w:r>
          <w:r>
            <w:tab/>
          </w:r>
          <w:r>
            <w:fldChar w:fldCharType="begin"/>
          </w:r>
          <w:r>
            <w:instrText xml:space="preserve"> PAGEREF _Toc21003 \h </w:instrText>
          </w:r>
          <w:r>
            <w:fldChar w:fldCharType="separate"/>
          </w:r>
          <w:r>
            <w:t>6</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_Toc14074 </w:instrText>
          </w:r>
          <w:r>
            <w:rPr>
              <w:rFonts w:hint="default" w:ascii="Arial" w:hAnsi="Arial" w:cs="Arial"/>
              <w:szCs w:val="24"/>
            </w:rPr>
            <w:fldChar w:fldCharType="separate"/>
          </w:r>
          <w:r>
            <w:rPr>
              <w:rFonts w:hint="default" w:ascii="Arial" w:hAnsi="Arial" w:eastAsia="宋体" w:cs="Arial"/>
              <w:szCs w:val="24"/>
              <w:lang w:val="en-US" w:eastAsia="zh-CN"/>
            </w:rPr>
            <w:t>3.1.1.Hofstede's cultural dimensions theory</w:t>
          </w:r>
          <w:r>
            <w:tab/>
          </w:r>
          <w:r>
            <w:fldChar w:fldCharType="begin"/>
          </w:r>
          <w:r>
            <w:instrText xml:space="preserve"> PAGEREF _Toc14074 \h </w:instrText>
          </w:r>
          <w:r>
            <w:fldChar w:fldCharType="separate"/>
          </w:r>
          <w:r>
            <w:t>6</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_Toc12485 </w:instrText>
          </w:r>
          <w:r>
            <w:rPr>
              <w:rFonts w:hint="default" w:ascii="Arial" w:hAnsi="Arial" w:cs="Arial"/>
              <w:szCs w:val="24"/>
            </w:rPr>
            <w:fldChar w:fldCharType="separate"/>
          </w:r>
          <w:r>
            <w:rPr>
              <w:rFonts w:hint="default" w:ascii="Arial" w:hAnsi="Arial" w:eastAsia="宋体" w:cs="Arial"/>
              <w:bCs/>
              <w:szCs w:val="24"/>
              <w:lang w:val="en-US" w:eastAsia="zh-CN"/>
            </w:rPr>
            <w:t>3.1.2</w:t>
          </w:r>
          <w:r>
            <w:rPr>
              <w:rFonts w:hint="default" w:ascii="Arial" w:hAnsi="Arial" w:cs="Arial"/>
              <w:bCs/>
              <w:szCs w:val="24"/>
            </w:rPr>
            <w:t>Hall's high-context and low-context cultural theory</w:t>
          </w:r>
          <w:r>
            <w:tab/>
          </w:r>
          <w:r>
            <w:fldChar w:fldCharType="begin"/>
          </w:r>
          <w:r>
            <w:instrText xml:space="preserve"> PAGEREF _Toc12485 \h </w:instrText>
          </w:r>
          <w:r>
            <w:fldChar w:fldCharType="separate"/>
          </w:r>
          <w:r>
            <w:t>6</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_Toc15313 </w:instrText>
          </w:r>
          <w:r>
            <w:rPr>
              <w:rFonts w:hint="default" w:ascii="Arial" w:hAnsi="Arial" w:cs="Arial"/>
              <w:szCs w:val="24"/>
            </w:rPr>
            <w:fldChar w:fldCharType="separate"/>
          </w:r>
          <w:r>
            <w:rPr>
              <w:rFonts w:hint="default" w:ascii="Arial" w:hAnsi="Arial" w:eastAsia="宋体" w:cs="Arial"/>
              <w:bCs/>
              <w:szCs w:val="24"/>
              <w:lang w:val="en-US" w:eastAsia="zh-CN"/>
            </w:rPr>
            <w:t>3.1.3</w:t>
          </w:r>
          <w:r>
            <w:rPr>
              <w:rFonts w:hint="default" w:ascii="Arial" w:hAnsi="Arial" w:cs="Arial"/>
              <w:bCs/>
              <w:szCs w:val="24"/>
            </w:rPr>
            <w:t>Trompenas’ cultural model</w:t>
          </w:r>
          <w:r>
            <w:tab/>
          </w:r>
          <w:r>
            <w:fldChar w:fldCharType="begin"/>
          </w:r>
          <w:r>
            <w:instrText xml:space="preserve"> PAGEREF _Toc15313 \h </w:instrText>
          </w:r>
          <w:r>
            <w:fldChar w:fldCharType="separate"/>
          </w:r>
          <w:r>
            <w:t>7</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_Toc6874 </w:instrText>
          </w:r>
          <w:r>
            <w:rPr>
              <w:rFonts w:hint="default" w:ascii="Arial" w:hAnsi="Arial" w:cs="Arial"/>
              <w:szCs w:val="24"/>
            </w:rPr>
            <w:fldChar w:fldCharType="separate"/>
          </w:r>
          <w:r>
            <w:rPr>
              <w:rFonts w:hint="default" w:ascii="Arial" w:hAnsi="Arial" w:eastAsia="宋体" w:cs="Arial"/>
              <w:szCs w:val="24"/>
              <w:lang w:val="en-US" w:eastAsia="zh-CN"/>
            </w:rPr>
            <w:t>3.2Business challenges with Japan</w:t>
          </w:r>
          <w:r>
            <w:tab/>
          </w:r>
          <w:r>
            <w:fldChar w:fldCharType="begin"/>
          </w:r>
          <w:r>
            <w:instrText xml:space="preserve"> PAGEREF _Toc6874 \h </w:instrText>
          </w:r>
          <w:r>
            <w:fldChar w:fldCharType="separate"/>
          </w:r>
          <w:r>
            <w:t>7</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_Toc230 </w:instrText>
          </w:r>
          <w:r>
            <w:rPr>
              <w:rFonts w:hint="default" w:ascii="Arial" w:hAnsi="Arial" w:cs="Arial"/>
              <w:szCs w:val="24"/>
            </w:rPr>
            <w:fldChar w:fldCharType="separate"/>
          </w:r>
          <w:r>
            <w:rPr>
              <w:rFonts w:hint="default" w:ascii="Arial" w:hAnsi="Arial" w:eastAsia="宋体" w:cs="Arial"/>
              <w:szCs w:val="24"/>
              <w:lang w:val="en-US" w:eastAsia="zh-CN"/>
            </w:rPr>
            <w:t>3.2.1Differences in communication styles</w:t>
          </w:r>
          <w:r>
            <w:tab/>
          </w:r>
          <w:r>
            <w:fldChar w:fldCharType="begin"/>
          </w:r>
          <w:r>
            <w:instrText xml:space="preserve"> PAGEREF _Toc230 \h </w:instrText>
          </w:r>
          <w:r>
            <w:fldChar w:fldCharType="separate"/>
          </w:r>
          <w:r>
            <w:t>7</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_Toc31288 </w:instrText>
          </w:r>
          <w:r>
            <w:rPr>
              <w:rFonts w:hint="default" w:ascii="Arial" w:hAnsi="Arial" w:cs="Arial"/>
              <w:szCs w:val="24"/>
            </w:rPr>
            <w:fldChar w:fldCharType="separate"/>
          </w:r>
          <w:r>
            <w:rPr>
              <w:rFonts w:hint="default" w:ascii="Arial" w:hAnsi="Arial" w:eastAsia="宋体" w:cs="Arial"/>
              <w:bCs/>
              <w:szCs w:val="24"/>
              <w:lang w:val="en-US" w:eastAsia="zh-CN"/>
            </w:rPr>
            <w:t>3.2.2 Differences in business customs</w:t>
          </w:r>
          <w:r>
            <w:tab/>
          </w:r>
          <w:r>
            <w:fldChar w:fldCharType="begin"/>
          </w:r>
          <w:r>
            <w:instrText xml:space="preserve"> PAGEREF _Toc31288 \h </w:instrText>
          </w:r>
          <w:r>
            <w:fldChar w:fldCharType="separate"/>
          </w:r>
          <w:r>
            <w:t>9</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_Toc11536 </w:instrText>
          </w:r>
          <w:r>
            <w:rPr>
              <w:rFonts w:hint="default" w:ascii="Arial" w:hAnsi="Arial" w:cs="Arial"/>
              <w:szCs w:val="24"/>
            </w:rPr>
            <w:fldChar w:fldCharType="separate"/>
          </w:r>
          <w:r>
            <w:rPr>
              <w:rFonts w:hint="default" w:ascii="Arial" w:hAnsi="Arial" w:eastAsia="宋体" w:cs="Arial"/>
              <w:bCs/>
              <w:szCs w:val="24"/>
              <w:lang w:val="en-US" w:eastAsia="zh-CN"/>
            </w:rPr>
            <w:t>3.2.3 Differences in work ethics and company culture</w:t>
          </w:r>
          <w:r>
            <w:tab/>
          </w:r>
          <w:r>
            <w:fldChar w:fldCharType="begin"/>
          </w:r>
          <w:r>
            <w:instrText xml:space="preserve"> PAGEREF _Toc11536 \h </w:instrText>
          </w:r>
          <w:r>
            <w:fldChar w:fldCharType="separate"/>
          </w:r>
          <w:r>
            <w:t>9</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_Toc5265 </w:instrText>
          </w:r>
          <w:r>
            <w:rPr>
              <w:rFonts w:hint="default" w:ascii="Arial" w:hAnsi="Arial" w:cs="Arial"/>
              <w:szCs w:val="24"/>
            </w:rPr>
            <w:fldChar w:fldCharType="separate"/>
          </w:r>
          <w:r>
            <w:rPr>
              <w:rFonts w:hint="default" w:ascii="Arial" w:hAnsi="Arial" w:eastAsia="宋体" w:cs="Arial"/>
              <w:bCs/>
              <w:szCs w:val="24"/>
              <w:lang w:val="en-US" w:eastAsia="zh-CN"/>
            </w:rPr>
            <w:t>3.2.4 Difference Between Decision Making and Negotiation</w:t>
          </w:r>
          <w:r>
            <w:tab/>
          </w:r>
          <w:r>
            <w:fldChar w:fldCharType="begin"/>
          </w:r>
          <w:r>
            <w:instrText xml:space="preserve"> PAGEREF _Toc5265 \h </w:instrText>
          </w:r>
          <w:r>
            <w:fldChar w:fldCharType="separate"/>
          </w:r>
          <w:r>
            <w:t>10</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_Toc2207 </w:instrText>
          </w:r>
          <w:r>
            <w:rPr>
              <w:rFonts w:hint="default" w:ascii="Arial" w:hAnsi="Arial" w:cs="Arial"/>
              <w:szCs w:val="24"/>
            </w:rPr>
            <w:fldChar w:fldCharType="separate"/>
          </w:r>
          <w:r>
            <w:rPr>
              <w:rFonts w:hint="eastAsia" w:ascii="Arial" w:hAnsi="Arial" w:eastAsia="宋体" w:cs="Arial"/>
              <w:szCs w:val="24"/>
              <w:lang w:val="en-US" w:eastAsia="zh-CN"/>
            </w:rPr>
            <w:t>3.3Sensitivity considerations</w:t>
          </w:r>
          <w:r>
            <w:tab/>
          </w:r>
          <w:r>
            <w:fldChar w:fldCharType="begin"/>
          </w:r>
          <w:r>
            <w:instrText xml:space="preserve"> PAGEREF _Toc2207 \h </w:instrText>
          </w:r>
          <w:r>
            <w:fldChar w:fldCharType="separate"/>
          </w:r>
          <w:r>
            <w:t>11</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_Toc27832 </w:instrText>
          </w:r>
          <w:r>
            <w:rPr>
              <w:rFonts w:hint="default" w:ascii="Arial" w:hAnsi="Arial" w:cs="Arial"/>
              <w:szCs w:val="24"/>
            </w:rPr>
            <w:fldChar w:fldCharType="separate"/>
          </w:r>
          <w:r>
            <w:rPr>
              <w:rFonts w:hint="eastAsia" w:ascii="Arial" w:hAnsi="Arial" w:eastAsia="宋体" w:cs="Arial"/>
              <w:bCs w:val="0"/>
              <w:szCs w:val="24"/>
              <w:lang w:val="en-US" w:eastAsia="zh-CN"/>
            </w:rPr>
            <w:t>3.3.1 Respect etiquette</w:t>
          </w:r>
          <w:r>
            <w:tab/>
          </w:r>
          <w:r>
            <w:fldChar w:fldCharType="begin"/>
          </w:r>
          <w:r>
            <w:instrText xml:space="preserve"> PAGEREF _Toc27832 \h </w:instrText>
          </w:r>
          <w:r>
            <w:fldChar w:fldCharType="separate"/>
          </w:r>
          <w:r>
            <w:t>11</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_Toc32725 </w:instrText>
          </w:r>
          <w:r>
            <w:rPr>
              <w:rFonts w:hint="default" w:ascii="Arial" w:hAnsi="Arial" w:cs="Arial"/>
              <w:szCs w:val="24"/>
            </w:rPr>
            <w:fldChar w:fldCharType="separate"/>
          </w:r>
          <w:r>
            <w:rPr>
              <w:rFonts w:hint="eastAsia" w:ascii="Arial" w:hAnsi="Arial" w:eastAsia="宋体" w:cs="Arial"/>
              <w:bCs w:val="0"/>
              <w:szCs w:val="24"/>
              <w:lang w:val="en-US" w:eastAsia="zh-CN"/>
            </w:rPr>
            <w:t>3.3.2. Non-verbal communication</w:t>
          </w:r>
          <w:r>
            <w:tab/>
          </w:r>
          <w:r>
            <w:fldChar w:fldCharType="begin"/>
          </w:r>
          <w:r>
            <w:instrText xml:space="preserve"> PAGEREF _Toc32725 \h </w:instrText>
          </w:r>
          <w:r>
            <w:fldChar w:fldCharType="separate"/>
          </w:r>
          <w:r>
            <w:t>12</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_Toc18353 </w:instrText>
          </w:r>
          <w:r>
            <w:rPr>
              <w:rFonts w:hint="default" w:ascii="Arial" w:hAnsi="Arial" w:cs="Arial"/>
              <w:szCs w:val="24"/>
            </w:rPr>
            <w:fldChar w:fldCharType="separate"/>
          </w:r>
          <w:r>
            <w:rPr>
              <w:rFonts w:hint="eastAsia" w:ascii="Arial" w:hAnsi="Arial" w:eastAsia="宋体" w:cs="Arial"/>
              <w:bCs w:val="0"/>
              <w:szCs w:val="24"/>
              <w:lang w:val="en-US" w:eastAsia="zh-CN"/>
            </w:rPr>
            <w:t>3.3.3. Collective concept and respect for hierarchy</w:t>
          </w:r>
          <w:r>
            <w:tab/>
          </w:r>
          <w:r>
            <w:fldChar w:fldCharType="begin"/>
          </w:r>
          <w:r>
            <w:instrText xml:space="preserve"> PAGEREF _Toc18353 \h </w:instrText>
          </w:r>
          <w:r>
            <w:fldChar w:fldCharType="separate"/>
          </w:r>
          <w:r>
            <w:t>12</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_Toc28207 </w:instrText>
          </w:r>
          <w:r>
            <w:rPr>
              <w:rFonts w:hint="default" w:ascii="Arial" w:hAnsi="Arial" w:cs="Arial"/>
              <w:szCs w:val="24"/>
            </w:rPr>
            <w:fldChar w:fldCharType="separate"/>
          </w:r>
          <w:r>
            <w:rPr>
              <w:rFonts w:hint="eastAsia" w:ascii="Arial" w:hAnsi="Arial" w:eastAsia="宋体" w:cs="Arial"/>
              <w:bCs w:val="0"/>
              <w:szCs w:val="24"/>
              <w:lang w:val="en-US" w:eastAsia="zh-CN"/>
            </w:rPr>
            <w:t>3.3.4. Professionalism</w:t>
          </w:r>
          <w:r>
            <w:tab/>
          </w:r>
          <w:r>
            <w:fldChar w:fldCharType="begin"/>
          </w:r>
          <w:r>
            <w:instrText xml:space="preserve"> PAGEREF _Toc28207 \h </w:instrText>
          </w:r>
          <w:r>
            <w:fldChar w:fldCharType="separate"/>
          </w:r>
          <w:r>
            <w:t>12</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_Toc15216 </w:instrText>
          </w:r>
          <w:r>
            <w:rPr>
              <w:rFonts w:hint="default" w:ascii="Arial" w:hAnsi="Arial" w:cs="Arial"/>
              <w:szCs w:val="24"/>
            </w:rPr>
            <w:fldChar w:fldCharType="separate"/>
          </w:r>
          <w:r>
            <w:rPr>
              <w:rFonts w:hint="eastAsia" w:ascii="Arial" w:hAnsi="Arial" w:eastAsia="宋体" w:cs="Arial"/>
              <w:bCs w:val="0"/>
              <w:szCs w:val="24"/>
              <w:lang w:val="en-US" w:eastAsia="zh-CN"/>
            </w:rPr>
            <w:t>3.3.5. Good attitude towards others</w:t>
          </w:r>
          <w:r>
            <w:tab/>
          </w:r>
          <w:r>
            <w:fldChar w:fldCharType="begin"/>
          </w:r>
          <w:r>
            <w:instrText xml:space="preserve"> PAGEREF _Toc15216 \h </w:instrText>
          </w:r>
          <w:r>
            <w:fldChar w:fldCharType="separate"/>
          </w:r>
          <w:r>
            <w:t>12</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_Toc8369 </w:instrText>
          </w:r>
          <w:r>
            <w:rPr>
              <w:rFonts w:hint="default" w:ascii="Arial" w:hAnsi="Arial" w:cs="Arial"/>
              <w:szCs w:val="24"/>
            </w:rPr>
            <w:fldChar w:fldCharType="separate"/>
          </w:r>
          <w:r>
            <w:rPr>
              <w:rFonts w:hint="eastAsia" w:ascii="Arial" w:hAnsi="Arial" w:eastAsia="宋体" w:cs="Arial"/>
              <w:szCs w:val="24"/>
              <w:lang w:val="en-US" w:eastAsia="zh-CN"/>
            </w:rPr>
            <w:t>3.4 Limitations of theory in practice and coping strategies</w:t>
          </w:r>
          <w:r>
            <w:tab/>
          </w:r>
          <w:r>
            <w:fldChar w:fldCharType="begin"/>
          </w:r>
          <w:r>
            <w:instrText xml:space="preserve"> PAGEREF _Toc8369 \h </w:instrText>
          </w:r>
          <w:r>
            <w:fldChar w:fldCharType="separate"/>
          </w:r>
          <w:r>
            <w:t>12</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_Toc7256 </w:instrText>
          </w:r>
          <w:r>
            <w:rPr>
              <w:rFonts w:hint="default" w:ascii="Arial" w:hAnsi="Arial" w:cs="Arial"/>
              <w:szCs w:val="24"/>
            </w:rPr>
            <w:fldChar w:fldCharType="separate"/>
          </w:r>
          <w:r>
            <w:rPr>
              <w:rFonts w:hint="eastAsia" w:ascii="Arial" w:hAnsi="Arial" w:eastAsia="宋体" w:cs="Arial"/>
              <w:szCs w:val="24"/>
              <w:lang w:val="en-US" w:eastAsia="zh-CN"/>
            </w:rPr>
            <w:t>3.4.1 Limitations</w:t>
          </w:r>
          <w:r>
            <w:tab/>
          </w:r>
          <w:r>
            <w:fldChar w:fldCharType="begin"/>
          </w:r>
          <w:r>
            <w:instrText xml:space="preserve"> PAGEREF _Toc7256 \h </w:instrText>
          </w:r>
          <w:r>
            <w:fldChar w:fldCharType="separate"/>
          </w:r>
          <w:r>
            <w:t>12</w:t>
          </w:r>
          <w:r>
            <w:fldChar w:fldCharType="end"/>
          </w:r>
          <w:r>
            <w:rPr>
              <w:rFonts w:hint="default" w:ascii="Arial" w:hAnsi="Arial" w:cs="Arial"/>
              <w:szCs w:val="24"/>
            </w:rPr>
            <w:fldChar w:fldCharType="end"/>
          </w:r>
        </w:p>
        <w:p>
          <w:pPr>
            <w:pStyle w:val="4"/>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_Toc12243 </w:instrText>
          </w:r>
          <w:r>
            <w:rPr>
              <w:rFonts w:hint="default" w:ascii="Arial" w:hAnsi="Arial" w:cs="Arial"/>
              <w:szCs w:val="24"/>
            </w:rPr>
            <w:fldChar w:fldCharType="separate"/>
          </w:r>
          <w:r>
            <w:rPr>
              <w:rFonts w:hint="eastAsia" w:ascii="Arial" w:hAnsi="Arial" w:eastAsia="宋体" w:cs="Arial"/>
              <w:szCs w:val="24"/>
              <w:lang w:val="en-US" w:eastAsia="zh-CN"/>
            </w:rPr>
            <w:t>3.4.2 Coping strategies</w:t>
          </w:r>
          <w:r>
            <w:tab/>
          </w:r>
          <w:r>
            <w:fldChar w:fldCharType="begin"/>
          </w:r>
          <w:r>
            <w:instrText xml:space="preserve"> PAGEREF _Toc12243 \h </w:instrText>
          </w:r>
          <w:r>
            <w:fldChar w:fldCharType="separate"/>
          </w:r>
          <w:r>
            <w:t>13</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_Toc2046 </w:instrText>
          </w:r>
          <w:r>
            <w:rPr>
              <w:rFonts w:hint="default" w:ascii="Arial" w:hAnsi="Arial" w:cs="Arial"/>
              <w:szCs w:val="24"/>
            </w:rPr>
            <w:fldChar w:fldCharType="separate"/>
          </w:r>
          <w:r>
            <w:rPr>
              <w:rFonts w:hint="eastAsia" w:ascii="Arial" w:hAnsi="Arial" w:eastAsia="宋体" w:cs="Arial"/>
              <w:bCs w:val="0"/>
              <w:szCs w:val="24"/>
              <w:lang w:val="en-US" w:eastAsia="zh-CN"/>
            </w:rPr>
            <w:t>3.5Case study</w:t>
          </w:r>
          <w:r>
            <w:tab/>
          </w:r>
          <w:r>
            <w:fldChar w:fldCharType="begin"/>
          </w:r>
          <w:r>
            <w:instrText xml:space="preserve"> PAGEREF _Toc2046 \h </w:instrText>
          </w:r>
          <w:r>
            <w:fldChar w:fldCharType="separate"/>
          </w:r>
          <w:r>
            <w:t>13</w:t>
          </w:r>
          <w:r>
            <w:fldChar w:fldCharType="end"/>
          </w:r>
          <w:r>
            <w:rPr>
              <w:rFonts w:hint="default" w:ascii="Arial" w:hAnsi="Arial" w:cs="Arial"/>
              <w:szCs w:val="24"/>
            </w:rPr>
            <w:fldChar w:fldCharType="end"/>
          </w:r>
        </w:p>
        <w:p>
          <w:pPr>
            <w:pStyle w:val="6"/>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_Toc5588 </w:instrText>
          </w:r>
          <w:r>
            <w:rPr>
              <w:rFonts w:hint="default" w:ascii="Arial" w:hAnsi="Arial" w:cs="Arial"/>
              <w:szCs w:val="24"/>
            </w:rPr>
            <w:fldChar w:fldCharType="separate"/>
          </w:r>
          <w:r>
            <w:rPr>
              <w:rFonts w:hint="default" w:ascii="Arial" w:hAnsi="Arial" w:cs="Arial"/>
              <w:szCs w:val="24"/>
            </w:rPr>
            <w:t>4.0 Conclusion</w:t>
          </w:r>
          <w:r>
            <w:tab/>
          </w:r>
          <w:r>
            <w:fldChar w:fldCharType="begin"/>
          </w:r>
          <w:r>
            <w:instrText xml:space="preserve"> PAGEREF _Toc5588 \h </w:instrText>
          </w:r>
          <w:r>
            <w:fldChar w:fldCharType="separate"/>
          </w:r>
          <w:r>
            <w:t>16</w:t>
          </w:r>
          <w:r>
            <w:fldChar w:fldCharType="end"/>
          </w:r>
          <w:r>
            <w:rPr>
              <w:rFonts w:hint="default" w:ascii="Arial" w:hAnsi="Arial" w:cs="Arial"/>
              <w:szCs w:val="24"/>
            </w:rPr>
            <w:fldChar w:fldCharType="end"/>
          </w:r>
        </w:p>
        <w:p>
          <w:pPr>
            <w:pStyle w:val="6"/>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_Toc32448 </w:instrText>
          </w:r>
          <w:r>
            <w:rPr>
              <w:rFonts w:hint="default" w:ascii="Arial" w:hAnsi="Arial" w:cs="Arial"/>
              <w:szCs w:val="24"/>
            </w:rPr>
            <w:fldChar w:fldCharType="separate"/>
          </w:r>
          <w:r>
            <w:rPr>
              <w:rFonts w:hint="default" w:ascii="Arial" w:hAnsi="Arial" w:cs="Arial"/>
              <w:szCs w:val="24"/>
            </w:rPr>
            <w:t>5.0 References</w:t>
          </w:r>
          <w:r>
            <w:tab/>
          </w:r>
          <w:r>
            <w:fldChar w:fldCharType="begin"/>
          </w:r>
          <w:r>
            <w:instrText xml:space="preserve"> PAGEREF _Toc32448 \h </w:instrText>
          </w:r>
          <w:r>
            <w:fldChar w:fldCharType="separate"/>
          </w:r>
          <w:r>
            <w:t>18</w:t>
          </w:r>
          <w:r>
            <w:fldChar w:fldCharType="end"/>
          </w:r>
          <w:r>
            <w:rPr>
              <w:rFonts w:hint="default" w:ascii="Arial" w:hAnsi="Arial" w:cs="Arial"/>
              <w:szCs w:val="24"/>
            </w:rPr>
            <w:fldChar w:fldCharType="end"/>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Cs w:val="24"/>
            </w:rPr>
            <w:fldChar w:fldCharType="end"/>
          </w:r>
        </w:p>
      </w:sdtContent>
    </w:sdt>
    <w:p>
      <w:pPr>
        <w:jc w:val="both"/>
        <w:rPr>
          <w:rFonts w:hint="default" w:ascii="Arial" w:hAnsi="Arial" w:cs="Arial"/>
          <w:b/>
          <w:color w:val="auto"/>
          <w:sz w:val="24"/>
          <w:szCs w:val="24"/>
        </w:rPr>
      </w:pPr>
      <w:r>
        <w:rPr>
          <w:rFonts w:hint="default" w:ascii="Arial" w:hAnsi="Arial" w:cs="Arial"/>
          <w:b/>
          <w:color w:val="auto"/>
          <w:sz w:val="24"/>
          <w:szCs w:val="24"/>
        </w:rPr>
        <w:br w:type="page"/>
      </w:r>
    </w:p>
    <w:p>
      <w:pPr>
        <w:pageBreakBefore w:val="0"/>
        <w:widowControl/>
        <w:tabs>
          <w:tab w:val="left" w:pos="3901"/>
        </w:tabs>
        <w:kinsoku/>
        <w:wordWrap/>
        <w:overflowPunct/>
        <w:topLinePunct w:val="0"/>
        <w:autoSpaceDE/>
        <w:autoSpaceDN/>
        <w:bidi w:val="0"/>
        <w:adjustRightInd/>
        <w:snapToGrid/>
        <w:spacing w:line="480" w:lineRule="auto"/>
        <w:jc w:val="both"/>
        <w:textAlignment w:val="auto"/>
        <w:outlineLvl w:val="0"/>
        <w:rPr>
          <w:rFonts w:hint="default" w:ascii="Arial" w:hAnsi="Arial" w:cs="Arial"/>
          <w:b/>
          <w:color w:val="auto"/>
          <w:sz w:val="24"/>
          <w:szCs w:val="24"/>
        </w:rPr>
      </w:pPr>
      <w:bookmarkStart w:id="0" w:name="_Toc29445"/>
      <w:r>
        <w:rPr>
          <w:rFonts w:hint="default" w:ascii="Arial" w:hAnsi="Arial" w:cs="Arial"/>
          <w:b/>
          <w:color w:val="auto"/>
          <w:sz w:val="24"/>
          <w:szCs w:val="24"/>
        </w:rPr>
        <w:t>1.0 Executive Summary</w:t>
      </w:r>
      <w:bookmarkEnd w:id="0"/>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val="0"/>
          <w:bCs/>
          <w:color w:val="auto"/>
          <w:sz w:val="24"/>
          <w:szCs w:val="24"/>
        </w:rPr>
      </w:pPr>
      <w:r>
        <w:rPr>
          <w:rFonts w:hint="default" w:ascii="Arial" w:hAnsi="Arial" w:cs="Arial"/>
          <w:b w:val="0"/>
          <w:bCs/>
          <w:color w:val="auto"/>
          <w:sz w:val="24"/>
          <w:szCs w:val="24"/>
        </w:rPr>
        <w:t>In today's world of increasing globalization, business relationships between different countries play a vital role in maintaining economic prosperity and cultural exchanges. As two influential economies, the cooperation between the UK and Japan in the field of commerce and trade not only has a profound impact on the economic development of the two countries, but also plays an important role that cannot be ignored in the global economic landscape.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val="0"/>
          <w:bCs/>
          <w:color w:val="auto"/>
          <w:sz w:val="24"/>
          <w:szCs w:val="24"/>
        </w:rPr>
      </w:pPr>
      <w:r>
        <w:rPr>
          <w:rFonts w:hint="default" w:ascii="Arial" w:hAnsi="Arial" w:cs="Arial"/>
          <w:b w:val="0"/>
          <w:bCs/>
          <w:color w:val="auto"/>
          <w:sz w:val="24"/>
          <w:szCs w:val="24"/>
        </w:rPr>
        <w:t xml:space="preserve">The purpose of this article is to conduct an in-depth analysis of the challenges and sensitivities faced in business exchanges between the UK and Japan, explore the cross-cultural communication issues involved in UK-Japan business exchanges, and how to effectively use cross-cultural communication theory to promote understanding and cooperation between the two parties. This article aims to provide businesses and individuals with valuable insights to help them better adapt and successfully conduct </w:t>
      </w:r>
      <w:r>
        <w:rPr>
          <w:rFonts w:hint="eastAsia" w:ascii="Arial" w:hAnsi="Arial" w:eastAsia="宋体" w:cs="Arial"/>
          <w:b w:val="0"/>
          <w:bCs/>
          <w:color w:val="auto"/>
          <w:sz w:val="24"/>
          <w:szCs w:val="24"/>
          <w:lang w:val="en-US" w:eastAsia="zh-CN"/>
        </w:rPr>
        <w:tab/>
      </w:r>
      <w:r>
        <w:rPr>
          <w:rFonts w:hint="default" w:ascii="Arial" w:hAnsi="Arial" w:cs="Arial"/>
          <w:b w:val="0"/>
          <w:bCs/>
          <w:color w:val="auto"/>
          <w:sz w:val="24"/>
          <w:szCs w:val="24"/>
        </w:rPr>
        <w:t>cross-cultural business activities.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val="0"/>
          <w:bCs/>
          <w:color w:val="auto"/>
          <w:sz w:val="24"/>
          <w:szCs w:val="24"/>
        </w:rPr>
      </w:pPr>
      <w:r>
        <w:rPr>
          <w:rFonts w:hint="default" w:ascii="Arial" w:hAnsi="Arial" w:cs="Arial"/>
          <w:b w:val="0"/>
          <w:bCs/>
          <w:color w:val="auto"/>
          <w:sz w:val="24"/>
          <w:szCs w:val="24"/>
        </w:rPr>
        <w:t>In the following chapters, we will first review the business history and current situation of cooperation between the UK and Japan, and then delve into the main challenges that may be encountered when doing business with Japanese companies, such as cultural differences, communication barriers and differences in business etiquette. middle. In addition, the article will explore the application of intercultural communication theories and how these theories can be used to overcome challenges and promote effective communication and collaboration between both parties. Through comprehensive analysis and case studies, we will provide specific strategies and suggestions to make British-Japanese business exchanges and cooperation smoother and more efficient.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0"/>
        <w:rPr>
          <w:rFonts w:hint="default" w:ascii="Arial" w:hAnsi="Arial" w:cs="Arial"/>
          <w:b/>
          <w:color w:val="auto"/>
          <w:sz w:val="24"/>
          <w:szCs w:val="24"/>
        </w:rPr>
      </w:pPr>
      <w:bookmarkStart w:id="1" w:name="_Toc29179"/>
      <w:r>
        <w:rPr>
          <w:rFonts w:hint="default" w:ascii="Arial" w:hAnsi="Arial" w:cs="Arial"/>
          <w:b/>
          <w:color w:val="auto"/>
          <w:sz w:val="24"/>
          <w:szCs w:val="24"/>
        </w:rPr>
        <w:t>2.0 Introduction</w:t>
      </w:r>
      <w:bookmarkEnd w:id="1"/>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1"/>
        <w:rPr>
          <w:rFonts w:hint="default" w:ascii="Arial" w:hAnsi="Arial" w:cs="Arial"/>
          <w:b/>
          <w:color w:val="auto"/>
          <w:sz w:val="24"/>
          <w:szCs w:val="24"/>
        </w:rPr>
      </w:pPr>
      <w:bookmarkStart w:id="2" w:name="_Toc14023"/>
      <w:r>
        <w:rPr>
          <w:rFonts w:hint="default" w:ascii="Arial" w:hAnsi="Arial" w:cs="Arial"/>
          <w:b/>
          <w:color w:val="auto"/>
          <w:sz w:val="24"/>
          <w:szCs w:val="24"/>
        </w:rPr>
        <w:t>2.1 Background</w:t>
      </w:r>
      <w:bookmarkEnd w:id="2"/>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When exploring the UK's business relationship with Japan, it is first necessary to understand the unique economic and cultural background of the two countries. The UK, as one of the world's earliest industrialized countries, has historically been an important center for global trade and finance. The British economy is characterized by the dominance of the service industry, especially financial services, as well as strong innovation capabilities and entrepreneurial spirit. Culturally, the UK is known for its diversity, openness and pragmatism, characteristics that are also reflected in its business practices.</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Japan, as one of Asia's economic giants, is world-famous for its highly developed technology and manufacturing industry. Japan's economic growth relies heavily on its precision engineering and efficient production methods. Culturally, Japan is known for its respect for tradition, strong collectivism and attention to detail. These cultural traits are also evident in Japanese business practices.</w:t>
      </w:r>
      <w:r>
        <w:rPr>
          <w:rFonts w:hint="eastAsia" w:ascii="Arial" w:hAnsi="Arial" w:eastAsia="宋体" w:cs="Arial"/>
          <w:b w:val="0"/>
          <w:bCs/>
          <w:color w:val="auto"/>
          <w:sz w:val="24"/>
          <w:szCs w:val="24"/>
          <w:lang w:eastAsia="zh-CN"/>
        </w:rPr>
        <w:t>（</w:t>
      </w:r>
      <w:r>
        <w:rPr>
          <w:rFonts w:ascii="宋体" w:hAnsi="宋体" w:eastAsia="宋体" w:cs="宋体"/>
          <w:kern w:val="0"/>
          <w:sz w:val="24"/>
          <w:szCs w:val="24"/>
          <w:lang w:val="en-US" w:eastAsia="zh-CN" w:bidi="ar"/>
        </w:rPr>
        <w:t>McCann, L., Hassard, J., &amp; Morris, J. (2010)</w:t>
      </w:r>
      <w:r>
        <w:rPr>
          <w:rFonts w:hint="eastAsia" w:ascii="宋体" w:hAnsi="宋体" w:eastAsia="宋体" w:cs="宋体"/>
          <w:kern w:val="0"/>
          <w:sz w:val="24"/>
          <w:szCs w:val="24"/>
          <w:lang w:val="en-US" w:eastAsia="zh-CN" w:bidi="ar"/>
        </w:rPr>
        <w:t>）</w:t>
      </w:r>
    </w:p>
    <w:p>
      <w:pPr>
        <w:pStyle w:val="3"/>
        <w:keepNext w:val="0"/>
        <w:keepLines w:val="0"/>
        <w:pageBreakBefore w:val="0"/>
        <w:widowControl/>
        <w:kinsoku/>
        <w:wordWrap/>
        <w:overflowPunct/>
        <w:topLinePunct w:val="0"/>
        <w:autoSpaceDE/>
        <w:autoSpaceDN/>
        <w:bidi w:val="0"/>
        <w:adjustRightInd/>
        <w:snapToGrid/>
        <w:spacing w:line="480" w:lineRule="auto"/>
        <w:jc w:val="both"/>
        <w:textAlignment w:val="auto"/>
        <w:outlineLvl w:val="1"/>
        <w:rPr>
          <w:rFonts w:hint="default" w:ascii="Arial" w:hAnsi="Arial" w:cs="Arial"/>
          <w:sz w:val="24"/>
          <w:szCs w:val="24"/>
        </w:rPr>
      </w:pPr>
      <w:bookmarkStart w:id="3" w:name="_Toc4678"/>
      <w:r>
        <w:rPr>
          <w:rFonts w:hint="default" w:ascii="Arial" w:hAnsi="Arial" w:cs="Arial"/>
          <w:sz w:val="24"/>
          <w:szCs w:val="24"/>
        </w:rPr>
        <w:t>2.2 Contrasting Business Cultures</w:t>
      </w:r>
      <w:bookmarkEnd w:id="3"/>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There are significant differences in business practices and communication styles between the UK and Japan, which reflect their unique cultural values and historical backgrounds. The British business style is generally considered to be direct and task-oriented, with an emphasis on efficiency and results. British businessmen tend to express their thoughts and opinions straightforwardly and advocate equality and informal communication. In contrast, Japanese business culture places more emphasis on indirection, harmony and etiquette. In Japan, business communication tends to be more reserved, avoid direct conflict, and emphasize collective decision-making and the establishment of long-term relationships.</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Nishiyama, K. (2000)</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color w:val="auto"/>
          <w:sz w:val="24"/>
          <w:szCs w:val="24"/>
        </w:rPr>
      </w:pPr>
      <w:r>
        <w:rPr>
          <w:rFonts w:hint="default" w:ascii="Arial" w:hAnsi="Arial" w:cs="Arial"/>
          <w:sz w:val="24"/>
          <w:szCs w:val="24"/>
        </w:rPr>
        <w:t>British businessman may face challenges such as language barriers, different decision-making processes and business etiquette when communicating with their Japanese counterparts. For example, Japanese business meetings may be more process-focused and group discussion-focused, whereas British businesspeople may be more accustomed to a quick, direct approach to decision-making. In addition, Japanese business culture also includes expectations for a high level of courtesy and respect, which is less common in the UK business environment.</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Andrica, D. C. (1999)</w:t>
      </w:r>
      <w:r>
        <w:rPr>
          <w:rFonts w:hint="eastAsia" w:ascii="宋体" w:hAnsi="宋体" w:eastAsia="宋体" w:cs="宋体"/>
          <w:kern w:val="0"/>
          <w:sz w:val="24"/>
          <w:szCs w:val="24"/>
          <w:lang w:val="en-US" w:eastAsia="zh-CN" w:bidi="ar"/>
        </w:rPr>
        <w:t>）</w:t>
      </w:r>
      <w:r>
        <w:rPr>
          <w:rFonts w:hint="default" w:ascii="Arial" w:hAnsi="Arial" w:cs="Arial"/>
          <w:b/>
          <w:color w:val="auto"/>
          <w:sz w:val="24"/>
          <w:szCs w:val="24"/>
        </w:rPr>
        <w:br w:type="page"/>
      </w:r>
    </w:p>
    <w:p>
      <w:pPr>
        <w:pStyle w:val="2"/>
        <w:keepNext w:val="0"/>
        <w:keepLines w:val="0"/>
        <w:pageBreakBefore w:val="0"/>
        <w:widowControl/>
        <w:kinsoku/>
        <w:wordWrap/>
        <w:overflowPunct/>
        <w:topLinePunct w:val="0"/>
        <w:autoSpaceDE/>
        <w:autoSpaceDN/>
        <w:bidi w:val="0"/>
        <w:adjustRightInd/>
        <w:snapToGrid/>
        <w:spacing w:line="480" w:lineRule="auto"/>
        <w:jc w:val="both"/>
        <w:textAlignment w:val="auto"/>
        <w:outlineLvl w:val="0"/>
        <w:rPr>
          <w:rFonts w:hint="default" w:ascii="Arial" w:hAnsi="Arial" w:cs="Arial"/>
          <w:b/>
          <w:color w:val="auto"/>
          <w:sz w:val="24"/>
          <w:szCs w:val="24"/>
        </w:rPr>
      </w:pPr>
      <w:bookmarkStart w:id="4" w:name="_Toc30033"/>
      <w:r>
        <w:rPr>
          <w:rFonts w:hint="default" w:ascii="Arial" w:hAnsi="Arial" w:cs="Arial"/>
          <w:b/>
          <w:color w:val="auto"/>
          <w:sz w:val="24"/>
          <w:szCs w:val="24"/>
        </w:rPr>
        <w:t>3.0 Cultural foundations and business challenges</w:t>
      </w:r>
      <w:bookmarkEnd w:id="4"/>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1"/>
        <w:rPr>
          <w:rFonts w:hint="default" w:ascii="Arial" w:hAnsi="Arial" w:eastAsia="宋体" w:cs="Arial"/>
          <w:b/>
          <w:color w:val="auto"/>
          <w:sz w:val="24"/>
          <w:szCs w:val="24"/>
          <w:lang w:val="en-US" w:eastAsia="zh-CN"/>
        </w:rPr>
      </w:pPr>
      <w:bookmarkStart w:id="5" w:name="_Toc21003"/>
      <w:r>
        <w:rPr>
          <w:rFonts w:hint="default" w:ascii="Arial" w:hAnsi="Arial" w:eastAsia="宋体" w:cs="Arial"/>
          <w:b/>
          <w:color w:val="auto"/>
          <w:sz w:val="24"/>
          <w:szCs w:val="24"/>
          <w:lang w:val="en-US" w:eastAsia="zh-CN"/>
        </w:rPr>
        <w:t>3.1Introduction to intercultural communication theory</w:t>
      </w:r>
      <w:bookmarkEnd w:id="5"/>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eastAsia="宋体" w:cs="Arial"/>
          <w:b/>
          <w:color w:val="auto"/>
          <w:sz w:val="24"/>
          <w:szCs w:val="24"/>
          <w:lang w:val="en-US" w:eastAsia="zh-CN"/>
        </w:rPr>
      </w:pPr>
      <w:bookmarkStart w:id="6" w:name="_Toc14074"/>
      <w:r>
        <w:rPr>
          <w:rFonts w:hint="default" w:ascii="Arial" w:hAnsi="Arial" w:eastAsia="宋体" w:cs="Arial"/>
          <w:b/>
          <w:color w:val="auto"/>
          <w:sz w:val="24"/>
          <w:szCs w:val="24"/>
          <w:lang w:val="en-US" w:eastAsia="zh-CN"/>
        </w:rPr>
        <w:t>3.1.1.Hofstede's cultural dimensions theory</w:t>
      </w:r>
      <w:bookmarkEnd w:id="6"/>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r>
        <w:rPr>
          <w:rFonts w:hint="default" w:ascii="Arial" w:hAnsi="Arial" w:eastAsia="宋体" w:cs="Arial"/>
          <w:sz w:val="24"/>
          <w:szCs w:val="24"/>
          <w:lang w:eastAsia="zh-CN"/>
        </w:rPr>
        <w:t>Geert Hofstede's cultural dimensions theory is an important framework for analyzing differences in the cultures of different countries. The theory contains six dimensions: power distance, individualism vs. collectivism, masculinity vs. femininity, degree of uncertainty avoidance, and long-term orientation vs. short-term orientation. These dimensions provide us with tools to deeply understand differences between different cultures, provide guidance for international business, cross-cultural communication and teamwork, and lay a theoretical foundation for cross-cultural research.</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Gerlach, P., &amp; Eriksson, K. (2021)</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eastAsia="宋体" w:cs="Arial"/>
          <w:sz w:val="24"/>
          <w:szCs w:val="24"/>
          <w:lang w:eastAsia="zh-CN"/>
        </w:rPr>
        <w:t>By understanding these cultural dimensions, business people can better understand the behaviors and expectations of international partners. For example, a culture high in power distance may have greater respect for authority and hierarchy, whereas a culture high in individualism may place greater value on individual achievement and freedom.</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Christiansen, B. (2012)</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cs="Arial"/>
          <w:b/>
          <w:bCs/>
          <w:sz w:val="24"/>
          <w:szCs w:val="24"/>
        </w:rPr>
      </w:pPr>
      <w:bookmarkStart w:id="7" w:name="_Toc12485"/>
      <w:r>
        <w:rPr>
          <w:rFonts w:hint="default" w:ascii="Arial" w:hAnsi="Arial" w:eastAsia="宋体" w:cs="Arial"/>
          <w:b/>
          <w:bCs/>
          <w:sz w:val="24"/>
          <w:szCs w:val="24"/>
          <w:lang w:val="en-US" w:eastAsia="zh-CN"/>
        </w:rPr>
        <w:t>3.1.2</w:t>
      </w:r>
      <w:r>
        <w:rPr>
          <w:rFonts w:hint="default" w:ascii="Arial" w:hAnsi="Arial" w:cs="Arial"/>
          <w:b/>
          <w:bCs/>
          <w:sz w:val="24"/>
          <w:szCs w:val="24"/>
        </w:rPr>
        <w:t>Hall's high-context and low-context cultural theory</w:t>
      </w:r>
      <w:bookmarkEnd w:id="7"/>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Edward T. Hall proposed the theory of high-context and low-context culture, which explores the preferences of different cultures in information transmission and communication. High-context cultures rely on nonverbal, implicit, and contextual understanding of information and value shared background knowledge. Low-context culture focuses on direct and clear expression, and information relies on speech itself. This theory helps to understand the differences in communication styles in different cultures and helps to adapt to and understand the communication differences between different cultures.</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Hall, E. T. (Edward T. (1989)</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Understanding this theory can help with communication effectiveness in business communications. For example, in high-context cultures, indirect communication and nonverbal messages may be more important, whereas in low-context cultures, direct, explicit communication is more common.</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Gudykunst, W. B., &amp; Nishida, T. (2001)</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cs="Arial"/>
          <w:b/>
          <w:bCs/>
          <w:sz w:val="24"/>
          <w:szCs w:val="24"/>
        </w:rPr>
      </w:pPr>
      <w:bookmarkStart w:id="8" w:name="_Toc15313"/>
      <w:r>
        <w:rPr>
          <w:rFonts w:hint="default" w:ascii="Arial" w:hAnsi="Arial" w:eastAsia="宋体" w:cs="Arial"/>
          <w:b/>
          <w:bCs/>
          <w:sz w:val="24"/>
          <w:szCs w:val="24"/>
          <w:lang w:val="en-US" w:eastAsia="zh-CN"/>
        </w:rPr>
        <w:t>3.1.3</w:t>
      </w:r>
      <w:r>
        <w:rPr>
          <w:rFonts w:hint="default" w:ascii="Arial" w:hAnsi="Arial" w:cs="Arial"/>
          <w:b/>
          <w:bCs/>
          <w:sz w:val="24"/>
          <w:szCs w:val="24"/>
        </w:rPr>
        <w:t>Trompenas’ cultural model</w:t>
      </w:r>
      <w:bookmarkEnd w:id="8"/>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Trompenaars' cultural model explores cultural differences in cross-cultural communication, focusing on seven dimensions: universalism vs. particularism, individualism vs. collectivism, central control vs. decentralization, boldness vs. caution, time concept, interpersonal relationships, and environmental control. These dimensions help to understand the differences between different cultures in terms of values, decision-making methods, communication styles, etc. This model provides useful guidance for cross-cultural management and interactions for organizations and individuals, helping people better adapt to multicultural environments.</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Trompenaars, Alfons., &amp; Woolliams, Peter. (2003)</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color w:val="auto"/>
          <w:sz w:val="24"/>
          <w:szCs w:val="24"/>
          <w:lang w:val="en-US" w:eastAsia="zh-CN"/>
        </w:rPr>
      </w:pPr>
      <w:r>
        <w:rPr>
          <w:rFonts w:hint="default" w:ascii="Arial" w:hAnsi="Arial" w:cs="Arial"/>
          <w:sz w:val="24"/>
          <w:szCs w:val="24"/>
        </w:rPr>
        <w:t>Understanding these dimensions in different cultures can help predict and understand the challenges and opportunities that may be encountered in international business cooperation, such as in business negotiations and team management.</w:t>
      </w:r>
      <w:r>
        <w:rPr>
          <w:rFonts w:hint="eastAsia" w:ascii="Arial" w:hAnsi="Arial" w:eastAsia="宋体" w:cs="Arial"/>
          <w:sz w:val="24"/>
          <w:szCs w:val="24"/>
          <w:lang w:eastAsia="zh-CN"/>
        </w:rPr>
        <w:t>（</w:t>
      </w:r>
      <w:r>
        <w:rPr>
          <w:rFonts w:hint="default" w:ascii="宋体" w:hAnsi="宋体" w:eastAsia="宋体" w:cs="宋体"/>
          <w:kern w:val="0"/>
          <w:sz w:val="24"/>
          <w:szCs w:val="24"/>
          <w:lang w:val="en-US" w:eastAsia="zh-CN" w:bidi="ar"/>
        </w:rPr>
        <w:t>Peterson, M. F., &amp;amp; Barrett, B. (1987)</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1"/>
        <w:rPr>
          <w:rFonts w:hint="default" w:ascii="Arial" w:hAnsi="Arial" w:eastAsia="宋体" w:cs="Arial"/>
          <w:b/>
          <w:color w:val="auto"/>
          <w:sz w:val="24"/>
          <w:szCs w:val="24"/>
          <w:lang w:val="en-US" w:eastAsia="zh-CN"/>
        </w:rPr>
      </w:pPr>
      <w:bookmarkStart w:id="9" w:name="_Toc6874"/>
      <w:r>
        <w:rPr>
          <w:rFonts w:hint="default" w:ascii="Arial" w:hAnsi="Arial" w:eastAsia="宋体" w:cs="Arial"/>
          <w:b/>
          <w:color w:val="auto"/>
          <w:sz w:val="24"/>
          <w:szCs w:val="24"/>
          <w:lang w:val="en-US" w:eastAsia="zh-CN"/>
        </w:rPr>
        <w:t>3.2Business challenges with Japan</w:t>
      </w:r>
      <w:bookmarkEnd w:id="9"/>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eastAsia="宋体" w:cs="Arial"/>
          <w:b/>
          <w:color w:val="auto"/>
          <w:sz w:val="24"/>
          <w:szCs w:val="24"/>
          <w:lang w:val="en-US" w:eastAsia="zh-CN"/>
        </w:rPr>
      </w:pPr>
      <w:bookmarkStart w:id="10" w:name="_Toc230"/>
      <w:r>
        <w:rPr>
          <w:rFonts w:hint="default" w:ascii="Arial" w:hAnsi="Arial" w:eastAsia="宋体" w:cs="Arial"/>
          <w:b/>
          <w:color w:val="auto"/>
          <w:sz w:val="24"/>
          <w:szCs w:val="24"/>
          <w:lang w:val="en-US" w:eastAsia="zh-CN"/>
        </w:rPr>
        <w:t>3.2.1Differences in communication styles</w:t>
      </w:r>
      <w:bookmarkEnd w:id="10"/>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United Kingdom:</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The UK holds a significant place in global trade and finance, boasting a rich history as one of the world's earliest industrialized countries. Its economy is marked by a predominant service industry, particularly in financial services. The UK is recognized for its robust innovation capabilities and an entrepreneurial spirit that has fueled its economic growth. In terms of culture, the UK is celebrated for its diversity, openness, and pragmatism. These cultural attributes are mirrored in the nation's business practices, where adaptability and a global perspective play crucial roles.</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Hoecklin, L. Adent. (1995)</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Japan:</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As one of Asia's economic powerhouses, Japan has gained international renown for its advanced technology and manufacturing sector. The Japanese economy thrives on precision engineering and efficient production methods. Culturally, Japan is characterized by a deep respect for tradition, a strong sense of collectivism, and meticulous attention to detail. These cultural traits profoundly influence Japanese business practices, where hierarchical structures, group harmony, and a focus on quality are paramount.</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Cabana, G. C. (2021)</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Business Relationship:</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When these two nations engage in business, the differing cultural and economic strengths play a vital role. The UK's financial expertise and innovation can complement Japan's technological prowess and manufacturing capabilities. Understanding and respecting each other's cultural nuances becomes crucial for successful collaboration. Negotiations might involve a blend of the UK's pragmatic approach and Japan's emphasis on tradition and detail.</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Hoecklin, L. Adent. (1995)</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In summary, the business relationship between the UK and Japan is a dynamic interplay of diverse strengths, where each country's economic and cultural attributes contribute to a potentially fruitful collaboration.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eastAsia="宋体" w:cs="Arial"/>
          <w:b/>
          <w:bCs/>
          <w:sz w:val="24"/>
          <w:szCs w:val="24"/>
          <w:lang w:val="en-US" w:eastAsia="zh-CN"/>
        </w:rPr>
      </w:pPr>
      <w:bookmarkStart w:id="11" w:name="_Toc31288"/>
      <w:r>
        <w:rPr>
          <w:rFonts w:hint="default" w:ascii="Arial" w:hAnsi="Arial" w:eastAsia="宋体" w:cs="Arial"/>
          <w:b/>
          <w:bCs/>
          <w:sz w:val="24"/>
          <w:szCs w:val="24"/>
          <w:lang w:val="en-US" w:eastAsia="zh-CN"/>
        </w:rPr>
        <w:t>3.2.2 Differences in business customs</w:t>
      </w:r>
      <w:bookmarkEnd w:id="11"/>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the realm of Japanese business culture, etiquette and formality hold significant importance. One notable example is the exchange of business cards, where a specific protocol is followed. When offering or receiving business cards, it is customary to use both hands, reflecting a gesture of respect. Moreover, there's a tradition of taking a moment to carefully read the information on the other person's business card, emphasizing the value placed on details and personal connections.</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Hanada, S., Knight, J., &amp; Ota, H. (2022)</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decision-making process within Japanese companies is characterized by a collective and hierarchical approach. Unlike the more individualistic and expedited decision-making often seen in Western companies, Japanese businesses tend to take a slower and more cautious route. Decision-making involves multiple layers of hierarchy, with input and consensus from various levels of the organization. Understanding and respecting this aspect of Japanese corporate culture is crucial for anyone engaging in business with Japanese counterparts.</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Kervinen, A. (2013)</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eastAsia="宋体" w:cs="Arial"/>
          <w:b/>
          <w:bCs/>
          <w:sz w:val="24"/>
          <w:szCs w:val="24"/>
          <w:lang w:val="en-US" w:eastAsia="zh-CN"/>
        </w:rPr>
      </w:pPr>
      <w:bookmarkStart w:id="12" w:name="_Toc11536"/>
      <w:r>
        <w:rPr>
          <w:rFonts w:hint="default" w:ascii="Arial" w:hAnsi="Arial" w:eastAsia="宋体" w:cs="Arial"/>
          <w:b/>
          <w:bCs/>
          <w:sz w:val="24"/>
          <w:szCs w:val="24"/>
          <w:lang w:val="en-US" w:eastAsia="zh-CN"/>
        </w:rPr>
        <w:t>3.2.3 Differences in work ethics and company culture</w:t>
      </w:r>
      <w:bookmarkEnd w:id="12"/>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Hard Work and Commitment: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Japanese professionals often adhere to a culture of hard work, and long working hours are not uncommon. The commitment to one's job and the organization is highly valued. Employees may engage in overtime and dedicate extra effort to meet deadlines and fulfill responsibilities. Demonstrating a similar level of dedication and work ethic is seen as a positive attribute when working with Japanese counterparts.</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Loyalty to the Company:</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Loyalty is a fundamental principle in Japanese work culture. Employees tend to exhibit a strong sense of commitment and allegiance to their employers. It is not uncommon for individuals to spend their entire careers with a single company. Understanding and appreciating this loyalty is essential for building long-term relationships with Japanese companies.</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Parker, E. (2006)</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Collectivism:</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Japanese work culture places a significant emphasis on collectivism, where teamwork and group harmony are highly valued. Decision-making often involves consensus-building, and individuals prioritize the success of the team or company over personal achievements. Collaborating effectively within a team-oriented environment is essential for integrating into Japanese workplaces.Building Trust and Respect: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To build trust and respect when working with Japanese companies, it's essential to align with these cultural values. This includes demonstrating a strong work ethic, showing commitment to the organization's goals, and embracing a collaborative mindset. Clear communication, reliability, and delivering on commitments are also crucial aspects of building trust in this context.</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Pascale, R. T., &amp; Athos, A. G. (Anthony G. (1986)</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eastAsia="宋体" w:cs="Arial"/>
          <w:b/>
          <w:bCs/>
          <w:sz w:val="24"/>
          <w:szCs w:val="24"/>
          <w:lang w:val="en-US" w:eastAsia="zh-CN"/>
        </w:rPr>
      </w:pPr>
      <w:bookmarkStart w:id="13" w:name="_Toc5265"/>
      <w:r>
        <w:rPr>
          <w:rFonts w:hint="default" w:ascii="Arial" w:hAnsi="Arial" w:eastAsia="宋体" w:cs="Arial"/>
          <w:b/>
          <w:bCs/>
          <w:sz w:val="24"/>
          <w:szCs w:val="24"/>
          <w:lang w:val="en-US" w:eastAsia="zh-CN"/>
        </w:rPr>
        <w:t>3.2.4 Difference Between Decision Making and Negotiation</w:t>
      </w:r>
      <w:bookmarkEnd w:id="13"/>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Thorough Analysis and Internal Consultation: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Japanese companies tend to prioritize careful consideration and consultation before making decisions. The decision-making process involves thorough analysis of relevant factors and often requires input from various levels of the organizational hierarchy. This collective and meticulous approach ensures a comprehensive evaluation of all aspects before reaching a decision. As a result, decisions may take more time to materialize, reflecting a commitment to accuracy and consensus-building.</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Whitehill, A. M. (Arthur M. (1992)</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Relationship-Building in Negotiations:</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business negotiations, the Japanese party often values relationship-building as a crucial component. Unlike more direct and detail-focused negotiation styles in some Western contexts, Japanese negotiators may prefer informal discussions aimed at establishing a rapport before delving into specific details. Building a positive and trusting relationship is seen as foundational to successful negotiations. This emphasis on relationship-building aligns with the broader cultural value placed on collectivism and collaboration.</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Brett, J. M., &amp; Okumura, T. (1998)</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1"/>
        <w:rPr>
          <w:rFonts w:hint="eastAsia" w:ascii="Arial" w:hAnsi="Arial" w:eastAsia="宋体" w:cs="Arial"/>
          <w:b/>
          <w:color w:val="auto"/>
          <w:sz w:val="24"/>
          <w:szCs w:val="24"/>
          <w:lang w:val="en-US" w:eastAsia="zh-CN"/>
        </w:rPr>
      </w:pPr>
      <w:bookmarkStart w:id="14" w:name="_Toc2207"/>
      <w:r>
        <w:rPr>
          <w:rFonts w:hint="eastAsia" w:ascii="Arial" w:hAnsi="Arial" w:eastAsia="宋体" w:cs="Arial"/>
          <w:b/>
          <w:color w:val="auto"/>
          <w:sz w:val="24"/>
          <w:szCs w:val="24"/>
          <w:lang w:val="en-US" w:eastAsia="zh-CN"/>
        </w:rPr>
        <w:t>3.3Sensitivity considerations</w:t>
      </w:r>
      <w:bookmarkEnd w:id="14"/>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eastAsia" w:ascii="Arial" w:hAnsi="Arial" w:eastAsia="宋体" w:cs="Arial"/>
          <w:b/>
          <w:bCs w:val="0"/>
          <w:color w:val="auto"/>
          <w:sz w:val="24"/>
          <w:szCs w:val="24"/>
          <w:lang w:val="en-US" w:eastAsia="zh-CN"/>
        </w:rPr>
      </w:pPr>
      <w:bookmarkStart w:id="15" w:name="_Toc27832"/>
      <w:r>
        <w:rPr>
          <w:rFonts w:hint="eastAsia" w:ascii="Arial" w:hAnsi="Arial" w:eastAsia="宋体" w:cs="Arial"/>
          <w:b/>
          <w:bCs w:val="0"/>
          <w:color w:val="auto"/>
          <w:sz w:val="24"/>
          <w:szCs w:val="24"/>
          <w:lang w:val="en-US" w:eastAsia="zh-CN"/>
        </w:rPr>
        <w:t>3.3.1 Respect etiquette</w:t>
      </w:r>
      <w:bookmarkEnd w:id="15"/>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Japanese culture is deeply rooted in respect and etiquette, and this is especially true in business situations. For example, when exchanging business cards, you should hand them to each other with both hands and read the business card you receive carefully instead of putting it into your pocket hastily. Also respect the etiquette of various social and business situations, including how to greet and address others.（</w:t>
      </w:r>
      <w:r>
        <w:rPr>
          <w:rFonts w:ascii="宋体" w:hAnsi="宋体" w:eastAsia="宋体" w:cs="宋体"/>
          <w:kern w:val="0"/>
          <w:sz w:val="24"/>
          <w:szCs w:val="24"/>
          <w:lang w:val="en-US" w:eastAsia="zh-CN" w:bidi="ar"/>
        </w:rPr>
        <w:t>Nishiyama, K. (2000)</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eastAsia" w:ascii="Arial" w:hAnsi="Arial" w:eastAsia="宋体" w:cs="Arial"/>
          <w:b/>
          <w:bCs w:val="0"/>
          <w:color w:val="auto"/>
          <w:sz w:val="24"/>
          <w:szCs w:val="24"/>
          <w:lang w:val="en-US" w:eastAsia="zh-CN"/>
        </w:rPr>
      </w:pPr>
      <w:bookmarkStart w:id="16" w:name="_Toc32725"/>
      <w:r>
        <w:rPr>
          <w:rFonts w:hint="eastAsia" w:ascii="Arial" w:hAnsi="Arial" w:eastAsia="宋体" w:cs="Arial"/>
          <w:b/>
          <w:bCs w:val="0"/>
          <w:color w:val="auto"/>
          <w:sz w:val="24"/>
          <w:szCs w:val="24"/>
          <w:lang w:val="en-US" w:eastAsia="zh-CN"/>
        </w:rPr>
        <w:t>3.3.2. Non-verbal communication</w:t>
      </w:r>
      <w:bookmarkEnd w:id="16"/>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There are many non-verbal subtleties in Japanese culture. For example, too direct eye contact may be considered offensive, so avoid excessive physical contact, especially in public places. In addition, Japanese people may not overtly express disagreement or dislike; they may express dissent with subtle hints or hesitation.（</w:t>
      </w:r>
      <w:r>
        <w:rPr>
          <w:rFonts w:ascii="宋体" w:hAnsi="宋体" w:eastAsia="宋体" w:cs="宋体"/>
          <w:kern w:val="0"/>
          <w:sz w:val="24"/>
          <w:szCs w:val="24"/>
          <w:lang w:val="en-US" w:eastAsia="zh-CN" w:bidi="ar"/>
        </w:rPr>
        <w:t>Watanabe, Y. (2000)</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eastAsia" w:ascii="Arial" w:hAnsi="Arial" w:eastAsia="宋体" w:cs="Arial"/>
          <w:b/>
          <w:bCs w:val="0"/>
          <w:color w:val="auto"/>
          <w:sz w:val="24"/>
          <w:szCs w:val="24"/>
          <w:lang w:val="en-US" w:eastAsia="zh-CN"/>
        </w:rPr>
      </w:pPr>
      <w:bookmarkStart w:id="17" w:name="_Toc18353"/>
      <w:r>
        <w:rPr>
          <w:rFonts w:hint="eastAsia" w:ascii="Arial" w:hAnsi="Arial" w:eastAsia="宋体" w:cs="Arial"/>
          <w:b/>
          <w:bCs w:val="0"/>
          <w:color w:val="auto"/>
          <w:sz w:val="24"/>
          <w:szCs w:val="24"/>
          <w:lang w:val="en-US" w:eastAsia="zh-CN"/>
        </w:rPr>
        <w:t>3.3.3. Collective concept and respect for hierarchy</w:t>
      </w:r>
      <w:bookmarkEnd w:id="17"/>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Japanese company culture often emphasizes teamwork and respect for high-ranking people. For example, if a company performs well, Japanese employees tend to give credit to their team rather than themselves. And when dealing with senior people, appropriate respect should be shown.（</w:t>
      </w:r>
      <w:r>
        <w:rPr>
          <w:rFonts w:ascii="宋体" w:hAnsi="宋体" w:eastAsia="宋体" w:cs="宋体"/>
          <w:kern w:val="0"/>
          <w:sz w:val="24"/>
          <w:szCs w:val="24"/>
          <w:lang w:val="en-US" w:eastAsia="zh-CN" w:bidi="ar"/>
        </w:rPr>
        <w:t>Robert J. Smith. (1971)</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eastAsia" w:ascii="Arial" w:hAnsi="Arial" w:eastAsia="宋体" w:cs="Arial"/>
          <w:b/>
          <w:bCs w:val="0"/>
          <w:color w:val="auto"/>
          <w:sz w:val="24"/>
          <w:szCs w:val="24"/>
          <w:lang w:val="en-US" w:eastAsia="zh-CN"/>
        </w:rPr>
      </w:pPr>
      <w:bookmarkStart w:id="18" w:name="_Toc28207"/>
      <w:r>
        <w:rPr>
          <w:rFonts w:hint="eastAsia" w:ascii="Arial" w:hAnsi="Arial" w:eastAsia="宋体" w:cs="Arial"/>
          <w:b/>
          <w:bCs w:val="0"/>
          <w:color w:val="auto"/>
          <w:sz w:val="24"/>
          <w:szCs w:val="24"/>
          <w:lang w:val="en-US" w:eastAsia="zh-CN"/>
        </w:rPr>
        <w:t>3.3.4. Professionalism</w:t>
      </w:r>
      <w:bookmarkEnd w:id="18"/>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The Japanese work ethic emphasizes working long hours, hard work, and showing loyalty to the company. When working with Japanese people, be prepared for their hard-working attitude and understand the likely expectations and requirements.（</w:t>
      </w:r>
      <w:r>
        <w:rPr>
          <w:rFonts w:ascii="宋体" w:hAnsi="宋体" w:eastAsia="宋体" w:cs="宋体"/>
          <w:kern w:val="0"/>
          <w:sz w:val="24"/>
          <w:szCs w:val="24"/>
          <w:lang w:val="en-US" w:eastAsia="zh-CN" w:bidi="ar"/>
        </w:rPr>
        <w:t>Oetzel, J., Ting-Toomey, S., Masumoto, T., Yokochi, Y., Pan, X., Takai, J., &amp; Wilcox, R. (2001)</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eastAsia" w:ascii="Arial" w:hAnsi="Arial" w:eastAsia="宋体" w:cs="Arial"/>
          <w:b/>
          <w:bCs w:val="0"/>
          <w:color w:val="auto"/>
          <w:sz w:val="24"/>
          <w:szCs w:val="24"/>
          <w:lang w:val="en-US" w:eastAsia="zh-CN"/>
        </w:rPr>
      </w:pPr>
      <w:bookmarkStart w:id="19" w:name="_Toc15216"/>
      <w:r>
        <w:rPr>
          <w:rFonts w:hint="eastAsia" w:ascii="Arial" w:hAnsi="Arial" w:eastAsia="宋体" w:cs="Arial"/>
          <w:b/>
          <w:bCs w:val="0"/>
          <w:color w:val="auto"/>
          <w:sz w:val="24"/>
          <w:szCs w:val="24"/>
          <w:lang w:val="en-US" w:eastAsia="zh-CN"/>
        </w:rPr>
        <w:t>3.3.5. Good attitude towards others</w:t>
      </w:r>
      <w:bookmarkEnd w:id="19"/>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val="0"/>
          <w:bCs/>
          <w:color w:val="auto"/>
          <w:sz w:val="24"/>
          <w:szCs w:val="24"/>
        </w:rPr>
      </w:pPr>
      <w:r>
        <w:rPr>
          <w:rFonts w:hint="eastAsia" w:ascii="Arial" w:hAnsi="Arial" w:eastAsia="宋体" w:cs="Arial"/>
          <w:b w:val="0"/>
          <w:bCs/>
          <w:color w:val="auto"/>
          <w:sz w:val="24"/>
          <w:szCs w:val="24"/>
          <w:lang w:val="en-US" w:eastAsia="zh-CN"/>
        </w:rPr>
        <w:t>Japanese culture values harmony and respect, and a concept called "omotenashi" is integrated into their lives, a word that can be interpreted as "wholehearted hospitality." If you can demonstrate this sincerity and thoughtfulness in your business relationships, you will gain great respect from the Japanese.（</w:t>
      </w:r>
      <w:r>
        <w:rPr>
          <w:rFonts w:ascii="宋体" w:hAnsi="宋体" w:eastAsia="宋体" w:cs="宋体"/>
          <w:kern w:val="0"/>
          <w:sz w:val="24"/>
          <w:szCs w:val="24"/>
          <w:lang w:val="en-US" w:eastAsia="zh-CN" w:bidi="ar"/>
        </w:rPr>
        <w:t>Vellequette, L. P. (2022)</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1"/>
        <w:rPr>
          <w:rFonts w:hint="eastAsia" w:ascii="Arial" w:hAnsi="Arial" w:eastAsia="宋体" w:cs="Arial"/>
          <w:b/>
          <w:color w:val="auto"/>
          <w:sz w:val="24"/>
          <w:szCs w:val="24"/>
          <w:lang w:val="en-US" w:eastAsia="zh-CN"/>
        </w:rPr>
      </w:pPr>
      <w:bookmarkStart w:id="20" w:name="_Toc8369"/>
      <w:r>
        <w:rPr>
          <w:rFonts w:hint="eastAsia" w:ascii="Arial" w:hAnsi="Arial" w:eastAsia="宋体" w:cs="Arial"/>
          <w:b/>
          <w:color w:val="auto"/>
          <w:sz w:val="24"/>
          <w:szCs w:val="24"/>
          <w:lang w:val="en-US" w:eastAsia="zh-CN"/>
        </w:rPr>
        <w:t>3.4 Limitations of theory in practice and coping strategies</w:t>
      </w:r>
      <w:bookmarkEnd w:id="20"/>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eastAsia" w:ascii="Arial" w:hAnsi="Arial" w:eastAsia="宋体" w:cs="Arial"/>
          <w:b/>
          <w:color w:val="auto"/>
          <w:sz w:val="24"/>
          <w:szCs w:val="24"/>
          <w:lang w:val="en-US" w:eastAsia="zh-CN"/>
        </w:rPr>
      </w:pPr>
      <w:bookmarkStart w:id="21" w:name="_Toc7256"/>
      <w:r>
        <w:rPr>
          <w:rFonts w:hint="eastAsia" w:ascii="Arial" w:hAnsi="Arial" w:eastAsia="宋体" w:cs="Arial"/>
          <w:b/>
          <w:color w:val="auto"/>
          <w:sz w:val="24"/>
          <w:szCs w:val="24"/>
          <w:lang w:val="en-US" w:eastAsia="zh-CN"/>
        </w:rPr>
        <w:t>3.4.1 Limitations</w:t>
      </w:r>
      <w:bookmarkEnd w:id="21"/>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Overgeneralization: Theories are often based on broad cultural characteristics and may ignore individual differences. Not all Japanese people strictly adhere to traditional customs, and the younger generation may behave differently from tradition.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Dynamic cultural changes: Culture is dynamic, and Japanese culture is constantly developing and changing with the passage of time and the impact of globalization.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color w:val="auto"/>
          <w:sz w:val="24"/>
          <w:szCs w:val="24"/>
          <w:lang w:val="en-US" w:eastAsia="zh-CN"/>
        </w:rPr>
      </w:pPr>
      <w:r>
        <w:rPr>
          <w:rFonts w:hint="eastAsia" w:ascii="Arial" w:hAnsi="Arial" w:eastAsia="宋体" w:cs="Arial"/>
          <w:b w:val="0"/>
          <w:bCs/>
          <w:color w:val="auto"/>
          <w:sz w:val="24"/>
          <w:szCs w:val="24"/>
          <w:lang w:val="en-US" w:eastAsia="zh-CN"/>
        </w:rPr>
        <w:t>Communication Efficiency: Communication in high-context cultures may require longer time and more effort to understand non-verbal messages.（</w:t>
      </w:r>
      <w:r>
        <w:rPr>
          <w:rFonts w:ascii="宋体" w:hAnsi="宋体" w:eastAsia="宋体" w:cs="宋体"/>
          <w:kern w:val="0"/>
          <w:sz w:val="24"/>
          <w:szCs w:val="24"/>
          <w:lang w:val="en-US" w:eastAsia="zh-CN" w:bidi="ar"/>
        </w:rPr>
        <w:t>Ting-Toomey, S., &amp; Tenzin Dorjee. (2019)</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eastAsia" w:ascii="Arial" w:hAnsi="Arial" w:eastAsia="宋体" w:cs="Arial"/>
          <w:b/>
          <w:color w:val="auto"/>
          <w:sz w:val="24"/>
          <w:szCs w:val="24"/>
          <w:lang w:val="en-US" w:eastAsia="zh-CN"/>
        </w:rPr>
      </w:pPr>
      <w:bookmarkStart w:id="22" w:name="_Toc12243"/>
      <w:r>
        <w:rPr>
          <w:rFonts w:hint="eastAsia" w:ascii="Arial" w:hAnsi="Arial" w:eastAsia="宋体" w:cs="Arial"/>
          <w:b/>
          <w:color w:val="auto"/>
          <w:sz w:val="24"/>
          <w:szCs w:val="24"/>
          <w:lang w:val="en-US" w:eastAsia="zh-CN"/>
        </w:rPr>
        <w:t>3.4.2 Coping strategies</w:t>
      </w:r>
      <w:bookmarkEnd w:id="22"/>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2"/>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Individualized treatment: While respecting cultural customs, we should also pay attention to individual differences. When communicating with Japanese colleagues or partners, tailor your communication style to your personal reactions and preferences.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Continuous learning and adaptation: Remain sensitive to cultural dynamics and be ready to learn new cultural trends and changes.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color w:val="auto"/>
          <w:sz w:val="24"/>
          <w:szCs w:val="24"/>
          <w:lang w:val="en-US" w:eastAsia="zh-CN"/>
        </w:rPr>
      </w:pPr>
      <w:r>
        <w:rPr>
          <w:rFonts w:hint="eastAsia" w:ascii="Arial" w:hAnsi="Arial" w:eastAsia="宋体" w:cs="Arial"/>
          <w:b w:val="0"/>
          <w:bCs/>
          <w:color w:val="auto"/>
          <w:sz w:val="24"/>
          <w:szCs w:val="24"/>
          <w:lang w:val="en-US" w:eastAsia="zh-CN"/>
        </w:rPr>
        <w:t>Establish effective communication channels: In order to improve communication efficiency, clear communication channels and rules can be established, such as regular meetings and feedback mechanisms, to help both parties better understand and adapt to each other's communication methods.（</w:t>
      </w:r>
      <w:r>
        <w:rPr>
          <w:rFonts w:ascii="宋体" w:hAnsi="宋体" w:eastAsia="宋体" w:cs="宋体"/>
          <w:kern w:val="0"/>
          <w:sz w:val="24"/>
          <w:szCs w:val="24"/>
          <w:lang w:val="en-US" w:eastAsia="zh-CN" w:bidi="ar"/>
        </w:rPr>
        <w:t>Meyer, E. (2014)</w:t>
      </w:r>
      <w:r>
        <w:rPr>
          <w:rFonts w:hint="eastAsia" w:ascii="宋体" w:hAnsi="宋体" w:eastAsia="宋体" w:cs="宋体"/>
          <w:kern w:val="0"/>
          <w:sz w:val="24"/>
          <w:szCs w:val="24"/>
          <w:lang w:val="en-US" w:eastAsia="zh-CN" w:bidi="ar"/>
        </w:rPr>
        <w: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1"/>
        <w:rPr>
          <w:rFonts w:hint="default" w:ascii="Arial" w:hAnsi="Arial" w:eastAsia="宋体" w:cs="Arial"/>
          <w:b/>
          <w:bCs w:val="0"/>
          <w:color w:val="auto"/>
          <w:sz w:val="24"/>
          <w:szCs w:val="24"/>
          <w:lang w:val="en-US" w:eastAsia="zh-CN"/>
        </w:rPr>
      </w:pPr>
      <w:bookmarkStart w:id="23" w:name="_Toc2046"/>
      <w:r>
        <w:rPr>
          <w:rFonts w:hint="default" w:ascii="Arial" w:hAnsi="Arial" w:eastAsia="宋体" w:cs="Arial"/>
          <w:b/>
          <w:bCs w:val="0"/>
          <w:color w:val="auto"/>
          <w:sz w:val="24"/>
          <w:szCs w:val="24"/>
          <w:lang w:val="en-US" w:eastAsia="zh-CN"/>
        </w:rPr>
        <w:t>3.5Case study</w:t>
      </w:r>
      <w:bookmarkEnd w:id="23"/>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Positive example: the collaboration between the British car company Land Rover and the Japanese car company Toyota. The two companies signed an agreement in 2015 to jointly develop a new generation of hybrid vehicle technology. The collaboration is based on the complementary strengths and mutual respect of both parties, with Jaguar Land Rover providing its brand and design in the luxury vehicle sector, and Toyota providing its expertise and experience in hybrid technology. Through effective communication and coordination, both parties overcame language and cultural barriers and achieved a win-win situation in technology and market.</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In the case of cooperation between Jaguar Land Rover and Toyota, the cooperation between the two parties is based on complementary advantages and mutual respect. This is a good example of understanding each other's strengths in cross-cultural cooperation and building on mutual respect. An atmosphere of collaboration is the key to success. Through effective communication and coordination, they successfully overcome language and cultural barriers and achieved a win-win situation in technology and market. This case highlights the importance of cultural adaptation and mutual respect in successful cross-cultural collaboration.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Negative example: Competition between British food company Mcvitie's and Japanese food company Lotte. Both companies produce and sell a product called "digestive biscuits," but they have different understandings of the definition and positioning of this product. McVitie's believes that digestive biscuits are a healthy and nutritious food, suitable for breakfast or afternoon tea, while Lotte believes that digestive biscuits are a dessert or snack, suitable for consumption at any time. This has led to obvious differences in the marketing strategies and advertising slogans of the two companies in the Japanese market, and has also affected consumers' perception and preference for this product. Both companies need to better understand each other and the cultural characteristics of the target market in order to communicate and compete effectively across cultures.</w:t>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In the case of the competition between McVitie's and Lotte, cultural differences led to differences in product definition and positioning. This shows that in cross-cultural communication, it is crucial to understand the impact of target market culture on product perception. A better understanding of the cultural characteristics of the other party and the target market will help to adjust marketing strategies and advertising slogans to ensure that the product is better accepted by the target market.</w:t>
      </w:r>
    </w:p>
    <w:p>
      <w:pPr>
        <w:jc w:val="both"/>
        <w:rPr>
          <w:rFonts w:hint="default" w:ascii="Arial" w:hAnsi="Arial" w:cs="Arial"/>
          <w:sz w:val="24"/>
          <w:szCs w:val="24"/>
        </w:rPr>
      </w:pPr>
      <w:r>
        <w:rPr>
          <w:rFonts w:hint="default" w:ascii="Arial" w:hAnsi="Arial" w:cs="Arial"/>
          <w:sz w:val="24"/>
          <w:szCs w:val="24"/>
        </w:rPr>
        <w:br w:type="page"/>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0"/>
        <w:rPr>
          <w:rFonts w:hint="default" w:ascii="Arial" w:hAnsi="Arial" w:cs="Arial"/>
          <w:b/>
          <w:color w:val="auto"/>
          <w:sz w:val="24"/>
          <w:szCs w:val="24"/>
        </w:rPr>
      </w:pPr>
      <w:bookmarkStart w:id="24" w:name="_Toc5588"/>
      <w:bookmarkStart w:id="25" w:name="_Toc32448"/>
      <w:r>
        <w:rPr>
          <w:rFonts w:hint="default" w:ascii="Arial" w:hAnsi="Arial" w:cs="Arial"/>
          <w:b/>
          <w:color w:val="auto"/>
          <w:sz w:val="24"/>
          <w:szCs w:val="24"/>
        </w:rPr>
        <w:t>4.0 Conclusion</w:t>
      </w:r>
      <w:bookmarkEnd w:id="24"/>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rFonts w:hint="eastAsia" w:ascii="Arial" w:hAnsi="Arial" w:eastAsia="宋体" w:cs="Arial"/>
          <w:b w:val="0"/>
          <w:bCs/>
          <w:color w:val="auto"/>
          <w:sz w:val="24"/>
          <w:szCs w:val="24"/>
          <w:lang w:eastAsia="zh-CN"/>
        </w:rPr>
      </w:pPr>
      <w:r>
        <w:rPr>
          <w:rFonts w:hint="eastAsia" w:ascii="Arial" w:hAnsi="Arial" w:eastAsia="宋体" w:cs="Arial"/>
          <w:b w:val="0"/>
          <w:bCs/>
          <w:color w:val="auto"/>
          <w:sz w:val="24"/>
          <w:szCs w:val="24"/>
          <w:lang w:eastAsia="zh-CN"/>
        </w:rPr>
        <w:t>There are significant economic and cultural differences between Britain and Japan. In business activities, these differences may lead to differences in communication styles, business customs, decision-making processes, and corporate cultures. A deep understanding of these differences is critical to successfully advancing cross-cultural collaboration.</w:t>
      </w:r>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rFonts w:hint="eastAsia" w:ascii="Arial" w:hAnsi="Arial" w:eastAsia="宋体" w:cs="Arial"/>
          <w:b w:val="0"/>
          <w:bCs/>
          <w:color w:val="auto"/>
          <w:sz w:val="24"/>
          <w:szCs w:val="24"/>
          <w:lang w:eastAsia="zh-CN"/>
        </w:rPr>
      </w:pPr>
      <w:r>
        <w:rPr>
          <w:rFonts w:hint="eastAsia" w:ascii="Arial" w:hAnsi="Arial" w:eastAsia="宋体" w:cs="Arial"/>
          <w:b w:val="0"/>
          <w:bCs/>
          <w:color w:val="auto"/>
          <w:sz w:val="24"/>
          <w:szCs w:val="24"/>
          <w:lang w:eastAsia="zh-CN"/>
        </w:rPr>
        <w:t>Intercultural communication theories, such as Hofstede's cultural dimensions, Hall's high-context and low-context cultural concepts, and Trompenas' cultural model, provide theories for us to analyze and understand differences between cultures. frame. However, these theories also have limitations, such as overgeneralization and neglect of the dynamics of cultural change.</w:t>
      </w:r>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rFonts w:hint="eastAsia" w:ascii="Arial" w:hAnsi="Arial" w:eastAsia="宋体" w:cs="Arial"/>
          <w:b w:val="0"/>
          <w:bCs/>
          <w:color w:val="auto"/>
          <w:sz w:val="24"/>
          <w:szCs w:val="24"/>
          <w:lang w:eastAsia="zh-CN"/>
        </w:rPr>
      </w:pPr>
      <w:r>
        <w:rPr>
          <w:rFonts w:hint="eastAsia" w:ascii="Arial" w:hAnsi="Arial" w:eastAsia="宋体" w:cs="Arial"/>
          <w:b w:val="0"/>
          <w:bCs/>
          <w:color w:val="auto"/>
          <w:sz w:val="24"/>
          <w:szCs w:val="24"/>
          <w:lang w:eastAsia="zh-CN"/>
        </w:rPr>
        <w:t>To deal with cross-cultural challenges, we can adopt the following strategies: personalized treatment, respecting cultural customs while paying attention to individual differences; continuous learning and adaptation, maintaining sensitivity to cultural changes; establishing efficient communication channels to improve communication efficiency; following etiquette, Respect the rules of cultural situations; understand collectivism and hierarchy and demonstrate respect when interacting with Japanese business partners; demonstrate professionalism, recognize Japanese dedication and demonstrate loyalty to the company; maintain a positive attitude and reflect the values of harmony and respect.</w:t>
      </w:r>
    </w:p>
    <w:p>
      <w:pPr>
        <w:keepNext w:val="0"/>
        <w:keepLines w:val="0"/>
        <w:pageBreakBefore w:val="0"/>
        <w:widowControl/>
        <w:kinsoku/>
        <w:wordWrap/>
        <w:overflowPunct/>
        <w:topLinePunct w:val="0"/>
        <w:autoSpaceDE/>
        <w:autoSpaceDN/>
        <w:bidi w:val="0"/>
        <w:adjustRightInd/>
        <w:snapToGrid/>
        <w:spacing w:after="160" w:line="480" w:lineRule="auto"/>
        <w:jc w:val="both"/>
        <w:textAlignment w:val="auto"/>
        <w:rPr>
          <w:rFonts w:hint="eastAsia" w:ascii="Arial" w:hAnsi="Arial" w:eastAsia="宋体" w:cs="Arial"/>
          <w:b w:val="0"/>
          <w:bCs/>
          <w:color w:val="auto"/>
          <w:sz w:val="24"/>
          <w:szCs w:val="24"/>
          <w:lang w:eastAsia="zh-CN"/>
        </w:rPr>
      </w:pPr>
      <w:r>
        <w:rPr>
          <w:rFonts w:hint="eastAsia" w:ascii="Arial" w:hAnsi="Arial" w:eastAsia="宋体" w:cs="Arial"/>
          <w:b w:val="0"/>
          <w:bCs/>
          <w:color w:val="auto"/>
          <w:sz w:val="24"/>
          <w:szCs w:val="24"/>
          <w:lang w:eastAsia="zh-CN"/>
        </w:rPr>
        <w:t>Case studies show that positive examples of successful cross-cultural cooperation emphasize complementary strengths and mutual respect, while competition in failed cases highlights the challenges posed by cultural differences. A deep understanding of and adaptation to cultural differences is the key to successful cross-cultural cooperation.</w:t>
      </w:r>
    </w:p>
    <w:p>
      <w:pPr>
        <w:jc w:val="both"/>
        <w:rPr>
          <w:rFonts w:hint="default" w:ascii="Arial" w:hAnsi="Arial" w:cs="Arial"/>
          <w:b/>
          <w:color w:val="auto"/>
          <w:sz w:val="24"/>
          <w:szCs w:val="24"/>
        </w:rPr>
      </w:pPr>
      <w:r>
        <w:rPr>
          <w:rFonts w:hint="default" w:ascii="Arial" w:hAnsi="Arial" w:cs="Arial"/>
          <w:b/>
          <w:color w:val="auto"/>
          <w:sz w:val="24"/>
          <w:szCs w:val="24"/>
        </w:rPr>
        <w:br w:type="page"/>
      </w:r>
    </w:p>
    <w:p>
      <w:pPr>
        <w:keepNext w:val="0"/>
        <w:keepLines w:val="0"/>
        <w:pageBreakBefore w:val="0"/>
        <w:widowControl/>
        <w:kinsoku/>
        <w:wordWrap/>
        <w:overflowPunct/>
        <w:topLinePunct w:val="0"/>
        <w:autoSpaceDE/>
        <w:autoSpaceDN/>
        <w:bidi w:val="0"/>
        <w:adjustRightInd/>
        <w:snapToGrid/>
        <w:spacing w:line="480" w:lineRule="auto"/>
        <w:jc w:val="both"/>
        <w:textAlignment w:val="auto"/>
        <w:outlineLvl w:val="0"/>
        <w:rPr>
          <w:rFonts w:hint="default" w:ascii="Arial" w:hAnsi="Arial" w:cs="Arial"/>
          <w:b/>
          <w:color w:val="auto"/>
          <w:sz w:val="24"/>
          <w:szCs w:val="24"/>
        </w:rPr>
      </w:pPr>
      <w:r>
        <w:rPr>
          <w:rFonts w:hint="default" w:ascii="Arial" w:hAnsi="Arial" w:cs="Arial"/>
          <w:b/>
          <w:color w:val="auto"/>
          <w:sz w:val="24"/>
          <w:szCs w:val="24"/>
        </w:rPr>
        <w:t>5.0 References</w:t>
      </w:r>
      <w:bookmarkEnd w:id="25"/>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McCann, L., Hassard, J., &amp; Morris, J. (2010). Restructuring Managerial Labour in the USA, the UK and Japan: Challenging the Salience of “Varieties of Capitalism.” </w:t>
      </w:r>
      <w:r>
        <w:rPr>
          <w:rFonts w:ascii="宋体" w:hAnsi="宋体" w:eastAsia="宋体" w:cs="宋体"/>
          <w:i/>
          <w:iCs/>
          <w:kern w:val="0"/>
          <w:sz w:val="24"/>
          <w:szCs w:val="24"/>
          <w:lang w:val="en-US" w:eastAsia="zh-CN" w:bidi="ar"/>
        </w:rPr>
        <w:t>British Journal of Industrial Relations</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48</w:t>
      </w:r>
      <w:r>
        <w:rPr>
          <w:rFonts w:ascii="宋体" w:hAnsi="宋体" w:eastAsia="宋体" w:cs="宋体"/>
          <w:kern w:val="0"/>
          <w:sz w:val="24"/>
          <w:szCs w:val="24"/>
          <w:lang w:val="en-US" w:eastAsia="zh-CN" w:bidi="ar"/>
        </w:rPr>
        <w:t xml:space="preserve">(2), 347–374.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"https://doi.org/10.1111/j.1467-8543.2010.00794.x"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https://doi.org/10.1111/j.1467-8543.2010.00794.x</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Nishiyama, K. (2000). </w:t>
      </w:r>
      <w:r>
        <w:rPr>
          <w:rFonts w:ascii="宋体" w:hAnsi="宋体" w:eastAsia="宋体" w:cs="宋体"/>
          <w:i/>
          <w:iCs/>
          <w:kern w:val="0"/>
          <w:sz w:val="24"/>
          <w:szCs w:val="24"/>
          <w:lang w:val="en-US" w:eastAsia="zh-CN" w:bidi="ar"/>
        </w:rPr>
        <w:t>Doing Business with Japan: Successful Strategies for Intercultural Communication</w:t>
      </w:r>
      <w:r>
        <w:rPr>
          <w:rFonts w:ascii="宋体" w:hAnsi="宋体" w:eastAsia="宋体" w:cs="宋体"/>
          <w:kern w:val="0"/>
          <w:sz w:val="24"/>
          <w:szCs w:val="24"/>
          <w:lang w:val="en-US" w:eastAsia="zh-CN" w:bidi="ar"/>
        </w:rPr>
        <w:t xml:space="preserve"> (1st ed.). University of Hawaii Press.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"https://doi.org/10.1515/9780824862220"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https://doi.org/10.1515/9780824862220</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Andrica, D. C. (1999). Business etiquette. </w:t>
      </w:r>
      <w:r>
        <w:rPr>
          <w:rFonts w:ascii="宋体" w:hAnsi="宋体" w:eastAsia="宋体" w:cs="宋体"/>
          <w:i/>
          <w:iCs/>
          <w:kern w:val="0"/>
          <w:sz w:val="24"/>
          <w:szCs w:val="24"/>
          <w:lang w:val="en-US" w:eastAsia="zh-CN" w:bidi="ar"/>
        </w:rPr>
        <w:t>Nursing Economic</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17</w:t>
      </w:r>
      <w:r>
        <w:rPr>
          <w:rFonts w:ascii="宋体" w:hAnsi="宋体" w:eastAsia="宋体" w:cs="宋体"/>
          <w:kern w:val="0"/>
          <w:sz w:val="24"/>
          <w:szCs w:val="24"/>
          <w:lang w:val="en-US" w:eastAsia="zh-CN" w:bidi="ar"/>
        </w:rPr>
        <w:t>(1), 63–63.</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Mateescu, V. (2016). COMMENTARY: ON STUDIU DESPRE VALORILE ȘI COMPORTAMENTUL ROMÂNESC DIN PERSPECTIVA DIMENSIUNILOR CULTURALE DUPĂ METODA LUI GEERT HOFSTEDE (STUDY ABOUT ROMANIAN VALUES AND BEHAVIOUR FROM THE PERSPECTIVE OF CULTURAL DIMENSIONS ACCORDING TO GEERT HOFSTEDE. </w:t>
      </w:r>
      <w:r>
        <w:rPr>
          <w:rFonts w:ascii="宋体" w:hAnsi="宋体" w:eastAsia="宋体" w:cs="宋体"/>
          <w:i/>
          <w:iCs/>
          <w:kern w:val="0"/>
          <w:sz w:val="24"/>
          <w:szCs w:val="24"/>
          <w:lang w:val="en-US" w:eastAsia="zh-CN" w:bidi="ar"/>
        </w:rPr>
        <w:t>Studia Universitatis Babes-Bolyai. Sociologia</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61</w:t>
      </w:r>
      <w:r>
        <w:rPr>
          <w:rFonts w:ascii="宋体" w:hAnsi="宋体" w:eastAsia="宋体" w:cs="宋体"/>
          <w:kern w:val="0"/>
          <w:sz w:val="24"/>
          <w:szCs w:val="24"/>
          <w:lang w:val="en-US" w:eastAsia="zh-CN" w:bidi="ar"/>
        </w:rPr>
        <w:t>(2), 167–171.</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Gerlach, P., &amp; Eriksson, K. (2021). Measuring Cultural Dimensions: External Validity and Internal Consistency of Hofstede’s VSM 2013 Scales. </w:t>
      </w:r>
      <w:r>
        <w:rPr>
          <w:rFonts w:ascii="宋体" w:hAnsi="宋体" w:eastAsia="宋体" w:cs="宋体"/>
          <w:i/>
          <w:iCs/>
          <w:kern w:val="0"/>
          <w:sz w:val="24"/>
          <w:szCs w:val="24"/>
          <w:lang w:val="en-US" w:eastAsia="zh-CN" w:bidi="ar"/>
        </w:rPr>
        <w:t>Frontiers in Psychology</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12</w:t>
      </w:r>
      <w:r>
        <w:rPr>
          <w:rFonts w:ascii="宋体" w:hAnsi="宋体" w:eastAsia="宋体" w:cs="宋体"/>
          <w:kern w:val="0"/>
          <w:sz w:val="24"/>
          <w:szCs w:val="24"/>
          <w:lang w:val="en-US" w:eastAsia="zh-CN" w:bidi="ar"/>
        </w:rPr>
        <w:t xml:space="preserve">.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"https://doi.org/10.3389/fpsyg.2021.662604"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https://doi.org/10.3389/fpsyg.2021.662604</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Christiansen, B. (2012). Cultural variations and business performance contemporary globalism. IGI Global.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"https://doi.org/10.4018/978-1-4666-0306-6"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t>https://doi.org/10.4018/978-1-4666-0306-6</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Hall, E. T. (Edward T. (1989). Beyond culture. Anchor Books.</w:t>
      </w:r>
    </w:p>
    <w:p>
      <w:pPr>
        <w:keepNext w:val="0"/>
        <w:keepLines w:val="0"/>
        <w:widowControl/>
        <w:numPr>
          <w:ilvl w:val="0"/>
          <w:numId w:val="1"/>
        </w:numPr>
        <w:suppressLineNumbers w:val="0"/>
        <w:ind w:left="425" w:leftChars="0" w:hanging="425" w:firstLineChars="0"/>
        <w:jc w:val="left"/>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 xml:space="preserve">Gudykunst, W. B., &amp; Nishida, T. (2001). Anxiety, uncertainty, and perceived effectiveness of communication across relationships and cultures. International Journal of Intercultural Relations, 25(1), 55–71.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"https://doi.org/10.1016/S0147-1767(00)00042-0"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t>https://doi.org/10.1016/S0147-1767(00)00042-0</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rPr>
          <w:rFonts w:hint="default"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t>Trompenaars, Alfons., &amp; Woolliams, Peter. (2003). Business across cultures. Capstone.</w:t>
      </w:r>
    </w:p>
    <w:p>
      <w:pPr>
        <w:keepNext w:val="0"/>
        <w:keepLines w:val="0"/>
        <w:widowControl/>
        <w:numPr>
          <w:ilvl w:val="0"/>
          <w:numId w:val="1"/>
        </w:numPr>
        <w:suppressLineNumbers w:val="0"/>
        <w:ind w:left="425" w:leftChars="0" w:hanging="425" w:firstLineChars="0"/>
        <w:jc w:val="left"/>
      </w:pPr>
      <w:r>
        <w:rPr>
          <w:rFonts w:hint="default" w:ascii="宋体" w:hAnsi="宋体" w:eastAsia="宋体" w:cs="宋体"/>
          <w:kern w:val="0"/>
          <w:sz w:val="24"/>
          <w:szCs w:val="24"/>
          <w:lang w:val="en-US" w:eastAsia="zh-CN" w:bidi="ar"/>
        </w:rPr>
        <w:t>Peterson, M. F., &amp;amp; Barrett, B. (1987). Cross-Cultural Understanding and International Business. Journal of International Business Studies, 18(3), 32–47.</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Cabana, G. C. (2021). The Wise Company: How Companies Create Continuous Innovation, by Ikujiro Nonaka and Hirotaka Takeuchi. Oxford: Oxford University Press, 2019. 304 pp. </w:t>
      </w:r>
      <w:r>
        <w:rPr>
          <w:rFonts w:ascii="宋体" w:hAnsi="宋体" w:eastAsia="宋体" w:cs="宋体"/>
          <w:i/>
          <w:iCs/>
          <w:kern w:val="0"/>
          <w:sz w:val="24"/>
          <w:szCs w:val="24"/>
          <w:lang w:val="en-US" w:eastAsia="zh-CN" w:bidi="ar"/>
        </w:rPr>
        <w:t>Business Ethics Quarterly</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31</w:t>
      </w:r>
      <w:r>
        <w:rPr>
          <w:rFonts w:ascii="宋体" w:hAnsi="宋体" w:eastAsia="宋体" w:cs="宋体"/>
          <w:kern w:val="0"/>
          <w:sz w:val="24"/>
          <w:szCs w:val="24"/>
          <w:lang w:val="en-US" w:eastAsia="zh-CN" w:bidi="ar"/>
        </w:rPr>
        <w:t>(2), 312–315. https://doi.org/10.1017/beq.2021.9</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Hoecklin, L. Adent. (1995). </w:t>
      </w:r>
      <w:r>
        <w:rPr>
          <w:rFonts w:ascii="宋体" w:hAnsi="宋体" w:eastAsia="宋体" w:cs="宋体"/>
          <w:i/>
          <w:iCs/>
          <w:kern w:val="0"/>
          <w:sz w:val="24"/>
          <w:szCs w:val="24"/>
          <w:lang w:val="en-US" w:eastAsia="zh-CN" w:bidi="ar"/>
        </w:rPr>
        <w:t>Managing cultural differences : strategies for competitive advantage</w:t>
      </w:r>
      <w:r>
        <w:rPr>
          <w:rFonts w:ascii="宋体" w:hAnsi="宋体" w:eastAsia="宋体" w:cs="宋体"/>
          <w:kern w:val="0"/>
          <w:sz w:val="24"/>
          <w:szCs w:val="24"/>
          <w:lang w:val="en-US" w:eastAsia="zh-CN" w:bidi="ar"/>
        </w:rPr>
        <w:t>. Addison-Wesley.</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Hanada, S., Knight, J., &amp; Ota, H. (2022). International program and provider mobility in Japan: policies, activities and challenges. </w:t>
      </w:r>
      <w:r>
        <w:rPr>
          <w:rFonts w:ascii="宋体" w:hAnsi="宋体" w:eastAsia="宋体" w:cs="宋体"/>
          <w:i/>
          <w:iCs/>
          <w:kern w:val="0"/>
          <w:sz w:val="24"/>
          <w:szCs w:val="24"/>
          <w:lang w:val="en-US" w:eastAsia="zh-CN" w:bidi="ar"/>
        </w:rPr>
        <w:t>Japan Forum (Oxford, England)</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34</w:t>
      </w:r>
      <w:r>
        <w:rPr>
          <w:rFonts w:ascii="宋体" w:hAnsi="宋体" w:eastAsia="宋体" w:cs="宋体"/>
          <w:kern w:val="0"/>
          <w:sz w:val="24"/>
          <w:szCs w:val="24"/>
          <w:lang w:val="en-US" w:eastAsia="zh-CN" w:bidi="ar"/>
        </w:rPr>
        <w:t xml:space="preserve">(2), 221–247.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"https://doi.org/10.1080/09555803.2021.1961842"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https://doi.org/10.1080/09555803.2021.1961842</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Kervinen, A. (2013). The decision to trust boosts performance. </w:t>
      </w:r>
      <w:r>
        <w:rPr>
          <w:rFonts w:ascii="宋体" w:hAnsi="宋体" w:eastAsia="宋体" w:cs="宋体"/>
          <w:i/>
          <w:iCs/>
          <w:kern w:val="0"/>
          <w:sz w:val="24"/>
          <w:szCs w:val="24"/>
          <w:lang w:val="en-US" w:eastAsia="zh-CN" w:bidi="ar"/>
        </w:rPr>
        <w:t>Strategic HR Review</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12</w:t>
      </w:r>
      <w:r>
        <w:rPr>
          <w:rFonts w:ascii="宋体" w:hAnsi="宋体" w:eastAsia="宋体" w:cs="宋体"/>
          <w:kern w:val="0"/>
          <w:sz w:val="24"/>
          <w:szCs w:val="24"/>
          <w:lang w:val="en-US" w:eastAsia="zh-CN" w:bidi="ar"/>
        </w:rPr>
        <w:t xml:space="preserve">(2), 79–82.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"https://doi.org/10.1108/14754391311322482"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https://doi.org/10.1108/14754391311322482</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Parker, E. (2006). JAPAN’S BUSINESS RENAISSANCE: HOW THE WORLD’S GREATEST ECONOMY REVIVED, RENEWED AND REINVENTED ITSELF: THE JAPANESE ECONOMY AND THE WAY FORWARD [Review of </w:t>
      </w:r>
      <w:r>
        <w:rPr>
          <w:rFonts w:ascii="宋体" w:hAnsi="宋体" w:eastAsia="宋体" w:cs="宋体"/>
          <w:i/>
          <w:iCs/>
          <w:kern w:val="0"/>
          <w:sz w:val="24"/>
          <w:szCs w:val="24"/>
          <w:lang w:val="en-US" w:eastAsia="zh-CN" w:bidi="ar"/>
        </w:rPr>
        <w:t>JAPAN’S BUSINESS RENAISSANCE: HOW THE WORLD’S GREATEST ECONOMY REVIVED, RENEWED AND REINVENTED ITSELF: THE JAPANESE ECONOMY AND THE WAY FORWARD</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Far Eastern Economic Review</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169</w:t>
      </w:r>
      <w:r>
        <w:rPr>
          <w:rFonts w:ascii="宋体" w:hAnsi="宋体" w:eastAsia="宋体" w:cs="宋体"/>
          <w:kern w:val="0"/>
          <w:sz w:val="24"/>
          <w:szCs w:val="24"/>
          <w:lang w:val="en-US" w:eastAsia="zh-CN" w:bidi="ar"/>
        </w:rPr>
        <w:t>(2), 71-. Dow Jones &amp; Company Inc.</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Pascale, R. T., &amp; Athos, A. G. (Anthony G. (1986). </w:t>
      </w:r>
      <w:r>
        <w:rPr>
          <w:rFonts w:ascii="宋体" w:hAnsi="宋体" w:eastAsia="宋体" w:cs="宋体"/>
          <w:i/>
          <w:iCs/>
          <w:kern w:val="0"/>
          <w:sz w:val="24"/>
          <w:szCs w:val="24"/>
          <w:lang w:val="en-US" w:eastAsia="zh-CN" w:bidi="ar"/>
        </w:rPr>
        <w:t>The art of Japanese management</w:t>
      </w:r>
      <w:r>
        <w:rPr>
          <w:rFonts w:ascii="宋体" w:hAnsi="宋体" w:eastAsia="宋体" w:cs="宋体"/>
          <w:kern w:val="0"/>
          <w:sz w:val="24"/>
          <w:szCs w:val="24"/>
          <w:lang w:val="en-US" w:eastAsia="zh-CN" w:bidi="ar"/>
        </w:rPr>
        <w:t>. Penguin.</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Whitehill, A. M. (Arthur M. (1992). </w:t>
      </w:r>
      <w:r>
        <w:rPr>
          <w:rFonts w:ascii="宋体" w:hAnsi="宋体" w:eastAsia="宋体" w:cs="宋体"/>
          <w:i/>
          <w:iCs/>
          <w:kern w:val="0"/>
          <w:sz w:val="24"/>
          <w:szCs w:val="24"/>
          <w:lang w:val="en-US" w:eastAsia="zh-CN" w:bidi="ar"/>
        </w:rPr>
        <w:t>Japanese management : tradition and transition</w:t>
      </w:r>
      <w:r>
        <w:rPr>
          <w:rFonts w:ascii="宋体" w:hAnsi="宋体" w:eastAsia="宋体" w:cs="宋体"/>
          <w:kern w:val="0"/>
          <w:sz w:val="24"/>
          <w:szCs w:val="24"/>
          <w:lang w:val="en-US" w:eastAsia="zh-CN" w:bidi="ar"/>
        </w:rPr>
        <w:t>. Routledge.</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Brett, J. M., &amp; Okumura, T. (1998). Inter- and Intracultural Negotiation: U.S. and Japanese Negotiators. </w:t>
      </w:r>
      <w:r>
        <w:rPr>
          <w:rFonts w:ascii="宋体" w:hAnsi="宋体" w:eastAsia="宋体" w:cs="宋体"/>
          <w:i/>
          <w:iCs/>
          <w:kern w:val="0"/>
          <w:sz w:val="24"/>
          <w:szCs w:val="24"/>
          <w:lang w:val="en-US" w:eastAsia="zh-CN" w:bidi="ar"/>
        </w:rPr>
        <w:t>Academy of Management Journal</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41</w:t>
      </w:r>
      <w:r>
        <w:rPr>
          <w:rFonts w:ascii="宋体" w:hAnsi="宋体" w:eastAsia="宋体" w:cs="宋体"/>
          <w:kern w:val="0"/>
          <w:sz w:val="24"/>
          <w:szCs w:val="24"/>
          <w:lang w:val="en-US" w:eastAsia="zh-CN" w:bidi="ar"/>
        </w:rPr>
        <w:t xml:space="preserve">(5), 495–510.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"https://doi.org/10.5465/256938"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https://doi.org/10.5465/256938</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Nishiyama, K. (2000). </w:t>
      </w:r>
      <w:r>
        <w:rPr>
          <w:rFonts w:ascii="宋体" w:hAnsi="宋体" w:eastAsia="宋体" w:cs="宋体"/>
          <w:i/>
          <w:iCs/>
          <w:kern w:val="0"/>
          <w:sz w:val="24"/>
          <w:szCs w:val="24"/>
          <w:lang w:val="en-US" w:eastAsia="zh-CN" w:bidi="ar"/>
        </w:rPr>
        <w:t>Doing Business with Japan: Successful Strategies for Intercultural Communication</w:t>
      </w:r>
      <w:r>
        <w:rPr>
          <w:rFonts w:ascii="宋体" w:hAnsi="宋体" w:eastAsia="宋体" w:cs="宋体"/>
          <w:kern w:val="0"/>
          <w:sz w:val="24"/>
          <w:szCs w:val="24"/>
          <w:lang w:val="en-US" w:eastAsia="zh-CN" w:bidi="ar"/>
        </w:rPr>
        <w:t xml:space="preserve"> (1st ed.). University of Hawaii Press.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"https://doi.org/10.1515/9780824862220"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https://doi.org/10.1515/9780824862220</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Watanabe, Y. (2000). “JAPAN” THROUGH THE LOOKING-GLASS: AMERICAN INFLUENCES ON THE POLITICS OF CULTURAL IDENTITY IN THE POST-WAR JAPAN. </w:t>
      </w:r>
      <w:r>
        <w:rPr>
          <w:rFonts w:ascii="宋体" w:hAnsi="宋体" w:eastAsia="宋体" w:cs="宋体"/>
          <w:i/>
          <w:iCs/>
          <w:kern w:val="0"/>
          <w:sz w:val="24"/>
          <w:szCs w:val="24"/>
          <w:lang w:val="en-US" w:eastAsia="zh-CN" w:bidi="ar"/>
        </w:rPr>
        <w:t>Passages (Boston, Mass.)</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2</w:t>
      </w:r>
      <w:r>
        <w:rPr>
          <w:rFonts w:ascii="宋体" w:hAnsi="宋体" w:eastAsia="宋体" w:cs="宋体"/>
          <w:kern w:val="0"/>
          <w:sz w:val="24"/>
          <w:szCs w:val="24"/>
          <w:lang w:val="en-US" w:eastAsia="zh-CN" w:bidi="ar"/>
        </w:rPr>
        <w:t xml:space="preserve">(1), 21–36.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"https://doi.org/10.1163/156916700745847"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https://doi.org/10.1163/156916700745847</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Robert J. Smith. (1971). Japanese Society . Chie Nakane. </w:t>
      </w:r>
      <w:r>
        <w:rPr>
          <w:rFonts w:ascii="宋体" w:hAnsi="宋体" w:eastAsia="宋体" w:cs="宋体"/>
          <w:i/>
          <w:iCs/>
          <w:kern w:val="0"/>
          <w:sz w:val="24"/>
          <w:szCs w:val="24"/>
          <w:lang w:val="en-US" w:eastAsia="zh-CN" w:bidi="ar"/>
        </w:rPr>
        <w:t>American Anthropologist</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73</w:t>
      </w:r>
      <w:r>
        <w:rPr>
          <w:rFonts w:ascii="宋体" w:hAnsi="宋体" w:eastAsia="宋体" w:cs="宋体"/>
          <w:kern w:val="0"/>
          <w:sz w:val="24"/>
          <w:szCs w:val="24"/>
          <w:lang w:val="en-US" w:eastAsia="zh-CN" w:bidi="ar"/>
        </w:rPr>
        <w:t xml:space="preserve">, 1318–1319.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"https://doi.org/10.1525/aa.1971.73.6.02a00170"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https://doi.org/10.1525/aa.1971.73.6.02a00170</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Oetzel, J., Ting-Toomey, S., Masumoto, T., Yokochi, Y., Pan, X., Takai, J., &amp; Wilcox, R. (2001). Face and facework in conflict: a cross-cultural comparison of China, Germany, Japan, and the United States. </w:t>
      </w:r>
      <w:r>
        <w:rPr>
          <w:rFonts w:ascii="宋体" w:hAnsi="宋体" w:eastAsia="宋体" w:cs="宋体"/>
          <w:i/>
          <w:iCs/>
          <w:kern w:val="0"/>
          <w:sz w:val="24"/>
          <w:szCs w:val="24"/>
          <w:lang w:val="en-US" w:eastAsia="zh-CN" w:bidi="ar"/>
        </w:rPr>
        <w:t>Communication Monographs</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68</w:t>
      </w:r>
      <w:r>
        <w:rPr>
          <w:rFonts w:ascii="宋体" w:hAnsi="宋体" w:eastAsia="宋体" w:cs="宋体"/>
          <w:kern w:val="0"/>
          <w:sz w:val="24"/>
          <w:szCs w:val="24"/>
          <w:lang w:val="en-US" w:eastAsia="zh-CN" w:bidi="ar"/>
        </w:rPr>
        <w:t xml:space="preserve">(3), 235–258.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"https://doi.org/10.1080/03637750128061" </w:instrText>
      </w:r>
      <w:r>
        <w:rPr>
          <w:rFonts w:ascii="宋体" w:hAnsi="宋体" w:eastAsia="宋体" w:cs="宋体"/>
          <w:kern w:val="0"/>
          <w:sz w:val="24"/>
          <w:szCs w:val="24"/>
          <w:lang w:val="en-US" w:eastAsia="zh-CN" w:bidi="ar"/>
        </w:rPr>
        <w:fldChar w:fldCharType="separate"/>
      </w:r>
      <w:r>
        <w:rPr>
          <w:rStyle w:val="10"/>
          <w:rFonts w:ascii="宋体" w:hAnsi="宋体" w:eastAsia="宋体" w:cs="宋体"/>
          <w:kern w:val="0"/>
          <w:sz w:val="24"/>
          <w:szCs w:val="24"/>
          <w:lang w:val="en-US" w:eastAsia="zh-CN" w:bidi="ar"/>
        </w:rPr>
        <w:t>https://doi.org/10.1080/03637750128061</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Vellequette, L. P. (2022). Art of “omotenashi”: Thinking inside the box; Store embraces Japanese custom to deliver surprise gifts to service customers. </w:t>
      </w:r>
      <w:r>
        <w:rPr>
          <w:rFonts w:ascii="宋体" w:hAnsi="宋体" w:eastAsia="宋体" w:cs="宋体"/>
          <w:i/>
          <w:iCs/>
          <w:kern w:val="0"/>
          <w:sz w:val="24"/>
          <w:szCs w:val="24"/>
          <w:lang w:val="en-US" w:eastAsia="zh-CN" w:bidi="ar"/>
        </w:rPr>
        <w:t>Automotive News</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97</w:t>
      </w:r>
      <w:r>
        <w:rPr>
          <w:rFonts w:ascii="宋体" w:hAnsi="宋体" w:eastAsia="宋体" w:cs="宋体"/>
          <w:kern w:val="0"/>
          <w:sz w:val="24"/>
          <w:szCs w:val="24"/>
          <w:lang w:val="en-US" w:eastAsia="zh-CN" w:bidi="ar"/>
        </w:rPr>
        <w:t>(7064), 16-.</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Ting-Toomey, S., &amp; Tenzin Dorjee. (2019). </w:t>
      </w:r>
      <w:r>
        <w:rPr>
          <w:rFonts w:ascii="宋体" w:hAnsi="宋体" w:eastAsia="宋体" w:cs="宋体"/>
          <w:i/>
          <w:iCs/>
          <w:kern w:val="0"/>
          <w:sz w:val="24"/>
          <w:szCs w:val="24"/>
          <w:lang w:val="en-US" w:eastAsia="zh-CN" w:bidi="ar"/>
        </w:rPr>
        <w:t>Communicating across cultures</w:t>
      </w:r>
      <w:r>
        <w:rPr>
          <w:rFonts w:ascii="宋体" w:hAnsi="宋体" w:eastAsia="宋体" w:cs="宋体"/>
          <w:kern w:val="0"/>
          <w:sz w:val="24"/>
          <w:szCs w:val="24"/>
          <w:lang w:val="en-US" w:eastAsia="zh-CN" w:bidi="ar"/>
        </w:rPr>
        <w:t xml:space="preserve"> (Second edition.). The Guilford Press.</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Meyer, E. (2014). </w:t>
      </w:r>
      <w:r>
        <w:rPr>
          <w:rFonts w:ascii="宋体" w:hAnsi="宋体" w:eastAsia="宋体" w:cs="宋体"/>
          <w:i/>
          <w:iCs/>
          <w:kern w:val="0"/>
          <w:sz w:val="24"/>
          <w:szCs w:val="24"/>
          <w:lang w:val="en-US" w:eastAsia="zh-CN" w:bidi="ar"/>
        </w:rPr>
        <w:t>The culture map : breaking through the invisible boundaries of global business</w:t>
      </w:r>
      <w:r>
        <w:rPr>
          <w:rFonts w:ascii="宋体" w:hAnsi="宋体" w:eastAsia="宋体" w:cs="宋体"/>
          <w:kern w:val="0"/>
          <w:sz w:val="24"/>
          <w:szCs w:val="24"/>
          <w:lang w:val="en-US" w:eastAsia="zh-CN" w:bidi="ar"/>
        </w:rPr>
        <w:t>. PublicAffairs.</w:t>
      </w:r>
    </w:p>
    <w:p>
      <w:pPr>
        <w:keepNext w:val="0"/>
        <w:keepLines w:val="0"/>
        <w:widowControl/>
        <w:numPr>
          <w:ilvl w:val="0"/>
          <w:numId w:val="0"/>
        </w:numPr>
        <w:suppressLineNumbers w:val="0"/>
        <w:ind w:leftChars="0"/>
        <w:jc w:val="left"/>
        <w:rPr>
          <w:rFonts w:hint="default" w:ascii="宋体" w:hAnsi="宋体" w:eastAsia="宋体" w:cs="宋体"/>
          <w:kern w:val="0"/>
          <w:sz w:val="24"/>
          <w:szCs w:val="24"/>
          <w:lang w:val="en-US" w:eastAsia="zh-CN" w:bidi="ar"/>
        </w:rPr>
      </w:pPr>
    </w:p>
    <w:sectPr>
      <w:headerReference r:id="rId5" w:type="default"/>
      <w:pgSz w:w="12240" w:h="15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5181073"/>
      <w:docPartObj>
        <w:docPartGallery w:val="autotext"/>
      </w:docPartObj>
    </w:sdtPr>
    <w:sdtEndPr>
      <w:rPr>
        <w:rFonts w:ascii="Arial" w:hAnsi="Arial" w:cs="Arial"/>
        <w:sz w:val="24"/>
        <w:szCs w:val="24"/>
      </w:rPr>
    </w:sdtEndPr>
    <w:sdtContent>
      <w:p>
        <w:pPr>
          <w:pStyle w:val="5"/>
          <w:jc w:val="right"/>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PAGE   \* MERGEFORMAT </w:instrText>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1515182"/>
    <w:multiLevelType w:val="singleLevel"/>
    <w:tmpl w:val="E1515182"/>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JjNTE2ZmE2NWNhMGFiNzE1Y2VkNjM3MGFkYzJlMTYifQ=="/>
  </w:docVars>
  <w:rsids>
    <w:rsidRoot w:val="104D03F7"/>
    <w:rsid w:val="104D03F7"/>
    <w:rsid w:val="506B1D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54A1" w:themeColor="accent1" w:themeShade="BF"/>
      <w:sz w:val="32"/>
      <w:szCs w:val="32"/>
    </w:rPr>
  </w:style>
  <w:style w:type="paragraph" w:styleId="3">
    <w:name w:val="heading 2"/>
    <w:basedOn w:val="1"/>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rPr>
  </w:style>
  <w:style w:type="character" w:default="1" w:styleId="9">
    <w:name w:val="Default Paragraph Font"/>
    <w:autoRedefine/>
    <w:semiHidden/>
    <w:qFormat/>
    <w:uiPriority w:val="0"/>
  </w:style>
  <w:style w:type="table" w:default="1" w:styleId="8">
    <w:name w:val="Normal Table"/>
    <w:semiHidden/>
    <w:uiPriority w:val="0"/>
    <w:tblPr>
      <w:tblCellMar>
        <w:top w:w="0" w:type="dxa"/>
        <w:left w:w="108" w:type="dxa"/>
        <w:bottom w:w="0" w:type="dxa"/>
        <w:right w:w="108" w:type="dxa"/>
      </w:tblCellMar>
    </w:tblPr>
  </w:style>
  <w:style w:type="paragraph" w:styleId="4">
    <w:name w:val="toc 3"/>
    <w:basedOn w:val="1"/>
    <w:next w:val="1"/>
    <w:unhideWhenUsed/>
    <w:qFormat/>
    <w:uiPriority w:val="39"/>
    <w:pPr>
      <w:spacing w:after="100"/>
      <w:ind w:left="440"/>
    </w:pPr>
  </w:style>
  <w:style w:type="paragraph" w:styleId="5">
    <w:name w:val="header"/>
    <w:basedOn w:val="1"/>
    <w:unhideWhenUsed/>
    <w:qFormat/>
    <w:uiPriority w:val="99"/>
    <w:pPr>
      <w:tabs>
        <w:tab w:val="center" w:pos="4680"/>
        <w:tab w:val="right" w:pos="9360"/>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character" w:styleId="10">
    <w:name w:val="Hyperlink"/>
    <w:basedOn w:val="9"/>
    <w:unhideWhenUsed/>
    <w:qFormat/>
    <w:uiPriority w:val="99"/>
    <w:rPr>
      <w:color w:val="0026E5"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86</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2024-01-17T09:54:00Z</dcterms:created>
  <dc:creator>Jeremy harwood</dc:creator>
  <cp:lastModifiedBy>Jeremy harwood</cp:lastModifiedBy>
  <dcterms:modified xsi:type="dcterms:W3CDTF">2024-01-17T19:49:17Z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98644500414D47999E4BECA0680369AE_13</vt:lpwstr>
  </property>
</Properties>
</file>