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87DFA" w14:textId="77777777" w:rsidR="00D4501B" w:rsidRDefault="00D4501B" w:rsidP="00D4501B">
      <w:pPr>
        <w:spacing w:line="360" w:lineRule="auto"/>
        <w:jc w:val="center"/>
        <w:rPr>
          <w:rFonts w:ascii="Arial" w:eastAsia="Aptos" w:hAnsi="Arial" w:cs="Times New Roman"/>
          <w:b/>
          <w:bCs/>
          <w:kern w:val="0"/>
          <w:sz w:val="24"/>
          <w:szCs w:val="24"/>
        </w:rPr>
      </w:pPr>
    </w:p>
    <w:p w14:paraId="75456BD7" w14:textId="77777777" w:rsidR="00D4501B" w:rsidRDefault="00D4501B" w:rsidP="00D4501B">
      <w:pPr>
        <w:spacing w:line="360" w:lineRule="auto"/>
        <w:jc w:val="center"/>
        <w:rPr>
          <w:rFonts w:ascii="Arial" w:eastAsia="Aptos" w:hAnsi="Arial" w:cs="Times New Roman"/>
          <w:b/>
          <w:bCs/>
          <w:kern w:val="0"/>
          <w:sz w:val="24"/>
          <w:szCs w:val="24"/>
        </w:rPr>
      </w:pPr>
    </w:p>
    <w:p w14:paraId="57AF7661" w14:textId="77777777" w:rsidR="00D4501B" w:rsidRDefault="00D4501B" w:rsidP="00D4501B">
      <w:pPr>
        <w:spacing w:line="360" w:lineRule="auto"/>
        <w:jc w:val="center"/>
        <w:rPr>
          <w:rFonts w:ascii="Arial" w:eastAsia="Aptos" w:hAnsi="Arial" w:cs="Times New Roman"/>
          <w:b/>
          <w:bCs/>
          <w:kern w:val="0"/>
          <w:sz w:val="24"/>
          <w:szCs w:val="24"/>
        </w:rPr>
      </w:pPr>
    </w:p>
    <w:p w14:paraId="76117156" w14:textId="77777777" w:rsidR="00D4501B" w:rsidRDefault="00D4501B" w:rsidP="00D4501B">
      <w:pPr>
        <w:spacing w:line="360" w:lineRule="auto"/>
        <w:jc w:val="center"/>
        <w:rPr>
          <w:rFonts w:ascii="Arial" w:eastAsia="Aptos" w:hAnsi="Arial" w:cs="Times New Roman"/>
          <w:b/>
          <w:bCs/>
          <w:kern w:val="0"/>
          <w:sz w:val="24"/>
          <w:szCs w:val="24"/>
        </w:rPr>
      </w:pPr>
    </w:p>
    <w:p w14:paraId="2DB529F2" w14:textId="77777777" w:rsidR="00D4501B" w:rsidRDefault="00D4501B" w:rsidP="00D4501B">
      <w:pPr>
        <w:spacing w:line="360" w:lineRule="auto"/>
        <w:jc w:val="center"/>
        <w:rPr>
          <w:rFonts w:ascii="Arial" w:eastAsia="Aptos" w:hAnsi="Arial" w:cs="Times New Roman"/>
          <w:b/>
          <w:bCs/>
          <w:kern w:val="0"/>
          <w:sz w:val="24"/>
          <w:szCs w:val="24"/>
        </w:rPr>
      </w:pPr>
    </w:p>
    <w:p w14:paraId="7AFA8F85" w14:textId="77777777" w:rsidR="00D4501B" w:rsidRDefault="00D4501B" w:rsidP="00D4501B">
      <w:pPr>
        <w:spacing w:line="360" w:lineRule="auto"/>
        <w:jc w:val="center"/>
        <w:rPr>
          <w:rFonts w:ascii="Arial" w:eastAsia="Aptos" w:hAnsi="Arial" w:cs="Times New Roman"/>
          <w:b/>
          <w:bCs/>
          <w:kern w:val="0"/>
          <w:sz w:val="24"/>
          <w:szCs w:val="24"/>
        </w:rPr>
      </w:pPr>
    </w:p>
    <w:p w14:paraId="0E189B05" w14:textId="77777777" w:rsidR="00603469" w:rsidRDefault="00603469" w:rsidP="00D4501B">
      <w:pPr>
        <w:spacing w:line="360" w:lineRule="auto"/>
        <w:jc w:val="center"/>
        <w:rPr>
          <w:rFonts w:ascii="Arial" w:eastAsia="Aptos" w:hAnsi="Arial" w:cs="Times New Roman"/>
          <w:b/>
          <w:bCs/>
          <w:kern w:val="0"/>
          <w:sz w:val="24"/>
          <w:szCs w:val="24"/>
        </w:rPr>
      </w:pPr>
    </w:p>
    <w:p w14:paraId="4CB4011A" w14:textId="77777777" w:rsidR="00603469" w:rsidRDefault="00603469" w:rsidP="00D4501B">
      <w:pPr>
        <w:spacing w:line="360" w:lineRule="auto"/>
        <w:jc w:val="center"/>
        <w:rPr>
          <w:rFonts w:ascii="Arial" w:eastAsia="Aptos" w:hAnsi="Arial" w:cs="Times New Roman"/>
          <w:b/>
          <w:bCs/>
          <w:kern w:val="0"/>
          <w:sz w:val="24"/>
          <w:szCs w:val="24"/>
        </w:rPr>
      </w:pPr>
    </w:p>
    <w:p w14:paraId="4A090926" w14:textId="77777777" w:rsidR="00603469" w:rsidRDefault="00603469" w:rsidP="00D4501B">
      <w:pPr>
        <w:spacing w:line="360" w:lineRule="auto"/>
        <w:jc w:val="center"/>
        <w:rPr>
          <w:rFonts w:ascii="Arial" w:eastAsia="Aptos" w:hAnsi="Arial" w:cs="Times New Roman"/>
          <w:b/>
          <w:bCs/>
          <w:kern w:val="0"/>
          <w:sz w:val="24"/>
          <w:szCs w:val="24"/>
        </w:rPr>
      </w:pPr>
    </w:p>
    <w:p w14:paraId="09BA7749" w14:textId="309B1F35" w:rsidR="00D4501B" w:rsidRPr="001943DF" w:rsidRDefault="00D4501B" w:rsidP="00EC100A">
      <w:pPr>
        <w:spacing w:line="360" w:lineRule="auto"/>
        <w:jc w:val="center"/>
        <w:rPr>
          <w:rFonts w:ascii="Arial" w:eastAsia="Aptos" w:hAnsi="Arial" w:cs="Times New Roman"/>
          <w:b/>
          <w:bCs/>
          <w:kern w:val="0"/>
          <w:sz w:val="24"/>
          <w:szCs w:val="24"/>
        </w:rPr>
      </w:pPr>
      <w:r w:rsidRPr="001943DF">
        <w:rPr>
          <w:rFonts w:ascii="Arial" w:eastAsia="Aptos" w:hAnsi="Arial" w:cs="Times New Roman"/>
          <w:b/>
          <w:bCs/>
          <w:kern w:val="0"/>
          <w:sz w:val="24"/>
          <w:szCs w:val="24"/>
        </w:rPr>
        <w:t xml:space="preserve">Module Title: </w:t>
      </w:r>
      <w:r w:rsidRPr="00D4501B">
        <w:rPr>
          <w:rFonts w:ascii="Arial" w:eastAsia="Aptos" w:hAnsi="Arial" w:cs="Times New Roman"/>
          <w:b/>
          <w:bCs/>
          <w:kern w:val="0"/>
          <w:sz w:val="24"/>
          <w:szCs w:val="24"/>
        </w:rPr>
        <w:t>Sustainable Hospitality &amp; Tourism Management</w:t>
      </w:r>
    </w:p>
    <w:p w14:paraId="517EEC55" w14:textId="10300F96" w:rsidR="00D4501B" w:rsidRPr="001943DF" w:rsidRDefault="00D4501B" w:rsidP="00EC100A">
      <w:pPr>
        <w:spacing w:line="360" w:lineRule="auto"/>
        <w:jc w:val="center"/>
        <w:rPr>
          <w:rFonts w:ascii="Arial" w:eastAsia="Aptos" w:hAnsi="Arial" w:cs="Times New Roman"/>
          <w:b/>
          <w:bCs/>
          <w:kern w:val="0"/>
          <w:sz w:val="24"/>
          <w:szCs w:val="24"/>
        </w:rPr>
      </w:pPr>
      <w:bookmarkStart w:id="0" w:name="_nrpvpcy6rf88" w:colFirst="0" w:colLast="0"/>
      <w:bookmarkEnd w:id="0"/>
      <w:r w:rsidRPr="001943DF">
        <w:rPr>
          <w:rFonts w:ascii="Arial" w:eastAsia="Aptos" w:hAnsi="Arial" w:cs="Times New Roman"/>
          <w:b/>
          <w:bCs/>
          <w:kern w:val="0"/>
          <w:sz w:val="24"/>
          <w:szCs w:val="24"/>
        </w:rPr>
        <w:t>Module Code: BMIH500</w:t>
      </w:r>
      <w:r>
        <w:rPr>
          <w:rFonts w:ascii="Arial" w:eastAsia="Aptos" w:hAnsi="Arial" w:cs="Times New Roman"/>
          <w:b/>
          <w:bCs/>
          <w:kern w:val="0"/>
          <w:sz w:val="24"/>
          <w:szCs w:val="24"/>
        </w:rPr>
        <w:t>6</w:t>
      </w:r>
    </w:p>
    <w:p w14:paraId="0D3D574B" w14:textId="77777777" w:rsidR="00D4501B" w:rsidRPr="001943DF" w:rsidRDefault="00D4501B" w:rsidP="00EC100A">
      <w:pPr>
        <w:spacing w:line="360" w:lineRule="auto"/>
        <w:jc w:val="center"/>
        <w:rPr>
          <w:rFonts w:ascii="Arial" w:eastAsia="Aptos" w:hAnsi="Arial" w:cs="Times New Roman"/>
          <w:b/>
          <w:bCs/>
          <w:kern w:val="0"/>
          <w:sz w:val="24"/>
          <w:szCs w:val="24"/>
        </w:rPr>
      </w:pPr>
      <w:bookmarkStart w:id="1" w:name="_cl8rysy58rao" w:colFirst="0" w:colLast="0"/>
      <w:bookmarkEnd w:id="1"/>
      <w:r w:rsidRPr="001943DF">
        <w:rPr>
          <w:rFonts w:ascii="Arial" w:eastAsia="Aptos" w:hAnsi="Arial" w:cs="Times New Roman"/>
          <w:b/>
          <w:bCs/>
          <w:kern w:val="0"/>
          <w:sz w:val="24"/>
          <w:szCs w:val="24"/>
        </w:rPr>
        <w:t>Student Name: Nicoleta Elena Bugaciu</w:t>
      </w:r>
    </w:p>
    <w:p w14:paraId="054A86A1" w14:textId="77777777" w:rsidR="00D4501B" w:rsidRPr="001943DF" w:rsidRDefault="00D4501B" w:rsidP="00EC100A">
      <w:pPr>
        <w:spacing w:line="360" w:lineRule="auto"/>
        <w:jc w:val="center"/>
        <w:rPr>
          <w:rFonts w:ascii="Arial" w:eastAsia="Aptos" w:hAnsi="Arial" w:cs="Times New Roman"/>
          <w:b/>
          <w:bCs/>
          <w:kern w:val="0"/>
          <w:sz w:val="24"/>
          <w:szCs w:val="24"/>
        </w:rPr>
      </w:pPr>
      <w:bookmarkStart w:id="2" w:name="_cvuijn100urr" w:colFirst="0" w:colLast="0"/>
      <w:bookmarkEnd w:id="2"/>
      <w:r w:rsidRPr="001943DF">
        <w:rPr>
          <w:rFonts w:ascii="Arial" w:eastAsia="Aptos" w:hAnsi="Arial" w:cs="Times New Roman"/>
          <w:b/>
          <w:bCs/>
          <w:kern w:val="0"/>
          <w:sz w:val="24"/>
          <w:szCs w:val="24"/>
        </w:rPr>
        <w:t>Student ID: 2230707</w:t>
      </w:r>
    </w:p>
    <w:p w14:paraId="171B92AD" w14:textId="24A9835C" w:rsidR="00D4501B" w:rsidRPr="001943DF" w:rsidRDefault="00D4501B" w:rsidP="00EC100A">
      <w:pPr>
        <w:spacing w:line="360" w:lineRule="auto"/>
        <w:jc w:val="center"/>
        <w:rPr>
          <w:rFonts w:ascii="Arial" w:eastAsia="Aptos" w:hAnsi="Arial" w:cs="Times New Roman"/>
          <w:b/>
          <w:bCs/>
          <w:kern w:val="0"/>
          <w:sz w:val="24"/>
          <w:szCs w:val="24"/>
        </w:rPr>
      </w:pPr>
      <w:r w:rsidRPr="001943DF">
        <w:rPr>
          <w:rFonts w:ascii="Arial" w:eastAsia="Aptos" w:hAnsi="Arial" w:cs="Times New Roman"/>
          <w:b/>
          <w:bCs/>
          <w:kern w:val="0"/>
          <w:sz w:val="24"/>
          <w:szCs w:val="24"/>
        </w:rPr>
        <w:t xml:space="preserve">Lecturer: </w:t>
      </w:r>
      <w:r w:rsidR="00A77511" w:rsidRPr="00A77511">
        <w:rPr>
          <w:rFonts w:ascii="Arial" w:eastAsia="Aptos" w:hAnsi="Arial" w:cs="Times New Roman"/>
          <w:b/>
          <w:bCs/>
          <w:kern w:val="0"/>
          <w:sz w:val="24"/>
          <w:szCs w:val="24"/>
        </w:rPr>
        <w:t>Lisa Knight</w:t>
      </w:r>
    </w:p>
    <w:p w14:paraId="0A43E3CE" w14:textId="77777777" w:rsidR="00D4501B" w:rsidRDefault="00D4501B" w:rsidP="00EC100A">
      <w:pPr>
        <w:spacing w:after="200" w:line="360" w:lineRule="auto"/>
        <w:jc w:val="center"/>
        <w:rPr>
          <w:rFonts w:ascii="Times New Roman" w:eastAsia="Arial" w:hAnsi="Times New Roman" w:cs="Arial"/>
          <w:b/>
          <w:bCs/>
          <w:kern w:val="0"/>
          <w:sz w:val="36"/>
          <w:szCs w:val="32"/>
          <w:lang w:eastAsia="en-GB"/>
          <w14:ligatures w14:val="none"/>
        </w:rPr>
      </w:pPr>
    </w:p>
    <w:p w14:paraId="7A77AB02" w14:textId="77777777" w:rsidR="00D4501B" w:rsidRDefault="00D4501B" w:rsidP="00EC100A">
      <w:pPr>
        <w:spacing w:after="200" w:line="360" w:lineRule="auto"/>
        <w:jc w:val="center"/>
        <w:rPr>
          <w:rFonts w:ascii="Times New Roman" w:eastAsia="Arial" w:hAnsi="Times New Roman" w:cs="Arial"/>
          <w:b/>
          <w:bCs/>
          <w:kern w:val="0"/>
          <w:sz w:val="36"/>
          <w:szCs w:val="32"/>
          <w:lang w:eastAsia="en-GB"/>
          <w14:ligatures w14:val="none"/>
        </w:rPr>
      </w:pPr>
    </w:p>
    <w:p w14:paraId="005E85BE" w14:textId="77777777" w:rsidR="00D4501B" w:rsidRDefault="00D4501B" w:rsidP="00EC100A">
      <w:pPr>
        <w:spacing w:after="200" w:line="360" w:lineRule="auto"/>
        <w:jc w:val="center"/>
        <w:rPr>
          <w:rFonts w:ascii="Times New Roman" w:eastAsia="Arial" w:hAnsi="Times New Roman" w:cs="Arial"/>
          <w:b/>
          <w:bCs/>
          <w:kern w:val="0"/>
          <w:sz w:val="36"/>
          <w:szCs w:val="32"/>
          <w:lang w:eastAsia="en-GB"/>
          <w14:ligatures w14:val="none"/>
        </w:rPr>
      </w:pPr>
    </w:p>
    <w:p w14:paraId="21267409" w14:textId="25F3673A" w:rsidR="00EA1C24" w:rsidRDefault="00EA1C24" w:rsidP="00EC100A">
      <w:pPr>
        <w:spacing w:after="200" w:line="360" w:lineRule="auto"/>
        <w:jc w:val="center"/>
        <w:rPr>
          <w:rFonts w:ascii="Times New Roman" w:eastAsia="Arial" w:hAnsi="Times New Roman" w:cs="Arial"/>
          <w:kern w:val="0"/>
          <w:sz w:val="24"/>
          <w:lang w:eastAsia="en-GB"/>
          <w14:ligatures w14:val="none"/>
        </w:rPr>
      </w:pPr>
      <w:r w:rsidRPr="00EA1C24">
        <w:rPr>
          <w:rFonts w:ascii="Times New Roman" w:eastAsia="Arial" w:hAnsi="Times New Roman" w:cs="Arial"/>
          <w:kern w:val="0"/>
          <w:sz w:val="24"/>
          <w:lang w:eastAsia="en-GB"/>
          <w14:ligatures w14:val="none"/>
        </w:rPr>
        <w:br w:type="page"/>
      </w:r>
    </w:p>
    <w:p w14:paraId="213652EE" w14:textId="77777777" w:rsidR="00D4501B" w:rsidRPr="00761473" w:rsidRDefault="00D4501B" w:rsidP="00EC100A">
      <w:pPr>
        <w:spacing w:line="360" w:lineRule="auto"/>
        <w:jc w:val="center"/>
        <w:rPr>
          <w:rFonts w:ascii="Arial" w:eastAsia="Aptos" w:hAnsi="Arial" w:cs="Times New Roman"/>
          <w:b/>
          <w:bCs/>
          <w:color w:val="000000" w:themeColor="text1"/>
          <w:kern w:val="0"/>
          <w:sz w:val="24"/>
          <w:szCs w:val="24"/>
        </w:rPr>
      </w:pPr>
    </w:p>
    <w:p w14:paraId="3C183859" w14:textId="77777777" w:rsidR="00D4501B" w:rsidRPr="00761473" w:rsidRDefault="00D4501B" w:rsidP="00EC100A">
      <w:pPr>
        <w:spacing w:line="360" w:lineRule="auto"/>
        <w:jc w:val="both"/>
        <w:rPr>
          <w:rFonts w:ascii="Arial" w:eastAsia="Aptos" w:hAnsi="Arial" w:cs="Times New Roman"/>
          <w:color w:val="000000" w:themeColor="text1"/>
          <w:kern w:val="0"/>
          <w:sz w:val="24"/>
          <w:szCs w:val="24"/>
        </w:rPr>
      </w:pPr>
      <w:r w:rsidRPr="00761473">
        <w:rPr>
          <w:rFonts w:ascii="Arial" w:eastAsia="Aptos" w:hAnsi="Arial" w:cs="Times New Roman"/>
          <w:color w:val="000000" w:themeColor="text1"/>
          <w:kern w:val="0"/>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836778A" w14:textId="77777777" w:rsidR="00D4501B" w:rsidRPr="00761473" w:rsidRDefault="00D4501B" w:rsidP="00EC100A">
      <w:pPr>
        <w:spacing w:line="360" w:lineRule="auto"/>
        <w:jc w:val="center"/>
        <w:rPr>
          <w:rFonts w:ascii="Arial" w:eastAsia="Aptos" w:hAnsi="Arial" w:cs="Times New Roman"/>
          <w:b/>
          <w:bCs/>
          <w:i/>
          <w:iCs/>
          <w:color w:val="0B769F"/>
          <w:kern w:val="0"/>
          <w:sz w:val="24"/>
          <w:szCs w:val="24"/>
        </w:rPr>
      </w:pPr>
    </w:p>
    <w:p w14:paraId="1256D353"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1C8AC73B"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7CCA4D05"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F16EAC6"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548A51AF"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3EBA425"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41F366D0"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18B1178A"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60F2E91"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10DD0363"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2B6C3C1"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68A4D33A"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6B1704A9"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25A8487"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4E1F81B"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52E4A552"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3027CF9F" w14:textId="77777777" w:rsidR="00D4501B" w:rsidRDefault="00D4501B" w:rsidP="00EC100A">
      <w:pPr>
        <w:spacing w:after="200" w:line="360" w:lineRule="auto"/>
        <w:jc w:val="center"/>
        <w:rPr>
          <w:rFonts w:ascii="Times New Roman" w:eastAsia="Arial" w:hAnsi="Times New Roman" w:cs="Arial"/>
          <w:kern w:val="0"/>
          <w:sz w:val="24"/>
          <w:lang w:eastAsia="en-GB"/>
          <w14:ligatures w14:val="none"/>
        </w:rPr>
      </w:pPr>
    </w:p>
    <w:p w14:paraId="5B3E4FEA" w14:textId="77777777" w:rsidR="00EA1C24" w:rsidRPr="00EA1C24" w:rsidRDefault="00EA1C24" w:rsidP="00EC100A">
      <w:pPr>
        <w:spacing w:before="120" w:after="240" w:line="360" w:lineRule="auto"/>
        <w:jc w:val="center"/>
        <w:rPr>
          <w:rFonts w:ascii="Arial" w:eastAsia="Arial" w:hAnsi="Arial" w:cs="Arial"/>
          <w:b/>
          <w:bCs/>
          <w:kern w:val="0"/>
          <w:sz w:val="24"/>
          <w:lang w:eastAsia="en-GB"/>
          <w14:ligatures w14:val="none"/>
        </w:rPr>
      </w:pPr>
      <w:r w:rsidRPr="00EA1C24">
        <w:rPr>
          <w:rFonts w:ascii="Arial" w:eastAsia="Arial" w:hAnsi="Arial" w:cs="Arial"/>
          <w:b/>
          <w:bCs/>
          <w:kern w:val="0"/>
          <w:sz w:val="24"/>
          <w:lang w:eastAsia="en-GB"/>
          <w14:ligatures w14:val="none"/>
        </w:rPr>
        <w:t xml:space="preserve">The role of Corporate Social Responsibility (CSR) in promoting sustainability in </w:t>
      </w:r>
      <w:r w:rsidRPr="00EA1C24">
        <w:rPr>
          <w:rFonts w:ascii="Helvetica" w:eastAsia="Arial" w:hAnsi="Helvetica" w:cs="Arial"/>
          <w:b/>
          <w:bCs/>
          <w:kern w:val="0"/>
          <w:sz w:val="24"/>
          <w:shd w:val="clear" w:color="auto" w:fill="FFFFFF"/>
          <w:lang w:eastAsia="en-GB"/>
          <w14:ligatures w14:val="none"/>
        </w:rPr>
        <w:t>Marriott hotel, Marble Arch, London.</w:t>
      </w:r>
    </w:p>
    <w:p w14:paraId="008CAB43"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p>
    <w:p w14:paraId="2F92E85B"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CSR is the voluntary commitment of a business venture to act responsibly for the interest of not only the company but also the public and the environment. It is a concept where a company accepts liability and accountability in managing the social, environmental, and economic effects that arise from its activities and operations towards affecting the welfare of societies and the natural environment. In the hospitality and tourism industries, CSR is a significant concept because these sectors rely on natural and cultural resources and influence communities in many ways.</w:t>
      </w:r>
    </w:p>
    <w:p w14:paraId="31E8BBAF"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Hence, CSR ranges from the minimization of a company’s effect on the environment through measures such as policy and practice in the areas of energy and water conservation and supplying products locally through fair labour practices. Marriott Hotels, for instance, implements CSR in its day-to-day business by incorporating environmental management systems including waste management, energy management and anti-corruption programs. CSR, therefore, benefits hospitality organizations by not only reducing negative impacts on the environment and communities but also by improving businesses’ image, and ability to appeal to consumers whose values can help create sustainable relations for the future. Due to its direct link to achieving sustainable business and environmental goals, CSR plays a critical role in the responsibility and management of hospitality and tourism businesses.</w:t>
      </w:r>
    </w:p>
    <w:p w14:paraId="4874F8A3" w14:textId="77777777" w:rsidR="00EA1C24" w:rsidRPr="00EA1C24" w:rsidRDefault="00EA1C24" w:rsidP="00EC100A">
      <w:pPr>
        <w:spacing w:after="20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br w:type="page"/>
      </w:r>
    </w:p>
    <w:p w14:paraId="4A734F0E"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lastRenderedPageBreak/>
        <w:t>Through its definition, CSR can be viewed as a key to enhancing sustainability within the hospitality industry (Yadav, 2016). A relevant example can be seen with Marriott Hotels, a major player within the hospitality industry that has integrated CSR measures as part of its strategic development process, thereby indicating the company’s responsibility for environmental, social, and economic issues. The hospitality industry is a major user of natural resources and is situated in various communities; it is under pressure from various stakeholders such as its customers, investors and governments to embrace sustainable business practices. CSR is a strategy that can help Marriott Hotels limit the negative impact on the environment, improve well-being in the local community, and build sustainable value for the company and its shareholders by becoming a socially responsible company.</w:t>
      </w:r>
    </w:p>
    <w:p w14:paraId="44ACB955"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Energy conservation is one of the focal areas that have been effectively addressed by CSR programmes in Marriott Hotels in the quest to enhance sustainability (Testa et al., 2015). Specifically, the hotel industry has a significant power requirement for local operations such as lighting, HVAC, laundry, and kitchen. Energy saving has also been implemented in Marriott Hotels </w:t>
      </w:r>
      <w:proofErr w:type="gramStart"/>
      <w:r w:rsidRPr="00EA1C24">
        <w:rPr>
          <w:rFonts w:ascii="Arial" w:eastAsia="Arial" w:hAnsi="Arial" w:cs="Arial"/>
          <w:kern w:val="0"/>
          <w:sz w:val="24"/>
          <w:lang w:eastAsia="en-GB"/>
          <w14:ligatures w14:val="none"/>
        </w:rPr>
        <w:t>through the use of</w:t>
      </w:r>
      <w:proofErr w:type="gramEnd"/>
      <w:r w:rsidRPr="00EA1C24">
        <w:rPr>
          <w:rFonts w:ascii="Arial" w:eastAsia="Arial" w:hAnsi="Arial" w:cs="Arial"/>
          <w:kern w:val="0"/>
          <w:sz w:val="24"/>
          <w:lang w:eastAsia="en-GB"/>
          <w14:ligatures w14:val="none"/>
        </w:rPr>
        <w:t xml:space="preserve"> energy-efficient lighting, smart thermostat systems and the adoption of renewable energy like solar power. Such measures also help in decreasing the carbon imprint of the hotel while at the same time guaranteeing financial returns that could again be invested in sustainability measures. Marriott Hotels’ focus on reducing energy consumption shows that CSR can lead to organizational enhancements that are consistent with the fight against climate change.</w:t>
      </w:r>
    </w:p>
    <w:p w14:paraId="314EC546"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The area of operation in which CSR supports sustainability in Marriott hotels is the water sector (Stabler and Goodall, 2016). Another important facet of the hospitality industry is the aspect of water because hotels consume a lot in areas such as guest room faucets, laundry facilities, irrigation for greenery, and swimming pools. To decrease its water usage, Marriott has installed low-flow showerheads, faucets and toilets, plus mechanisms for recirculating water. Moreover, the company participates in water management for water-scarce regions including participating in the water stewardship program for water-scarce regions whereby it collaborates with community members and other non-governmental organizations. Consequently, the focus on the use of water affects not only </w:t>
      </w:r>
      <w:r w:rsidRPr="00EA1C24">
        <w:rPr>
          <w:rFonts w:ascii="Arial" w:eastAsia="Arial" w:hAnsi="Arial" w:cs="Arial"/>
          <w:kern w:val="0"/>
          <w:sz w:val="24"/>
          <w:lang w:eastAsia="en-GB"/>
          <w14:ligatures w14:val="none"/>
        </w:rPr>
        <w:lastRenderedPageBreak/>
        <w:t>environmental responsibilities but also the risk management of water scarcity, which is a growing problem in many countries.</w:t>
      </w:r>
    </w:p>
    <w:p w14:paraId="35F2EEA3"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Another area in CSR that Marriott Hotels has emphasized in its sustainability effort is waste management (Sheldon and Park, 2011). The industry thus contributes significantly to waste generation in terms of food waste, packaging materials and single-use plastics. Marriott Hotel has </w:t>
      </w:r>
      <w:proofErr w:type="gramStart"/>
      <w:r w:rsidRPr="00EA1C24">
        <w:rPr>
          <w:rFonts w:ascii="Arial" w:eastAsia="Arial" w:hAnsi="Arial" w:cs="Arial"/>
          <w:kern w:val="0"/>
          <w:sz w:val="24"/>
          <w:lang w:eastAsia="en-GB"/>
          <w14:ligatures w14:val="none"/>
        </w:rPr>
        <w:t>gone to a great extent</w:t>
      </w:r>
      <w:proofErr w:type="gramEnd"/>
      <w:r w:rsidRPr="00EA1C24">
        <w:rPr>
          <w:rFonts w:ascii="Arial" w:eastAsia="Arial" w:hAnsi="Arial" w:cs="Arial"/>
          <w:kern w:val="0"/>
          <w:sz w:val="24"/>
          <w:lang w:eastAsia="en-GB"/>
          <w14:ligatures w14:val="none"/>
        </w:rPr>
        <w:t xml:space="preserve"> to reduce waste by cutting down portions of food that are thrown away by improving its stock control systems, donating food that is left over to needy families and showing support to waste management companies through recycling materials and compost bins to manage organic wastes (</w:t>
      </w:r>
      <w:proofErr w:type="spellStart"/>
      <w:r w:rsidRPr="00EA1C24">
        <w:rPr>
          <w:rFonts w:ascii="Arial" w:eastAsia="Arial" w:hAnsi="Arial" w:cs="Arial"/>
          <w:kern w:val="0"/>
          <w:sz w:val="24"/>
          <w:lang w:eastAsia="en-GB"/>
          <w14:ligatures w14:val="none"/>
        </w:rPr>
        <w:t>Bohdanowicz</w:t>
      </w:r>
      <w:proofErr w:type="spellEnd"/>
      <w:r w:rsidRPr="00EA1C24">
        <w:rPr>
          <w:rFonts w:ascii="Arial" w:eastAsia="Arial" w:hAnsi="Arial" w:cs="Arial"/>
          <w:kern w:val="0"/>
          <w:sz w:val="24"/>
          <w:lang w:eastAsia="en-GB"/>
          <w14:ligatures w14:val="none"/>
        </w:rPr>
        <w:t xml:space="preserve"> and Zientara, 2012). The company has also pledged to do better on the issue of eradicating single-use plastics within its operations and facilities by removing plastic straws, stirrers and any disposable items. These initiatives are important in ensuring that the impacts of the hotel on the environment are well minimized especially </w:t>
      </w:r>
      <w:proofErr w:type="gramStart"/>
      <w:r w:rsidRPr="00EA1C24">
        <w:rPr>
          <w:rFonts w:ascii="Arial" w:eastAsia="Arial" w:hAnsi="Arial" w:cs="Arial"/>
          <w:kern w:val="0"/>
          <w:sz w:val="24"/>
          <w:lang w:eastAsia="en-GB"/>
          <w14:ligatures w14:val="none"/>
        </w:rPr>
        <w:t>in light of</w:t>
      </w:r>
      <w:proofErr w:type="gramEnd"/>
      <w:r w:rsidRPr="00EA1C24">
        <w:rPr>
          <w:rFonts w:ascii="Arial" w:eastAsia="Arial" w:hAnsi="Arial" w:cs="Arial"/>
          <w:kern w:val="0"/>
          <w:sz w:val="24"/>
          <w:lang w:eastAsia="en-GB"/>
          <w14:ligatures w14:val="none"/>
        </w:rPr>
        <w:t xml:space="preserve"> the current global concern in the ocean and landfills pollution mainly caused by plastics.</w:t>
      </w:r>
    </w:p>
    <w:p w14:paraId="43B9C5BF" w14:textId="54AEB8C0"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Other aspects of CSR in operation at Marriott Hotel include social responsibility by seeking to address the welfare of workers and the </w:t>
      </w:r>
      <w:proofErr w:type="gramStart"/>
      <w:r w:rsidRPr="00EA1C24">
        <w:rPr>
          <w:rFonts w:ascii="Arial" w:eastAsia="Arial" w:hAnsi="Arial" w:cs="Arial"/>
          <w:kern w:val="0"/>
          <w:sz w:val="24"/>
          <w:lang w:eastAsia="en-GB"/>
          <w14:ligatures w14:val="none"/>
        </w:rPr>
        <w:t>community as a whole</w:t>
      </w:r>
      <w:proofErr w:type="gramEnd"/>
      <w:r w:rsidRPr="00EA1C24">
        <w:rPr>
          <w:rFonts w:ascii="Arial" w:eastAsia="Arial" w:hAnsi="Arial" w:cs="Arial"/>
          <w:kern w:val="0"/>
          <w:sz w:val="24"/>
          <w:lang w:eastAsia="en-GB"/>
          <w14:ligatures w14:val="none"/>
        </w:rPr>
        <w:t xml:space="preserve"> (</w:t>
      </w:r>
      <w:proofErr w:type="spellStart"/>
      <w:r w:rsidRPr="00EA1C24">
        <w:rPr>
          <w:rFonts w:ascii="Arial" w:eastAsia="Arial" w:hAnsi="Arial" w:cs="Arial"/>
          <w:kern w:val="0"/>
          <w:sz w:val="24"/>
          <w:lang w:eastAsia="en-GB"/>
          <w14:ligatures w14:val="none"/>
        </w:rPr>
        <w:t>Rhou</w:t>
      </w:r>
      <w:proofErr w:type="spellEnd"/>
      <w:r w:rsidRPr="00EA1C24">
        <w:rPr>
          <w:rFonts w:ascii="Arial" w:eastAsia="Arial" w:hAnsi="Arial" w:cs="Arial"/>
          <w:kern w:val="0"/>
          <w:sz w:val="24"/>
          <w:lang w:eastAsia="en-GB"/>
          <w14:ligatures w14:val="none"/>
        </w:rPr>
        <w:t>, Singal and Koh, 2016). Another significant Marriott policy is Diversity, Equity &amp; Inclusion whereby it is committed to spare treatment of its employees across gender, race or any other discrimination. The company has training courses that could help advance an employee’s career and respect diversity in the workplace. In addition, Marriott has taken its CSR activities a notch higher as it concerns itself with the welfare of different communities especially those within its operations domain. Marriott Hotels by aligning with charitable organizations has been involved in education, healthcare, and natural disasters. These efforts also help in obtaining social licenses to operate and improve the relations with the communities where the business is carried out.</w:t>
      </w:r>
    </w:p>
    <w:p w14:paraId="48E404C1"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Although Marriott Hotels has come up with various programs and campaigns in its CSR policies to support sustainability, the company is among many in the hospitality industry that are grappling with the best way to effectively implement sustainable policies (Rodríguez and Cruz, 2017). The first is the expenditure that should be incurred for the </w:t>
      </w:r>
      <w:r w:rsidRPr="00EA1C24">
        <w:rPr>
          <w:rFonts w:ascii="Arial" w:eastAsia="Arial" w:hAnsi="Arial" w:cs="Arial"/>
          <w:kern w:val="0"/>
          <w:sz w:val="24"/>
          <w:lang w:eastAsia="en-GB"/>
          <w14:ligatures w14:val="none"/>
        </w:rPr>
        <w:lastRenderedPageBreak/>
        <w:t xml:space="preserve">implementation and use of sustainable technologies and practices (Sloan, Legrand and Chen, 2013). For instance, lighting, HVAC upgrades or integrating renewable sources of power call for huge capital expenditure that medium and smaller hotel properties or franchisees cannot afford hence they underutilize it. Moreover, achieving the formal goals while maintaining a profitable business model might be challenging and can become acute during an environmental crisis or recession. Marriott </w:t>
      </w:r>
      <w:proofErr w:type="gramStart"/>
      <w:r w:rsidRPr="00EA1C24">
        <w:rPr>
          <w:rFonts w:ascii="Arial" w:eastAsia="Arial" w:hAnsi="Arial" w:cs="Arial"/>
          <w:kern w:val="0"/>
          <w:sz w:val="24"/>
          <w:lang w:eastAsia="en-GB"/>
          <w14:ligatures w14:val="none"/>
        </w:rPr>
        <w:t>has to</w:t>
      </w:r>
      <w:proofErr w:type="gramEnd"/>
      <w:r w:rsidRPr="00EA1C24">
        <w:rPr>
          <w:rFonts w:ascii="Arial" w:eastAsia="Arial" w:hAnsi="Arial" w:cs="Arial"/>
          <w:kern w:val="0"/>
          <w:sz w:val="24"/>
          <w:lang w:eastAsia="en-GB"/>
          <w14:ligatures w14:val="none"/>
        </w:rPr>
        <w:t xml:space="preserve"> always show to the stakeholders that their CSR initiatives are beneficial to the company’s sustainability and not only to the environment and society.</w:t>
      </w:r>
    </w:p>
    <w:p w14:paraId="6E974E2E"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The second challenge relates to the operationalization of multinational businesses that take place across borders. Marriott Hotel chain currently has a global presence in more than 130 countries and each of the countries is faced with distinct legal systems, cultural practices, and resources available (Rahman, Reynolds and </w:t>
      </w:r>
      <w:proofErr w:type="spellStart"/>
      <w:r w:rsidRPr="00EA1C24">
        <w:rPr>
          <w:rFonts w:ascii="Arial" w:eastAsia="Arial" w:hAnsi="Arial" w:cs="Arial"/>
          <w:kern w:val="0"/>
          <w:sz w:val="24"/>
          <w:lang w:eastAsia="en-GB"/>
          <w14:ligatures w14:val="none"/>
        </w:rPr>
        <w:t>Svaren</w:t>
      </w:r>
      <w:proofErr w:type="spellEnd"/>
      <w:r w:rsidRPr="00EA1C24">
        <w:rPr>
          <w:rFonts w:ascii="Arial" w:eastAsia="Arial" w:hAnsi="Arial" w:cs="Arial"/>
          <w:kern w:val="0"/>
          <w:sz w:val="24"/>
          <w:lang w:eastAsia="en-GB"/>
          <w14:ligatures w14:val="none"/>
        </w:rPr>
        <w:t xml:space="preserve">, 2012). It is impossible to standardize CSR activities due to the company’s objectives, which </w:t>
      </w:r>
      <w:proofErr w:type="gramStart"/>
      <w:r w:rsidRPr="00EA1C24">
        <w:rPr>
          <w:rFonts w:ascii="Arial" w:eastAsia="Arial" w:hAnsi="Arial" w:cs="Arial"/>
          <w:kern w:val="0"/>
          <w:sz w:val="24"/>
          <w:lang w:eastAsia="en-GB"/>
          <w14:ligatures w14:val="none"/>
        </w:rPr>
        <w:t>have to</w:t>
      </w:r>
      <w:proofErr w:type="gramEnd"/>
      <w:r w:rsidRPr="00EA1C24">
        <w:rPr>
          <w:rFonts w:ascii="Arial" w:eastAsia="Arial" w:hAnsi="Arial" w:cs="Arial"/>
          <w:kern w:val="0"/>
          <w:sz w:val="24"/>
          <w:lang w:eastAsia="en-GB"/>
          <w14:ligatures w14:val="none"/>
        </w:rPr>
        <w:t xml:space="preserve"> adapt to local conditions and stakeholders’ expectations. For instance, the efforts aimed at water saving may be more important for regions characterized by a severe shortage of water supplies than for regions which have recently experienced flooding (International Trade Centre, 2017). Likewise, the management of waste could also vary based on the availability of recycling facilities or the lack of or based on the government policies in the country. One of the most effective strategies in overcoming these challenges is Marriott’s capacity to be consistent in CSR while being flexible on other aspects of its strategy depending on the environment in which it operates.</w:t>
      </w:r>
    </w:p>
    <w:p w14:paraId="3D9F3465"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However, the following are some of the opportunities available to Marriott Hotels </w:t>
      </w:r>
      <w:proofErr w:type="gramStart"/>
      <w:r w:rsidRPr="00EA1C24">
        <w:rPr>
          <w:rFonts w:ascii="Arial" w:eastAsia="Arial" w:hAnsi="Arial" w:cs="Arial"/>
          <w:kern w:val="0"/>
          <w:sz w:val="24"/>
          <w:lang w:eastAsia="en-GB"/>
          <w14:ligatures w14:val="none"/>
        </w:rPr>
        <w:t>in order to</w:t>
      </w:r>
      <w:proofErr w:type="gramEnd"/>
      <w:r w:rsidRPr="00EA1C24">
        <w:rPr>
          <w:rFonts w:ascii="Arial" w:eastAsia="Arial" w:hAnsi="Arial" w:cs="Arial"/>
          <w:kern w:val="0"/>
          <w:sz w:val="24"/>
          <w:lang w:eastAsia="en-GB"/>
          <w14:ligatures w14:val="none"/>
        </w:rPr>
        <w:t xml:space="preserve"> expand on its CSR undertakings and advance the aspect of sustainability in the hospitality sector (Mensah and Blankson, 2013). Of the opportunities that can be found when entering this sector, the largest and most important one is the increasing interest in green or sustainable tourism. To this effect, consumers are becoming aware of the environment, and hence, they expect hotels to provide them with sustainable meal plans, green rooms, and carbon-neutral activities (Simpson and Taylor, 2016). In exploiting this trend, Marriott should increase green hotel certifications, highlight these achievements in its marketing strategies, and provide guests with chances to join sustainable practices </w:t>
      </w:r>
      <w:r w:rsidRPr="00EA1C24">
        <w:rPr>
          <w:rFonts w:ascii="Arial" w:eastAsia="Arial" w:hAnsi="Arial" w:cs="Arial"/>
          <w:kern w:val="0"/>
          <w:sz w:val="24"/>
          <w:lang w:eastAsia="en-GB"/>
          <w14:ligatures w14:val="none"/>
        </w:rPr>
        <w:lastRenderedPageBreak/>
        <w:t>including depositing reusable cups, sheets and towels, or contributing to local conservation projects. By earning a reputation for spearheading sustainability efforts in the Marriott hospitality business, the company can appeal to the increasing numbers of well-conscious and capture the market's loyal customer base.</w:t>
      </w:r>
    </w:p>
    <w:p w14:paraId="1FA9DFEF"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It is crucial to acknowledge that technological advancements also bring a chance for Marriott Hotels to elevate CSR (Hsieh, 2012). Information technologies including the IoT, AI, and big data allow for better management, a better experience for guests, and more accurate sustainability reporting. For instance, smart devices within the IoT will manage lighting and temperature according to the number of people in the room and with AI, it will assess data to anticipate when maintenance may be required, thereby minimising costs (Holcomb, Upchurch and </w:t>
      </w:r>
      <w:proofErr w:type="spellStart"/>
      <w:r w:rsidRPr="00EA1C24">
        <w:rPr>
          <w:rFonts w:ascii="Arial" w:eastAsia="Arial" w:hAnsi="Arial" w:cs="Arial"/>
          <w:kern w:val="0"/>
          <w:sz w:val="24"/>
          <w:lang w:eastAsia="en-GB"/>
          <w14:ligatures w14:val="none"/>
        </w:rPr>
        <w:t>Okumus</w:t>
      </w:r>
      <w:proofErr w:type="spellEnd"/>
      <w:r w:rsidRPr="00EA1C24">
        <w:rPr>
          <w:rFonts w:ascii="Arial" w:eastAsia="Arial" w:hAnsi="Arial" w:cs="Arial"/>
          <w:kern w:val="0"/>
          <w:sz w:val="24"/>
          <w:lang w:eastAsia="en-GB"/>
          <w14:ligatures w14:val="none"/>
        </w:rPr>
        <w:t>, 2017). Marriott can continue utilising these technologies in a bid to decrease its footprint towards the environment and increase the organisation’s sustainability.</w:t>
      </w:r>
    </w:p>
    <w:p w14:paraId="5300941D"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Furthermore, there is a favourable opportunity for Marriott Hotels to enhance its relations with suppliers and other stakeholders to advance sustainability in every phase of its operations. For instance, the company can engage its vendors in the purchase of environmentally friendly products which include food that has been farmed sustainably, exercising las recycling media, and biodegradable cleaning materials (Graci and Dodds, 2015). With the policy adopted, Marriott works toward changing supplier behaviour by setting the standards of sustainable supplier management and engaging suppliers in practising sustainable actions.</w:t>
      </w:r>
    </w:p>
    <w:p w14:paraId="69615358" w14:textId="77777777" w:rsidR="00545DBE"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CSR has a significant function in supporting sustainability within Marriott Hotels and the field of hospitality (Beckmann, 2016). Marriott has improved its environmental management and social impacts through energy conservation, water management, waste minimization, employee stock availability, and social responsibilities to the public (Farmer and Hogue, 2020). The company does experience some issues such as the high cost of undertaking sustainability investments, the complexity of operation at the global level, and the increasing need to achieve both business and CSR objectives. </w:t>
      </w:r>
    </w:p>
    <w:p w14:paraId="583EF087" w14:textId="4DF2743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lastRenderedPageBreak/>
        <w:t>However, the following are some opportunities which Marriott can tap into to expand its sustainability framework: an increase in demand for sustainable tourism, the advancement in technologies, and the need for cooperation with suppliers. Marriott Hotels should ensure that CSR remains a central aspect of its strategic planning because CSR can positively impact the overall development of the hospitality industry as well as bring value to its stakeholders in the long run.</w:t>
      </w:r>
    </w:p>
    <w:p w14:paraId="4FC29BA9" w14:textId="7C4FCD01"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Corporate Social Responsibility is an essential component of sustainability for hospitality business as pointed out in the essay using Marriott Hotels as an example. Examples of CSR strategies are energy efficiency, water usage, waste minimization, and stakeholder engagement all of which play an important role in lessening the negative effects on the environment and encouraging social responsibility. These efforts also increase operational efficiency and lead to a positive perception by the stakeholders and consumers who value the environment.</w:t>
      </w:r>
    </w:p>
    <w:p w14:paraId="77DA7FCA"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The main realms, which can be improved through the application of CSR programs, relate to saving energy via the utilization of efficient technologies, water-saving measures, and waste management. Marriott’s concentration on social responsibility, for instance, diversity, equity, &amp; inclusion, equally extends the concept of CSR comprehensively.</w:t>
      </w:r>
    </w:p>
    <w:p w14:paraId="1465655E"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Moreover, they come across some disadvantages like a cost for implementing sustainable technologies and operational issues as the company is international. Nevertheless, there are prospects, for instance, the increasing interest in the effective utilization of natural resources through sustainable tourism as well as the progressive development of technologies that offer the potential for the enhancement of Marriott’s sustainability strategies. CSR is crucial for the sustainable development of the hospitality industry as it adds environmental value and long-term worth for corporations, such as Marriott Hotels.</w:t>
      </w:r>
    </w:p>
    <w:p w14:paraId="10EE79BA" w14:textId="77777777" w:rsidR="00EA1C24" w:rsidRPr="00EA1C24" w:rsidRDefault="00EA1C24" w:rsidP="00EC100A">
      <w:pPr>
        <w:spacing w:after="20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br w:type="page"/>
      </w:r>
    </w:p>
    <w:p w14:paraId="27C09F5A" w14:textId="77777777" w:rsidR="00EA1C24" w:rsidRPr="00EA1C24" w:rsidRDefault="00EA1C24" w:rsidP="00EC100A">
      <w:pPr>
        <w:spacing w:before="120" w:after="240" w:line="360" w:lineRule="auto"/>
        <w:jc w:val="both"/>
        <w:rPr>
          <w:rFonts w:ascii="Arial" w:eastAsia="Arial" w:hAnsi="Arial" w:cs="Arial"/>
          <w:b/>
          <w:bCs/>
          <w:kern w:val="0"/>
          <w:sz w:val="24"/>
          <w:lang w:eastAsia="en-GB"/>
          <w14:ligatures w14:val="none"/>
        </w:rPr>
      </w:pPr>
      <w:r w:rsidRPr="00EA1C24">
        <w:rPr>
          <w:rFonts w:ascii="Arial" w:eastAsia="Arial" w:hAnsi="Arial" w:cs="Arial"/>
          <w:b/>
          <w:bCs/>
          <w:kern w:val="0"/>
          <w:sz w:val="24"/>
          <w:lang w:eastAsia="en-GB"/>
          <w14:ligatures w14:val="none"/>
        </w:rPr>
        <w:lastRenderedPageBreak/>
        <w:t>References</w:t>
      </w:r>
    </w:p>
    <w:p w14:paraId="23ADFDD0" w14:textId="1C789F0B"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Beckmann, S.C. (2016). </w:t>
      </w:r>
      <w:r w:rsidRPr="00EA1C24">
        <w:rPr>
          <w:rFonts w:ascii="Arial" w:eastAsia="Arial" w:hAnsi="Arial" w:cs="Arial"/>
          <w:i/>
          <w:iCs/>
          <w:kern w:val="0"/>
          <w:sz w:val="24"/>
          <w:lang w:eastAsia="en-GB"/>
          <w14:ligatures w14:val="none"/>
        </w:rPr>
        <w:t>Strategic CSR communication</w:t>
      </w:r>
      <w:r w:rsidRPr="00EA1C24">
        <w:rPr>
          <w:rFonts w:ascii="Arial" w:eastAsia="Arial" w:hAnsi="Arial" w:cs="Arial"/>
          <w:kern w:val="0"/>
          <w:sz w:val="24"/>
          <w:lang w:eastAsia="en-GB"/>
          <w14:ligatures w14:val="none"/>
        </w:rPr>
        <w:t xml:space="preserve">. Copenhagen: Jurist- Og </w:t>
      </w:r>
      <w:proofErr w:type="spellStart"/>
      <w:r w:rsidRPr="00EA1C24">
        <w:rPr>
          <w:rFonts w:ascii="Arial" w:eastAsia="Arial" w:hAnsi="Arial" w:cs="Arial"/>
          <w:kern w:val="0"/>
          <w:sz w:val="24"/>
          <w:lang w:eastAsia="en-GB"/>
          <w14:ligatures w14:val="none"/>
        </w:rPr>
        <w:t>konomforbundet</w:t>
      </w:r>
      <w:proofErr w:type="spellEnd"/>
      <w:r w:rsidRPr="00EA1C24">
        <w:rPr>
          <w:rFonts w:ascii="Arial" w:eastAsia="Arial" w:hAnsi="Arial" w:cs="Arial"/>
          <w:kern w:val="0"/>
          <w:sz w:val="24"/>
          <w:lang w:eastAsia="en-GB"/>
          <w14:ligatures w14:val="none"/>
        </w:rPr>
        <w:t>.</w:t>
      </w:r>
    </w:p>
    <w:p w14:paraId="64EEDE4A"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proofErr w:type="spellStart"/>
      <w:r w:rsidRPr="00EA1C24">
        <w:rPr>
          <w:rFonts w:ascii="Arial" w:eastAsia="Arial" w:hAnsi="Arial" w:cs="Arial"/>
          <w:kern w:val="0"/>
          <w:sz w:val="24"/>
          <w:lang w:eastAsia="en-GB"/>
          <w14:ligatures w14:val="none"/>
        </w:rPr>
        <w:t>Bohdanowicz</w:t>
      </w:r>
      <w:proofErr w:type="spellEnd"/>
      <w:r w:rsidRPr="00EA1C24">
        <w:rPr>
          <w:rFonts w:ascii="Arial" w:eastAsia="Arial" w:hAnsi="Arial" w:cs="Arial"/>
          <w:kern w:val="0"/>
          <w:sz w:val="24"/>
          <w:lang w:eastAsia="en-GB"/>
          <w14:ligatures w14:val="none"/>
        </w:rPr>
        <w:t xml:space="preserve">, P. and Zientara, P., (2012). CSR-inspired environmental initiatives in top hotel chains. </w:t>
      </w:r>
      <w:r w:rsidRPr="00EA1C24">
        <w:rPr>
          <w:rFonts w:ascii="Arial" w:eastAsia="Arial" w:hAnsi="Arial" w:cs="Arial"/>
          <w:i/>
          <w:iCs/>
          <w:kern w:val="0"/>
          <w:sz w:val="24"/>
          <w:lang w:eastAsia="en-GB"/>
          <w14:ligatures w14:val="none"/>
        </w:rPr>
        <w:t>Journal of Sustainable Tourism</w:t>
      </w:r>
      <w:r w:rsidRPr="00EA1C24">
        <w:rPr>
          <w:rFonts w:ascii="Arial" w:eastAsia="Arial" w:hAnsi="Arial" w:cs="Arial"/>
          <w:kern w:val="0"/>
          <w:sz w:val="24"/>
          <w:lang w:eastAsia="en-GB"/>
          <w14:ligatures w14:val="none"/>
        </w:rPr>
        <w:t>, 20(7), pp.897-917.</w:t>
      </w:r>
    </w:p>
    <w:p w14:paraId="3AD2B2E5"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Farmer, R.N. and Hogue, W.D. (2020). </w:t>
      </w:r>
      <w:r w:rsidRPr="00EA1C24">
        <w:rPr>
          <w:rFonts w:ascii="Arial" w:eastAsia="Arial" w:hAnsi="Arial" w:cs="Arial"/>
          <w:i/>
          <w:iCs/>
          <w:kern w:val="0"/>
          <w:sz w:val="24"/>
          <w:lang w:eastAsia="en-GB"/>
          <w14:ligatures w14:val="none"/>
        </w:rPr>
        <w:t>Corporate social responsibility</w:t>
      </w:r>
      <w:r w:rsidRPr="00EA1C24">
        <w:rPr>
          <w:rFonts w:ascii="Arial" w:eastAsia="Arial" w:hAnsi="Arial" w:cs="Arial"/>
          <w:kern w:val="0"/>
          <w:sz w:val="24"/>
          <w:lang w:eastAsia="en-GB"/>
          <w14:ligatures w14:val="none"/>
        </w:rPr>
        <w:t>. Lexington, Mass.: Lexington Books.</w:t>
      </w:r>
    </w:p>
    <w:p w14:paraId="4025D841"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Font, X., </w:t>
      </w:r>
      <w:proofErr w:type="spellStart"/>
      <w:r w:rsidRPr="00EA1C24">
        <w:rPr>
          <w:rFonts w:ascii="Arial" w:eastAsia="Arial" w:hAnsi="Arial" w:cs="Arial"/>
          <w:kern w:val="0"/>
          <w:sz w:val="24"/>
          <w:lang w:eastAsia="en-GB"/>
          <w14:ligatures w14:val="none"/>
        </w:rPr>
        <w:t>Guix</w:t>
      </w:r>
      <w:proofErr w:type="spellEnd"/>
      <w:r w:rsidRPr="00EA1C24">
        <w:rPr>
          <w:rFonts w:ascii="Arial" w:eastAsia="Arial" w:hAnsi="Arial" w:cs="Arial"/>
          <w:kern w:val="0"/>
          <w:sz w:val="24"/>
          <w:lang w:eastAsia="en-GB"/>
          <w14:ligatures w14:val="none"/>
        </w:rPr>
        <w:t xml:space="preserve">, M. and Bonilla-Priego, M.J., (2016). Corporate social responsibility in cruising: Using materiality analysis to create shared value. </w:t>
      </w:r>
      <w:r w:rsidRPr="00EA1C24">
        <w:rPr>
          <w:rFonts w:ascii="Arial" w:eastAsia="Arial" w:hAnsi="Arial" w:cs="Arial"/>
          <w:i/>
          <w:iCs/>
          <w:kern w:val="0"/>
          <w:sz w:val="24"/>
          <w:lang w:eastAsia="en-GB"/>
          <w14:ligatures w14:val="none"/>
        </w:rPr>
        <w:t>Tourism Management</w:t>
      </w:r>
      <w:r w:rsidRPr="00EA1C24">
        <w:rPr>
          <w:rFonts w:ascii="Arial" w:eastAsia="Arial" w:hAnsi="Arial" w:cs="Arial"/>
          <w:kern w:val="0"/>
          <w:sz w:val="24"/>
          <w:lang w:eastAsia="en-GB"/>
          <w14:ligatures w14:val="none"/>
        </w:rPr>
        <w:t>, 53, pp.175-186.</w:t>
      </w:r>
    </w:p>
    <w:p w14:paraId="06E60005"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Graci, S. and Dodds, R., (2015). Why go green? The business case for environmental commitment in the Canadian hotel industry. </w:t>
      </w:r>
      <w:r w:rsidRPr="00EA1C24">
        <w:rPr>
          <w:rFonts w:ascii="Arial" w:eastAsia="Arial" w:hAnsi="Arial" w:cs="Arial"/>
          <w:i/>
          <w:iCs/>
          <w:kern w:val="0"/>
          <w:sz w:val="24"/>
          <w:lang w:eastAsia="en-GB"/>
          <w14:ligatures w14:val="none"/>
        </w:rPr>
        <w:t>Anatolia</w:t>
      </w:r>
      <w:r w:rsidRPr="00EA1C24">
        <w:rPr>
          <w:rFonts w:ascii="Arial" w:eastAsia="Arial" w:hAnsi="Arial" w:cs="Arial"/>
          <w:kern w:val="0"/>
          <w:sz w:val="24"/>
          <w:lang w:eastAsia="en-GB"/>
          <w14:ligatures w14:val="none"/>
        </w:rPr>
        <w:t>, 26(2), pp.197-211.</w:t>
      </w:r>
    </w:p>
    <w:p w14:paraId="409B8174"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Holcomb, J.L., Upchurch, R.S. and </w:t>
      </w:r>
      <w:proofErr w:type="spellStart"/>
      <w:r w:rsidRPr="00EA1C24">
        <w:rPr>
          <w:rFonts w:ascii="Arial" w:eastAsia="Arial" w:hAnsi="Arial" w:cs="Arial"/>
          <w:kern w:val="0"/>
          <w:sz w:val="24"/>
          <w:lang w:eastAsia="en-GB"/>
          <w14:ligatures w14:val="none"/>
        </w:rPr>
        <w:t>Okumus</w:t>
      </w:r>
      <w:proofErr w:type="spellEnd"/>
      <w:r w:rsidRPr="00EA1C24">
        <w:rPr>
          <w:rFonts w:ascii="Arial" w:eastAsia="Arial" w:hAnsi="Arial" w:cs="Arial"/>
          <w:kern w:val="0"/>
          <w:sz w:val="24"/>
          <w:lang w:eastAsia="en-GB"/>
          <w14:ligatures w14:val="none"/>
        </w:rPr>
        <w:t xml:space="preserve">, F., (2017). Corporate social responsibility: What are top hotel companies reporting? </w:t>
      </w:r>
      <w:r w:rsidRPr="00EA1C24">
        <w:rPr>
          <w:rFonts w:ascii="Arial" w:eastAsia="Arial" w:hAnsi="Arial" w:cs="Arial"/>
          <w:i/>
          <w:iCs/>
          <w:kern w:val="0"/>
          <w:sz w:val="24"/>
          <w:lang w:eastAsia="en-GB"/>
          <w14:ligatures w14:val="none"/>
        </w:rPr>
        <w:t>International Journal of Contemporary Hospitality Management</w:t>
      </w:r>
      <w:r w:rsidRPr="00EA1C24">
        <w:rPr>
          <w:rFonts w:ascii="Arial" w:eastAsia="Arial" w:hAnsi="Arial" w:cs="Arial"/>
          <w:kern w:val="0"/>
          <w:sz w:val="24"/>
          <w:lang w:eastAsia="en-GB"/>
          <w14:ligatures w14:val="none"/>
        </w:rPr>
        <w:t>, 19(6), pp.461-475.</w:t>
      </w:r>
    </w:p>
    <w:p w14:paraId="28C21D7A"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Hsieh, Y.C., (2012). Hotel companies' environmental policies and practices: A content analysis of their web pages. </w:t>
      </w:r>
      <w:r w:rsidRPr="00EA1C24">
        <w:rPr>
          <w:rFonts w:ascii="Arial" w:eastAsia="Arial" w:hAnsi="Arial" w:cs="Arial"/>
          <w:i/>
          <w:iCs/>
          <w:kern w:val="0"/>
          <w:sz w:val="24"/>
          <w:lang w:eastAsia="en-GB"/>
          <w14:ligatures w14:val="none"/>
        </w:rPr>
        <w:t>International Journal of Contemporary Hospitality Management</w:t>
      </w:r>
      <w:r w:rsidRPr="00EA1C24">
        <w:rPr>
          <w:rFonts w:ascii="Arial" w:eastAsia="Arial" w:hAnsi="Arial" w:cs="Arial"/>
          <w:kern w:val="0"/>
          <w:sz w:val="24"/>
          <w:lang w:eastAsia="en-GB"/>
          <w14:ligatures w14:val="none"/>
        </w:rPr>
        <w:t>, 24(1), pp.97-121.</w:t>
      </w:r>
    </w:p>
    <w:p w14:paraId="39F19F19"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International Trade Centre (2017). </w:t>
      </w:r>
      <w:r w:rsidRPr="00EA1C24">
        <w:rPr>
          <w:rFonts w:ascii="Arial" w:eastAsia="Arial" w:hAnsi="Arial" w:cs="Arial"/>
          <w:i/>
          <w:iCs/>
          <w:kern w:val="0"/>
          <w:sz w:val="24"/>
          <w:lang w:eastAsia="en-GB"/>
          <w14:ligatures w14:val="none"/>
        </w:rPr>
        <w:t>Sustainable Sourcing</w:t>
      </w:r>
      <w:r w:rsidRPr="00EA1C24">
        <w:rPr>
          <w:rFonts w:ascii="Arial" w:eastAsia="Arial" w:hAnsi="Arial" w:cs="Arial"/>
          <w:kern w:val="0"/>
          <w:sz w:val="24"/>
          <w:lang w:eastAsia="en-GB"/>
          <w14:ligatures w14:val="none"/>
        </w:rPr>
        <w:t>. United Nations.</w:t>
      </w:r>
    </w:p>
    <w:p w14:paraId="05714A64"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Jones, P., Hillier, D. and Comfort, D., (2016). Sustainability in the global hotel industry. </w:t>
      </w:r>
      <w:r w:rsidRPr="00EA1C24">
        <w:rPr>
          <w:rFonts w:ascii="Arial" w:eastAsia="Arial" w:hAnsi="Arial" w:cs="Arial"/>
          <w:i/>
          <w:iCs/>
          <w:kern w:val="0"/>
          <w:sz w:val="24"/>
          <w:lang w:eastAsia="en-GB"/>
          <w14:ligatures w14:val="none"/>
        </w:rPr>
        <w:t>International Journal of Contemporary Hospitality Management</w:t>
      </w:r>
      <w:r w:rsidRPr="00EA1C24">
        <w:rPr>
          <w:rFonts w:ascii="Arial" w:eastAsia="Arial" w:hAnsi="Arial" w:cs="Arial"/>
          <w:kern w:val="0"/>
          <w:sz w:val="24"/>
          <w:lang w:eastAsia="en-GB"/>
          <w14:ligatures w14:val="none"/>
        </w:rPr>
        <w:t>, 28(1), pp.36-67.</w:t>
      </w:r>
    </w:p>
    <w:p w14:paraId="663F9CAB"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Mensah, I. and Blankson, E.J., (2013). Determinants of hotels' environmental performance: Evidence from the hotel industry in Accra, Ghana. </w:t>
      </w:r>
      <w:r w:rsidRPr="00EA1C24">
        <w:rPr>
          <w:rFonts w:ascii="Arial" w:eastAsia="Arial" w:hAnsi="Arial" w:cs="Arial"/>
          <w:i/>
          <w:iCs/>
          <w:kern w:val="0"/>
          <w:sz w:val="24"/>
          <w:lang w:eastAsia="en-GB"/>
          <w14:ligatures w14:val="none"/>
        </w:rPr>
        <w:t>Journal of Sustainable Tourism</w:t>
      </w:r>
      <w:r w:rsidRPr="00EA1C24">
        <w:rPr>
          <w:rFonts w:ascii="Arial" w:eastAsia="Arial" w:hAnsi="Arial" w:cs="Arial"/>
          <w:kern w:val="0"/>
          <w:sz w:val="24"/>
          <w:lang w:eastAsia="en-GB"/>
          <w14:ligatures w14:val="none"/>
        </w:rPr>
        <w:t>, 21(8), pp.1212-1231.</w:t>
      </w:r>
    </w:p>
    <w:p w14:paraId="316A2AC2"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lastRenderedPageBreak/>
        <w:t xml:space="preserve">Rahman, I., Reynolds, D. and </w:t>
      </w:r>
      <w:proofErr w:type="spellStart"/>
      <w:r w:rsidRPr="00EA1C24">
        <w:rPr>
          <w:rFonts w:ascii="Arial" w:eastAsia="Arial" w:hAnsi="Arial" w:cs="Arial"/>
          <w:kern w:val="0"/>
          <w:sz w:val="24"/>
          <w:lang w:eastAsia="en-GB"/>
          <w14:ligatures w14:val="none"/>
        </w:rPr>
        <w:t>Svaren</w:t>
      </w:r>
      <w:proofErr w:type="spellEnd"/>
      <w:r w:rsidRPr="00EA1C24">
        <w:rPr>
          <w:rFonts w:ascii="Arial" w:eastAsia="Arial" w:hAnsi="Arial" w:cs="Arial"/>
          <w:kern w:val="0"/>
          <w:sz w:val="24"/>
          <w:lang w:eastAsia="en-GB"/>
          <w14:ligatures w14:val="none"/>
        </w:rPr>
        <w:t xml:space="preserve">, S., (2012). How green are North American hotels? An exploration of low-cost adoption practices. </w:t>
      </w:r>
      <w:r w:rsidRPr="00EA1C24">
        <w:rPr>
          <w:rFonts w:ascii="Arial" w:eastAsia="Arial" w:hAnsi="Arial" w:cs="Arial"/>
          <w:i/>
          <w:iCs/>
          <w:kern w:val="0"/>
          <w:sz w:val="24"/>
          <w:lang w:eastAsia="en-GB"/>
          <w14:ligatures w14:val="none"/>
        </w:rPr>
        <w:t>International Journal of Hospitality Management</w:t>
      </w:r>
      <w:r w:rsidRPr="00EA1C24">
        <w:rPr>
          <w:rFonts w:ascii="Arial" w:eastAsia="Arial" w:hAnsi="Arial" w:cs="Arial"/>
          <w:kern w:val="0"/>
          <w:sz w:val="24"/>
          <w:lang w:eastAsia="en-GB"/>
          <w14:ligatures w14:val="none"/>
        </w:rPr>
        <w:t>, 31(3), pp.720-727.</w:t>
      </w:r>
    </w:p>
    <w:p w14:paraId="50F717C3"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Zhou, Y., Singal, M. and Koh, Y., (2016). CSR and financial performance: The role of CSR awareness in the restaurant industry. </w:t>
      </w:r>
      <w:r w:rsidRPr="00EA1C24">
        <w:rPr>
          <w:rFonts w:ascii="Arial" w:eastAsia="Arial" w:hAnsi="Arial" w:cs="Arial"/>
          <w:i/>
          <w:iCs/>
          <w:kern w:val="0"/>
          <w:sz w:val="24"/>
          <w:lang w:eastAsia="en-GB"/>
          <w14:ligatures w14:val="none"/>
        </w:rPr>
        <w:t>International Journal of Hospitality Management</w:t>
      </w:r>
      <w:r w:rsidRPr="00EA1C24">
        <w:rPr>
          <w:rFonts w:ascii="Arial" w:eastAsia="Arial" w:hAnsi="Arial" w:cs="Arial"/>
          <w:kern w:val="0"/>
          <w:sz w:val="24"/>
          <w:lang w:eastAsia="en-GB"/>
          <w14:ligatures w14:val="none"/>
        </w:rPr>
        <w:t>, 57, pp.30-39.</w:t>
      </w:r>
    </w:p>
    <w:p w14:paraId="32577207"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Rodríguez, F.J.G. and Cruz, Y.R.A., (2017). Relation between social-environmental responsibility and performance in hotel firms. </w:t>
      </w:r>
      <w:r w:rsidRPr="00EA1C24">
        <w:rPr>
          <w:rFonts w:ascii="Arial" w:eastAsia="Arial" w:hAnsi="Arial" w:cs="Arial"/>
          <w:i/>
          <w:iCs/>
          <w:kern w:val="0"/>
          <w:sz w:val="24"/>
          <w:lang w:eastAsia="en-GB"/>
          <w14:ligatures w14:val="none"/>
        </w:rPr>
        <w:t>International Journal of Hospitality Management</w:t>
      </w:r>
      <w:r w:rsidRPr="00EA1C24">
        <w:rPr>
          <w:rFonts w:ascii="Arial" w:eastAsia="Arial" w:hAnsi="Arial" w:cs="Arial"/>
          <w:kern w:val="0"/>
          <w:sz w:val="24"/>
          <w:lang w:eastAsia="en-GB"/>
          <w14:ligatures w14:val="none"/>
        </w:rPr>
        <w:t>, 61, pp.29-37.</w:t>
      </w:r>
    </w:p>
    <w:p w14:paraId="5FBE3661"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Sheldon, P.J. and Park, S.Y., (2011). An exploratory study of corporate social responsibility in the US travel industry. </w:t>
      </w:r>
      <w:r w:rsidRPr="00EA1C24">
        <w:rPr>
          <w:rFonts w:ascii="Arial" w:eastAsia="Arial" w:hAnsi="Arial" w:cs="Arial"/>
          <w:i/>
          <w:iCs/>
          <w:kern w:val="0"/>
          <w:sz w:val="24"/>
          <w:lang w:eastAsia="en-GB"/>
          <w14:ligatures w14:val="none"/>
        </w:rPr>
        <w:t>Journal of Travel Research</w:t>
      </w:r>
      <w:r w:rsidRPr="00EA1C24">
        <w:rPr>
          <w:rFonts w:ascii="Arial" w:eastAsia="Arial" w:hAnsi="Arial" w:cs="Arial"/>
          <w:kern w:val="0"/>
          <w:sz w:val="24"/>
          <w:lang w:eastAsia="en-GB"/>
          <w14:ligatures w14:val="none"/>
        </w:rPr>
        <w:t>, 50(4), pp.392-407.</w:t>
      </w:r>
    </w:p>
    <w:p w14:paraId="1F391E27"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Simpson, J. and Taylor, J.R. (2016). </w:t>
      </w:r>
      <w:r w:rsidRPr="00EA1C24">
        <w:rPr>
          <w:rFonts w:ascii="Arial" w:eastAsia="Arial" w:hAnsi="Arial" w:cs="Arial"/>
          <w:i/>
          <w:iCs/>
          <w:kern w:val="0"/>
          <w:sz w:val="24"/>
          <w:lang w:eastAsia="en-GB"/>
          <w14:ligatures w14:val="none"/>
        </w:rPr>
        <w:t>Corporate governance, ethics, and CSR</w:t>
      </w:r>
      <w:r w:rsidRPr="00EA1C24">
        <w:rPr>
          <w:rFonts w:ascii="Arial" w:eastAsia="Arial" w:hAnsi="Arial" w:cs="Arial"/>
          <w:kern w:val="0"/>
          <w:sz w:val="24"/>
          <w:lang w:eastAsia="en-GB"/>
          <w14:ligatures w14:val="none"/>
        </w:rPr>
        <w:t>. London; Philadelphia: Kogan Page.</w:t>
      </w:r>
    </w:p>
    <w:p w14:paraId="6D467BC2"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Sloan, P., Legrand, W. and Chen, J.S. (2013). </w:t>
      </w:r>
      <w:r w:rsidRPr="00EA1C24">
        <w:rPr>
          <w:rFonts w:ascii="Arial" w:eastAsia="Arial" w:hAnsi="Arial" w:cs="Arial"/>
          <w:i/>
          <w:iCs/>
          <w:kern w:val="0"/>
          <w:sz w:val="24"/>
          <w:lang w:eastAsia="en-GB"/>
          <w14:ligatures w14:val="none"/>
        </w:rPr>
        <w:t>Sustainability in the hospitality industry: principles of sustainable operations</w:t>
      </w:r>
      <w:r w:rsidRPr="00EA1C24">
        <w:rPr>
          <w:rFonts w:ascii="Arial" w:eastAsia="Arial" w:hAnsi="Arial" w:cs="Arial"/>
          <w:kern w:val="0"/>
          <w:sz w:val="24"/>
          <w:lang w:eastAsia="en-GB"/>
          <w14:ligatures w14:val="none"/>
        </w:rPr>
        <w:t>. London; New York: Routledge, Cop.</w:t>
      </w:r>
    </w:p>
    <w:p w14:paraId="4406A728"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Stabler, M.J. and Goodall, B., (2016). Environmental awareness, action and performance in the hospitality industry: A focus on </w:t>
      </w:r>
      <w:proofErr w:type="gramStart"/>
      <w:r w:rsidRPr="00EA1C24">
        <w:rPr>
          <w:rFonts w:ascii="Arial" w:eastAsia="Arial" w:hAnsi="Arial" w:cs="Arial"/>
          <w:kern w:val="0"/>
          <w:sz w:val="24"/>
          <w:lang w:eastAsia="en-GB"/>
          <w14:ligatures w14:val="none"/>
        </w:rPr>
        <w:t>South West</w:t>
      </w:r>
      <w:proofErr w:type="gramEnd"/>
      <w:r w:rsidRPr="00EA1C24">
        <w:rPr>
          <w:rFonts w:ascii="Arial" w:eastAsia="Arial" w:hAnsi="Arial" w:cs="Arial"/>
          <w:kern w:val="0"/>
          <w:sz w:val="24"/>
          <w:lang w:eastAsia="en-GB"/>
          <w14:ligatures w14:val="none"/>
        </w:rPr>
        <w:t xml:space="preserve"> England. </w:t>
      </w:r>
      <w:r w:rsidRPr="00EA1C24">
        <w:rPr>
          <w:rFonts w:ascii="Arial" w:eastAsia="Arial" w:hAnsi="Arial" w:cs="Arial"/>
          <w:i/>
          <w:iCs/>
          <w:kern w:val="0"/>
          <w:sz w:val="24"/>
          <w:lang w:eastAsia="en-GB"/>
          <w14:ligatures w14:val="none"/>
        </w:rPr>
        <w:t>Tourism Management</w:t>
      </w:r>
      <w:r w:rsidRPr="00EA1C24">
        <w:rPr>
          <w:rFonts w:ascii="Arial" w:eastAsia="Arial" w:hAnsi="Arial" w:cs="Arial"/>
          <w:kern w:val="0"/>
          <w:sz w:val="24"/>
          <w:lang w:eastAsia="en-GB"/>
          <w14:ligatures w14:val="none"/>
        </w:rPr>
        <w:t>, 56, pp.46-58.</w:t>
      </w:r>
    </w:p>
    <w:p w14:paraId="4E476FBD"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Testa, F., </w:t>
      </w:r>
      <w:proofErr w:type="spellStart"/>
      <w:r w:rsidRPr="00EA1C24">
        <w:rPr>
          <w:rFonts w:ascii="Arial" w:eastAsia="Arial" w:hAnsi="Arial" w:cs="Arial"/>
          <w:kern w:val="0"/>
          <w:sz w:val="24"/>
          <w:lang w:eastAsia="en-GB"/>
          <w14:ligatures w14:val="none"/>
        </w:rPr>
        <w:t>Iraldo</w:t>
      </w:r>
      <w:proofErr w:type="spellEnd"/>
      <w:r w:rsidRPr="00EA1C24">
        <w:rPr>
          <w:rFonts w:ascii="Arial" w:eastAsia="Arial" w:hAnsi="Arial" w:cs="Arial"/>
          <w:kern w:val="0"/>
          <w:sz w:val="24"/>
          <w:lang w:eastAsia="en-GB"/>
          <w14:ligatures w14:val="none"/>
        </w:rPr>
        <w:t xml:space="preserve">, F., Vaccari, A. and Ferrari, E., (2015). Why eco-labels can be effective marketing tools: Evidence from a study on Italian consumers. </w:t>
      </w:r>
      <w:r w:rsidRPr="00EA1C24">
        <w:rPr>
          <w:rFonts w:ascii="Arial" w:eastAsia="Arial" w:hAnsi="Arial" w:cs="Arial"/>
          <w:i/>
          <w:iCs/>
          <w:kern w:val="0"/>
          <w:sz w:val="24"/>
          <w:lang w:eastAsia="en-GB"/>
          <w14:ligatures w14:val="none"/>
        </w:rPr>
        <w:t>Business Strategy and the Environment</w:t>
      </w:r>
      <w:r w:rsidRPr="00EA1C24">
        <w:rPr>
          <w:rFonts w:ascii="Arial" w:eastAsia="Arial" w:hAnsi="Arial" w:cs="Arial"/>
          <w:kern w:val="0"/>
          <w:sz w:val="24"/>
          <w:lang w:eastAsia="en-GB"/>
          <w14:ligatures w14:val="none"/>
        </w:rPr>
        <w:t>, 24(4), pp.252-265.</w:t>
      </w:r>
    </w:p>
    <w:p w14:paraId="25968712"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Thiele, L.P. (2021). </w:t>
      </w:r>
      <w:r w:rsidRPr="00EA1C24">
        <w:rPr>
          <w:rFonts w:ascii="Arial" w:eastAsia="Arial" w:hAnsi="Arial" w:cs="Arial"/>
          <w:i/>
          <w:iCs/>
          <w:kern w:val="0"/>
          <w:sz w:val="24"/>
          <w:lang w:eastAsia="en-GB"/>
          <w14:ligatures w14:val="none"/>
        </w:rPr>
        <w:t>Sustainability</w:t>
      </w:r>
      <w:r w:rsidRPr="00EA1C24">
        <w:rPr>
          <w:rFonts w:ascii="Arial" w:eastAsia="Arial" w:hAnsi="Arial" w:cs="Arial"/>
          <w:kern w:val="0"/>
          <w:sz w:val="24"/>
          <w:lang w:eastAsia="en-GB"/>
          <w14:ligatures w14:val="none"/>
        </w:rPr>
        <w:t>. 2nd ed. Cambridge, UK; Malden, MA: Polity Press.</w:t>
      </w:r>
    </w:p>
    <w:p w14:paraId="1AC8761D" w14:textId="77777777" w:rsidR="00EA1C24" w:rsidRPr="00EA1C24" w:rsidRDefault="00EA1C24" w:rsidP="00EC100A">
      <w:pPr>
        <w:spacing w:before="120" w:after="240" w:line="360" w:lineRule="auto"/>
        <w:jc w:val="both"/>
        <w:rPr>
          <w:rFonts w:ascii="Arial" w:eastAsia="Arial" w:hAnsi="Arial" w:cs="Arial"/>
          <w:kern w:val="0"/>
          <w:sz w:val="24"/>
          <w:lang w:eastAsia="en-GB"/>
          <w14:ligatures w14:val="none"/>
        </w:rPr>
      </w:pPr>
      <w:r w:rsidRPr="00EA1C24">
        <w:rPr>
          <w:rFonts w:ascii="Arial" w:eastAsia="Arial" w:hAnsi="Arial" w:cs="Arial"/>
          <w:kern w:val="0"/>
          <w:sz w:val="24"/>
          <w:lang w:eastAsia="en-GB"/>
          <w14:ligatures w14:val="none"/>
        </w:rPr>
        <w:t xml:space="preserve">Yadav, R., (2016). Impact of CSR on the performance of hotels in emerging markets: A review. </w:t>
      </w:r>
      <w:r w:rsidRPr="00EA1C24">
        <w:rPr>
          <w:rFonts w:ascii="Arial" w:eastAsia="Arial" w:hAnsi="Arial" w:cs="Arial"/>
          <w:i/>
          <w:iCs/>
          <w:kern w:val="0"/>
          <w:sz w:val="24"/>
          <w:lang w:eastAsia="en-GB"/>
          <w14:ligatures w14:val="none"/>
        </w:rPr>
        <w:t>International Journal of Hospitality &amp; Tourism Systems</w:t>
      </w:r>
      <w:r w:rsidRPr="00EA1C24">
        <w:rPr>
          <w:rFonts w:ascii="Arial" w:eastAsia="Arial" w:hAnsi="Arial" w:cs="Arial"/>
          <w:kern w:val="0"/>
          <w:sz w:val="24"/>
          <w:lang w:eastAsia="en-GB"/>
          <w14:ligatures w14:val="none"/>
        </w:rPr>
        <w:t>, 9(2), pp.55-61.</w:t>
      </w:r>
    </w:p>
    <w:p w14:paraId="1767EF55" w14:textId="77777777" w:rsidR="00EA1C24" w:rsidRPr="00EA1C24" w:rsidRDefault="00EA1C24" w:rsidP="00EA1C24">
      <w:pPr>
        <w:spacing w:before="120" w:after="240" w:line="360" w:lineRule="auto"/>
        <w:jc w:val="both"/>
        <w:rPr>
          <w:rFonts w:ascii="Times New Roman" w:eastAsia="Arial" w:hAnsi="Times New Roman" w:cs="Arial"/>
          <w:kern w:val="0"/>
          <w:sz w:val="24"/>
          <w:lang w:eastAsia="en-GB"/>
          <w14:ligatures w14:val="none"/>
        </w:rPr>
      </w:pPr>
    </w:p>
    <w:p w14:paraId="379792EC" w14:textId="77777777" w:rsidR="000125E7" w:rsidRDefault="000125E7"/>
    <w:sectPr w:rsidR="000125E7" w:rsidSect="00EA1C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D5"/>
    <w:rsid w:val="000125E7"/>
    <w:rsid w:val="0033531A"/>
    <w:rsid w:val="00545DBE"/>
    <w:rsid w:val="00603469"/>
    <w:rsid w:val="00663609"/>
    <w:rsid w:val="006872BB"/>
    <w:rsid w:val="006C793F"/>
    <w:rsid w:val="007A116E"/>
    <w:rsid w:val="00A77511"/>
    <w:rsid w:val="00D4501B"/>
    <w:rsid w:val="00EA1C24"/>
    <w:rsid w:val="00EB1ED5"/>
    <w:rsid w:val="00EC1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5BCB"/>
  <w15:chartTrackingRefBased/>
  <w15:docId w15:val="{19FDF454-22D1-4B96-82E5-CBD6D7DE6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B1E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B1E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B1ED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B1ED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B1ED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B1ED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B1ED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B1ED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B1ED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B1ED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B1ED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B1ED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B1ED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B1ED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B1ED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B1ED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B1ED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B1ED5"/>
    <w:rPr>
      <w:rFonts w:eastAsiaTheme="majorEastAsia" w:cstheme="majorBidi"/>
      <w:color w:val="272727" w:themeColor="text1" w:themeTint="D8"/>
    </w:rPr>
  </w:style>
  <w:style w:type="paragraph" w:styleId="Titlu">
    <w:name w:val="Title"/>
    <w:basedOn w:val="Normal"/>
    <w:next w:val="Normal"/>
    <w:link w:val="TitluCaracter"/>
    <w:uiPriority w:val="10"/>
    <w:qFormat/>
    <w:rsid w:val="00EB1E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B1ED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B1ED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B1ED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B1ED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B1ED5"/>
    <w:rPr>
      <w:i/>
      <w:iCs/>
      <w:color w:val="404040" w:themeColor="text1" w:themeTint="BF"/>
    </w:rPr>
  </w:style>
  <w:style w:type="paragraph" w:styleId="Listparagraf">
    <w:name w:val="List Paragraph"/>
    <w:basedOn w:val="Normal"/>
    <w:uiPriority w:val="34"/>
    <w:qFormat/>
    <w:rsid w:val="00EB1ED5"/>
    <w:pPr>
      <w:ind w:left="720"/>
      <w:contextualSpacing/>
    </w:pPr>
  </w:style>
  <w:style w:type="character" w:styleId="Accentuareintens">
    <w:name w:val="Intense Emphasis"/>
    <w:basedOn w:val="Fontdeparagrafimplicit"/>
    <w:uiPriority w:val="21"/>
    <w:qFormat/>
    <w:rsid w:val="00EB1ED5"/>
    <w:rPr>
      <w:i/>
      <w:iCs/>
      <w:color w:val="0F4761" w:themeColor="accent1" w:themeShade="BF"/>
    </w:rPr>
  </w:style>
  <w:style w:type="paragraph" w:styleId="Citatintens">
    <w:name w:val="Intense Quote"/>
    <w:basedOn w:val="Normal"/>
    <w:next w:val="Normal"/>
    <w:link w:val="CitatintensCaracter"/>
    <w:uiPriority w:val="30"/>
    <w:qFormat/>
    <w:rsid w:val="00EB1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B1ED5"/>
    <w:rPr>
      <w:i/>
      <w:iCs/>
      <w:color w:val="0F4761" w:themeColor="accent1" w:themeShade="BF"/>
    </w:rPr>
  </w:style>
  <w:style w:type="character" w:styleId="Referireintens">
    <w:name w:val="Intense Reference"/>
    <w:basedOn w:val="Fontdeparagrafimplicit"/>
    <w:uiPriority w:val="32"/>
    <w:qFormat/>
    <w:rsid w:val="00EB1E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2541</Words>
  <Characters>14487</Characters>
  <Application>Microsoft Office Word</Application>
  <DocSecurity>0</DocSecurity>
  <Lines>120</Lines>
  <Paragraphs>33</Paragraphs>
  <ScaleCrop>false</ScaleCrop>
  <Company/>
  <LinksUpToDate>false</LinksUpToDate>
  <CharactersWithSpaces>16995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8</cp:revision>
  <dcterms:created xsi:type="dcterms:W3CDTF">2024-10-18T07:41:00Z</dcterms:created>
  <dcterms:modified xsi:type="dcterms:W3CDTF">2024-10-21T11:37:00Z</dcterms:modified>
</cp:coreProperties>
</file>