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Override PartName="/docProps/core.xml" ContentType="application/vnd.openxmlformats-package.core-properties+xml"/>
  <Override PartName="/word/document.xml" ContentType="application/vnd.openxmlformats-officedocument.wordprocessingml.document.main+xml"/>
  <Override PartName="/word/theme/theme1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xml" ContentType="application/vnd.openxmlformats-officedocument.wordprocessingml.settings+xml"/>
  <Override PartName="/word/glossary/styles.xml" ContentType="application/vnd.openxmlformats-officedocument.wordprocessingml.styles+xml"/>
  <Override PartName="/word/glossary/fontTable.xml" ContentType="application/vnd.openxmlformats-officedocument.wordprocessingml.fontTable+xml"/>
  <Override PartName="/word/settings2.xml" ContentType="application/vnd.openxmlformats-officedocument.wordprocessingml.settings+xml"/>
  <Override PartName="/word/styles2.xml" ContentType="application/vnd.openxmlformats-officedocument.wordprocessingml.styles+xml"/>
  <Override PartName="/word/fontTable2.xml" ContentType="application/vnd.openxmlformats-officedocument.wordprocessingml.fontTable+xml"/>
  <Override PartName="/customXml/item3.xml" ContentType="application/xml"/>
  <Override PartName="/customXml/itemProps31.xml" ContentType="application/vnd.openxmlformats-officedocument.customXmlProperties+xml"/>
  <Override PartName="/word/endnotes.xml" ContentType="application/vnd.openxmlformats-officedocument.wordprocessingml.endnotes+xml"/>
  <Override PartName="/customXml/item22.xml" ContentType="application/xml"/>
  <Override PartName="/customXml/itemProps22.xml" ContentType="application/vnd.openxmlformats-officedocument.customXmlProperties+xml"/>
  <Override PartName="/word/footnotes.xml" ContentType="application/vnd.openxmlformats-officedocument.wordprocessingml.footnotes+xml"/>
  <Override PartName="/customXml/item13.xml" ContentType="application/xml"/>
  <Override PartName="/customXml/itemProps13.xml" ContentType="application/vnd.openxmlformats-officedocument.customXmlProperties+xml"/>
  <Override PartName="/docProps/custom.xml" ContentType="application/vnd.openxmlformats-officedocument.custom-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mc:Ignorable="w14 w15 w16se w16cid w16 w16cex w16sdtdh wp14 w16sdtfl">
  <w:body>
    <w:p w:rsidR="005D7940" w:rsidP="0B61D30A" w:rsidRDefault="005D7940" w14:paraId="17098AB8" w14:textId="1E12B3A9">
      <w:pPr>
        <w:pStyle w:val="Normal"/>
        <w:ind w:left="0"/>
        <w:jc w:val="center"/>
        <w:rPr>
          <w:rFonts w:ascii="Franklin Gothic Book" w:hAnsi="Franklin Gothic Book" w:eastAsia="Franklin Gothic Book" w:cs="Franklin Gothic Book"/>
          <w:b w:val="1"/>
          <w:bCs w:val="1"/>
          <w:i w:val="1"/>
          <w:iCs w:val="1"/>
          <w:noProof w:val="0"/>
          <w:color w:val="FFFFFF" w:themeColor="background1" w:themeTint="FF" w:themeShade="FF"/>
          <w:sz w:val="36"/>
          <w:szCs w:val="36"/>
          <w:lang w:val="en-US"/>
        </w:rPr>
      </w:pPr>
      <w:r w:rsidRPr="0041428F">
        <w:rPr>
          <w:noProof/>
        </w:rPr>
        <mc:AlternateContent>
          <mc:Choice Requires="wpg">
            <w:drawing>
              <wp:anchor distT="0" distB="0" distL="114300" distR="114300" simplePos="0" relativeHeight="251659264" behindDoc="1" locked="1" layoutInCell="1" allowOverlap="1" wp14:anchorId="0327E612" wp14:editId="71A2E47A">
                <wp:simplePos x="0" y="0"/>
                <wp:positionH relativeFrom="column">
                  <wp:posOffset>-457200</wp:posOffset>
                </wp:positionH>
                <wp:positionV relativeFrom="paragraph">
                  <wp:posOffset>-457200</wp:posOffset>
                </wp:positionV>
                <wp:extent cx="8247888" cy="3026664"/>
                <wp:effectExtent l="0" t="0" r="1270" b="2540"/>
                <wp:wrapNone/>
                <wp:docPr id="19" name="Graphic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247888" cy="3026664"/>
                          <a:chOff x="-7144" y="-7144"/>
                          <a:chExt cx="6005513" cy="1924050"/>
                        </a:xfrm>
                      </wpg:grpSpPr>
                      <wps:wsp>
                        <wps:cNvPr id="20" name="Freeform: Shape 20"/>
                        <wps:cNvSpPr/>
                        <wps:spPr>
                          <a:xfrm>
                            <a:off x="2121694" y="-7144"/>
                            <a:ext cx="3876675" cy="1762125"/>
                          </a:xfrm>
                          <a:custGeom>
                            <a:avLst/>
                            <a:gdLst>
                              <a:gd name="connsiteX0" fmla="*/ 3869531 w 3876675"/>
                              <a:gd name="connsiteY0" fmla="*/ 1359694 h 1762125"/>
                              <a:gd name="connsiteX1" fmla="*/ 2359819 w 3876675"/>
                              <a:gd name="connsiteY1" fmla="*/ 1744504 h 1762125"/>
                              <a:gd name="connsiteX2" fmla="*/ 7144 w 3876675"/>
                              <a:gd name="connsiteY2" fmla="*/ 1287304 h 1762125"/>
                              <a:gd name="connsiteX3" fmla="*/ 7144 w 3876675"/>
                              <a:gd name="connsiteY3" fmla="*/ 7144 h 1762125"/>
                              <a:gd name="connsiteX4" fmla="*/ 3869531 w 3876675"/>
                              <a:gd name="connsiteY4" fmla="*/ 7144 h 1762125"/>
                              <a:gd name="connsiteX5" fmla="*/ 3869531 w 3876675"/>
                              <a:gd name="connsiteY5" fmla="*/ 1359694 h 1762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76675" h="1762125">
                                <a:moveTo>
                                  <a:pt x="3869531" y="1359694"/>
                                </a:moveTo>
                                <a:cubicBezTo>
                                  <a:pt x="3869531" y="1359694"/>
                                  <a:pt x="3379946" y="1834039"/>
                                  <a:pt x="2359819" y="1744504"/>
                                </a:cubicBezTo>
                                <a:cubicBezTo>
                                  <a:pt x="1339691" y="1654969"/>
                                  <a:pt x="936784" y="1180624"/>
                                  <a:pt x="7144" y="1287304"/>
                                </a:cubicBezTo>
                                <a:lnTo>
                                  <a:pt x="7144" y="7144"/>
                                </a:lnTo>
                                <a:lnTo>
                                  <a:pt x="3869531" y="7144"/>
                                </a:lnTo>
                                <a:lnTo>
                                  <a:pt x="3869531" y="1359694"/>
                                </a:lnTo>
                                <a:close/>
                              </a:path>
                            </a:pathLst>
                          </a:custGeom>
                          <a:solidFill>
                            <a:schemeClr val="accent2"/>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reeform: Shape 2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a:off x="-7144" y="-7144"/>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chemeClr val="accent1"/>
                              </a:gs>
                              <a:gs pos="100000">
                                <a:schemeClr val="accent1">
                                  <a:lumMod val="60000"/>
                                  <a:lumOff val="40000"/>
                                </a:scheme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176111" y="924401"/>
                            <a:ext cx="2819400" cy="828675"/>
                          </a:xfrm>
                          <a:custGeom>
                            <a:avLst/>
                            <a:gdLst>
                              <a:gd name="connsiteX0" fmla="*/ 7144 w 2819400"/>
                              <a:gd name="connsiteY0" fmla="*/ 481489 h 828675"/>
                              <a:gd name="connsiteX1" fmla="*/ 1305401 w 2819400"/>
                              <a:gd name="connsiteY1" fmla="*/ 812959 h 828675"/>
                              <a:gd name="connsiteX2" fmla="*/ 2815114 w 2819400"/>
                              <a:gd name="connsiteY2" fmla="*/ 428149 h 828675"/>
                              <a:gd name="connsiteX3" fmla="*/ 2815114 w 2819400"/>
                              <a:gd name="connsiteY3" fmla="*/ 7144 h 828675"/>
                              <a:gd name="connsiteX4" fmla="*/ 7144 w 2819400"/>
                              <a:gd name="connsiteY4" fmla="*/ 481489 h 8286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19400" h="828675">
                                <a:moveTo>
                                  <a:pt x="7144" y="481489"/>
                                </a:moveTo>
                                <a:cubicBezTo>
                                  <a:pt x="380524" y="602456"/>
                                  <a:pt x="751999" y="764381"/>
                                  <a:pt x="1305401" y="812959"/>
                                </a:cubicBezTo>
                                <a:cubicBezTo>
                                  <a:pt x="2325529" y="902494"/>
                                  <a:pt x="2815114" y="428149"/>
                                  <a:pt x="2815114" y="428149"/>
                                </a:cubicBezTo>
                                <a:lnTo>
                                  <a:pt x="2815114" y="7144"/>
                                </a:lnTo>
                                <a:cubicBezTo>
                                  <a:pt x="2332196" y="236696"/>
                                  <a:pt x="1376839" y="568166"/>
                                  <a:pt x="7144" y="481489"/>
                                </a:cubicBezTo>
                                <a:close/>
                              </a:path>
                            </a:pathLst>
                          </a:custGeom>
                          <a:gradFill>
                            <a:gsLst>
                              <a:gs pos="0">
                                <a:schemeClr val="accent2"/>
                              </a:gs>
                              <a:gs pos="100000">
                                <a:schemeClr val="accent2">
                                  <a:lumMod val="75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aphic 17" style="position:absolute;margin-left:-36pt;margin-top:-36pt;width:649.45pt;height:238.3pt;z-index:-251657216;mso-width-relative:margin;mso-height-relative:margin" alt="&quot;&quot;" coordsize="60055,19240" coordorigin="-71,-71" o:spid="_x0000_s1026" w14:anchorId="19682A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">
                <v:shape id="Freeform: Shape 20" style="position:absolute;left:21216;top:-71;width:38767;height:17620;visibility:visible;mso-wrap-style:square;v-text-anchor:middle" coordsize="3876675,1762125" o:spid="_x0000_s1027" fillcolor="#009dd9 [3205]" stroked="f" path="m3869531,1359694v,,-489585,474345,-1509712,384810c1339691,1654969,936784,1180624,7144,1287304l7144,7144r3862387,l3869531,13596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">
                  <v:stroke joinstyle="miter"/>
                  <v:path arrowok="t" o:connecttype="custom" o:connectlocs="3869531,1359694;2359819,1744504;7144,1287304;7144,7144;3869531,7144;3869531,1359694" o:connectangles="0,0,0,0,0,0"/>
                </v:shape>
                <v:shape id="Freeform: Shape 22" style="position:absolute;left:-71;top:-71;width:60007;height:19240;visibility:visible;mso-wrap-style:square;v-text-anchor:middle" coordsize="6000750,1924050" o:spid="_x0000_s1028" fillcolor="#17406d [3204]" stroked="f" path="m7144,1699736v,,1403032,618173,2927032,-215265c4459129,651986,5998369,893921,5998369,893921r,-886777l7144,7144r,169259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">
                  <v:stroke joinstyle="miter"/>
                  <v:path arrowok="t" o:connecttype="custom" o:connectlocs="7144,1699736;2934176,1484471;5998369,893921;5998369,7144;7144,7144;7144,1699736" o:connectangles="0,0,0,0,0,0"/>
                </v:shape>
                <v:shape id="Freeform: Shape 23" style="position:absolute;left:-71;top:-71;width:60007;height:9048;visibility:visible;mso-wrap-style:square;v-text-anchor:middle" coordsize="6000750,904875" o:spid="_x0000_s1029" fillcolor="#17406d [3204]" stroked="f" path="m7144,7144r,606742c647224,1034891,2136934,964406,3546634,574834,4882039,205264,5998369,893921,5998369,893921r,-886777l7144,7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">
                  <v:fill type="gradient" color2="#4389d7 [1940]" angle="90" focus="100%" rotate="t"/>
                  <v:stroke joinstyle="miter"/>
                  <v:path arrowok="t" o:connecttype="custom" o:connectlocs="7144,7144;7144,613886;3546634,574834;5998369,893921;5998369,7144;7144,7144" o:connectangles="0,0,0,0,0,0"/>
                </v:shape>
                <v:shape id="Freeform: Shape 24" style="position:absolute;left:31761;top:9244;width:28194;height:8286;visibility:visible;mso-wrap-style:square;v-text-anchor:middle" coordsize="2819400,828675" o:spid="_x0000_s1030" fillcolor="#009dd9 [3205]" stroked="f" path="m7144,481489c380524,602456,751999,764381,1305401,812959,2325529,902494,2815114,428149,2815114,428149r,-421005c2332196,236696,1376839,568166,7144,48148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">
                  <v:fill type="gradient" color2="#0075a2 [2405]" angle="90" focus="100%"/>
                  <v:stroke joinstyle="miter"/>
                  <v:path arrowok="t" o:connecttype="custom" o:connectlocs="7144,481489;1305401,812959;2815114,428149;2815114,7144;7144,481489" o:connectangles="0,0,0,0,0"/>
                </v:shape>
                <w10:anchorlock/>
              </v:group>
            </w:pict>
          </mc:Fallback>
        </mc:AlternateContent>
      </w:r>
      <w:r w:rsidRPr="0B61D30A" w:rsidR="3789E5DF">
        <w:rPr>
          <w:rFonts w:ascii="Franklin Gothic Book" w:hAnsi="Franklin Gothic Book" w:eastAsia="Franklin Gothic Book" w:cs="Franklin Gothic Book"/>
          <w:b w:val="1"/>
          <w:bCs w:val="1"/>
          <w:i w:val="1"/>
          <w:iCs w:val="1"/>
          <w:noProof w:val="0"/>
          <w:color w:val="FFFFFF" w:themeColor="background1" w:themeTint="FF" w:themeShade="FF"/>
          <w:sz w:val="36"/>
          <w:szCs w:val="36"/>
          <w:lang w:val="en-US"/>
        </w:rPr>
        <w:t>B</w:t>
      </w:r>
      <w:r w:rsidRPr="0B61D30A" w:rsidR="3789E5DF">
        <w:rPr>
          <w:rFonts w:ascii="Franklin Gothic Book" w:hAnsi="Franklin Gothic Book" w:eastAsia="Franklin Gothic Book" w:cs="Franklin Gothic Book"/>
          <w:b w:val="1"/>
          <w:bCs w:val="1"/>
          <w:i w:val="1"/>
          <w:iCs w:val="1"/>
          <w:noProof w:val="0"/>
          <w:color w:val="FFFFFF" w:themeColor="background1" w:themeTint="FF" w:themeShade="FF"/>
          <w:sz w:val="36"/>
          <w:szCs w:val="36"/>
          <w:lang w:val="en-US"/>
        </w:rPr>
        <w:t>S</w:t>
      </w:r>
      <w:r w:rsidRPr="0B61D30A" w:rsidR="3789E5DF">
        <w:rPr>
          <w:rFonts w:ascii="Franklin Gothic Book" w:hAnsi="Franklin Gothic Book" w:eastAsia="Franklin Gothic Book" w:cs="Franklin Gothic Book"/>
          <w:b w:val="1"/>
          <w:bCs w:val="1"/>
          <w:i w:val="0"/>
          <w:iCs w:val="0"/>
          <w:noProof w:val="0"/>
          <w:color w:val="FFFFFF" w:themeColor="background1" w:themeTint="FF" w:themeShade="FF"/>
          <w:sz w:val="36"/>
          <w:szCs w:val="36"/>
          <w:lang w:val="en-US"/>
        </w:rPr>
        <w:t>c (Hons) Health and Social Care</w:t>
      </w:r>
      <w:r>
        <w:br/>
      </w:r>
      <w:r w:rsidRPr="0B61D30A" w:rsidR="3789E5DF">
        <w:rPr>
          <w:rFonts w:ascii="Franklin Gothic Book" w:hAnsi="Franklin Gothic Book" w:eastAsia="Franklin Gothic Book" w:cs="Franklin Gothic Book"/>
          <w:b w:val="1"/>
          <w:bCs w:val="1"/>
          <w:i w:val="0"/>
          <w:iCs w:val="0"/>
          <w:noProof w:val="0"/>
          <w:color w:val="FFFFFF" w:themeColor="background1" w:themeTint="FF" w:themeShade="FF"/>
          <w:sz w:val="36"/>
          <w:szCs w:val="36"/>
          <w:lang w:val="en-US"/>
        </w:rPr>
        <w:t>Digital Transformation in Health and Social Care</w:t>
      </w:r>
      <w:r>
        <w:br/>
      </w:r>
      <w:r w:rsidRPr="0B61D30A" w:rsidR="3789E5DF">
        <w:rPr>
          <w:rFonts w:ascii="Franklin Gothic Book" w:hAnsi="Franklin Gothic Book" w:eastAsia="Franklin Gothic Book" w:cs="Franklin Gothic Book"/>
          <w:b w:val="1"/>
          <w:bCs w:val="1"/>
          <w:i w:val="1"/>
          <w:iCs w:val="1"/>
          <w:noProof w:val="0"/>
          <w:color w:val="FFFFFF" w:themeColor="background1" w:themeTint="FF" w:themeShade="FF"/>
          <w:sz w:val="36"/>
          <w:szCs w:val="36"/>
          <w:lang w:val="en-US"/>
        </w:rPr>
        <w:t xml:space="preserve">Assessment Component 1 </w:t>
      </w:r>
      <w:r>
        <w:br/>
      </w:r>
    </w:p>
    <w:p w:rsidR="0B61D30A" w:rsidP="0B61D30A" w:rsidRDefault="0B61D30A" w14:paraId="703E1FBB" w14:textId="784AEE85">
      <w:pPr>
        <w:jc w:val="center"/>
        <w:rPr>
          <w:rFonts w:ascii="Calibri" w:hAnsi="Calibri" w:eastAsia="Calibri" w:cs="Calibri"/>
          <w:b w:val="1"/>
          <w:bCs w:val="1"/>
          <w:i w:val="0"/>
          <w:iCs w:val="0"/>
          <w:strike w:val="0"/>
          <w:dstrike w:val="0"/>
          <w:noProof w:val="0"/>
          <w:color w:val="FFFFFF" w:themeColor="background1" w:themeTint="FF" w:themeShade="FF"/>
          <w:sz w:val="36"/>
          <w:szCs w:val="36"/>
          <w:u w:val="none"/>
          <w:lang w:val="en-US"/>
        </w:rPr>
      </w:pPr>
    </w:p>
    <w:p w:rsidR="0B61D30A" w:rsidP="0B61D30A" w:rsidRDefault="0B61D30A" w14:paraId="2F19B45B" w14:textId="1B90DDD9">
      <w:pPr>
        <w:jc w:val="center"/>
        <w:rPr>
          <w:rFonts w:ascii="Calibri" w:hAnsi="Calibri" w:eastAsia="Calibri" w:cs="Calibri"/>
          <w:b w:val="0"/>
          <w:bCs w:val="0"/>
          <w:i w:val="0"/>
          <w:iCs w:val="0"/>
          <w:strike w:val="0"/>
          <w:dstrike w:val="0"/>
          <w:noProof w:val="0"/>
          <w:color w:val="auto"/>
          <w:sz w:val="36"/>
          <w:szCs w:val="36"/>
          <w:u w:val="none"/>
          <w:lang w:val="en-US"/>
        </w:rPr>
      </w:pPr>
    </w:p>
    <w:p w:rsidR="0B61D30A" w:rsidP="0B61D30A" w:rsidRDefault="0B61D30A" w14:paraId="016125A9" w14:textId="42E4E4A7">
      <w:pPr>
        <w:jc w:val="center"/>
        <w:rPr>
          <w:rFonts w:ascii="Arial" w:hAnsi="Arial" w:eastAsia="Arial" w:cs="Arial"/>
          <w:b w:val="0"/>
          <w:bCs w:val="0"/>
          <w:i w:val="0"/>
          <w:iCs w:val="0"/>
          <w:strike w:val="0"/>
          <w:dstrike w:val="0"/>
          <w:noProof w:val="0"/>
          <w:color w:val="auto"/>
          <w:sz w:val="32"/>
          <w:szCs w:val="32"/>
          <w:u w:val="none"/>
          <w:lang w:val="en-US"/>
        </w:rPr>
      </w:pPr>
    </w:p>
    <w:p w:rsidR="6C666C2F" w:rsidP="0B61D30A" w:rsidRDefault="6C666C2F" w14:paraId="7DD9E085" w14:textId="1A357F87">
      <w:pPr>
        <w:jc w:val="center"/>
        <w:rPr>
          <w:rFonts w:ascii="Arial" w:hAnsi="Arial" w:eastAsia="Arial" w:cs="Arial"/>
          <w:b w:val="0"/>
          <w:bCs w:val="0"/>
          <w:i w:val="0"/>
          <w:iCs w:val="0"/>
          <w:strike w:val="0"/>
          <w:dstrike w:val="0"/>
          <w:noProof w:val="0"/>
          <w:color w:val="auto"/>
          <w:sz w:val="32"/>
          <w:szCs w:val="32"/>
          <w:u w:val="none"/>
          <w:lang w:val="en-US"/>
        </w:rPr>
      </w:pPr>
      <w:r w:rsidRPr="0B61D30A" w:rsidR="6C666C2F">
        <w:rPr>
          <w:rFonts w:ascii="Arial" w:hAnsi="Arial" w:eastAsia="Arial" w:cs="Arial"/>
          <w:b w:val="0"/>
          <w:bCs w:val="0"/>
          <w:i w:val="0"/>
          <w:iCs w:val="0"/>
          <w:strike w:val="0"/>
          <w:dstrike w:val="0"/>
          <w:noProof w:val="0"/>
          <w:color w:val="auto"/>
          <w:sz w:val="32"/>
          <w:szCs w:val="32"/>
          <w:u w:val="none"/>
          <w:lang w:val="en-US"/>
        </w:rPr>
        <w:t xml:space="preserve">Jordan Glasgow </w:t>
      </w:r>
    </w:p>
    <w:p w:rsidR="6C666C2F" w:rsidP="0B61D30A" w:rsidRDefault="6C666C2F" w14:paraId="42E18AAB" w14:textId="784B5659">
      <w:pPr>
        <w:jc w:val="center"/>
        <w:rPr>
          <w:rFonts w:ascii="Arial" w:hAnsi="Arial" w:eastAsia="Arial" w:cs="Arial"/>
          <w:b w:val="0"/>
          <w:bCs w:val="0"/>
          <w:i w:val="0"/>
          <w:iCs w:val="0"/>
          <w:strike w:val="0"/>
          <w:dstrike w:val="0"/>
          <w:noProof w:val="0"/>
          <w:color w:val="auto"/>
          <w:sz w:val="32"/>
          <w:szCs w:val="32"/>
          <w:u w:val="none"/>
          <w:lang w:val="en-US"/>
        </w:rPr>
      </w:pPr>
      <w:r w:rsidRPr="0B61D30A" w:rsidR="6C666C2F">
        <w:rPr>
          <w:rFonts w:ascii="Arial" w:hAnsi="Arial" w:eastAsia="Arial" w:cs="Arial"/>
          <w:b w:val="0"/>
          <w:bCs w:val="0"/>
          <w:i w:val="0"/>
          <w:iCs w:val="0"/>
          <w:strike w:val="0"/>
          <w:dstrike w:val="0"/>
          <w:noProof w:val="0"/>
          <w:color w:val="auto"/>
          <w:sz w:val="32"/>
          <w:szCs w:val="32"/>
          <w:u w:val="none"/>
          <w:lang w:val="en-US"/>
        </w:rPr>
        <w:t>Student Number: 1918303</w:t>
      </w:r>
    </w:p>
    <w:p w:rsidR="6C666C2F" w:rsidP="0B61D30A" w:rsidRDefault="6C666C2F" w14:paraId="611F4916" w14:textId="2E2238E5">
      <w:pPr>
        <w:pStyle w:val="Normal"/>
        <w:jc w:val="center"/>
        <w:rPr>
          <w:rFonts w:ascii="Arial" w:hAnsi="Arial" w:eastAsia="Arial" w:cs="Arial"/>
          <w:b w:val="0"/>
          <w:bCs w:val="0"/>
          <w:i w:val="0"/>
          <w:iCs w:val="0"/>
          <w:strike w:val="0"/>
          <w:dstrike w:val="0"/>
          <w:noProof w:val="0"/>
          <w:color w:val="FFFFFF" w:themeColor="background1" w:themeTint="FF" w:themeShade="FF"/>
          <w:sz w:val="32"/>
          <w:szCs w:val="32"/>
          <w:u w:val="none"/>
          <w:lang w:val="en-US"/>
        </w:rPr>
      </w:pPr>
      <w:r w:rsidRPr="0B61D30A" w:rsidR="6C666C2F">
        <w:rPr>
          <w:rFonts w:ascii="Arial" w:hAnsi="Arial" w:eastAsia="Arial" w:cs="Arial"/>
          <w:b w:val="0"/>
          <w:bCs w:val="0"/>
          <w:color w:val="auto"/>
          <w:sz w:val="32"/>
          <w:szCs w:val="32"/>
        </w:rPr>
        <w:t>Digital Transformation in Health and Social Care</w:t>
      </w:r>
    </w:p>
    <w:p w:rsidR="007E7F36" w:rsidP="0B61D30A" w:rsidRDefault="007E7F36" w14:paraId="16CB3D62" w14:textId="05139F8B">
      <w:pPr>
        <w:pStyle w:val="Heading1"/>
        <w:ind w:left="0"/>
        <w:jc w:val="both"/>
      </w:pPr>
    </w:p>
    <w:p w:rsidR="0B61D30A" w:rsidP="0B61D30A" w:rsidRDefault="0B61D30A" w14:paraId="1FA94CE3" w14:textId="1D3E4CE7">
      <w:pPr>
        <w:pStyle w:val="Normal"/>
      </w:pPr>
    </w:p>
    <w:p w:rsidR="0B61D30A" w:rsidP="0B61D30A" w:rsidRDefault="0B61D30A" w14:paraId="692FCDA7" w14:textId="009AF9AD">
      <w:pPr>
        <w:pStyle w:val="Normal"/>
        <w:ind w:left="0"/>
      </w:pPr>
    </w:p>
    <w:p w:rsidR="0B61D30A" w:rsidP="0B61D30A" w:rsidRDefault="0B61D30A" w14:paraId="3C5E4F39" w14:textId="5FC82F65">
      <w:pPr>
        <w:pStyle w:val="Normal"/>
        <w:ind w:left="0"/>
      </w:pPr>
    </w:p>
    <w:p w:rsidR="0B61D30A" w:rsidP="0B61D30A" w:rsidRDefault="0B61D30A" w14:paraId="50100219" w14:textId="20D95033">
      <w:pPr>
        <w:pStyle w:val="Normal"/>
        <w:ind w:left="0"/>
      </w:pPr>
    </w:p>
    <w:p w:rsidR="0B61D30A" w:rsidP="0B61D30A" w:rsidRDefault="0B61D30A" w14:paraId="5E0F6256" w14:textId="56121617">
      <w:pPr>
        <w:pStyle w:val="Normal"/>
        <w:rPr>
          <w:rFonts w:ascii="Franklin Gothic Book" w:hAnsi="Franklin Gothic Book" w:eastAsia="Franklin Gothic Book" w:cs="Franklin Gothic Book"/>
          <w:b w:val="1"/>
          <w:bCs w:val="1"/>
          <w:i w:val="0"/>
          <w:iCs w:val="0"/>
          <w:noProof w:val="0"/>
          <w:color w:val="005EB8"/>
          <w:sz w:val="32"/>
          <w:szCs w:val="32"/>
          <w:lang w:val="en-US"/>
        </w:rPr>
      </w:pPr>
    </w:p>
    <w:p w:rsidR="0B61D30A" w:rsidP="0B61D30A" w:rsidRDefault="0B61D30A" w14:paraId="13B15989" w14:textId="3FA4562F">
      <w:pPr>
        <w:pStyle w:val="Normal"/>
        <w:rPr>
          <w:rFonts w:ascii="Franklin Gothic Book" w:hAnsi="Franklin Gothic Book" w:eastAsia="Franklin Gothic Book" w:cs="Franklin Gothic Book"/>
          <w:b w:val="1"/>
          <w:bCs w:val="1"/>
          <w:i w:val="0"/>
          <w:iCs w:val="0"/>
          <w:noProof w:val="0"/>
          <w:color w:val="005EB8"/>
          <w:sz w:val="32"/>
          <w:szCs w:val="32"/>
          <w:lang w:val="en-US"/>
        </w:rPr>
      </w:pPr>
    </w:p>
    <w:p w:rsidR="0B61D30A" w:rsidP="0B61D30A" w:rsidRDefault="0B61D30A" w14:paraId="0D89B692" w14:textId="519D0238">
      <w:pPr>
        <w:pStyle w:val="Normal"/>
        <w:rPr>
          <w:rFonts w:ascii="Franklin Gothic Book" w:hAnsi="Franklin Gothic Book" w:eastAsia="Franklin Gothic Book" w:cs="Franklin Gothic Book"/>
          <w:b w:val="1"/>
          <w:bCs w:val="1"/>
          <w:i w:val="0"/>
          <w:iCs w:val="0"/>
          <w:noProof w:val="0"/>
          <w:color w:val="005EB8"/>
          <w:sz w:val="32"/>
          <w:szCs w:val="32"/>
          <w:lang w:val="en-US"/>
        </w:rPr>
      </w:pPr>
    </w:p>
    <w:p w:rsidR="0B61D30A" w:rsidP="0B61D30A" w:rsidRDefault="0B61D30A" w14:paraId="5A4B0F27" w14:textId="2C27B4B1">
      <w:pPr>
        <w:pStyle w:val="Normal"/>
        <w:rPr>
          <w:rFonts w:ascii="Franklin Gothic Book" w:hAnsi="Franklin Gothic Book" w:eastAsia="Franklin Gothic Book" w:cs="Franklin Gothic Book"/>
          <w:b w:val="1"/>
          <w:bCs w:val="1"/>
          <w:i w:val="0"/>
          <w:iCs w:val="0"/>
          <w:noProof w:val="0"/>
          <w:color w:val="005EB8"/>
          <w:sz w:val="32"/>
          <w:szCs w:val="32"/>
          <w:lang w:val="en-US"/>
        </w:rPr>
      </w:pPr>
    </w:p>
    <w:p w:rsidR="0B61D30A" w:rsidP="0B61D30A" w:rsidRDefault="0B61D30A" w14:paraId="4CBF906B" w14:textId="216AE5ED">
      <w:pPr>
        <w:pStyle w:val="Normal"/>
        <w:rPr>
          <w:rFonts w:ascii="Franklin Gothic Book" w:hAnsi="Franklin Gothic Book" w:eastAsia="Franklin Gothic Book" w:cs="Franklin Gothic Book"/>
          <w:b w:val="1"/>
          <w:bCs w:val="1"/>
          <w:i w:val="0"/>
          <w:iCs w:val="0"/>
          <w:noProof w:val="0"/>
          <w:color w:val="005EB8"/>
          <w:sz w:val="32"/>
          <w:szCs w:val="32"/>
          <w:lang w:val="en-US"/>
        </w:rPr>
      </w:pPr>
    </w:p>
    <w:p w:rsidR="593ABE3B" w:rsidP="0B61D30A" w:rsidRDefault="593ABE3B" w14:paraId="748A061D" w14:textId="29A8131D">
      <w:pPr>
        <w:pStyle w:val="Normal"/>
        <w:spacing w:line="360" w:lineRule="auto"/>
        <w:rPr>
          <w:rFonts w:ascii="Arial" w:hAnsi="Arial" w:eastAsia="Arial" w:cs="Arial"/>
          <w:b w:val="1"/>
          <w:bCs w:val="1"/>
          <w:i w:val="1"/>
          <w:iCs w:val="1"/>
          <w:noProof w:val="0"/>
          <w:color w:val="auto"/>
          <w:sz w:val="32"/>
          <w:szCs w:val="32"/>
          <w:u w:val="single"/>
          <w:lang w:val="en-US"/>
        </w:rPr>
      </w:pPr>
      <w:r w:rsidRPr="0B61D30A" w:rsidR="593ABE3B">
        <w:rPr>
          <w:rFonts w:ascii="Arial" w:hAnsi="Arial" w:eastAsia="Arial" w:cs="Arial"/>
          <w:b w:val="1"/>
          <w:bCs w:val="1"/>
          <w:i w:val="1"/>
          <w:iCs w:val="1"/>
          <w:noProof w:val="0"/>
          <w:color w:val="auto"/>
          <w:sz w:val="32"/>
          <w:szCs w:val="32"/>
          <w:u w:val="single"/>
          <w:lang w:val="en-US"/>
        </w:rPr>
        <w:t>Introduction</w:t>
      </w:r>
      <w:r w:rsidRPr="0B61D30A" w:rsidR="593ABE3B">
        <w:rPr>
          <w:rFonts w:ascii="Arial" w:hAnsi="Arial" w:eastAsia="Arial" w:cs="Arial"/>
          <w:b w:val="1"/>
          <w:bCs w:val="1"/>
          <w:i w:val="1"/>
          <w:iCs w:val="1"/>
          <w:noProof w:val="0"/>
          <w:color w:val="auto"/>
          <w:sz w:val="32"/>
          <w:szCs w:val="32"/>
          <w:u w:val="single"/>
          <w:lang w:val="en-US"/>
        </w:rPr>
        <w:t xml:space="preserve"> </w:t>
      </w:r>
    </w:p>
    <w:p w:rsidR="593ABE3B" w:rsidP="0B61D30A" w:rsidRDefault="593ABE3B" w14:paraId="7E8483BB" w14:textId="5B95023F">
      <w:pPr>
        <w:pStyle w:val="Normal"/>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The NHS App rolled out in late 2017 as a core tool to streamline how patients in England interact with primary care. From </w:t>
      </w:r>
      <w:r w:rsidRPr="0B61D30A" w:rsidR="593ABE3B">
        <w:rPr>
          <w:rFonts w:ascii="Arial" w:hAnsi="Arial" w:eastAsia="Arial" w:cs="Arial"/>
          <w:b w:val="0"/>
          <w:bCs w:val="0"/>
          <w:i w:val="0"/>
          <w:iCs w:val="0"/>
          <w:noProof w:val="0"/>
          <w:sz w:val="24"/>
          <w:szCs w:val="24"/>
          <w:lang w:val="en-US"/>
        </w:rPr>
        <w:t>inception</w:t>
      </w:r>
      <w:r w:rsidRPr="0B61D30A" w:rsidR="593ABE3B">
        <w:rPr>
          <w:rFonts w:ascii="Arial" w:hAnsi="Arial" w:eastAsia="Arial" w:cs="Arial"/>
          <w:b w:val="0"/>
          <w:bCs w:val="0"/>
          <w:i w:val="0"/>
          <w:iCs w:val="0"/>
          <w:noProof w:val="0"/>
          <w:sz w:val="24"/>
          <w:szCs w:val="24"/>
          <w:lang w:val="en-US"/>
        </w:rPr>
        <w:t>, its primary goal has been practical: giving users a direct digital route to book GP appointments and order repeat prescriptions. The platform has since undergone continuous updates, managed through a partnership between NHS Digital and NHS England, to adjust its features based on live feedback from frontline staff and patients.</w:t>
      </w:r>
      <w:r w:rsidRPr="0B61D30A" w:rsidR="593ABE3B">
        <w:rPr>
          <w:rFonts w:ascii="Arial" w:hAnsi="Arial" w:eastAsia="Arial" w:cs="Arial"/>
          <w:noProof w:val="0"/>
          <w:sz w:val="24"/>
          <w:szCs w:val="24"/>
          <w:lang w:val="en-US"/>
        </w:rPr>
        <w:t xml:space="preserve"> </w:t>
      </w:r>
    </w:p>
    <w:p w:rsidR="593ABE3B" w:rsidP="0B61D30A" w:rsidRDefault="593ABE3B" w14:paraId="00BDDFD1" w14:textId="30063F7A">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When launching the 2022 data strategy, the Health and Social Care Secretary at the time, Sajid Javid, called for an overhaul of the system. He argued that the NHS needed to pivot toward the public health realities of 2048 instead of sticking to its original 1948 blueprint. This forward-looking approach makes sense when looking at crumbling infrastructure and long-term social care issues, but it glosses over the immediate crisis. Focusing heavily on digital targets decades away risks ignoring the acute, day-to-day pressures currently breaking the sector. Javid’s long-term framework needs to be balanced against reality: severe staff shortages, immediate funding gaps, and daily operational gridlock are compromising patient care right now, long before the 2048 milestone can even be considered.</w:t>
      </w:r>
      <w:r w:rsidRPr="0B61D30A" w:rsidR="593ABE3B">
        <w:rPr>
          <w:rFonts w:ascii="Arial" w:hAnsi="Arial" w:eastAsia="Arial" w:cs="Arial"/>
          <w:noProof w:val="0"/>
          <w:sz w:val="24"/>
          <w:szCs w:val="24"/>
          <w:lang w:val="en-US"/>
        </w:rPr>
        <w:t xml:space="preserve"> </w:t>
      </w:r>
    </w:p>
    <w:p w:rsidR="593ABE3B" w:rsidP="0B61D30A" w:rsidRDefault="593ABE3B" w14:paraId="499F2744" w14:textId="549EACA5">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As an innovation, the NHS App sits at the </w:t>
      </w:r>
      <w:r w:rsidRPr="0B61D30A" w:rsidR="68CAA28B">
        <w:rPr>
          <w:rFonts w:ascii="Arial" w:hAnsi="Arial" w:eastAsia="Arial" w:cs="Arial"/>
          <w:b w:val="0"/>
          <w:bCs w:val="0"/>
          <w:i w:val="0"/>
          <w:iCs w:val="0"/>
          <w:noProof w:val="0"/>
          <w:sz w:val="24"/>
          <w:szCs w:val="24"/>
          <w:lang w:val="en-US"/>
        </w:rPr>
        <w:t>center</w:t>
      </w:r>
      <w:r w:rsidRPr="0B61D30A" w:rsidR="593ABE3B">
        <w:rPr>
          <w:rFonts w:ascii="Arial" w:hAnsi="Arial" w:eastAsia="Arial" w:cs="Arial"/>
          <w:b w:val="0"/>
          <w:bCs w:val="0"/>
          <w:i w:val="0"/>
          <w:iCs w:val="0"/>
          <w:noProof w:val="0"/>
          <w:sz w:val="24"/>
          <w:szCs w:val="24"/>
          <w:lang w:val="en-US"/>
        </w:rPr>
        <w:t xml:space="preserve"> of this wider digital push. National policy documents regularly frame these technologies as vital tools for boosting efficiency and patient access (NHS England, 2019; DHSC, 2022). By 2024, the app's features expanded to let users view medical records, track messages, and manage prescriptions in one place (NHS England, 2024). This trajectory matches the strategic goals outlined in both the Topol Review (2019) and NHS England’s corporate strategies (2021), which champion a more joined-up, patient-led model. Yet, the rapid expansion of digital health has sparked a massive debate.</w:t>
      </w:r>
      <w:r w:rsidRPr="0B61D30A" w:rsidR="593ABE3B">
        <w:rPr>
          <w:rFonts w:ascii="Arial" w:hAnsi="Arial" w:eastAsia="Arial" w:cs="Arial"/>
          <w:noProof w:val="0"/>
          <w:sz w:val="24"/>
          <w:szCs w:val="24"/>
          <w:lang w:val="en-US"/>
        </w:rPr>
        <w:t xml:space="preserve"> </w:t>
      </w:r>
    </w:p>
    <w:p w:rsidR="593ABE3B" w:rsidP="0B61D30A" w:rsidRDefault="593ABE3B" w14:paraId="051A472F" w14:textId="04F366C0">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While advocates argue that mobile platforms empower patients and help manage unsustainable demand (NHS Confederation, 2023), independent bodies point out major downsides. Groups like the Good Things Foundation (2023) and The King's Fund (2024) warn that top-down digital rollouts worsen exclusion and widen health inequalities. Because it sits right at the intersection of these arguments, the app serves as a perfect case study to test whether digital tools </w:t>
      </w:r>
      <w:bookmarkStart w:name="_Int_SCigrSaw" w:id="549710551"/>
      <w:r w:rsidRPr="0B61D30A" w:rsidR="593ABE3B">
        <w:rPr>
          <w:rFonts w:ascii="Arial" w:hAnsi="Arial" w:eastAsia="Arial" w:cs="Arial"/>
          <w:b w:val="0"/>
          <w:bCs w:val="0"/>
          <w:i w:val="0"/>
          <w:iCs w:val="0"/>
          <w:noProof w:val="0"/>
          <w:sz w:val="24"/>
          <w:szCs w:val="24"/>
          <w:lang w:val="en-US"/>
        </w:rPr>
        <w:t>actually solve</w:t>
      </w:r>
      <w:bookmarkEnd w:id="549710551"/>
      <w:r w:rsidRPr="0B61D30A" w:rsidR="593ABE3B">
        <w:rPr>
          <w:rFonts w:ascii="Arial" w:hAnsi="Arial" w:eastAsia="Arial" w:cs="Arial"/>
          <w:b w:val="0"/>
          <w:bCs w:val="0"/>
          <w:i w:val="0"/>
          <w:iCs w:val="0"/>
          <w:noProof w:val="0"/>
          <w:sz w:val="24"/>
          <w:szCs w:val="24"/>
          <w:lang w:val="en-US"/>
        </w:rPr>
        <w:t xml:space="preserve"> healthcare crises or just shift the pressure elsewhere (Alderwick et al., 2021; Nuffield Trust, 2024).</w:t>
      </w:r>
      <w:r w:rsidRPr="0B61D30A" w:rsidR="593ABE3B">
        <w:rPr>
          <w:rFonts w:ascii="Arial" w:hAnsi="Arial" w:eastAsia="Arial" w:cs="Arial"/>
          <w:noProof w:val="0"/>
          <w:sz w:val="24"/>
          <w:szCs w:val="24"/>
          <w:lang w:val="en-US"/>
        </w:rPr>
        <w:t xml:space="preserve"> </w:t>
      </w:r>
    </w:p>
    <w:p w:rsidR="593ABE3B" w:rsidP="0B61D30A" w:rsidRDefault="593ABE3B" w14:paraId="09847137" w14:textId="1A9FE79D">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The expansion of this digital framework raises deep questions about the readiness of both the workforce and infrastructure. It is not enough to simply launch a mobile portal and assume the system adapts automatically. The operational realities of integrating an app into a highly stressed, multi-tiered healthcare network require careful analysis. This paper evaluates the systemic friction caused by rapid technological rollouts, focusing specifically on the human, structural, and ethical dimensions of England's primary care </w:t>
      </w:r>
      <w:r w:rsidRPr="0B61D30A" w:rsidR="05FF3988">
        <w:rPr>
          <w:rFonts w:ascii="Arial" w:hAnsi="Arial" w:eastAsia="Arial" w:cs="Arial"/>
          <w:b w:val="0"/>
          <w:bCs w:val="0"/>
          <w:i w:val="0"/>
          <w:iCs w:val="0"/>
          <w:noProof w:val="0"/>
          <w:sz w:val="24"/>
          <w:szCs w:val="24"/>
          <w:lang w:val="en-US"/>
        </w:rPr>
        <w:t>digitization</w:t>
      </w:r>
      <w:r w:rsidRPr="0B61D30A" w:rsidR="593ABE3B">
        <w:rPr>
          <w:rFonts w:ascii="Arial" w:hAnsi="Arial" w:eastAsia="Arial" w:cs="Arial"/>
          <w:b w:val="0"/>
          <w:bCs w:val="0"/>
          <w:i w:val="0"/>
          <w:iCs w:val="0"/>
          <w:noProof w:val="0"/>
          <w:sz w:val="24"/>
          <w:szCs w:val="24"/>
          <w:lang w:val="en-US"/>
        </w:rPr>
        <w:t>.</w:t>
      </w:r>
      <w:r w:rsidRPr="0B61D30A" w:rsidR="593ABE3B">
        <w:rPr>
          <w:rFonts w:ascii="Arial" w:hAnsi="Arial" w:eastAsia="Arial" w:cs="Arial"/>
          <w:noProof w:val="0"/>
          <w:sz w:val="24"/>
          <w:szCs w:val="24"/>
          <w:lang w:val="en-US"/>
        </w:rPr>
        <w:t xml:space="preserve"> </w:t>
      </w:r>
    </w:p>
    <w:p w:rsidR="593ABE3B" w:rsidP="0B61D30A" w:rsidRDefault="593ABE3B" w14:paraId="0C460D13" w14:textId="649B6F66">
      <w:pPr>
        <w:spacing w:before="240" w:beforeAutospacing="off" w:after="240" w:afterAutospacing="off" w:line="360" w:lineRule="auto"/>
        <w:rPr>
          <w:rFonts w:ascii="Arial" w:hAnsi="Arial" w:eastAsia="Arial" w:cs="Arial"/>
          <w:b w:val="0"/>
          <w:bCs w:val="0"/>
          <w:i w:val="0"/>
          <w:iCs w:val="0"/>
          <w:noProof w:val="0"/>
          <w:sz w:val="24"/>
          <w:szCs w:val="24"/>
          <w:lang w:val="en-US"/>
        </w:rPr>
      </w:pPr>
      <w:r w:rsidRPr="0B61D30A" w:rsidR="593ABE3B">
        <w:rPr>
          <w:rFonts w:ascii="Arial" w:hAnsi="Arial" w:eastAsia="Arial" w:cs="Arial"/>
          <w:b w:val="0"/>
          <w:bCs w:val="0"/>
          <w:i w:val="0"/>
          <w:iCs w:val="0"/>
          <w:noProof w:val="0"/>
          <w:sz w:val="24"/>
          <w:szCs w:val="24"/>
          <w:lang w:val="en-US"/>
        </w:rPr>
        <w:t xml:space="preserve">This operational environment is further complicated by the uneven historical funding pathways that individual regions have navigated. Historically, health informatics infrastructure within the clinical environment has been treated as a localized procurement issue rather than a standardized national utility. Consequently, when a centralized tool like the NHS App is mandated down the operational line, it does not interface with a uniform technical landscape. Instead, it hits a fragmented ecosystem of legacy </w:t>
      </w:r>
    </w:p>
    <w:p w:rsidR="593ABE3B" w:rsidP="0B61D30A" w:rsidRDefault="593ABE3B" w14:paraId="288A1921" w14:textId="276C2D8E">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software, varying bandwidth limitations, and distinct clinical workflows. This structural fragmentation means that any macro-level policy proclamation regarding digital healthcare transformation will inevitably manifest as a series of highly unpredictable micro-level disruptions at the point of care delivery.</w:t>
      </w:r>
      <w:r w:rsidRPr="0B61D30A" w:rsidR="593ABE3B">
        <w:rPr>
          <w:rFonts w:ascii="Arial" w:hAnsi="Arial" w:eastAsia="Arial" w:cs="Arial"/>
          <w:noProof w:val="0"/>
          <w:sz w:val="24"/>
          <w:szCs w:val="24"/>
          <w:lang w:val="en-US"/>
        </w:rPr>
        <w:t xml:space="preserve"> </w:t>
      </w:r>
    </w:p>
    <w:p w:rsidR="0B61D30A" w:rsidP="0B61D30A" w:rsidRDefault="0B61D30A" w14:paraId="0D43FB25" w14:textId="304BAE2D">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48256D28" w14:textId="0BA14523">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792D4167" w14:textId="74E684BF">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055DE841" w14:textId="39D363C6">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2BC4A922" w14:textId="45CED92A">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0079E088" w14:textId="5BE760F3">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4FAC3F4A" w14:textId="1A764151">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479991F7" w14:textId="3ECBB2FE">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0C152B8A" w14:textId="6818DA5C">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3EF5F28C" w14:textId="6506C22F">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593ABE3B" w:rsidP="0B61D30A" w:rsidRDefault="593ABE3B" w14:paraId="3F3DF5A4" w14:textId="3682819D">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r w:rsidRPr="0B61D30A" w:rsidR="593ABE3B">
        <w:rPr>
          <w:rFonts w:ascii="Arial" w:hAnsi="Arial" w:eastAsia="Arial" w:cs="Arial"/>
          <w:b w:val="1"/>
          <w:bCs w:val="1"/>
          <w:i w:val="1"/>
          <w:iCs w:val="1"/>
          <w:noProof w:val="0"/>
          <w:color w:val="auto"/>
          <w:sz w:val="32"/>
          <w:szCs w:val="32"/>
          <w:u w:val="single"/>
          <w:lang w:val="en-US"/>
        </w:rPr>
        <w:t>Impact on the Healthcare Workforce</w:t>
      </w:r>
      <w:r w:rsidRPr="0B61D30A" w:rsidR="593ABE3B">
        <w:rPr>
          <w:rFonts w:ascii="Arial" w:hAnsi="Arial" w:eastAsia="Arial" w:cs="Arial"/>
          <w:b w:val="1"/>
          <w:bCs w:val="1"/>
          <w:i w:val="1"/>
          <w:iCs w:val="1"/>
          <w:noProof w:val="0"/>
          <w:color w:val="auto"/>
          <w:sz w:val="32"/>
          <w:szCs w:val="32"/>
          <w:u w:val="single"/>
          <w:lang w:val="en-US"/>
        </w:rPr>
        <w:t xml:space="preserve"> </w:t>
      </w:r>
    </w:p>
    <w:p w:rsidR="593ABE3B" w:rsidP="0B61D30A" w:rsidRDefault="593ABE3B" w14:paraId="7D28F3AC" w14:textId="2B18D74E">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The app has fundamentally shifted daily workloads for clinical and administrative teams, but not always in the ways policymakers intended. On the positive side, automating basic tasks like prescription requests and appointment bookings has successfully taken some pressure off phone lines (NHS England, 2024). According to the NHS Confederation (2023), clearing these routine tasks gives administrative staff more breathing room to handle complex patient inquiries. Automated text alerts and app notifications have also made scheduling more reliable, aligning with the efficiency goals laid out in older digital roadmaps (Topol, 2019; NHS England, 2019).</w:t>
      </w:r>
      <w:r w:rsidRPr="0B61D30A" w:rsidR="593ABE3B">
        <w:rPr>
          <w:rFonts w:ascii="Arial" w:hAnsi="Arial" w:eastAsia="Arial" w:cs="Arial"/>
          <w:noProof w:val="0"/>
          <w:sz w:val="24"/>
          <w:szCs w:val="24"/>
          <w:lang w:val="en-US"/>
        </w:rPr>
        <w:t xml:space="preserve"> </w:t>
      </w:r>
    </w:p>
    <w:p w:rsidR="593ABE3B" w:rsidP="0B61D30A" w:rsidRDefault="593ABE3B" w14:paraId="26E4708A" w14:textId="5A0FEF29">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However, research from the National Institute for Health and Care Research (NIHR, 2024) shows that technology rarely deletes workload; instead, it redistributes it. Giving patients instant access to their test results and clinical notes is a prime example. As Williams and Jones (2025) note, when patients read complex medical jargon without context, it triggers anxiety. Healthwatch England (2024) documented a rise in patients contacting surgeries simply for reassurance about data they saw on the app. This means GPs and nurses spend valuable time explaining terminology outside of structured consultations, which defeats the original time-saving purpose.</w:t>
      </w:r>
      <w:r w:rsidRPr="0B61D30A" w:rsidR="593ABE3B">
        <w:rPr>
          <w:rFonts w:ascii="Arial" w:hAnsi="Arial" w:eastAsia="Arial" w:cs="Arial"/>
          <w:noProof w:val="0"/>
          <w:sz w:val="24"/>
          <w:szCs w:val="24"/>
          <w:lang w:val="en-US"/>
        </w:rPr>
        <w:t xml:space="preserve"> </w:t>
      </w:r>
    </w:p>
    <w:p w:rsidR="593ABE3B" w:rsidP="0B61D30A" w:rsidRDefault="593ABE3B" w14:paraId="60567974" w14:textId="5C51E8FD">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Administrative teams face a similar shift in duties. Instead of booking appointments over the phone, staff now spend significant chunks of their day acting as IT support. Frontline teams are routinely bogged down by patient issues regarding identity verification, NHS login glitches, and account recovery (NHS Confederation, 2023). This pattern shows that while digital platforms reduce traditional paperwork, they introduce brand-new, time-consuming technical burdens for the primary care workforce (Baird and Maguire, 2023).</w:t>
      </w:r>
      <w:r w:rsidRPr="0B61D30A" w:rsidR="593ABE3B">
        <w:rPr>
          <w:rFonts w:ascii="Arial" w:hAnsi="Arial" w:eastAsia="Arial" w:cs="Arial"/>
          <w:noProof w:val="0"/>
          <w:sz w:val="24"/>
          <w:szCs w:val="24"/>
          <w:lang w:val="en-US"/>
        </w:rPr>
        <w:t xml:space="preserve"> </w:t>
      </w:r>
    </w:p>
    <w:p w:rsidR="593ABE3B" w:rsidP="0B61D30A" w:rsidRDefault="593ABE3B" w14:paraId="795E4184" w14:textId="6A551675">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Furthermore, the psychological burden on staff should not be underestimated. As primary care networks face increasing pressures to hit digital signup targets, clinicians are often caught between policy mandates and patient reality. The shift toward a digital-first interface creates a hidden layer of cognitive friction for doctors who must alter their workflow to log data points rather than focus purely on diagnostic consultations. This tension exposes an institutional </w:t>
      </w:r>
      <w:r w:rsidRPr="0B61D30A" w:rsidR="002DE5D3">
        <w:rPr>
          <w:rFonts w:ascii="Arial" w:hAnsi="Arial" w:eastAsia="Arial" w:cs="Arial"/>
          <w:b w:val="0"/>
          <w:bCs w:val="0"/>
          <w:i w:val="0"/>
          <w:iCs w:val="0"/>
          <w:noProof w:val="0"/>
          <w:sz w:val="24"/>
          <w:szCs w:val="24"/>
          <w:lang w:val="en-US"/>
        </w:rPr>
        <w:t>disconnect</w:t>
      </w:r>
      <w:r w:rsidRPr="0B61D30A" w:rsidR="593ABE3B">
        <w:rPr>
          <w:rFonts w:ascii="Arial" w:hAnsi="Arial" w:eastAsia="Arial" w:cs="Arial"/>
          <w:b w:val="0"/>
          <w:bCs w:val="0"/>
          <w:i w:val="0"/>
          <w:iCs w:val="0"/>
          <w:noProof w:val="0"/>
          <w:sz w:val="24"/>
          <w:szCs w:val="24"/>
          <w:lang w:val="en-US"/>
        </w:rPr>
        <w:t xml:space="preserve"> digital solutions </w:t>
      </w:r>
      <w:bookmarkStart w:name="_Int_EskA1LFS" w:id="266184550"/>
      <w:r w:rsidRPr="0B61D30A" w:rsidR="593ABE3B">
        <w:rPr>
          <w:rFonts w:ascii="Arial" w:hAnsi="Arial" w:eastAsia="Arial" w:cs="Arial"/>
          <w:b w:val="0"/>
          <w:bCs w:val="0"/>
          <w:i w:val="0"/>
          <w:iCs w:val="0"/>
          <w:noProof w:val="0"/>
          <w:sz w:val="24"/>
          <w:szCs w:val="24"/>
          <w:lang w:val="en-US"/>
        </w:rPr>
        <w:t>are designed</w:t>
      </w:r>
      <w:bookmarkEnd w:id="266184550"/>
      <w:r w:rsidRPr="0B61D30A" w:rsidR="593ABE3B">
        <w:rPr>
          <w:rFonts w:ascii="Arial" w:hAnsi="Arial" w:eastAsia="Arial" w:cs="Arial"/>
          <w:b w:val="0"/>
          <w:bCs w:val="0"/>
          <w:i w:val="0"/>
          <w:iCs w:val="0"/>
          <w:noProof w:val="0"/>
          <w:sz w:val="24"/>
          <w:szCs w:val="24"/>
          <w:lang w:val="en-US"/>
        </w:rPr>
        <w:t xml:space="preserve"> for ideal, fully staffed environments, but they are deployed in a system facing severe, chronic workforce fatigue.</w:t>
      </w:r>
      <w:r w:rsidRPr="0B61D30A" w:rsidR="593ABE3B">
        <w:rPr>
          <w:rFonts w:ascii="Arial" w:hAnsi="Arial" w:eastAsia="Arial" w:cs="Arial"/>
          <w:noProof w:val="0"/>
          <w:sz w:val="24"/>
          <w:szCs w:val="24"/>
          <w:lang w:val="en-US"/>
        </w:rPr>
        <w:t xml:space="preserve"> </w:t>
      </w:r>
    </w:p>
    <w:p w:rsidR="593ABE3B" w:rsidP="0B61D30A" w:rsidRDefault="593ABE3B" w14:paraId="2A1165E9" w14:textId="1064C851">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This redistribution of labor highlights a profound shift in the psychological contract between primary care staff and institutional directives. When administrative personnel are forced to spend operational hours troubleshooting multi-factor authentication protocols or guiding patients through facial recognition identity checks, their core professional identity is compromised. Staff who entered the health and social care sector to provide human-centric administrative or clinical support are effectively repurposed into low-tier technical support agents. This hidden operational friction compounds the pre-existing recruitment and retention crisis within the primary care workforce, as personnel face the dual pressure of meeting traditional clinical targets while managing a rising tide of digital troubleshooting requests from an anxious public.</w:t>
      </w:r>
      <w:r w:rsidRPr="0B61D30A" w:rsidR="593ABE3B">
        <w:rPr>
          <w:rFonts w:ascii="Arial" w:hAnsi="Arial" w:eastAsia="Arial" w:cs="Arial"/>
          <w:noProof w:val="0"/>
          <w:sz w:val="24"/>
          <w:szCs w:val="24"/>
          <w:lang w:val="en-US"/>
        </w:rPr>
        <w:t xml:space="preserve"> </w:t>
      </w:r>
    </w:p>
    <w:p w:rsidR="0B61D30A" w:rsidP="0B61D30A" w:rsidRDefault="0B61D30A" w14:paraId="50F9FC9B" w14:textId="50656231">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762824CB" w14:textId="23328202">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727F9281" w14:textId="4524C798">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3CE288E0" w14:textId="4D98FA11">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D14BCA3" w14:textId="03FB2ABF">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AE766AB" w14:textId="0016F99D">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5AE6630" w14:textId="63F8166F">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DDCDA4F" w14:textId="64EEDEBD">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8ACFDCA" w14:textId="1D1C1A0C">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6E67079D" w14:textId="502B42E7">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81D3E78" w14:textId="703CF109">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46C68B73" w14:textId="7C899D08">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11FC287" w14:textId="45D90518">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593ABE3B" w:rsidP="0B61D30A" w:rsidRDefault="593ABE3B" w14:paraId="2EC642E8" w14:textId="3AD12E75">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r w:rsidRPr="0B61D30A" w:rsidR="593ABE3B">
        <w:rPr>
          <w:rFonts w:ascii="Arial" w:hAnsi="Arial" w:eastAsia="Arial" w:cs="Arial"/>
          <w:b w:val="1"/>
          <w:bCs w:val="1"/>
          <w:i w:val="1"/>
          <w:iCs w:val="1"/>
          <w:noProof w:val="0"/>
          <w:color w:val="auto"/>
          <w:sz w:val="32"/>
          <w:szCs w:val="32"/>
          <w:u w:val="single"/>
          <w:lang w:val="en-US"/>
        </w:rPr>
        <w:t xml:space="preserve">Service Delivery and Organizational Impact </w:t>
      </w:r>
    </w:p>
    <w:p w:rsidR="593ABE3B" w:rsidP="0B61D30A" w:rsidRDefault="593ABE3B" w14:paraId="4DFC4D0F" w14:textId="7A376787">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By acting as a digital front door, the NHS App has undeniably changed how patients enter the healthcare system. The ability to manage care remotely supports the long-term strategy to reduce physical footfall in GP practices (DHSC, 2022). One clear operational win is the drop in missed appointments; direct notifications make cancellation easy, allowing surgeries to reuse empty slots quickly (NHS England, 2021). The Patient Information Forum (2023) also found that digital prescription tracking cuts down on the back-and-forth communication errors between GP surgeries and local pharmacies.</w:t>
      </w:r>
      <w:r w:rsidRPr="0B61D30A" w:rsidR="593ABE3B">
        <w:rPr>
          <w:rFonts w:ascii="Arial" w:hAnsi="Arial" w:eastAsia="Arial" w:cs="Arial"/>
          <w:noProof w:val="0"/>
          <w:sz w:val="24"/>
          <w:szCs w:val="24"/>
          <w:lang w:val="en-US"/>
        </w:rPr>
        <w:t xml:space="preserve"> </w:t>
      </w:r>
    </w:p>
    <w:p w:rsidR="593ABE3B" w:rsidP="0B61D30A" w:rsidRDefault="593ABE3B" w14:paraId="7F66DE7E" w14:textId="2FFB8C46">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The issue is that these service improvements are highly fragmented. A major report by The King's Fund (2024) found that digital maturity is completely uneven across different NHS trusts. If a patient lives in an area with outdated local infrastructure, their app functionality is heavily limited compared to a patient in a well-funded, digitally advanced trust. The Nuffield Trust (2024) warns that this structural inequality undermines the NHS principle of equal care, creating a postcode lottery for digital access.</w:t>
      </w:r>
      <w:r w:rsidRPr="0B61D30A" w:rsidR="593ABE3B">
        <w:rPr>
          <w:rFonts w:ascii="Arial" w:hAnsi="Arial" w:eastAsia="Arial" w:cs="Arial"/>
          <w:noProof w:val="0"/>
          <w:sz w:val="24"/>
          <w:szCs w:val="24"/>
          <w:lang w:val="en-US"/>
        </w:rPr>
        <w:t xml:space="preserve"> </w:t>
      </w:r>
    </w:p>
    <w:p w:rsidR="593ABE3B" w:rsidP="0B61D30A" w:rsidRDefault="593ABE3B" w14:paraId="4AD18749" w14:textId="3214B41B">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Over-reliance on a single digital platform brings severe operational risks. If the central system crashes, or if a trust suffers a cyber-attack, patient access to care can grind to a halt overnight. Recent Information Commissioner's Office (ICO, 2024) reports emphasize that the NHS cannot treat digital platforms as a cheap fix; they require massive, ongoing funding for cybersecurity and system resilience just to keep basic services running safely (NHS Digital, 2023).</w:t>
      </w:r>
      <w:r w:rsidRPr="0B61D30A" w:rsidR="593ABE3B">
        <w:rPr>
          <w:rFonts w:ascii="Arial" w:hAnsi="Arial" w:eastAsia="Arial" w:cs="Arial"/>
          <w:noProof w:val="0"/>
          <w:sz w:val="24"/>
          <w:szCs w:val="24"/>
          <w:lang w:val="en-US"/>
        </w:rPr>
        <w:t xml:space="preserve"> </w:t>
      </w:r>
    </w:p>
    <w:p w:rsidR="593ABE3B" w:rsidP="0B61D30A" w:rsidRDefault="593ABE3B" w14:paraId="015C1F73" w14:textId="6C8BF95E">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This structural imbalance means that while the front-end user experience looks modern, the back-end architecture </w:t>
      </w:r>
      <w:r w:rsidRPr="0B61D30A" w:rsidR="593ABE3B">
        <w:rPr>
          <w:rFonts w:ascii="Arial" w:hAnsi="Arial" w:eastAsia="Arial" w:cs="Arial"/>
          <w:b w:val="0"/>
          <w:bCs w:val="0"/>
          <w:i w:val="0"/>
          <w:iCs w:val="0"/>
          <w:noProof w:val="0"/>
          <w:sz w:val="24"/>
          <w:szCs w:val="24"/>
          <w:lang w:val="en-US"/>
        </w:rPr>
        <w:t>remains</w:t>
      </w:r>
      <w:r w:rsidRPr="0B61D30A" w:rsidR="593ABE3B">
        <w:rPr>
          <w:rFonts w:ascii="Arial" w:hAnsi="Arial" w:eastAsia="Arial" w:cs="Arial"/>
          <w:b w:val="0"/>
          <w:bCs w:val="0"/>
          <w:i w:val="0"/>
          <w:iCs w:val="0"/>
          <w:noProof w:val="0"/>
          <w:sz w:val="24"/>
          <w:szCs w:val="24"/>
          <w:lang w:val="en-US"/>
        </w:rPr>
        <w:t xml:space="preserve"> fragile. When local networks </w:t>
      </w:r>
      <w:r w:rsidRPr="0B61D30A" w:rsidR="593ABE3B">
        <w:rPr>
          <w:rFonts w:ascii="Arial" w:hAnsi="Arial" w:eastAsia="Arial" w:cs="Arial"/>
          <w:b w:val="0"/>
          <w:bCs w:val="0"/>
          <w:i w:val="0"/>
          <w:iCs w:val="0"/>
          <w:noProof w:val="0"/>
          <w:sz w:val="24"/>
          <w:szCs w:val="24"/>
          <w:lang w:val="en-US"/>
        </w:rPr>
        <w:t>fail to</w:t>
      </w:r>
      <w:r w:rsidRPr="0B61D30A" w:rsidR="593ABE3B">
        <w:rPr>
          <w:rFonts w:ascii="Arial" w:hAnsi="Arial" w:eastAsia="Arial" w:cs="Arial"/>
          <w:b w:val="0"/>
          <w:bCs w:val="0"/>
          <w:i w:val="0"/>
          <w:iCs w:val="0"/>
          <w:noProof w:val="0"/>
          <w:sz w:val="24"/>
          <w:szCs w:val="24"/>
          <w:lang w:val="en-US"/>
        </w:rPr>
        <w:t xml:space="preserve"> </w:t>
      </w:r>
      <w:r w:rsidRPr="0B61D30A" w:rsidR="429437EC">
        <w:rPr>
          <w:rFonts w:ascii="Arial" w:hAnsi="Arial" w:eastAsia="Arial" w:cs="Arial"/>
          <w:b w:val="0"/>
          <w:bCs w:val="0"/>
          <w:i w:val="0"/>
          <w:iCs w:val="0"/>
          <w:noProof w:val="0"/>
          <w:sz w:val="24"/>
          <w:szCs w:val="24"/>
          <w:lang w:val="en-US"/>
        </w:rPr>
        <w:t>synchronize</w:t>
      </w:r>
      <w:r w:rsidRPr="0B61D30A" w:rsidR="593ABE3B">
        <w:rPr>
          <w:rFonts w:ascii="Arial" w:hAnsi="Arial" w:eastAsia="Arial" w:cs="Arial"/>
          <w:b w:val="0"/>
          <w:bCs w:val="0"/>
          <w:i w:val="0"/>
          <w:iCs w:val="0"/>
          <w:noProof w:val="0"/>
          <w:sz w:val="24"/>
          <w:szCs w:val="24"/>
          <w:lang w:val="en-US"/>
        </w:rPr>
        <w:t xml:space="preserve"> seamlessly with the central platform, patients face conflicting appointment messages or delayed prescription requests. Rather than creating a unified service, the patchy rollout forces individual practices to patch up technical gaps with localized, manual workarounds. True organizational transformation requires uniform infrastructure investment, not just a slick mobile interface overlaying a divided system.</w:t>
      </w:r>
      <w:r w:rsidRPr="0B61D30A" w:rsidR="593ABE3B">
        <w:rPr>
          <w:rFonts w:ascii="Arial" w:hAnsi="Arial" w:eastAsia="Arial" w:cs="Arial"/>
          <w:noProof w:val="0"/>
          <w:sz w:val="24"/>
          <w:szCs w:val="24"/>
          <w:lang w:val="en-US"/>
        </w:rPr>
        <w:t xml:space="preserve"> </w:t>
      </w:r>
    </w:p>
    <w:p w:rsidR="593ABE3B" w:rsidP="0B61D30A" w:rsidRDefault="593ABE3B" w14:paraId="14B2E59E" w14:textId="260413BB">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This structural friction is worsened by the fact that digital targets are often tied to institutional key performance indicators (KPIs) without corresponding infrastructure upgrades. When regional Integrated Care Boards (ICBs) measure success based on the gross volume of digital app registrations, local practices face immense bureaucratic pressure to drive patient adoption. However, this focus on raw signup numbers ignores whether the local practice possesses the data processing capabilities or the back-and-end staff to manage the subsequent influx of digital communication. The resulting operational mismatch creates a scenario where a glossy, efficient front-end user experience masks an increasingly bottlenecked, structurally overwhelmed administrative core.</w:t>
      </w:r>
      <w:r w:rsidRPr="0B61D30A" w:rsidR="593ABE3B">
        <w:rPr>
          <w:rFonts w:ascii="Arial" w:hAnsi="Arial" w:eastAsia="Arial" w:cs="Arial"/>
          <w:noProof w:val="0"/>
          <w:sz w:val="24"/>
          <w:szCs w:val="24"/>
          <w:lang w:val="en-US"/>
        </w:rPr>
        <w:t xml:space="preserve"> </w:t>
      </w:r>
    </w:p>
    <w:p w:rsidR="0B61D30A" w:rsidP="0B61D30A" w:rsidRDefault="0B61D30A" w14:paraId="32251A26" w14:textId="523B0C5F">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3241EC41" w14:textId="786FD801">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442422C8" w14:textId="2C9A4A8D">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59E69D1D" w14:textId="67151D6B">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6B6D22F7" w14:textId="38718E73">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7D39614" w14:textId="3F12397A">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6AF5F9AF" w14:textId="2D23B569">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154D3B4" w14:textId="17F727A1">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46AA4A23" w14:textId="6092CA4C">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6FD8FC3" w14:textId="47D2CFAB">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224CFEF3" w14:textId="0D9497C1">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84FBEEA" w14:textId="1251D786">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83BC0C6" w14:textId="359310B5">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22C00B75" w14:textId="03867C70">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B9ABB68" w14:textId="68F4E9D8">
      <w:pPr>
        <w:pStyle w:val="Normal"/>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593ABE3B" w:rsidP="0B61D30A" w:rsidRDefault="593ABE3B" w14:paraId="0257A8B0" w14:textId="5064A0D5">
      <w:pPr>
        <w:pStyle w:val="Normal"/>
        <w:spacing w:before="240" w:beforeAutospacing="off" w:after="240" w:afterAutospacing="off" w:line="360" w:lineRule="auto"/>
        <w:rPr>
          <w:rFonts w:ascii="Arial" w:hAnsi="Arial" w:eastAsia="Arial" w:cs="Arial"/>
          <w:i w:val="1"/>
          <w:iCs w:val="1"/>
          <w:noProof w:val="0"/>
          <w:color w:val="auto"/>
          <w:sz w:val="32"/>
          <w:szCs w:val="32"/>
          <w:u w:val="single"/>
          <w:lang w:val="en-US"/>
        </w:rPr>
      </w:pPr>
      <w:r w:rsidRPr="0B61D30A" w:rsidR="593ABE3B">
        <w:rPr>
          <w:rFonts w:ascii="Arial" w:hAnsi="Arial" w:eastAsia="Arial" w:cs="Arial"/>
          <w:b w:val="1"/>
          <w:bCs w:val="1"/>
          <w:i w:val="1"/>
          <w:iCs w:val="1"/>
          <w:noProof w:val="0"/>
          <w:color w:val="auto"/>
          <w:sz w:val="32"/>
          <w:szCs w:val="32"/>
          <w:u w:val="single"/>
          <w:lang w:val="en-US"/>
        </w:rPr>
        <w:t>Patients, Service Users and Ethical Issues</w:t>
      </w:r>
      <w:r w:rsidRPr="0B61D30A" w:rsidR="593ABE3B">
        <w:rPr>
          <w:rFonts w:ascii="Arial" w:hAnsi="Arial" w:eastAsia="Arial" w:cs="Arial"/>
          <w:i w:val="1"/>
          <w:iCs w:val="1"/>
          <w:noProof w:val="0"/>
          <w:color w:val="auto"/>
          <w:sz w:val="32"/>
          <w:szCs w:val="32"/>
          <w:u w:val="single"/>
          <w:lang w:val="en-US"/>
        </w:rPr>
        <w:t xml:space="preserve"> </w:t>
      </w:r>
    </w:p>
    <w:p w:rsidR="593ABE3B" w:rsidP="0B61D30A" w:rsidRDefault="593ABE3B" w14:paraId="7FB69D23" w14:textId="5170431F">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For a large portion of the public, the app provides unparalleled convenience. Viewing records and ordering medication without waiting on hold has made managing chronic illnesses much easier, supporting the patient-led care models championed by Topol (2019). The Patient Information Forum (2023) suggests that when people have direct access to their health data, their health literacy improves, leading to better shared decision-making during doctor visits.</w:t>
      </w:r>
      <w:r w:rsidRPr="0B61D30A" w:rsidR="593ABE3B">
        <w:rPr>
          <w:rFonts w:ascii="Arial" w:hAnsi="Arial" w:eastAsia="Arial" w:cs="Arial"/>
          <w:noProof w:val="0"/>
          <w:sz w:val="24"/>
          <w:szCs w:val="24"/>
          <w:lang w:val="en-US"/>
        </w:rPr>
        <w:t xml:space="preserve"> </w:t>
      </w:r>
    </w:p>
    <w:p w:rsidR="593ABE3B" w:rsidP="0B61D30A" w:rsidRDefault="593ABE3B" w14:paraId="3130D67B" w14:textId="638ACD11">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But this system breaks down for the most vulnerable populations. Data from the Good Things Foundation (2023) highlights that millions of people in the UK remain digitally excluded due to a lack of devices, poor connectivity, or low digital literacy. This exclusion disproportionately impacts older demographics and lower-income communities—the very people who use healthcare services the most. As Healthwatch England (2024) repeatedly warns, moving services online by default risks actively locking out the patients who need the NHS most.</w:t>
      </w:r>
      <w:r w:rsidRPr="0B61D30A" w:rsidR="593ABE3B">
        <w:rPr>
          <w:rFonts w:ascii="Arial" w:hAnsi="Arial" w:eastAsia="Arial" w:cs="Arial"/>
          <w:noProof w:val="0"/>
          <w:sz w:val="24"/>
          <w:szCs w:val="24"/>
          <w:lang w:val="en-US"/>
        </w:rPr>
        <w:t xml:space="preserve"> </w:t>
      </w:r>
    </w:p>
    <w:p w:rsidR="593ABE3B" w:rsidP="0B61D30A" w:rsidRDefault="593ABE3B" w14:paraId="06B87258" w14:textId="0F8B4F39">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Finally, managing sensitive medical data on a massive digital scale creates ethical and legal challenges. The app </w:t>
      </w:r>
      <w:r w:rsidRPr="0B61D30A" w:rsidR="462E133E">
        <w:rPr>
          <w:rFonts w:ascii="Arial" w:hAnsi="Arial" w:eastAsia="Arial" w:cs="Arial"/>
          <w:b w:val="0"/>
          <w:bCs w:val="0"/>
          <w:i w:val="0"/>
          <w:iCs w:val="0"/>
          <w:noProof w:val="0"/>
          <w:sz w:val="24"/>
          <w:szCs w:val="24"/>
          <w:lang w:val="en-US"/>
        </w:rPr>
        <w:t>must</w:t>
      </w:r>
      <w:r w:rsidRPr="0B61D30A" w:rsidR="593ABE3B">
        <w:rPr>
          <w:rFonts w:ascii="Arial" w:hAnsi="Arial" w:eastAsia="Arial" w:cs="Arial"/>
          <w:b w:val="0"/>
          <w:bCs w:val="0"/>
          <w:i w:val="0"/>
          <w:iCs w:val="0"/>
          <w:noProof w:val="0"/>
          <w:sz w:val="24"/>
          <w:szCs w:val="24"/>
          <w:lang w:val="en-US"/>
        </w:rPr>
        <w:t xml:space="preserve"> navigate strict boundaries set by the Data Protection Act 2018 and UK GDPR (ICO, 2024). Beyond legal compliance, there is a delicate psychological element to consider. When patients receive </w:t>
      </w:r>
      <w:r w:rsidRPr="0B61D30A" w:rsidR="593ABE3B">
        <w:rPr>
          <w:rFonts w:ascii="Arial" w:hAnsi="Arial" w:eastAsia="Arial" w:cs="Arial"/>
          <w:b w:val="0"/>
          <w:bCs w:val="0"/>
          <w:i w:val="0"/>
          <w:iCs w:val="0"/>
          <w:noProof w:val="0"/>
          <w:sz w:val="24"/>
          <w:szCs w:val="24"/>
          <w:lang w:val="en-US"/>
        </w:rPr>
        <w:t>bad news</w:t>
      </w:r>
      <w:r w:rsidRPr="0B61D30A" w:rsidR="593ABE3B">
        <w:rPr>
          <w:rFonts w:ascii="Arial" w:hAnsi="Arial" w:eastAsia="Arial" w:cs="Arial"/>
          <w:b w:val="0"/>
          <w:bCs w:val="0"/>
          <w:i w:val="0"/>
          <w:iCs w:val="0"/>
          <w:noProof w:val="0"/>
          <w:sz w:val="24"/>
          <w:szCs w:val="24"/>
          <w:lang w:val="en-US"/>
        </w:rPr>
        <w:t xml:space="preserve">—such as a cancer diagnosis or an abnormal blood test result—directly via an app notification before a doctor has a chance to call them, it can cause severe emotional distress (NHS Digital, 2023). Without a clinical safety net to interpret these results instantly, the automation of sensitive data risks </w:t>
      </w:r>
      <w:r w:rsidRPr="0B61D30A" w:rsidR="7D20FA6D">
        <w:rPr>
          <w:rFonts w:ascii="Arial" w:hAnsi="Arial" w:eastAsia="Arial" w:cs="Arial"/>
          <w:b w:val="0"/>
          <w:bCs w:val="0"/>
          <w:i w:val="0"/>
          <w:iCs w:val="0"/>
          <w:noProof w:val="0"/>
          <w:sz w:val="24"/>
          <w:szCs w:val="24"/>
          <w:lang w:val="en-US"/>
        </w:rPr>
        <w:t>prioritizing</w:t>
      </w:r>
      <w:r w:rsidRPr="0B61D30A" w:rsidR="593ABE3B">
        <w:rPr>
          <w:rFonts w:ascii="Arial" w:hAnsi="Arial" w:eastAsia="Arial" w:cs="Arial"/>
          <w:b w:val="0"/>
          <w:bCs w:val="0"/>
          <w:i w:val="0"/>
          <w:iCs w:val="0"/>
          <w:noProof w:val="0"/>
          <w:sz w:val="24"/>
          <w:szCs w:val="24"/>
          <w:lang w:val="en-US"/>
        </w:rPr>
        <w:t xml:space="preserve"> speed over patient welfare.</w:t>
      </w:r>
      <w:r w:rsidRPr="0B61D30A" w:rsidR="593ABE3B">
        <w:rPr>
          <w:rFonts w:ascii="Arial" w:hAnsi="Arial" w:eastAsia="Arial" w:cs="Arial"/>
          <w:noProof w:val="0"/>
          <w:sz w:val="24"/>
          <w:szCs w:val="24"/>
          <w:lang w:val="en-US"/>
        </w:rPr>
        <w:t xml:space="preserve"> </w:t>
      </w:r>
    </w:p>
    <w:p w:rsidR="593ABE3B" w:rsidP="0B61D30A" w:rsidRDefault="593ABE3B" w14:paraId="7EB00649" w14:textId="1542D26E">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This clinical dilemma highlights the ethical compromise of removing human mediation from diagnostic delivery. Automating data transmission satisfies bureaucratic efficiency targets but fundamentally ignores patient vulnerability. True patient-centered care must respect that some data cannot be purely transactional. When automated alerts replace empathetic clinical communication, the therapeutic relationship between the healthcare provider and the service user is weakened, creating an ethical deficit that technology cannot fix.</w:t>
      </w:r>
      <w:r w:rsidRPr="0B61D30A" w:rsidR="593ABE3B">
        <w:rPr>
          <w:rFonts w:ascii="Arial" w:hAnsi="Arial" w:eastAsia="Arial" w:cs="Arial"/>
          <w:noProof w:val="0"/>
          <w:sz w:val="24"/>
          <w:szCs w:val="24"/>
          <w:lang w:val="en-US"/>
        </w:rPr>
        <w:t xml:space="preserve"> </w:t>
      </w:r>
    </w:p>
    <w:p w:rsidR="593ABE3B" w:rsidP="0B61D30A" w:rsidRDefault="593ABE3B" w14:paraId="4FA38E1A" w14:textId="7220DE96">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This tension points toward a broader philosophical debate regarding the marketization and transactional nature of contemporary public health frameworks. By conceptualizing the patient as a sovereign digital consumer who accesses healthcare commodities via a smartphone application, modern data strategies risk stripping away the relational framework that has historically underpinned the British model of health delivery. A digital transaction is inherently binary—it records a task as either completed or pending. It cannot account for the ambiguous, non-linear realities of clinical vulnerability, where a patient’s unstated emotional distress or cognitive confusion is frequently what requires the most acute clinical attention.</w:t>
      </w:r>
      <w:r w:rsidRPr="0B61D30A" w:rsidR="593ABE3B">
        <w:rPr>
          <w:rFonts w:ascii="Arial" w:hAnsi="Arial" w:eastAsia="Arial" w:cs="Arial"/>
          <w:noProof w:val="0"/>
          <w:sz w:val="24"/>
          <w:szCs w:val="24"/>
          <w:lang w:val="en-US"/>
        </w:rPr>
        <w:t xml:space="preserve"> </w:t>
      </w:r>
    </w:p>
    <w:p w:rsidR="0B61D30A" w:rsidP="0B61D30A" w:rsidRDefault="0B61D30A" w14:paraId="65CA8FD8" w14:textId="4E35C047">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54F82D1" w14:textId="61498D75">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A2C4EBA" w14:textId="201E713E">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310C2B5C" w14:textId="3A6EA1EB">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1F6A3F65" w14:textId="7B55BED9">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0AAC939" w14:textId="0BBEC011">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633DB9EF" w14:textId="3F621FF6">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4C80A304" w14:textId="6A6805D2">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34EFE951" w14:textId="54B153C2">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03BF990" w14:textId="52C3EE03">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3268BB2" w14:textId="4784E28A">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4BD61FE9" w14:textId="5A3F646D">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51B91FD3" w14:textId="47588342">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0D515530" w14:textId="337BA21C">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0B61D30A" w:rsidP="0B61D30A" w:rsidRDefault="0B61D30A" w14:paraId="7DE183F9" w14:textId="6176B38F">
      <w:pPr>
        <w:spacing w:before="240" w:beforeAutospacing="off" w:after="240" w:afterAutospacing="off" w:line="360" w:lineRule="auto"/>
        <w:rPr>
          <w:rFonts w:ascii="Arial" w:hAnsi="Arial" w:eastAsia="Arial" w:cs="Arial"/>
          <w:b w:val="1"/>
          <w:bCs w:val="1"/>
          <w:i w:val="1"/>
          <w:iCs w:val="1"/>
          <w:noProof w:val="0"/>
          <w:color w:val="auto"/>
          <w:sz w:val="32"/>
          <w:szCs w:val="32"/>
          <w:u w:val="single"/>
          <w:lang w:val="en-US"/>
        </w:rPr>
      </w:pPr>
    </w:p>
    <w:p w:rsidR="593ABE3B" w:rsidP="0B61D30A" w:rsidRDefault="593ABE3B" w14:paraId="7BBA9292" w14:textId="0120E4F8">
      <w:pPr>
        <w:spacing w:before="240" w:beforeAutospacing="off" w:after="240" w:afterAutospacing="off" w:line="360" w:lineRule="auto"/>
      </w:pPr>
      <w:r w:rsidRPr="0B61D30A" w:rsidR="593ABE3B">
        <w:rPr>
          <w:rFonts w:ascii="Arial" w:hAnsi="Arial" w:eastAsia="Arial" w:cs="Arial"/>
          <w:b w:val="1"/>
          <w:bCs w:val="1"/>
          <w:i w:val="1"/>
          <w:iCs w:val="1"/>
          <w:noProof w:val="0"/>
          <w:color w:val="auto"/>
          <w:sz w:val="32"/>
          <w:szCs w:val="32"/>
          <w:u w:val="single"/>
          <w:lang w:val="en-US"/>
        </w:rPr>
        <w:t>Conclusion</w:t>
      </w:r>
      <w:r w:rsidRPr="0B61D30A" w:rsidR="593ABE3B">
        <w:rPr>
          <w:rFonts w:ascii="Arial" w:hAnsi="Arial" w:eastAsia="Arial" w:cs="Arial"/>
          <w:i w:val="1"/>
          <w:iCs w:val="1"/>
          <w:noProof w:val="0"/>
          <w:color w:val="auto"/>
          <w:sz w:val="32"/>
          <w:szCs w:val="32"/>
          <w:u w:val="single"/>
          <w:lang w:val="en-US"/>
        </w:rPr>
        <w:t xml:space="preserve"> </w:t>
      </w:r>
    </w:p>
    <w:p w:rsidR="593ABE3B" w:rsidP="0B61D30A" w:rsidRDefault="593ABE3B" w14:paraId="1F667707" w14:textId="14922ABC">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 xml:space="preserve">The </w:t>
      </w:r>
      <w:r w:rsidRPr="0B61D30A" w:rsidR="2BD015F2">
        <w:rPr>
          <w:rFonts w:ascii="Arial" w:hAnsi="Arial" w:eastAsia="Arial" w:cs="Arial"/>
          <w:b w:val="0"/>
          <w:bCs w:val="0"/>
          <w:i w:val="0"/>
          <w:iCs w:val="0"/>
          <w:noProof w:val="0"/>
          <w:sz w:val="24"/>
          <w:szCs w:val="24"/>
          <w:lang w:val="en-US"/>
        </w:rPr>
        <w:t>digitization</w:t>
      </w:r>
      <w:r w:rsidRPr="0B61D30A" w:rsidR="593ABE3B">
        <w:rPr>
          <w:rFonts w:ascii="Arial" w:hAnsi="Arial" w:eastAsia="Arial" w:cs="Arial"/>
          <w:b w:val="0"/>
          <w:bCs w:val="0"/>
          <w:i w:val="0"/>
          <w:iCs w:val="0"/>
          <w:noProof w:val="0"/>
          <w:sz w:val="24"/>
          <w:szCs w:val="24"/>
          <w:lang w:val="en-US"/>
        </w:rPr>
        <w:t xml:space="preserve"> of healthcare through platforms like the NHS App marks a massive shift in how primary care </w:t>
      </w:r>
      <w:r w:rsidRPr="0B61D30A" w:rsidR="593ABE3B">
        <w:rPr>
          <w:rFonts w:ascii="Arial" w:hAnsi="Arial" w:eastAsia="Arial" w:cs="Arial"/>
          <w:b w:val="0"/>
          <w:bCs w:val="0"/>
          <w:i w:val="0"/>
          <w:iCs w:val="0"/>
          <w:noProof w:val="0"/>
          <w:sz w:val="24"/>
          <w:szCs w:val="24"/>
          <w:lang w:val="en-US"/>
        </w:rPr>
        <w:t>operates</w:t>
      </w:r>
      <w:r w:rsidRPr="0B61D30A" w:rsidR="593ABE3B">
        <w:rPr>
          <w:rFonts w:ascii="Arial" w:hAnsi="Arial" w:eastAsia="Arial" w:cs="Arial"/>
          <w:b w:val="0"/>
          <w:bCs w:val="0"/>
          <w:i w:val="0"/>
          <w:iCs w:val="0"/>
          <w:noProof w:val="0"/>
          <w:sz w:val="24"/>
          <w:szCs w:val="24"/>
          <w:lang w:val="en-US"/>
        </w:rPr>
        <w:t xml:space="preserve"> across England. On many levels, the initiative has achieved its basic goals: millions of users now manage routine healthcare tasks digitally, taking real pressure off physical administration networks and pharmacy communication links. This progress proves that digital entry points can modernize elements of a legacy healthcare system.</w:t>
      </w:r>
      <w:r w:rsidRPr="0B61D30A" w:rsidR="593ABE3B">
        <w:rPr>
          <w:rFonts w:ascii="Arial" w:hAnsi="Arial" w:eastAsia="Arial" w:cs="Arial"/>
          <w:noProof w:val="0"/>
          <w:sz w:val="24"/>
          <w:szCs w:val="24"/>
          <w:lang w:val="en-US"/>
        </w:rPr>
        <w:t xml:space="preserve"> </w:t>
      </w:r>
    </w:p>
    <w:p w:rsidR="593ABE3B" w:rsidP="0B61D30A" w:rsidRDefault="593ABE3B" w14:paraId="245EE19A" w14:textId="58FD7602">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However, a critical evaluation shows that these efficiencies come with a clear operational trade-off. Instead of eliminating systemic burdens, the platform has often just shifted the strain onto different areas. Clinicians now find themselves decoding medical jargon for anxious patients who have instant data access without context, while administrative teams have evolved into frontline IT helpdesks. Furthermore, structural inconsistencies across different trusts mean the app inadvertently reinforces a digital postcode lottery, deepening exclusion for vulnerable, low-income, and elderly demographics.</w:t>
      </w:r>
      <w:r w:rsidRPr="0B61D30A" w:rsidR="593ABE3B">
        <w:rPr>
          <w:rFonts w:ascii="Arial" w:hAnsi="Arial" w:eastAsia="Arial" w:cs="Arial"/>
          <w:noProof w:val="0"/>
          <w:sz w:val="24"/>
          <w:szCs w:val="24"/>
          <w:lang w:val="en-US"/>
        </w:rPr>
        <w:t xml:space="preserve"> </w:t>
      </w:r>
    </w:p>
    <w:p w:rsidR="593ABE3B" w:rsidP="0B61D30A" w:rsidRDefault="593ABE3B" w14:paraId="456CC493" w14:textId="40EB411C">
      <w:pPr>
        <w:spacing w:before="240" w:beforeAutospacing="off" w:after="240" w:afterAutospacing="off" w:line="360" w:lineRule="auto"/>
        <w:rPr>
          <w:rFonts w:ascii="Arial" w:hAnsi="Arial" w:eastAsia="Arial" w:cs="Arial"/>
          <w:noProof w:val="0"/>
          <w:sz w:val="24"/>
          <w:szCs w:val="24"/>
          <w:lang w:val="en-US"/>
        </w:rPr>
      </w:pPr>
      <w:r w:rsidRPr="0B61D30A" w:rsidR="593ABE3B">
        <w:rPr>
          <w:rFonts w:ascii="Arial" w:hAnsi="Arial" w:eastAsia="Arial" w:cs="Arial"/>
          <w:b w:val="0"/>
          <w:bCs w:val="0"/>
          <w:i w:val="0"/>
          <w:iCs w:val="0"/>
          <w:noProof w:val="0"/>
          <w:sz w:val="24"/>
          <w:szCs w:val="24"/>
          <w:lang w:val="en-US"/>
        </w:rPr>
        <w:t>Ultimately, digital transformation cannot act as a standalone remedy for structural crises. If mobile platforms are layered on top of depleted workforces and fragmented local IT infrastructure, they end up exposing existing flaws rather than fixing them. For future strategies to succeed, the NHS must balance technical innovation with direct funding for frontline staff and cybersecurity. True transformation requires a system where digital tools support, rather than replace, the human infrastructure that forms the core of safe health and social care delivery.</w:t>
      </w:r>
      <w:r w:rsidRPr="0B61D30A" w:rsidR="593ABE3B">
        <w:rPr>
          <w:rFonts w:ascii="Arial" w:hAnsi="Arial" w:eastAsia="Arial" w:cs="Arial"/>
          <w:noProof w:val="0"/>
          <w:sz w:val="24"/>
          <w:szCs w:val="24"/>
          <w:lang w:val="en-US"/>
        </w:rPr>
        <w:t xml:space="preserve"> </w:t>
      </w:r>
    </w:p>
    <w:p w:rsidR="0B61D30A" w:rsidP="0B61D30A" w:rsidRDefault="0B61D30A" w14:paraId="60059656" w14:textId="47E9E343">
      <w:pPr>
        <w:spacing w:before="240" w:beforeAutospacing="off" w:after="240" w:afterAutospacing="off" w:line="360" w:lineRule="auto"/>
        <w:rPr>
          <w:rFonts w:ascii="Arial" w:hAnsi="Arial" w:eastAsia="Arial" w:cs="Arial"/>
          <w:b w:val="1"/>
          <w:bCs w:val="1"/>
          <w:i w:val="0"/>
          <w:iCs w:val="0"/>
          <w:noProof w:val="0"/>
          <w:color w:val="005EB8"/>
          <w:sz w:val="24"/>
          <w:szCs w:val="24"/>
          <w:lang w:val="en-US"/>
        </w:rPr>
      </w:pPr>
    </w:p>
    <w:p w:rsidR="0B61D30A" w:rsidP="0B61D30A" w:rsidRDefault="0B61D30A" w14:paraId="148A6904" w14:textId="78D543F5">
      <w:pPr>
        <w:spacing w:before="240" w:beforeAutospacing="off" w:after="240" w:afterAutospacing="off" w:line="360" w:lineRule="auto"/>
        <w:ind w:left="0"/>
        <w:rPr>
          <w:rFonts w:ascii="Arial" w:hAnsi="Arial" w:eastAsia="Arial" w:cs="Arial"/>
          <w:b w:val="1"/>
          <w:bCs w:val="1"/>
          <w:i w:val="1"/>
          <w:iCs w:val="1"/>
          <w:noProof w:val="0"/>
          <w:color w:val="auto"/>
          <w:sz w:val="32"/>
          <w:szCs w:val="32"/>
          <w:u w:val="single"/>
          <w:lang w:val="en-US"/>
        </w:rPr>
      </w:pPr>
    </w:p>
    <w:p w:rsidR="0B61D30A" w:rsidP="0B61D30A" w:rsidRDefault="0B61D30A" w14:paraId="51364CC8" w14:textId="60D27A96">
      <w:pPr>
        <w:spacing w:before="240" w:beforeAutospacing="off" w:after="240" w:afterAutospacing="off" w:line="360" w:lineRule="auto"/>
        <w:ind w:left="0"/>
        <w:rPr>
          <w:rFonts w:ascii="Arial" w:hAnsi="Arial" w:eastAsia="Arial" w:cs="Arial"/>
          <w:b w:val="1"/>
          <w:bCs w:val="1"/>
          <w:i w:val="1"/>
          <w:iCs w:val="1"/>
          <w:noProof w:val="0"/>
          <w:color w:val="auto"/>
          <w:sz w:val="32"/>
          <w:szCs w:val="32"/>
          <w:u w:val="single"/>
          <w:lang w:val="en-US"/>
        </w:rPr>
      </w:pPr>
    </w:p>
    <w:p w:rsidR="0B61D30A" w:rsidP="0B61D30A" w:rsidRDefault="0B61D30A" w14:paraId="42BAC713" w14:textId="6FD355F3">
      <w:pPr>
        <w:spacing w:before="240" w:beforeAutospacing="off" w:after="240" w:afterAutospacing="off" w:line="360" w:lineRule="auto"/>
        <w:ind w:left="0"/>
        <w:rPr>
          <w:rFonts w:ascii="Arial" w:hAnsi="Arial" w:eastAsia="Arial" w:cs="Arial"/>
          <w:b w:val="1"/>
          <w:bCs w:val="1"/>
          <w:i w:val="1"/>
          <w:iCs w:val="1"/>
          <w:noProof w:val="0"/>
          <w:color w:val="auto"/>
          <w:sz w:val="32"/>
          <w:szCs w:val="32"/>
          <w:u w:val="single"/>
          <w:lang w:val="en-US"/>
        </w:rPr>
      </w:pPr>
    </w:p>
    <w:p w:rsidR="0B61D30A" w:rsidP="0B61D30A" w:rsidRDefault="0B61D30A" w14:paraId="09658D38" w14:textId="74F106A9">
      <w:pPr>
        <w:spacing w:before="240" w:beforeAutospacing="off" w:after="240" w:afterAutospacing="off" w:line="360" w:lineRule="auto"/>
        <w:ind w:left="0"/>
        <w:rPr>
          <w:rFonts w:ascii="Arial" w:hAnsi="Arial" w:eastAsia="Arial" w:cs="Arial"/>
          <w:b w:val="1"/>
          <w:bCs w:val="1"/>
          <w:i w:val="1"/>
          <w:iCs w:val="1"/>
          <w:noProof w:val="0"/>
          <w:color w:val="auto"/>
          <w:sz w:val="32"/>
          <w:szCs w:val="32"/>
          <w:u w:val="single"/>
          <w:lang w:val="en-US"/>
        </w:rPr>
      </w:pPr>
    </w:p>
    <w:p w:rsidR="0B61D30A" w:rsidP="0B61D30A" w:rsidRDefault="0B61D30A" w14:paraId="66227301" w14:textId="0DF9E98E">
      <w:pPr>
        <w:spacing w:before="240" w:beforeAutospacing="off" w:after="240" w:afterAutospacing="off" w:line="360" w:lineRule="auto"/>
        <w:ind w:left="0"/>
        <w:rPr>
          <w:rFonts w:ascii="Arial" w:hAnsi="Arial" w:eastAsia="Arial" w:cs="Arial"/>
          <w:b w:val="1"/>
          <w:bCs w:val="1"/>
          <w:i w:val="1"/>
          <w:iCs w:val="1"/>
          <w:noProof w:val="0"/>
          <w:color w:val="auto"/>
          <w:sz w:val="32"/>
          <w:szCs w:val="32"/>
          <w:u w:val="single"/>
          <w:lang w:val="en-US"/>
        </w:rPr>
      </w:pPr>
    </w:p>
    <w:p w:rsidR="593ABE3B" w:rsidP="0B61D30A" w:rsidRDefault="593ABE3B" w14:paraId="05C83EB0" w14:textId="69D70C4E">
      <w:pPr>
        <w:pStyle w:val="Normal"/>
        <w:spacing w:before="240" w:beforeAutospacing="off" w:after="240" w:afterAutospacing="off" w:line="360" w:lineRule="auto"/>
        <w:ind w:left="0"/>
        <w:jc w:val="both"/>
        <w:rPr>
          <w:rFonts w:ascii="Arial" w:hAnsi="Arial" w:eastAsia="Arial" w:cs="Arial"/>
          <w:i w:val="1"/>
          <w:iCs w:val="1"/>
          <w:noProof w:val="0"/>
          <w:color w:val="auto"/>
          <w:sz w:val="32"/>
          <w:szCs w:val="32"/>
          <w:u w:val="single"/>
          <w:lang w:val="en-US"/>
        </w:rPr>
      </w:pPr>
      <w:r w:rsidRPr="0B61D30A" w:rsidR="593ABE3B">
        <w:rPr>
          <w:rFonts w:ascii="Arial" w:hAnsi="Arial" w:eastAsia="Arial" w:cs="Arial"/>
          <w:b w:val="1"/>
          <w:bCs w:val="1"/>
          <w:i w:val="1"/>
          <w:iCs w:val="1"/>
          <w:noProof w:val="0"/>
          <w:color w:val="auto"/>
          <w:sz w:val="32"/>
          <w:szCs w:val="32"/>
          <w:u w:val="single"/>
          <w:lang w:val="en-US"/>
        </w:rPr>
        <w:t>Reference</w:t>
      </w:r>
      <w:r w:rsidRPr="0B61D30A" w:rsidR="5D31D984">
        <w:rPr>
          <w:rFonts w:ascii="Arial" w:hAnsi="Arial" w:eastAsia="Arial" w:cs="Arial"/>
          <w:b w:val="1"/>
          <w:bCs w:val="1"/>
          <w:i w:val="1"/>
          <w:iCs w:val="1"/>
          <w:noProof w:val="0"/>
          <w:color w:val="auto"/>
          <w:sz w:val="32"/>
          <w:szCs w:val="32"/>
          <w:u w:val="single"/>
          <w:lang w:val="en-US"/>
        </w:rPr>
        <w:t xml:space="preserve"> List</w:t>
      </w:r>
    </w:p>
    <w:p w:rsidR="593ABE3B" w:rsidP="0B61D30A" w:rsidRDefault="593ABE3B" w14:paraId="6C47559C" w14:textId="244EC438">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Alderwick</w:t>
      </w:r>
      <w:r w:rsidRPr="0B61D30A" w:rsidR="593ABE3B">
        <w:rPr>
          <w:rFonts w:ascii="Arial" w:hAnsi="Arial" w:eastAsia="Arial" w:cs="Arial"/>
          <w:b w:val="0"/>
          <w:bCs w:val="0"/>
          <w:i w:val="1"/>
          <w:iCs w:val="1"/>
          <w:noProof w:val="0"/>
          <w:sz w:val="24"/>
          <w:szCs w:val="24"/>
          <w:lang w:val="en-US"/>
        </w:rPr>
        <w:t xml:space="preserve">, D., Baird, </w:t>
      </w:r>
      <w:r w:rsidRPr="0B61D30A" w:rsidR="593ABE3B">
        <w:rPr>
          <w:rFonts w:ascii="Arial" w:hAnsi="Arial" w:eastAsia="Arial" w:cs="Arial"/>
          <w:b w:val="0"/>
          <w:bCs w:val="0"/>
          <w:i w:val="1"/>
          <w:iCs w:val="1"/>
          <w:noProof w:val="0"/>
          <w:sz w:val="24"/>
          <w:szCs w:val="24"/>
          <w:lang w:val="en-US"/>
        </w:rPr>
        <w:t>B.</w:t>
      </w:r>
      <w:r w:rsidRPr="0B61D30A" w:rsidR="593ABE3B">
        <w:rPr>
          <w:rFonts w:ascii="Arial" w:hAnsi="Arial" w:eastAsia="Arial" w:cs="Arial"/>
          <w:b w:val="0"/>
          <w:bCs w:val="0"/>
          <w:i w:val="1"/>
          <w:iCs w:val="1"/>
          <w:noProof w:val="0"/>
          <w:sz w:val="24"/>
          <w:szCs w:val="24"/>
          <w:lang w:val="en-US"/>
        </w:rPr>
        <w:t xml:space="preserve"> and Maguire, D. (2021)</w:t>
      </w:r>
      <w:r w:rsidRPr="0B61D30A" w:rsidR="1B72E32A">
        <w:rPr>
          <w:rFonts w:ascii="Arial" w:hAnsi="Arial" w:eastAsia="Arial" w:cs="Arial"/>
          <w:b w:val="0"/>
          <w:bCs w:val="0"/>
          <w:i w:val="1"/>
          <w:iCs w:val="1"/>
          <w:noProof w:val="0"/>
          <w:sz w:val="24"/>
          <w:szCs w:val="24"/>
          <w:lang w:val="en-US"/>
        </w:rPr>
        <w:t>. Digital</w:t>
      </w:r>
      <w:r w:rsidRPr="0B61D30A" w:rsidR="593ABE3B">
        <w:rPr>
          <w:rFonts w:ascii="Arial" w:hAnsi="Arial" w:eastAsia="Arial" w:cs="Arial"/>
          <w:b w:val="0"/>
          <w:bCs w:val="0"/>
          <w:i w:val="1"/>
          <w:iCs w:val="1"/>
          <w:noProof w:val="0"/>
          <w:sz w:val="24"/>
          <w:szCs w:val="24"/>
          <w:lang w:val="en-US"/>
        </w:rPr>
        <w:t xml:space="preserve"> innovation in primary care: lessons from the frontline. London: Nuffield Trust.</w:t>
      </w:r>
      <w:r w:rsidRPr="0B61D30A" w:rsidR="593ABE3B">
        <w:rPr>
          <w:rFonts w:ascii="Arial" w:hAnsi="Arial" w:eastAsia="Arial" w:cs="Arial"/>
          <w:i w:val="1"/>
          <w:iCs w:val="1"/>
          <w:noProof w:val="0"/>
          <w:sz w:val="24"/>
          <w:szCs w:val="24"/>
          <w:lang w:val="en-US"/>
        </w:rPr>
        <w:t xml:space="preserve"> </w:t>
      </w:r>
    </w:p>
    <w:p w:rsidR="593ABE3B" w:rsidP="0B61D30A" w:rsidRDefault="593ABE3B" w14:paraId="63C3C551" w14:textId="37E23D5D">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Baird, B. and Maguire, D. (2023) The state of primary care in England. London: The King's Fund.</w:t>
      </w:r>
      <w:r w:rsidRPr="0B61D30A" w:rsidR="593ABE3B">
        <w:rPr>
          <w:rFonts w:ascii="Arial" w:hAnsi="Arial" w:eastAsia="Arial" w:cs="Arial"/>
          <w:i w:val="1"/>
          <w:iCs w:val="1"/>
          <w:noProof w:val="0"/>
          <w:sz w:val="24"/>
          <w:szCs w:val="24"/>
          <w:lang w:val="en-US"/>
        </w:rPr>
        <w:t xml:space="preserve"> </w:t>
      </w:r>
    </w:p>
    <w:p w:rsidR="593ABE3B" w:rsidP="0B61D30A" w:rsidRDefault="593ABE3B" w14:paraId="42F9BA14" w14:textId="775B7720">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Department of Health and Social Care (DHSC) (2018) Data Protection Act 2018 and healthcare compliance guides. London: Her Majesty's Stationery Office.</w:t>
      </w:r>
      <w:r w:rsidRPr="0B61D30A" w:rsidR="593ABE3B">
        <w:rPr>
          <w:rFonts w:ascii="Arial" w:hAnsi="Arial" w:eastAsia="Arial" w:cs="Arial"/>
          <w:i w:val="1"/>
          <w:iCs w:val="1"/>
          <w:noProof w:val="0"/>
          <w:sz w:val="24"/>
          <w:szCs w:val="24"/>
          <w:lang w:val="en-US"/>
        </w:rPr>
        <w:t xml:space="preserve"> </w:t>
      </w:r>
    </w:p>
    <w:p w:rsidR="593ABE3B" w:rsidP="0B61D30A" w:rsidRDefault="593ABE3B" w14:paraId="219B3C8A" w14:textId="45F90883">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Department of Health and Social Care (DHSC) (2022) Data saves lives: reshaping health and social care with data. London: Department of Health and Social Care.</w:t>
      </w:r>
      <w:r w:rsidRPr="0B61D30A" w:rsidR="593ABE3B">
        <w:rPr>
          <w:rFonts w:ascii="Arial" w:hAnsi="Arial" w:eastAsia="Arial" w:cs="Arial"/>
          <w:i w:val="1"/>
          <w:iCs w:val="1"/>
          <w:noProof w:val="0"/>
          <w:sz w:val="24"/>
          <w:szCs w:val="24"/>
          <w:lang w:val="en-US"/>
        </w:rPr>
        <w:t xml:space="preserve"> </w:t>
      </w:r>
    </w:p>
    <w:p w:rsidR="593ABE3B" w:rsidP="0B61D30A" w:rsidRDefault="593ABE3B" w14:paraId="7E92999C" w14:textId="128BBB2C">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Good Things Foundation (2023) The digital divide in the UK: 2023 health equity update. Sheffield: Good Things Foundation.</w:t>
      </w:r>
      <w:r w:rsidRPr="0B61D30A" w:rsidR="593ABE3B">
        <w:rPr>
          <w:rFonts w:ascii="Arial" w:hAnsi="Arial" w:eastAsia="Arial" w:cs="Arial"/>
          <w:i w:val="1"/>
          <w:iCs w:val="1"/>
          <w:noProof w:val="0"/>
          <w:sz w:val="24"/>
          <w:szCs w:val="24"/>
          <w:lang w:val="en-US"/>
        </w:rPr>
        <w:t xml:space="preserve"> </w:t>
      </w:r>
    </w:p>
    <w:p w:rsidR="593ABE3B" w:rsidP="0B61D30A" w:rsidRDefault="593ABE3B" w14:paraId="282FC05B" w14:textId="7228E895">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Healthwatch England (2024) Patient experiences of digital access points in primary care. London: Healthwatch England.</w:t>
      </w:r>
      <w:r w:rsidRPr="0B61D30A" w:rsidR="593ABE3B">
        <w:rPr>
          <w:rFonts w:ascii="Arial" w:hAnsi="Arial" w:eastAsia="Arial" w:cs="Arial"/>
          <w:i w:val="1"/>
          <w:iCs w:val="1"/>
          <w:noProof w:val="0"/>
          <w:sz w:val="24"/>
          <w:szCs w:val="24"/>
          <w:lang w:val="en-US"/>
        </w:rPr>
        <w:t xml:space="preserve"> </w:t>
      </w:r>
    </w:p>
    <w:p w:rsidR="593ABE3B" w:rsidP="0B61D30A" w:rsidRDefault="593ABE3B" w14:paraId="2D51D7AA" w14:textId="2B0DC9B1">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Information Commissioner's Office (ICO) (2024) UK GDPR and data protection processing within public health bodies. Wilmslow: Information Commissioner's Office.</w:t>
      </w:r>
      <w:r w:rsidRPr="0B61D30A" w:rsidR="593ABE3B">
        <w:rPr>
          <w:rFonts w:ascii="Arial" w:hAnsi="Arial" w:eastAsia="Arial" w:cs="Arial"/>
          <w:i w:val="1"/>
          <w:iCs w:val="1"/>
          <w:noProof w:val="0"/>
          <w:sz w:val="24"/>
          <w:szCs w:val="24"/>
          <w:lang w:val="en-US"/>
        </w:rPr>
        <w:t xml:space="preserve"> </w:t>
      </w:r>
    </w:p>
    <w:p w:rsidR="593ABE3B" w:rsidP="0B61D30A" w:rsidRDefault="593ABE3B" w14:paraId="081B84B1" w14:textId="237B9F1C">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National Institute for Health and Care Research (NIHR) (2024) The workload redistribution effect of digital patient portals. London: NIHR.</w:t>
      </w:r>
      <w:r w:rsidRPr="0B61D30A" w:rsidR="593ABE3B">
        <w:rPr>
          <w:rFonts w:ascii="Arial" w:hAnsi="Arial" w:eastAsia="Arial" w:cs="Arial"/>
          <w:i w:val="1"/>
          <w:iCs w:val="1"/>
          <w:noProof w:val="0"/>
          <w:sz w:val="24"/>
          <w:szCs w:val="24"/>
          <w:lang w:val="en-US"/>
        </w:rPr>
        <w:t xml:space="preserve"> </w:t>
      </w:r>
    </w:p>
    <w:p w:rsidR="593ABE3B" w:rsidP="0B61D30A" w:rsidRDefault="593ABE3B" w14:paraId="2EC3B0BE" w14:textId="2A2A47CB">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NHS Confederation (2023) Digital transformation and administrative capacity in primary care networks. London: NHS Confederation.</w:t>
      </w:r>
      <w:r w:rsidRPr="0B61D30A" w:rsidR="593ABE3B">
        <w:rPr>
          <w:rFonts w:ascii="Arial" w:hAnsi="Arial" w:eastAsia="Arial" w:cs="Arial"/>
          <w:i w:val="1"/>
          <w:iCs w:val="1"/>
          <w:noProof w:val="0"/>
          <w:sz w:val="24"/>
          <w:szCs w:val="24"/>
          <w:lang w:val="en-US"/>
        </w:rPr>
        <w:t xml:space="preserve"> </w:t>
      </w:r>
    </w:p>
    <w:p w:rsidR="593ABE3B" w:rsidP="0B61D30A" w:rsidRDefault="593ABE3B" w14:paraId="105BA8FF" w14:textId="1D41E68F">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NHS Digital (2023) Cybersecurity and systems resilience report 2022/23. Leeds: NHS Digital.</w:t>
      </w:r>
      <w:r w:rsidRPr="0B61D30A" w:rsidR="593ABE3B">
        <w:rPr>
          <w:rFonts w:ascii="Arial" w:hAnsi="Arial" w:eastAsia="Arial" w:cs="Arial"/>
          <w:i w:val="1"/>
          <w:iCs w:val="1"/>
          <w:noProof w:val="0"/>
          <w:sz w:val="24"/>
          <w:szCs w:val="24"/>
          <w:lang w:val="en-US"/>
        </w:rPr>
        <w:t xml:space="preserve"> </w:t>
      </w:r>
    </w:p>
    <w:p w:rsidR="593ABE3B" w:rsidP="0B61D30A" w:rsidRDefault="593ABE3B" w14:paraId="6AC2732A" w14:textId="6EB3C278">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NHS England (2019) The NHS Long Term Plan. London: NHS England.</w:t>
      </w:r>
      <w:r w:rsidRPr="0B61D30A" w:rsidR="593ABE3B">
        <w:rPr>
          <w:rFonts w:ascii="Arial" w:hAnsi="Arial" w:eastAsia="Arial" w:cs="Arial"/>
          <w:i w:val="1"/>
          <w:iCs w:val="1"/>
          <w:noProof w:val="0"/>
          <w:sz w:val="24"/>
          <w:szCs w:val="24"/>
          <w:lang w:val="en-US"/>
        </w:rPr>
        <w:t xml:space="preserve"> </w:t>
      </w:r>
    </w:p>
    <w:p w:rsidR="593ABE3B" w:rsidP="0B61D30A" w:rsidRDefault="593ABE3B" w14:paraId="2ED4CA1E" w14:textId="344869CE">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 xml:space="preserve">NHS England (2021) Integration and </w:t>
      </w:r>
      <w:r w:rsidRPr="0B61D30A" w:rsidR="0AD9949A">
        <w:rPr>
          <w:rFonts w:ascii="Arial" w:hAnsi="Arial" w:eastAsia="Arial" w:cs="Arial"/>
          <w:b w:val="0"/>
          <w:bCs w:val="0"/>
          <w:i w:val="1"/>
          <w:iCs w:val="1"/>
          <w:noProof w:val="0"/>
          <w:sz w:val="24"/>
          <w:szCs w:val="24"/>
          <w:lang w:val="en-US"/>
        </w:rPr>
        <w:t>Innovation</w:t>
      </w:r>
      <w:r w:rsidRPr="0B61D30A" w:rsidR="593ABE3B">
        <w:rPr>
          <w:rFonts w:ascii="Arial" w:hAnsi="Arial" w:eastAsia="Arial" w:cs="Arial"/>
          <w:b w:val="0"/>
          <w:bCs w:val="0"/>
          <w:i w:val="1"/>
          <w:iCs w:val="1"/>
          <w:noProof w:val="0"/>
          <w:sz w:val="24"/>
          <w:szCs w:val="24"/>
          <w:lang w:val="en-US"/>
        </w:rPr>
        <w:t xml:space="preserve">: </w:t>
      </w:r>
      <w:r w:rsidRPr="0B61D30A" w:rsidR="4715E02F">
        <w:rPr>
          <w:rFonts w:ascii="Arial" w:hAnsi="Arial" w:eastAsia="Arial" w:cs="Arial"/>
          <w:b w:val="0"/>
          <w:bCs w:val="0"/>
          <w:i w:val="1"/>
          <w:iCs w:val="1"/>
          <w:noProof w:val="0"/>
          <w:sz w:val="24"/>
          <w:szCs w:val="24"/>
          <w:lang w:val="en-US"/>
        </w:rPr>
        <w:t>Working</w:t>
      </w:r>
      <w:r w:rsidRPr="0B61D30A" w:rsidR="593ABE3B">
        <w:rPr>
          <w:rFonts w:ascii="Arial" w:hAnsi="Arial" w:eastAsia="Arial" w:cs="Arial"/>
          <w:b w:val="0"/>
          <w:bCs w:val="0"/>
          <w:i w:val="1"/>
          <w:iCs w:val="1"/>
          <w:noProof w:val="0"/>
          <w:sz w:val="24"/>
          <w:szCs w:val="24"/>
          <w:lang w:val="en-US"/>
        </w:rPr>
        <w:t xml:space="preserve"> together to improve health and social care for all. London: NHS England.</w:t>
      </w:r>
      <w:r w:rsidRPr="0B61D30A" w:rsidR="593ABE3B">
        <w:rPr>
          <w:rFonts w:ascii="Arial" w:hAnsi="Arial" w:eastAsia="Arial" w:cs="Arial"/>
          <w:i w:val="1"/>
          <w:iCs w:val="1"/>
          <w:noProof w:val="0"/>
          <w:sz w:val="24"/>
          <w:szCs w:val="24"/>
          <w:lang w:val="en-US"/>
        </w:rPr>
        <w:t xml:space="preserve"> </w:t>
      </w:r>
    </w:p>
    <w:p w:rsidR="593ABE3B" w:rsidP="0B61D30A" w:rsidRDefault="593ABE3B" w14:paraId="39B99D68" w14:textId="77A6400A">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NHS England (2024) NHS App statistics and digital transformation updates. London: NHS England.</w:t>
      </w:r>
      <w:r w:rsidRPr="0B61D30A" w:rsidR="593ABE3B">
        <w:rPr>
          <w:rFonts w:ascii="Arial" w:hAnsi="Arial" w:eastAsia="Arial" w:cs="Arial"/>
          <w:i w:val="1"/>
          <w:iCs w:val="1"/>
          <w:noProof w:val="0"/>
          <w:sz w:val="24"/>
          <w:szCs w:val="24"/>
          <w:lang w:val="en-US"/>
        </w:rPr>
        <w:t xml:space="preserve"> </w:t>
      </w:r>
    </w:p>
    <w:p w:rsidR="593ABE3B" w:rsidP="0B61D30A" w:rsidRDefault="593ABE3B" w14:paraId="174F702E" w14:textId="639E2D40">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Nuffield Trust (2024) Digital maturity variations across NHS trusts and clinical outcomes. London: Nuffield Trust.</w:t>
      </w:r>
      <w:r w:rsidRPr="0B61D30A" w:rsidR="593ABE3B">
        <w:rPr>
          <w:rFonts w:ascii="Arial" w:hAnsi="Arial" w:eastAsia="Arial" w:cs="Arial"/>
          <w:i w:val="1"/>
          <w:iCs w:val="1"/>
          <w:noProof w:val="0"/>
          <w:sz w:val="24"/>
          <w:szCs w:val="24"/>
          <w:lang w:val="en-US"/>
        </w:rPr>
        <w:t xml:space="preserve"> </w:t>
      </w:r>
    </w:p>
    <w:p w:rsidR="593ABE3B" w:rsidP="0B61D30A" w:rsidRDefault="593ABE3B" w14:paraId="28BE0FE6" w14:textId="2E140C1A">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Patient Information Forum (2023) Health literacy and digital access to clinical records. London: Patient Information Forum.</w:t>
      </w:r>
      <w:r w:rsidRPr="0B61D30A" w:rsidR="593ABE3B">
        <w:rPr>
          <w:rFonts w:ascii="Arial" w:hAnsi="Arial" w:eastAsia="Arial" w:cs="Arial"/>
          <w:i w:val="1"/>
          <w:iCs w:val="1"/>
          <w:noProof w:val="0"/>
          <w:sz w:val="24"/>
          <w:szCs w:val="24"/>
          <w:lang w:val="en-US"/>
        </w:rPr>
        <w:t xml:space="preserve"> </w:t>
      </w:r>
    </w:p>
    <w:p w:rsidR="593ABE3B" w:rsidP="0B61D30A" w:rsidRDefault="593ABE3B" w14:paraId="1C5E93D3" w14:textId="6768AAEB">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The King's Fund (2024) Digital inclusion and maturity matrix in health systems. London: The King's Fund.</w:t>
      </w:r>
      <w:r w:rsidRPr="0B61D30A" w:rsidR="593ABE3B">
        <w:rPr>
          <w:rFonts w:ascii="Arial" w:hAnsi="Arial" w:eastAsia="Arial" w:cs="Arial"/>
          <w:i w:val="1"/>
          <w:iCs w:val="1"/>
          <w:noProof w:val="0"/>
          <w:sz w:val="24"/>
          <w:szCs w:val="24"/>
          <w:lang w:val="en-US"/>
        </w:rPr>
        <w:t xml:space="preserve"> </w:t>
      </w:r>
    </w:p>
    <w:p w:rsidR="593ABE3B" w:rsidP="0B61D30A" w:rsidRDefault="593ABE3B" w14:paraId="6D38F3E8" w14:textId="0C04095E">
      <w:pPr>
        <w:spacing w:before="240" w:beforeAutospacing="off" w:after="240" w:afterAutospacing="off" w:line="360" w:lineRule="auto"/>
        <w:ind w:left="720" w:right="0" w:hanging="720"/>
        <w:rPr>
          <w:rFonts w:ascii="Arial" w:hAnsi="Arial" w:eastAsia="Arial" w:cs="Arial"/>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 xml:space="preserve">Topol, E. (2019) The Topol Review: Preparing the healthcare workforce to deliver the digital future. London: NHS Health </w:t>
      </w:r>
      <w:r w:rsidRPr="0B61D30A" w:rsidR="236C3971">
        <w:rPr>
          <w:rFonts w:ascii="Arial" w:hAnsi="Arial" w:eastAsia="Arial" w:cs="Arial"/>
          <w:b w:val="0"/>
          <w:bCs w:val="0"/>
          <w:i w:val="1"/>
          <w:iCs w:val="1"/>
          <w:noProof w:val="0"/>
          <w:sz w:val="24"/>
          <w:szCs w:val="24"/>
          <w:lang w:val="en-US"/>
        </w:rPr>
        <w:t>Education,</w:t>
      </w:r>
      <w:r w:rsidRPr="0B61D30A" w:rsidR="593ABE3B">
        <w:rPr>
          <w:rFonts w:ascii="Arial" w:hAnsi="Arial" w:eastAsia="Arial" w:cs="Arial"/>
          <w:b w:val="0"/>
          <w:bCs w:val="0"/>
          <w:i w:val="1"/>
          <w:iCs w:val="1"/>
          <w:noProof w:val="0"/>
          <w:sz w:val="24"/>
          <w:szCs w:val="24"/>
          <w:lang w:val="en-US"/>
        </w:rPr>
        <w:t xml:space="preserve"> England.</w:t>
      </w:r>
      <w:r w:rsidRPr="0B61D30A" w:rsidR="593ABE3B">
        <w:rPr>
          <w:rFonts w:ascii="Arial" w:hAnsi="Arial" w:eastAsia="Arial" w:cs="Arial"/>
          <w:i w:val="1"/>
          <w:iCs w:val="1"/>
          <w:noProof w:val="0"/>
          <w:sz w:val="24"/>
          <w:szCs w:val="24"/>
          <w:lang w:val="en-US"/>
        </w:rPr>
        <w:t xml:space="preserve"> </w:t>
      </w:r>
    </w:p>
    <w:p w:rsidR="593ABE3B" w:rsidP="0B61D30A" w:rsidRDefault="593ABE3B" w14:paraId="4A77B1B6" w14:textId="3A5E1878">
      <w:pPr>
        <w:spacing w:before="240" w:beforeAutospacing="off" w:after="240" w:afterAutospacing="off" w:line="360" w:lineRule="auto"/>
        <w:ind w:left="720" w:right="0" w:hanging="720"/>
        <w:rPr>
          <w:rFonts w:ascii="Arial" w:hAnsi="Arial" w:eastAsia="Arial" w:cs="Arial"/>
          <w:b w:val="0"/>
          <w:bCs w:val="0"/>
          <w:i w:val="1"/>
          <w:iCs w:val="1"/>
          <w:noProof w:val="0"/>
          <w:sz w:val="24"/>
          <w:szCs w:val="24"/>
          <w:lang w:val="en-US"/>
        </w:rPr>
      </w:pPr>
      <w:r w:rsidRPr="0B61D30A" w:rsidR="593ABE3B">
        <w:rPr>
          <w:rFonts w:ascii="Arial" w:hAnsi="Arial" w:eastAsia="Arial" w:cs="Arial"/>
          <w:b w:val="0"/>
          <w:bCs w:val="0"/>
          <w:i w:val="1"/>
          <w:iCs w:val="1"/>
          <w:noProof w:val="0"/>
          <w:sz w:val="24"/>
          <w:szCs w:val="24"/>
          <w:lang w:val="en-US"/>
        </w:rPr>
        <w:t xml:space="preserve">Williams, </w:t>
      </w:r>
      <w:r w:rsidRPr="0B61D30A" w:rsidR="593ABE3B">
        <w:rPr>
          <w:rFonts w:ascii="Arial" w:hAnsi="Arial" w:eastAsia="Arial" w:cs="Arial"/>
          <w:b w:val="0"/>
          <w:bCs w:val="0"/>
          <w:i w:val="1"/>
          <w:iCs w:val="1"/>
          <w:noProof w:val="0"/>
          <w:sz w:val="24"/>
          <w:szCs w:val="24"/>
          <w:lang w:val="en-US"/>
        </w:rPr>
        <w:t>R.</w:t>
      </w:r>
      <w:r w:rsidRPr="0B61D30A" w:rsidR="593ABE3B">
        <w:rPr>
          <w:rFonts w:ascii="Arial" w:hAnsi="Arial" w:eastAsia="Arial" w:cs="Arial"/>
          <w:b w:val="0"/>
          <w:bCs w:val="0"/>
          <w:i w:val="1"/>
          <w:iCs w:val="1"/>
          <w:noProof w:val="0"/>
          <w:sz w:val="24"/>
          <w:szCs w:val="24"/>
          <w:lang w:val="en-US"/>
        </w:rPr>
        <w:t xml:space="preserve"> and Jones, T. (2025)</w:t>
      </w:r>
      <w:r w:rsidRPr="0B61D30A" w:rsidR="46AB1880">
        <w:rPr>
          <w:rFonts w:ascii="Arial" w:hAnsi="Arial" w:eastAsia="Arial" w:cs="Arial"/>
          <w:b w:val="0"/>
          <w:bCs w:val="0"/>
          <w:i w:val="1"/>
          <w:iCs w:val="1"/>
          <w:noProof w:val="0"/>
          <w:sz w:val="24"/>
          <w:szCs w:val="24"/>
          <w:lang w:val="en-US"/>
        </w:rPr>
        <w:t>. Clinical</w:t>
      </w:r>
      <w:r w:rsidRPr="0B61D30A" w:rsidR="593ABE3B">
        <w:rPr>
          <w:rFonts w:ascii="Arial" w:hAnsi="Arial" w:eastAsia="Arial" w:cs="Arial"/>
          <w:b w:val="0"/>
          <w:bCs w:val="0"/>
          <w:i w:val="1"/>
          <w:iCs w:val="1"/>
          <w:noProof w:val="0"/>
          <w:sz w:val="24"/>
          <w:szCs w:val="24"/>
          <w:lang w:val="en-US"/>
        </w:rPr>
        <w:t xml:space="preserve"> communication in the digital age: patient anxiety and access to test results. British Journal of General Practice, 75(2), pp. 45-52.</w:t>
      </w:r>
    </w:p>
    <w:p w:rsidR="0B61D30A" w:rsidP="0B61D30A" w:rsidRDefault="0B61D30A" w14:paraId="61FD95E9" w14:textId="3B8A28D9">
      <w:pPr>
        <w:pStyle w:val="Normal"/>
        <w:spacing w:line="360" w:lineRule="auto"/>
        <w:rPr>
          <w:rFonts w:ascii="Arial" w:hAnsi="Arial" w:eastAsia="Arial" w:cs="Arial"/>
          <w:sz w:val="24"/>
          <w:szCs w:val="24"/>
        </w:rPr>
      </w:pPr>
    </w:p>
    <w:sectPr w:rsidRPr="00A6783B" w:rsidR="00A66B18" w:rsidSect="00A66B18">
      <w:pgSz w:w="12240" w:h="15840" w:orient="portrait" w:code="1"/>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5F7D8C" w:rsidP="00A66B18" w:rsidRDefault="005F7D8C" w14:paraId="69CB2758" w14:textId="77777777">
      <w:pPr>
        <w:spacing w:before="0" w:after="0"/>
      </w:pPr>
      <w:r>
        <w:separator/>
      </w:r>
    </w:p>
  </w:endnote>
  <w:endnote w:type="continuationSeparator" w:id="0">
    <w:p w:rsidR="005F7D8C" w:rsidP="00A66B18" w:rsidRDefault="005F7D8C" w14:paraId="7BF2396E" w14:textId="77777777">
      <w:pPr>
        <w:spacing w:before="0" w:after="0"/>
      </w:pPr>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2AC7EDFE" w:usb2="00000012" w:usb3="00000000" w:csb0="0002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5F7D8C" w:rsidP="00A66B18" w:rsidRDefault="005F7D8C" w14:paraId="3818A6A9" w14:textId="77777777">
      <w:pPr>
        <w:spacing w:before="0" w:after="0"/>
      </w:pPr>
      <w:r>
        <w:separator/>
      </w:r>
    </w:p>
  </w:footnote>
  <w:footnote w:type="continuationSeparator" w:id="0">
    <w:p w:rsidR="005F7D8C" w:rsidP="00A66B18" w:rsidRDefault="005F7D8C" w14:paraId="3731E502" w14:textId="77777777">
      <w:pPr>
        <w:spacing w:before="0" w:after="0"/>
      </w:pPr>
      <w:r>
        <w:continuationSeparator/>
      </w:r>
    </w:p>
  </w:footnote>
</w:footnotes>
</file>

<file path=word/intelligence2.xml><?xml version="1.0" encoding="utf-8"?>
<int2:intelligence xmlns:int2="http://schemas.microsoft.com/office/intelligence/2020/intelligence">
  <int2:observations>
    <int2:textHash int2:hashCode="jFGu+c6tQQGiEX" int2:id="ykh8qwtL">
      <int2:state int2:type="spell" int2:value="Rejected"/>
    </int2:textHash>
    <int2:textHash int2:hashCode="OrtZNwJC/JiGrS" int2:id="40BvsNmq">
      <int2:state int2:type="spell" int2:value="Rejected"/>
    </int2:textHash>
    <int2:bookmark int2:bookmarkName="_Int_EskA1LFS" int2:invalidationBookmarkName="" int2:hashCode="4Xd6k7UUTgQvP/" int2:id="UsmccMQg">
      <int2:state int2:type="gram" int2:value="Rejected"/>
    </int2:bookmark>
    <int2:bookmark int2:bookmarkName="_Int_SCigrSaw" int2:invalidationBookmarkName="" int2:hashCode="ljlHIXYnRSCqfK" int2:id="9X5doNPb">
      <int2:state int2:type="style" int2:value="Rejected"/>
    </int2:bookmark>
  </int2:observations>
  <int2:intelligenceSettings/>
</int2:intelligence>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00"/>
  <w:removePersonalInformation/>
  <w:removeDateAndTime/>
  <w:displayBackgroundShap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F36"/>
    <w:rsid w:val="00083BAA"/>
    <w:rsid w:val="0010680C"/>
    <w:rsid w:val="001766D6"/>
    <w:rsid w:val="001E2320"/>
    <w:rsid w:val="00214E28"/>
    <w:rsid w:val="002DE5D3"/>
    <w:rsid w:val="00352B81"/>
    <w:rsid w:val="003A0150"/>
    <w:rsid w:val="003E24DF"/>
    <w:rsid w:val="0041428F"/>
    <w:rsid w:val="004A2B0D"/>
    <w:rsid w:val="005C2210"/>
    <w:rsid w:val="005D7940"/>
    <w:rsid w:val="005F7D8C"/>
    <w:rsid w:val="00615018"/>
    <w:rsid w:val="0062123A"/>
    <w:rsid w:val="00646E75"/>
    <w:rsid w:val="006F6F10"/>
    <w:rsid w:val="00783E79"/>
    <w:rsid w:val="007B5AE8"/>
    <w:rsid w:val="007E7F36"/>
    <w:rsid w:val="007F5192"/>
    <w:rsid w:val="00910D6C"/>
    <w:rsid w:val="009D6E13"/>
    <w:rsid w:val="00A66B18"/>
    <w:rsid w:val="00A6783B"/>
    <w:rsid w:val="00A96CF8"/>
    <w:rsid w:val="00AE1388"/>
    <w:rsid w:val="00AF3982"/>
    <w:rsid w:val="00B46697"/>
    <w:rsid w:val="00B50294"/>
    <w:rsid w:val="00B57D6E"/>
    <w:rsid w:val="00C701F7"/>
    <w:rsid w:val="00C70786"/>
    <w:rsid w:val="00D41084"/>
    <w:rsid w:val="00D66593"/>
    <w:rsid w:val="00DE6DA2"/>
    <w:rsid w:val="00DF2D30"/>
    <w:rsid w:val="00E21240"/>
    <w:rsid w:val="00E55D74"/>
    <w:rsid w:val="00E646CD"/>
    <w:rsid w:val="00E6540C"/>
    <w:rsid w:val="00E81E2A"/>
    <w:rsid w:val="00EE0952"/>
    <w:rsid w:val="00FE0F43"/>
    <w:rsid w:val="02FCBD75"/>
    <w:rsid w:val="030B2E19"/>
    <w:rsid w:val="03C633E7"/>
    <w:rsid w:val="04A9C59F"/>
    <w:rsid w:val="052F23B7"/>
    <w:rsid w:val="055A3AAC"/>
    <w:rsid w:val="057EED98"/>
    <w:rsid w:val="05FF3988"/>
    <w:rsid w:val="06986D62"/>
    <w:rsid w:val="07D80230"/>
    <w:rsid w:val="0857985E"/>
    <w:rsid w:val="08E31FBE"/>
    <w:rsid w:val="09D31475"/>
    <w:rsid w:val="0A261196"/>
    <w:rsid w:val="0AD9949A"/>
    <w:rsid w:val="0AEA0586"/>
    <w:rsid w:val="0AF44316"/>
    <w:rsid w:val="0B61D30A"/>
    <w:rsid w:val="0C4105FD"/>
    <w:rsid w:val="0C834B66"/>
    <w:rsid w:val="0C884574"/>
    <w:rsid w:val="0E4B5DA6"/>
    <w:rsid w:val="0E5CA7EA"/>
    <w:rsid w:val="0E610576"/>
    <w:rsid w:val="0F8677DC"/>
    <w:rsid w:val="10B0A0EA"/>
    <w:rsid w:val="1337559D"/>
    <w:rsid w:val="1339B48B"/>
    <w:rsid w:val="1422AA0A"/>
    <w:rsid w:val="14FB3825"/>
    <w:rsid w:val="154F08B8"/>
    <w:rsid w:val="16A00BBA"/>
    <w:rsid w:val="16FA11CD"/>
    <w:rsid w:val="17AE3618"/>
    <w:rsid w:val="17C72588"/>
    <w:rsid w:val="18AD2D5D"/>
    <w:rsid w:val="18BBAD54"/>
    <w:rsid w:val="1A071A0D"/>
    <w:rsid w:val="1B0371E2"/>
    <w:rsid w:val="1B1F5E27"/>
    <w:rsid w:val="1B72E32A"/>
    <w:rsid w:val="1D3A34C8"/>
    <w:rsid w:val="1D74C2EC"/>
    <w:rsid w:val="1D84A107"/>
    <w:rsid w:val="1E69BBC1"/>
    <w:rsid w:val="1F4BFCAC"/>
    <w:rsid w:val="1F56D1E5"/>
    <w:rsid w:val="20ED1165"/>
    <w:rsid w:val="21361DAE"/>
    <w:rsid w:val="219099D7"/>
    <w:rsid w:val="2234ABDE"/>
    <w:rsid w:val="2364585D"/>
    <w:rsid w:val="236C3971"/>
    <w:rsid w:val="23EC4754"/>
    <w:rsid w:val="245790AC"/>
    <w:rsid w:val="248F85D3"/>
    <w:rsid w:val="254B3076"/>
    <w:rsid w:val="25680A40"/>
    <w:rsid w:val="265E2B6E"/>
    <w:rsid w:val="2775EB79"/>
    <w:rsid w:val="29DD107E"/>
    <w:rsid w:val="29F5C0B5"/>
    <w:rsid w:val="2A54E38C"/>
    <w:rsid w:val="2A939E03"/>
    <w:rsid w:val="2A939E03"/>
    <w:rsid w:val="2AFAF070"/>
    <w:rsid w:val="2BD015F2"/>
    <w:rsid w:val="2BEF6E07"/>
    <w:rsid w:val="2CBBD636"/>
    <w:rsid w:val="2DF96D74"/>
    <w:rsid w:val="2EB6B1CB"/>
    <w:rsid w:val="2EBC500D"/>
    <w:rsid w:val="2EFB51B2"/>
    <w:rsid w:val="30CAD169"/>
    <w:rsid w:val="31FA6D74"/>
    <w:rsid w:val="31FAFD15"/>
    <w:rsid w:val="32954F71"/>
    <w:rsid w:val="3537F1CE"/>
    <w:rsid w:val="35677BB7"/>
    <w:rsid w:val="35F59EC0"/>
    <w:rsid w:val="363A0FD7"/>
    <w:rsid w:val="3789E5DF"/>
    <w:rsid w:val="3846A1A7"/>
    <w:rsid w:val="38DF6D1A"/>
    <w:rsid w:val="39F8ADFA"/>
    <w:rsid w:val="3A406330"/>
    <w:rsid w:val="3A8D9A5E"/>
    <w:rsid w:val="3A9D38E9"/>
    <w:rsid w:val="3B70E11E"/>
    <w:rsid w:val="3BAD1C52"/>
    <w:rsid w:val="3C7054A0"/>
    <w:rsid w:val="3CCD2EF0"/>
    <w:rsid w:val="3E68CC98"/>
    <w:rsid w:val="3F2CDA2C"/>
    <w:rsid w:val="3F6DB841"/>
    <w:rsid w:val="3FAA8D9A"/>
    <w:rsid w:val="3FAA8D9A"/>
    <w:rsid w:val="429437EC"/>
    <w:rsid w:val="42A96E8A"/>
    <w:rsid w:val="43372DE4"/>
    <w:rsid w:val="462E133E"/>
    <w:rsid w:val="46AB1880"/>
    <w:rsid w:val="46D2E822"/>
    <w:rsid w:val="4715E02F"/>
    <w:rsid w:val="485A67A6"/>
    <w:rsid w:val="48A65958"/>
    <w:rsid w:val="48F05788"/>
    <w:rsid w:val="4A05FF7D"/>
    <w:rsid w:val="4A2092F1"/>
    <w:rsid w:val="4A2092F1"/>
    <w:rsid w:val="4A5D449C"/>
    <w:rsid w:val="4B86A012"/>
    <w:rsid w:val="4B86D888"/>
    <w:rsid w:val="4DFD4FC1"/>
    <w:rsid w:val="4E6B7DC0"/>
    <w:rsid w:val="4F220777"/>
    <w:rsid w:val="502EAF97"/>
    <w:rsid w:val="503357E8"/>
    <w:rsid w:val="509000B8"/>
    <w:rsid w:val="50FDDB36"/>
    <w:rsid w:val="51061E02"/>
    <w:rsid w:val="52FF3796"/>
    <w:rsid w:val="5460380A"/>
    <w:rsid w:val="5522AD45"/>
    <w:rsid w:val="566DFF79"/>
    <w:rsid w:val="57E676C5"/>
    <w:rsid w:val="58654B83"/>
    <w:rsid w:val="593ABE3B"/>
    <w:rsid w:val="596B7AFB"/>
    <w:rsid w:val="59DAD88F"/>
    <w:rsid w:val="5A508508"/>
    <w:rsid w:val="5B3668C5"/>
    <w:rsid w:val="5B37143A"/>
    <w:rsid w:val="5C0FBE96"/>
    <w:rsid w:val="5CE43E50"/>
    <w:rsid w:val="5D31D984"/>
    <w:rsid w:val="5D630083"/>
    <w:rsid w:val="5D7EFC50"/>
    <w:rsid w:val="5DDF5BF6"/>
    <w:rsid w:val="5F7443DE"/>
    <w:rsid w:val="5FE6B896"/>
    <w:rsid w:val="602D4618"/>
    <w:rsid w:val="60500CFC"/>
    <w:rsid w:val="610E63AA"/>
    <w:rsid w:val="6128525F"/>
    <w:rsid w:val="613CE8E3"/>
    <w:rsid w:val="613CE8E3"/>
    <w:rsid w:val="6156A151"/>
    <w:rsid w:val="6156A151"/>
    <w:rsid w:val="621C90CA"/>
    <w:rsid w:val="621C90CA"/>
    <w:rsid w:val="6351F61D"/>
    <w:rsid w:val="64072C88"/>
    <w:rsid w:val="663CADD7"/>
    <w:rsid w:val="66A2E92E"/>
    <w:rsid w:val="675D2F9A"/>
    <w:rsid w:val="67715B16"/>
    <w:rsid w:val="687A7772"/>
    <w:rsid w:val="68CAA28B"/>
    <w:rsid w:val="68DE4EF4"/>
    <w:rsid w:val="68E463DB"/>
    <w:rsid w:val="69592A07"/>
    <w:rsid w:val="69C6279C"/>
    <w:rsid w:val="69E20F96"/>
    <w:rsid w:val="6C1EED41"/>
    <w:rsid w:val="6C666C2F"/>
    <w:rsid w:val="6C678C08"/>
    <w:rsid w:val="6D54BA2A"/>
    <w:rsid w:val="6E0925CE"/>
    <w:rsid w:val="6E272A16"/>
    <w:rsid w:val="6F20F953"/>
    <w:rsid w:val="6F342B52"/>
    <w:rsid w:val="70E11349"/>
    <w:rsid w:val="7119E9E2"/>
    <w:rsid w:val="73CE804C"/>
    <w:rsid w:val="7697BF61"/>
    <w:rsid w:val="769F0873"/>
    <w:rsid w:val="76A76656"/>
    <w:rsid w:val="779EA576"/>
    <w:rsid w:val="77BFAF2E"/>
    <w:rsid w:val="77CC29E9"/>
    <w:rsid w:val="77F4F441"/>
    <w:rsid w:val="781FF1B8"/>
    <w:rsid w:val="78B0C907"/>
    <w:rsid w:val="79074A6B"/>
    <w:rsid w:val="7A93F68D"/>
    <w:rsid w:val="7BF120BE"/>
    <w:rsid w:val="7D20FA6D"/>
    <w:rsid w:val="7D9663C7"/>
    <w:rsid w:val="7DF77144"/>
    <w:rsid w:val="7E15E13A"/>
    <w:rsid w:val="7F3B4372"/>
    <w:rsid w:val="7F6F0E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F9EF99"/>
  <w14:defaultImageDpi w14:val="32767"/>
  <w15:chartTrackingRefBased/>
  <w15:docId w15:val="{982B0649-0274-4324-B348-22B400D9C248}"/>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heme="minorHAnsi" w:hAnsiTheme="minorHAnsi" w:eastAsiaTheme="minorEastAsia"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8" w:qFormat="1"/>
    <w:lsdException w:name="heading 2" w:uiPriority="9" w:semiHidden="1" w:unhideWhenUsed="1" w:qFormat="1"/>
    <w:lsdException w:name="heading 3" w:uiPriority="9" w:semiHidden="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uiPriority="6" w:semiHidden="1" w:unhideWhenUsed="1" w:qFormat="1"/>
    <w:lsdException w:name="Signature" w:uiPriority="7" w:semiHidden="1" w:unhideWhenUsed="1" w:qFormat="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qFormat="1"/>
    <w:lsdException w:name="Salutation" w:uiPriority="4" w:semiHidden="1"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lsdException w:name="Emphasis" w:uiPriority="20" w:semiHidden="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lsdException w:name="Quote" w:uiPriority="29" w:semiHidden="1"/>
    <w:lsdException w:name="Intense Quote" w:uiPriority="30"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lsdException w:name="Intense Emphasis" w:uiPriority="21" w:semiHidden="1"/>
    <w:lsdException w:name="Subtle Reference" w:uiPriority="31" w:semiHidden="1"/>
    <w:lsdException w:name="Intense Reference" w:uiPriority="32" w:semiHidden="1"/>
    <w:lsdException w:name="Book Title" w:uiPriority="33" w:semiHidden="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lsdException w:name="Hashtag" w:semiHidden="1"/>
    <w:lsdException w:name="Unresolved Mention" w:semiHidden="1"/>
    <w:lsdException w:name="Smart Link" w:semiHidden="1" w:unhideWhenUsed="1"/>
  </w:latentStyles>
  <w:style w:type="paragraph" w:styleId="Normal" w:default="1">
    <w:name w:val="Normal"/>
    <w:qFormat/>
    <w:rsid w:val="00E21240"/>
    <w:pPr>
      <w:spacing w:before="40" w:after="360"/>
      <w:ind w:left="720" w:right="720"/>
    </w:pPr>
    <w:rPr>
      <w:rFonts w:eastAsiaTheme="minorHAnsi"/>
      <w:kern w:val="20"/>
      <w:szCs w:val="20"/>
    </w:rPr>
  </w:style>
  <w:style w:type="paragraph" w:styleId="Heading1">
    <w:name w:val="heading 1"/>
    <w:basedOn w:val="Recipient"/>
    <w:next w:val="Normal"/>
    <w:link w:val="Heading1Char"/>
    <w:uiPriority w:val="8"/>
    <w:qFormat/>
    <w:rsid w:val="007E7F36"/>
    <w:pPr>
      <w:outlineLvl w:val="0"/>
    </w:pPr>
    <w:rPr>
      <w:rFonts w:asciiTheme="majorHAnsi" w:hAnsiTheme="majorHAnsi"/>
      <w:color w:val="17406D" w:themeColor="text2"/>
      <w:sz w:val="32"/>
    </w:rPr>
  </w:style>
  <w:style w:type="paragraph" w:styleId="Heading2">
    <w:name w:val="heading 2"/>
    <w:basedOn w:val="Normal"/>
    <w:next w:val="Normal"/>
    <w:link w:val="Heading2Char"/>
    <w:uiPriority w:val="9"/>
    <w:qFormat/>
    <w:rsid w:val="00E21240"/>
    <w:pPr>
      <w:keepNext/>
      <w:keepLines/>
      <w:spacing w:before="360" w:after="0"/>
      <w:outlineLvl w:val="1"/>
    </w:pPr>
    <w:rPr>
      <w:rFonts w:asciiTheme="majorHAnsi" w:hAnsiTheme="majorHAnsi" w:eastAsiaTheme="majorEastAsia" w:cstheme="majorBidi"/>
      <w:color w:val="112F5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8"/>
    <w:rsid w:val="007E7F36"/>
    <w:rPr>
      <w:rFonts w:asciiTheme="majorHAnsi" w:hAnsiTheme="majorHAnsi" w:eastAsiaTheme="minorHAnsi"/>
      <w:b/>
      <w:bCs/>
      <w:color w:val="17406D" w:themeColor="text2"/>
      <w:kern w:val="20"/>
      <w:sz w:val="32"/>
      <w:szCs w:val="20"/>
    </w:rPr>
  </w:style>
  <w:style w:type="paragraph" w:styleId="Recipient" w:customStyle="1">
    <w:name w:val="Recipient"/>
    <w:basedOn w:val="Normal"/>
    <w:uiPriority w:val="3"/>
    <w:semiHidden/>
    <w:qFormat/>
    <w:rsid w:val="00A66B18"/>
    <w:pPr>
      <w:spacing w:before="840" w:after="40"/>
    </w:pPr>
    <w:rPr>
      <w:b/>
      <w:bCs/>
      <w:color w:val="000000" w:themeColor="text1"/>
    </w:rPr>
  </w:style>
  <w:style w:type="paragraph" w:styleId="Salutation">
    <w:name w:val="Salutation"/>
    <w:basedOn w:val="Normal"/>
    <w:link w:val="SalutationChar"/>
    <w:uiPriority w:val="4"/>
    <w:semiHidden/>
    <w:qFormat/>
    <w:rsid w:val="00A66B18"/>
    <w:pPr>
      <w:spacing w:before="720"/>
    </w:pPr>
  </w:style>
  <w:style w:type="character" w:styleId="SalutationChar" w:customStyle="1">
    <w:name w:val="Salutation Char"/>
    <w:basedOn w:val="DefaultParagraphFont"/>
    <w:link w:val="Salutation"/>
    <w:uiPriority w:val="4"/>
    <w:semiHidden/>
    <w:rsid w:val="007E7F36"/>
    <w:rPr>
      <w:rFonts w:eastAsiaTheme="minorHAnsi"/>
      <w:color w:val="595959" w:themeColor="text1" w:themeTint="A6"/>
      <w:kern w:val="20"/>
      <w:szCs w:val="20"/>
    </w:rPr>
  </w:style>
  <w:style w:type="paragraph" w:styleId="Closing">
    <w:name w:val="Closing"/>
    <w:basedOn w:val="Normal"/>
    <w:next w:val="Signature"/>
    <w:link w:val="ClosingChar"/>
    <w:uiPriority w:val="6"/>
    <w:semiHidden/>
    <w:qFormat/>
    <w:rsid w:val="00A6783B"/>
    <w:pPr>
      <w:spacing w:before="480" w:after="960"/>
    </w:pPr>
  </w:style>
  <w:style w:type="character" w:styleId="ClosingChar" w:customStyle="1">
    <w:name w:val="Closing Char"/>
    <w:basedOn w:val="DefaultParagraphFont"/>
    <w:link w:val="Closing"/>
    <w:uiPriority w:val="6"/>
    <w:semiHidden/>
    <w:rsid w:val="007E7F36"/>
    <w:rPr>
      <w:rFonts w:eastAsiaTheme="minorHAnsi"/>
      <w:color w:val="595959" w:themeColor="text1" w:themeTint="A6"/>
      <w:kern w:val="20"/>
      <w:szCs w:val="20"/>
    </w:rPr>
  </w:style>
  <w:style w:type="paragraph" w:styleId="Signature">
    <w:name w:val="Signature"/>
    <w:basedOn w:val="Normal"/>
    <w:link w:val="SignatureChar"/>
    <w:uiPriority w:val="7"/>
    <w:semiHidden/>
    <w:qFormat/>
    <w:rsid w:val="00A6783B"/>
    <w:pPr>
      <w:contextualSpacing/>
    </w:pPr>
    <w:rPr>
      <w:b/>
      <w:bCs/>
      <w:color w:val="17406D" w:themeColor="accent1"/>
    </w:rPr>
  </w:style>
  <w:style w:type="character" w:styleId="SignatureChar" w:customStyle="1">
    <w:name w:val="Signature Char"/>
    <w:basedOn w:val="DefaultParagraphFont"/>
    <w:link w:val="Signature"/>
    <w:uiPriority w:val="7"/>
    <w:semiHidden/>
    <w:rsid w:val="007E7F36"/>
    <w:rPr>
      <w:rFonts w:eastAsiaTheme="minorHAnsi"/>
      <w:b/>
      <w:bCs/>
      <w:color w:val="17406D" w:themeColor="accent1"/>
      <w:kern w:val="20"/>
      <w:szCs w:val="20"/>
    </w:rPr>
  </w:style>
  <w:style w:type="paragraph" w:styleId="Header">
    <w:name w:val="header"/>
    <w:basedOn w:val="Normal"/>
    <w:link w:val="HeaderChar"/>
    <w:uiPriority w:val="99"/>
    <w:semiHidden/>
    <w:rsid w:val="003E24DF"/>
    <w:pPr>
      <w:spacing w:after="0"/>
      <w:jc w:val="right"/>
    </w:pPr>
  </w:style>
  <w:style w:type="character" w:styleId="HeaderChar" w:customStyle="1">
    <w:name w:val="Header Char"/>
    <w:basedOn w:val="DefaultParagraphFont"/>
    <w:link w:val="Header"/>
    <w:uiPriority w:val="99"/>
    <w:semiHidden/>
    <w:rsid w:val="007E7F36"/>
    <w:rPr>
      <w:rFonts w:eastAsiaTheme="minorHAnsi"/>
      <w:color w:val="595959" w:themeColor="text1" w:themeTint="A6"/>
      <w:kern w:val="20"/>
      <w:szCs w:val="20"/>
    </w:rPr>
  </w:style>
  <w:style w:type="character" w:styleId="Strong">
    <w:name w:val="Strong"/>
    <w:basedOn w:val="DefaultParagraphFont"/>
    <w:uiPriority w:val="1"/>
    <w:semiHidden/>
    <w:rsid w:val="003E24DF"/>
    <w:rPr>
      <w:b/>
      <w:bCs/>
    </w:rPr>
  </w:style>
  <w:style w:type="paragraph" w:styleId="ContactInfo" w:customStyle="1">
    <w:name w:val="Contact Info"/>
    <w:basedOn w:val="Normal"/>
    <w:uiPriority w:val="1"/>
    <w:qFormat/>
    <w:rsid w:val="007E7F36"/>
    <w:pPr>
      <w:spacing w:before="0" w:after="0"/>
      <w:ind w:left="0" w:right="0"/>
    </w:pPr>
    <w:rPr>
      <w:color w:val="FFFFFF" w:themeColor="background1"/>
    </w:rPr>
  </w:style>
  <w:style w:type="character" w:styleId="Heading2Char" w:customStyle="1">
    <w:name w:val="Heading 2 Char"/>
    <w:basedOn w:val="DefaultParagraphFont"/>
    <w:link w:val="Heading2"/>
    <w:uiPriority w:val="9"/>
    <w:rsid w:val="00E21240"/>
    <w:rPr>
      <w:rFonts w:asciiTheme="majorHAnsi" w:hAnsiTheme="majorHAnsi" w:eastAsiaTheme="majorEastAsia" w:cstheme="majorBidi"/>
      <w:color w:val="112F51"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pPr>
    <w:rPr>
      <w:rFonts w:ascii="Times New Roman" w:hAnsi="Times New Roman" w:cs="Times New Roman" w:eastAsiaTheme="minorEastAsia"/>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semiHidden/>
    <w:rsid w:val="00A66B18"/>
    <w:pPr>
      <w:tabs>
        <w:tab w:val="center" w:pos="4680"/>
        <w:tab w:val="right" w:pos="9360"/>
      </w:tabs>
      <w:spacing w:before="0" w:after="0"/>
    </w:pPr>
  </w:style>
  <w:style w:type="character" w:styleId="FooterChar" w:customStyle="1">
    <w:name w:val="Footer Char"/>
    <w:basedOn w:val="DefaultParagraphFont"/>
    <w:link w:val="Footer"/>
    <w:uiPriority w:val="99"/>
    <w:semiHidden/>
    <w:rsid w:val="007E7F36"/>
    <w:rPr>
      <w:rFonts w:eastAsiaTheme="minorHAnsi"/>
      <w:color w:val="595959" w:themeColor="text1" w:themeTint="A6"/>
      <w:kern w:val="20"/>
      <w:szCs w:val="20"/>
    </w:rPr>
  </w:style>
  <w:style w:type="paragraph" w:styleId="Title">
    <w:name w:val="Title"/>
    <w:basedOn w:val="Normal"/>
    <w:next w:val="Normal"/>
    <w:link w:val="TitleChar"/>
    <w:uiPriority w:val="10"/>
    <w:qFormat/>
    <w:rsid w:val="007E7F36"/>
    <w:pPr>
      <w:spacing w:before="0" w:after="0"/>
      <w:contextualSpacing/>
    </w:pPr>
    <w:rPr>
      <w:rFonts w:asciiTheme="majorHAnsi" w:hAnsiTheme="majorHAnsi" w:eastAsiaTheme="majorEastAsia" w:cstheme="majorBidi"/>
      <w:caps/>
      <w:color w:val="FFFFFF" w:themeColor="background1"/>
      <w:spacing w:val="-10"/>
      <w:kern w:val="28"/>
      <w:sz w:val="52"/>
      <w:szCs w:val="56"/>
    </w:rPr>
  </w:style>
  <w:style w:type="character" w:styleId="TitleChar" w:customStyle="1">
    <w:name w:val="Title Char"/>
    <w:basedOn w:val="DefaultParagraphFont"/>
    <w:link w:val="Title"/>
    <w:uiPriority w:val="10"/>
    <w:rsid w:val="007E7F36"/>
    <w:rPr>
      <w:rFonts w:asciiTheme="majorHAnsi" w:hAnsiTheme="majorHAnsi" w:eastAsiaTheme="majorEastAsia" w:cstheme="majorBidi"/>
      <w:caps/>
      <w:color w:val="FFFFFF" w:themeColor="background1"/>
      <w:spacing w:val="-10"/>
      <w:kern w:val="28"/>
      <w:sz w:val="52"/>
      <w:szCs w:val="56"/>
    </w:rPr>
  </w:style>
  <w:style w:type="paragraph" w:styleId="MeetingInfo" w:customStyle="1">
    <w:name w:val="Meeting Info"/>
    <w:basedOn w:val="Normal"/>
    <w:qFormat/>
    <w:rsid w:val="007E7F36"/>
    <w:pPr>
      <w:spacing w:after="0"/>
      <w:ind w:right="0"/>
    </w:pPr>
    <w:rPr>
      <w:color w:val="FFFFFF" w:themeColor="background1"/>
    </w:rPr>
  </w:style>
  <w:style w:type="table" w:styleId="TableGrid">
    <w:name w:val="Table Grid"/>
    <w:basedOn w:val="TableNormal"/>
    <w:uiPriority w:val="39"/>
    <w:rsid w:val="007E7F3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MeetingTimes" w:customStyle="1">
    <w:name w:val="Meeting Times"/>
    <w:basedOn w:val="Normal"/>
    <w:qFormat/>
    <w:rsid w:val="007E7F36"/>
    <w:pPr>
      <w:spacing w:before="120" w:after="0"/>
      <w:ind w:left="0" w:right="0"/>
    </w:pPr>
    <w:rPr>
      <w:b/>
    </w:rPr>
  </w:style>
  <w:style w:type="paragraph" w:styleId="ItemDescription" w:customStyle="1">
    <w:name w:val="Item Description"/>
    <w:basedOn w:val="Normal"/>
    <w:qFormat/>
    <w:rsid w:val="00E21240"/>
    <w:pPr>
      <w:spacing w:after="120"/>
      <w:ind w:left="0" w:right="360"/>
    </w:pPr>
  </w:style>
  <w:style w:type="paragraph" w:styleId="Location" w:customStyle="1">
    <w:name w:val="Location"/>
    <w:basedOn w:val="Normal"/>
    <w:qFormat/>
    <w:rsid w:val="00E21240"/>
    <w:pPr>
      <w:spacing w:after="120"/>
      <w:ind w:left="0" w:right="0"/>
    </w:pPr>
  </w:style>
  <w:style w:type="character" w:styleId="Hyperlink">
    <w:uiPriority w:val="99"/>
    <w:name w:val="Hyperlink"/>
    <w:basedOn w:val="DefaultParagraphFont"/>
    <w:unhideWhenUsed/>
    <w:rsid w:val="0B61D30A"/>
    <w:rPr>
      <w:color w:val="F4910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1.xml" Id="rId8" /><Relationship Type="http://schemas.openxmlformats.org/officeDocument/2006/relationships/webSettings" Target="webSettings.xml" Id="rId3" /><Relationship Type="http://schemas.openxmlformats.org/officeDocument/2006/relationships/glossaryDocument" Target="glossary/document.xml" Id="rId7" /><Relationship Type="http://schemas.openxmlformats.org/officeDocument/2006/relationships/settings" Target="settings2.xml" Id="rId2" /><Relationship Type="http://schemas.openxmlformats.org/officeDocument/2006/relationships/styles" Target="styles2.xml" Id="rId1" /><Relationship Type="http://schemas.openxmlformats.org/officeDocument/2006/relationships/fontTable" Target="fontTable2.xml" Id="rId6" /><Relationship Type="http://schemas.openxmlformats.org/officeDocument/2006/relationships/customXml" Target="/customXml/item3.xml" Id="rId11" /><Relationship Type="http://schemas.openxmlformats.org/officeDocument/2006/relationships/endnotes" Target="endnotes.xml" Id="rId5" /><Relationship Type="http://schemas.openxmlformats.org/officeDocument/2006/relationships/customXml" Target="/customXml/item22.xml" Id="rId10" /><Relationship Type="http://schemas.openxmlformats.org/officeDocument/2006/relationships/footnotes" Target="footnotes.xml" Id="rId4" /><Relationship Type="http://schemas.openxmlformats.org/officeDocument/2006/relationships/customXml" Target="/customXml/item13.xml" Id="rId9" /><Relationship Type="http://schemas.microsoft.com/office/2020/10/relationships/intelligence" Target="intelligence2.xml" Id="R4d1fcf4bc2e04d7e"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xml" Id="rId2" /><Relationship Type="http://schemas.openxmlformats.org/officeDocument/2006/relationships/styles" Target="/word/glossary/styles.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2AC7EDFE" w:usb2="00000012" w:usb3="00000000" w:csb0="0002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D1A"/>
    <w:rsid w:val="00251972"/>
    <w:rsid w:val="007F2004"/>
    <w:rsid w:val="00917F57"/>
    <w:rsid w:val="009A7AC2"/>
    <w:rsid w:val="00B23D1A"/>
    <w:rsid w:val="00FA5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2004"/>
    <w:rPr>
      <w:color w:val="808080"/>
    </w:rPr>
  </w:style>
  <w:style w:type="paragraph" w:customStyle="1" w:styleId="80F2D960547B46EB9D4049B2C2FA0F07">
    <w:name w:val="80F2D960547B46EB9D4049B2C2FA0F07"/>
  </w:style>
  <w:style w:type="paragraph" w:customStyle="1" w:styleId="AB3891971DB94DF0BBAA807DFBC39F43">
    <w:name w:val="AB3891971DB94DF0BBAA807DFBC39F43"/>
    <w:rsid w:val="00B23D1A"/>
  </w:style>
  <w:style w:type="paragraph" w:customStyle="1" w:styleId="BB2C8C3D8C4F4B3B99A4D0521054FB5D">
    <w:name w:val="BB2C8C3D8C4F4B3B99A4D0521054FB5D"/>
    <w:rsid w:val="00B23D1A"/>
  </w:style>
  <w:style w:type="paragraph" w:customStyle="1" w:styleId="CC97A21F6C68441695663F23AFA09D18">
    <w:name w:val="CC97A21F6C68441695663F23AFA09D18"/>
    <w:rsid w:val="00B23D1A"/>
  </w:style>
  <w:style w:type="paragraph" w:styleId="Signature">
    <w:name w:val="Signature"/>
    <w:basedOn w:val="Normal"/>
    <w:link w:val="SignatureChar"/>
    <w:uiPriority w:val="7"/>
    <w:qFormat/>
    <w:rsid w:val="00B23D1A"/>
    <w:pPr>
      <w:spacing w:before="40" w:after="360" w:line="240" w:lineRule="auto"/>
      <w:ind w:left="720" w:right="720"/>
      <w:contextualSpacing/>
    </w:pPr>
    <w:rPr>
      <w:rFonts w:eastAsiaTheme="minorHAnsi"/>
      <w:b/>
      <w:bCs/>
      <w:color w:val="4472C4" w:themeColor="accent1"/>
      <w:kern w:val="20"/>
      <w:sz w:val="24"/>
      <w:szCs w:val="20"/>
      <w:lang w:eastAsia="ja-JP"/>
    </w:rPr>
  </w:style>
  <w:style w:type="character" w:customStyle="1" w:styleId="SignatureChar">
    <w:name w:val="Signature Char"/>
    <w:basedOn w:val="DefaultParagraphFont"/>
    <w:link w:val="Signature"/>
    <w:uiPriority w:val="7"/>
    <w:rsid w:val="00B23D1A"/>
    <w:rPr>
      <w:rFonts w:eastAsiaTheme="minorHAnsi"/>
      <w:b/>
      <w:bCs/>
      <w:color w:val="4472C4" w:themeColor="accent1"/>
      <w:kern w:val="20"/>
      <w:sz w:val="24"/>
      <w:szCs w:val="20"/>
      <w:lang w:eastAsia="ja-JP"/>
    </w:rPr>
  </w:style>
  <w:style w:type="paragraph" w:customStyle="1" w:styleId="8DBD77A40C4E431F8593A26A33916372">
    <w:name w:val="8DBD77A40C4E431F8593A26A33916372"/>
    <w:rsid w:val="00B23D1A"/>
  </w:style>
  <w:style w:type="paragraph" w:customStyle="1" w:styleId="98E05C9AC89D49B2999F97526C18CD8D">
    <w:name w:val="98E05C9AC89D49B2999F97526C18CD8D"/>
    <w:rsid w:val="00B23D1A"/>
  </w:style>
  <w:style w:type="paragraph" w:customStyle="1" w:styleId="A714F7C3B49C4ABE9369C06E99C94F00">
    <w:name w:val="A714F7C3B49C4ABE9369C06E99C94F00"/>
    <w:rsid w:val="00B23D1A"/>
  </w:style>
  <w:style w:type="paragraph" w:customStyle="1" w:styleId="8C3361394C6C4103B1E57DC6E6BDE87E">
    <w:name w:val="8C3361394C6C4103B1E57DC6E6BDE87E"/>
    <w:rsid w:val="00B23D1A"/>
  </w:style>
  <w:style w:type="paragraph" w:customStyle="1" w:styleId="1F7EBAEB15A74373B9F61FC4C2EB6E48">
    <w:name w:val="1F7EBAEB15A74373B9F61FC4C2EB6E48"/>
    <w:rsid w:val="00B23D1A"/>
  </w:style>
  <w:style w:type="paragraph" w:customStyle="1" w:styleId="468F853F253E47DEBA4901BB1671C1F5">
    <w:name w:val="468F853F253E47DEBA4901BB1671C1F5"/>
    <w:rsid w:val="00B23D1A"/>
  </w:style>
  <w:style w:type="paragraph" w:customStyle="1" w:styleId="A12E8C5C3A7546BF87F754E64D1C75D8">
    <w:name w:val="A12E8C5C3A7546BF87F754E64D1C75D8"/>
    <w:rsid w:val="00B23D1A"/>
  </w:style>
  <w:style w:type="paragraph" w:customStyle="1" w:styleId="1C79BC2C7E264BFCBF6AE4332CBF9496">
    <w:name w:val="1C79BC2C7E264BFCBF6AE4332CBF9496"/>
    <w:rsid w:val="00B23D1A"/>
  </w:style>
  <w:style w:type="paragraph" w:customStyle="1" w:styleId="10C66AE08BAF4725A9E974A90EBC3812">
    <w:name w:val="10C66AE08BAF4725A9E974A90EBC3812"/>
    <w:rsid w:val="00B23D1A"/>
  </w:style>
  <w:style w:type="paragraph" w:customStyle="1" w:styleId="A7BCD524E90641CBBE0956CC12E38BCB">
    <w:name w:val="A7BCD524E90641CBBE0956CC12E38BCB"/>
    <w:rsid w:val="00B23D1A"/>
  </w:style>
  <w:style w:type="paragraph" w:customStyle="1" w:styleId="1AB9FAF5032640889F30C4B889DD87F7">
    <w:name w:val="1AB9FAF5032640889F30C4B889DD87F7"/>
    <w:rsid w:val="00B23D1A"/>
  </w:style>
  <w:style w:type="paragraph" w:customStyle="1" w:styleId="227A862462E24823A5B2CF97A305178F">
    <w:name w:val="227A862462E24823A5B2CF97A305178F"/>
    <w:rsid w:val="00B23D1A"/>
  </w:style>
  <w:style w:type="paragraph" w:customStyle="1" w:styleId="C63C824A6192443C93D3B82E7204F054">
    <w:name w:val="C63C824A6192443C93D3B82E7204F054"/>
    <w:rsid w:val="00B23D1A"/>
  </w:style>
  <w:style w:type="paragraph" w:customStyle="1" w:styleId="90BE96EE29DC42088CF38F232F361BAD">
    <w:name w:val="90BE96EE29DC42088CF38F232F361BAD"/>
    <w:rsid w:val="00B23D1A"/>
  </w:style>
  <w:style w:type="paragraph" w:customStyle="1" w:styleId="00BD8737FC934BE0A36570C53887CF7C">
    <w:name w:val="00BD8737FC934BE0A36570C53887CF7C"/>
    <w:rsid w:val="00B23D1A"/>
  </w:style>
  <w:style w:type="paragraph" w:customStyle="1" w:styleId="D61562B0B29C42F3862F115CA64AAE19">
    <w:name w:val="D61562B0B29C42F3862F115CA64AAE19"/>
    <w:rsid w:val="007F2004"/>
    <w:pPr>
      <w:spacing w:after="0" w:line="240" w:lineRule="auto"/>
    </w:pPr>
    <w:rPr>
      <w:rFonts w:eastAsiaTheme="minorHAnsi"/>
      <w:color w:val="FFFFFF" w:themeColor="background1"/>
      <w:kern w:val="20"/>
      <w:sz w:val="24"/>
      <w:szCs w:val="20"/>
      <w:lang w:eastAsia="ja-JP"/>
    </w:rPr>
  </w:style>
  <w:style w:type="paragraph" w:customStyle="1" w:styleId="6D84CE62F77C4F40A334FDC05C99325C">
    <w:name w:val="6D84CE62F77C4F40A334FDC05C99325C"/>
    <w:rsid w:val="007F2004"/>
    <w:pPr>
      <w:spacing w:after="0" w:line="240" w:lineRule="auto"/>
    </w:pPr>
    <w:rPr>
      <w:rFonts w:eastAsiaTheme="minorHAnsi"/>
      <w:color w:val="FFFFFF" w:themeColor="background1"/>
      <w:kern w:val="20"/>
      <w:sz w:val="24"/>
      <w:szCs w:val="20"/>
      <w:lang w:eastAsia="ja-JP"/>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Office Theme">
  <a:themeElements>
    <a:clrScheme name="Custom 12">
      <a:dk1>
        <a:sysClr val="windowText" lastClr="000000"/>
      </a:dk1>
      <a:lt1>
        <a:sysClr val="window" lastClr="FFFFFF"/>
      </a:lt1>
      <a:dk2>
        <a:srgbClr val="17406D"/>
      </a:dk2>
      <a:lt2>
        <a:srgbClr val="DBEFF9"/>
      </a:lt2>
      <a:accent1>
        <a:srgbClr val="17406D"/>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1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2.xml><?xml version="1.0" encoding="utf-8"?>
<?mso-contentType ?>
<FormTemplates xmlns="http://schemas.microsoft.com/sharepoint/v3/contenttype/forms">
  <Display>DocumentLibraryForm</Display>
  <Edit>DocumentLibraryForm</Edit>
  <New>DocumentLibraryForm</New>
</FormTemplates>
</file>

<file path=customXml/itemProps13.xml><?xml version="1.0" encoding="utf-8"?>
<ds:datastoreItem xmlns:ds="http://schemas.openxmlformats.org/officeDocument/2006/customXml" ds:itemID="{4EC369E7-AE33-4416-B9FD-C353FC65C246}"/>
</file>

<file path=customXml/itemProps22.xml><?xml version="1.0" encoding="utf-8"?>
<ds:datastoreItem xmlns:ds="http://schemas.openxmlformats.org/officeDocument/2006/customXml" ds:itemID="{D2866485-A581-4702-A02E-22FE81A8A232}"/>
</file>

<file path=customXml/itemProps31.xml><?xml version="1.0" encoding="utf-8"?>
<ds:datastoreItem xmlns:ds="http://schemas.openxmlformats.org/officeDocument/2006/customXml" ds:itemID="{973C57C9-B7B2-431C-A3A6-88EBC2253A9E}"/>
</file>

<file path=docProps/app.xml><?xml version="1.0" encoding="utf-8"?>
<ap:Properties xmlns:vt="http://schemas.openxmlformats.org/officeDocument/2006/docPropsVTypes" xmlns:ap="http://schemas.openxmlformats.org/officeDocument/2006/extended-properties">
  <ap:Template>TM55871247</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Jordan Glasgow (1918303)</dc:creator>
  <keywords/>
  <dc:description/>
  <lastModifiedBy>Jordan Glasgow (1918303)</lastModifiedBy>
  <revision>5</revision>
  <dcterms:created xsi:type="dcterms:W3CDTF">2026-10-08T10:09:31.7848002Z</dcterms:created>
  <dcterms:modified xsi:type="dcterms:W3CDTF">2026-10-19T20:39:29.8471987Z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