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rPr>
          <w:rFonts w:ascii="Calibri" w:cs="Calibri" w:hAnsi="Calibri" w:eastAsia="Calibri"/>
          <w:sz w:val="24"/>
          <w:szCs w:val="24"/>
        </w:rPr>
      </w:pPr>
      <w:r>
        <w:rPr>
          <w:rFonts w:ascii="Calibri" w:hAnsi="Calibri"/>
          <w:sz w:val="24"/>
          <w:szCs w:val="24"/>
          <w:rtl w:val="0"/>
          <w:lang w:val="en-US"/>
        </w:rPr>
        <w:t>Cover Page:</w:t>
      </w:r>
    </w:p>
    <w:p>
      <w:pPr>
        <w:pStyle w:val="Body"/>
        <w:spacing w:line="480" w:lineRule="auto"/>
        <w:rPr>
          <w:rFonts w:ascii="Calibri" w:cs="Calibri" w:hAnsi="Calibri" w:eastAsia="Calibri"/>
          <w:sz w:val="24"/>
          <w:szCs w:val="24"/>
        </w:rPr>
      </w:pPr>
      <w:r>
        <w:rPr>
          <w:rFonts w:ascii="Calibri" w:hAnsi="Calibri"/>
          <w:sz w:val="24"/>
          <w:szCs w:val="24"/>
          <w:rtl w:val="0"/>
          <w:lang w:val="en-US"/>
        </w:rPr>
        <w:t>Name: Tomas Sheehan</w:t>
      </w:r>
    </w:p>
    <w:p>
      <w:pPr>
        <w:pStyle w:val="Body"/>
        <w:spacing w:line="480" w:lineRule="auto"/>
        <w:rPr>
          <w:rFonts w:ascii="Calibri" w:cs="Calibri" w:hAnsi="Calibri" w:eastAsia="Calibri"/>
          <w:sz w:val="24"/>
          <w:szCs w:val="24"/>
        </w:rPr>
      </w:pPr>
      <w:r>
        <w:rPr>
          <w:rFonts w:ascii="Calibri" w:hAnsi="Calibri"/>
          <w:sz w:val="24"/>
          <w:szCs w:val="24"/>
          <w:rtl w:val="0"/>
          <w:lang w:val="en-US"/>
        </w:rPr>
        <w:t>Module: Managing Marketing Change - BMMB7026D</w:t>
      </w:r>
    </w:p>
    <w:p>
      <w:pPr>
        <w:pStyle w:val="Body"/>
        <w:spacing w:line="480" w:lineRule="auto"/>
        <w:rPr>
          <w:rFonts w:ascii="Calibri" w:cs="Calibri" w:hAnsi="Calibri" w:eastAsia="Calibri"/>
          <w:sz w:val="24"/>
          <w:szCs w:val="24"/>
        </w:rPr>
      </w:pPr>
      <w:r>
        <w:rPr>
          <w:rFonts w:ascii="Calibri" w:hAnsi="Calibri"/>
          <w:sz w:val="24"/>
          <w:szCs w:val="24"/>
          <w:rtl w:val="0"/>
          <w:lang w:val="en-US"/>
        </w:rPr>
        <w:t>Assignment Title: Future Developments in the Field of Marketing</w:t>
      </w:r>
    </w:p>
    <w:p>
      <w:pPr>
        <w:pStyle w:val="Body"/>
        <w:spacing w:line="480" w:lineRule="auto"/>
        <w:rPr>
          <w:rFonts w:ascii="Calibri" w:cs="Calibri" w:hAnsi="Calibri" w:eastAsia="Calibri"/>
          <w:sz w:val="24"/>
          <w:szCs w:val="24"/>
        </w:rPr>
      </w:pPr>
      <w:r>
        <w:rPr>
          <w:rFonts w:ascii="Calibri" w:hAnsi="Calibri"/>
          <w:sz w:val="24"/>
          <w:szCs w:val="24"/>
          <w:rtl w:val="0"/>
          <w:lang w:val="en-US"/>
        </w:rPr>
        <w:t>Word Count - 2941</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Marketing Experiment Report</w:t>
      </w:r>
    </w:p>
    <w:p>
      <w:pPr>
        <w:pStyle w:val="Body"/>
        <w:spacing w:line="480" w:lineRule="auto"/>
        <w:rPr>
          <w:rFonts w:ascii="Calibri" w:cs="Calibri" w:hAnsi="Calibri" w:eastAsia="Calibri"/>
          <w:sz w:val="24"/>
          <w:szCs w:val="24"/>
        </w:rPr>
      </w:pPr>
      <w:r>
        <w:rPr>
          <w:rFonts w:ascii="Calibri" w:hAnsi="Calibri"/>
          <w:sz w:val="24"/>
          <w:szCs w:val="24"/>
          <w:rtl w:val="0"/>
          <w:lang w:val="en-US"/>
        </w:rPr>
        <w:t>Social Media Influencer Partnership for Hotel Nicole</w:t>
      </w:r>
    </w:p>
    <w:p>
      <w:pPr>
        <w:pStyle w:val="Body"/>
        <w:spacing w:line="480" w:lineRule="auto"/>
        <w:rPr>
          <w:rFonts w:ascii="Calibri" w:cs="Calibri" w:hAnsi="Calibri" w:eastAsia="Calibri"/>
          <w:sz w:val="24"/>
          <w:szCs w:val="24"/>
        </w:rPr>
      </w:pPr>
      <w:r>
        <w:rPr>
          <w:rFonts w:ascii="Calibri" w:hAnsi="Calibri"/>
          <w:sz w:val="24"/>
          <w:szCs w:val="24"/>
          <w:rtl w:val="0"/>
          <w:lang w:val="en-US"/>
        </w:rPr>
        <w:t>Prepared for: Marketing Department, Hotel Nicole</w:t>
      </w: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Prepared by: </w:t>
      </w:r>
      <w:r>
        <w:rPr>
          <w:rFonts w:ascii="Calibri" w:hAnsi="Calibri"/>
          <w:sz w:val="24"/>
          <w:szCs w:val="24"/>
          <w:rtl w:val="0"/>
          <w:lang w:val="en-US"/>
        </w:rPr>
        <w:t>Tomas Sheehan</w:t>
      </w:r>
    </w:p>
    <w:p>
      <w:pPr>
        <w:pStyle w:val="Body"/>
        <w:spacing w:line="480" w:lineRule="auto"/>
        <w:rPr>
          <w:rFonts w:ascii="Calibri" w:cs="Calibri" w:hAnsi="Calibri" w:eastAsia="Calibri"/>
          <w:sz w:val="24"/>
          <w:szCs w:val="24"/>
        </w:rPr>
      </w:pPr>
      <w:r>
        <w:rPr>
          <w:rFonts w:ascii="Calibri" w:hAnsi="Calibri"/>
          <w:sz w:val="24"/>
          <w:szCs w:val="24"/>
          <w:rtl w:val="0"/>
          <w:lang w:val="de-DE"/>
        </w:rPr>
        <w:t>Date: 1</w:t>
      </w:r>
      <w:r>
        <w:rPr>
          <w:rFonts w:ascii="Calibri" w:hAnsi="Calibri"/>
          <w:sz w:val="24"/>
          <w:szCs w:val="24"/>
          <w:rtl w:val="0"/>
          <w:lang w:val="en-US"/>
        </w:rPr>
        <w:t>5</w:t>
      </w:r>
      <w:r>
        <w:rPr>
          <w:rFonts w:ascii="Calibri" w:hAnsi="Calibri"/>
          <w:sz w:val="24"/>
          <w:szCs w:val="24"/>
          <w:rtl w:val="0"/>
        </w:rPr>
        <w:t xml:space="preserve"> September 2025</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Executive Summary</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This report presents an evaluation of a mini-marketing campaign for Hotel Nicole, a fictional independent hospitality brand. The campaign centred on a social media influencer partnership on Instagram and TikTok to grow brand awareness, increase audience engagement, and stimulate booking enquiries among millennials and young professionals. The campaign's design was grounded in contemporary marketing theory on influencer credibility, sustainable brand narratives, and data-driven optimisation. The report analyses these emerging trends, using Marriott International as a benchmark. The campaign delivered measurable uplifts in engagement and enquiry intent, proving that authentic influencer selection, transparent sustainability communication, and rigorous use of analytics can deliver meaningful marketing outcomes. Recommendations are provided for hospitality businesses of different sizes.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Contents</w:t>
      </w: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Executive Summary</w:t>
      </w: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fr-FR"/>
        </w:rPr>
        <w:t>1.0 Introduction</w:t>
      </w: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de-DE"/>
        </w:rPr>
        <w:t>2.0 Main Findings</w:t>
      </w: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3.0 Emerging Trends and Their Impacts</w:t>
      </w: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4.0 Case Study Analysis: Marriott International</w:t>
      </w: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5.0 Personal Reflection and Application</w:t>
      </w: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6</w:t>
      </w:r>
      <w:r>
        <w:rPr>
          <w:rFonts w:ascii="Calibri" w:hAnsi="Calibri"/>
          <w:b w:val="1"/>
          <w:bCs w:val="1"/>
          <w:sz w:val="24"/>
          <w:szCs w:val="24"/>
          <w:rtl w:val="0"/>
          <w:lang w:val="it-IT"/>
        </w:rPr>
        <w:t>.0 Conclusion</w:t>
      </w: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7</w:t>
      </w:r>
      <w:r>
        <w:rPr>
          <w:rFonts w:ascii="Calibri" w:hAnsi="Calibri"/>
          <w:b w:val="1"/>
          <w:bCs w:val="1"/>
          <w:sz w:val="24"/>
          <w:szCs w:val="24"/>
          <w:rtl w:val="0"/>
          <w:lang w:val="en-US"/>
        </w:rPr>
        <w:t>.0 Recommendations</w:t>
      </w: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fr-FR"/>
        </w:rPr>
        <w:t>References</w:t>
      </w: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it-IT"/>
        </w:rPr>
        <w:t>Appendices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fr-FR"/>
        </w:rPr>
        <w:t>1.0 Introduction</w:t>
      </w:r>
    </w:p>
    <w:p>
      <w:pPr>
        <w:pStyle w:val="Body"/>
        <w:spacing w:line="480" w:lineRule="auto"/>
        <w:rPr>
          <w:rFonts w:ascii="Calibri" w:cs="Calibri" w:hAnsi="Calibri" w:eastAsia="Calibri"/>
          <w:b w:val="1"/>
          <w:bCs w:val="1"/>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The hospitality sector continues to experience structural change driven by digitalisation, shifting consumer values, and intensified competition. Marketing management within this context must combine creativity with analytical rigour to build relevance and preference across complex decision journeys (Fahy and Jobber, 2019; Kotler and Chernev, 2012). Hotel Nicole</w:t>
      </w:r>
      <w:r>
        <w:rPr>
          <w:rFonts w:ascii="Calibri" w:hAnsi="Calibri" w:hint="default"/>
          <w:sz w:val="24"/>
          <w:szCs w:val="24"/>
          <w:rtl w:val="0"/>
          <w:lang w:val="en-US"/>
        </w:rPr>
        <w:t>—</w:t>
      </w:r>
      <w:r>
        <w:rPr>
          <w:rFonts w:ascii="Calibri" w:hAnsi="Calibri"/>
          <w:sz w:val="24"/>
          <w:szCs w:val="24"/>
          <w:rtl w:val="0"/>
          <w:lang w:val="en-US"/>
        </w:rPr>
        <w:t>a fictional, design-led, city-centre property</w:t>
      </w:r>
      <w:r>
        <w:rPr>
          <w:rFonts w:ascii="Calibri" w:hAnsi="Calibri" w:hint="default"/>
          <w:sz w:val="24"/>
          <w:szCs w:val="24"/>
          <w:rtl w:val="0"/>
          <w:lang w:val="en-US"/>
        </w:rPr>
        <w:t>—</w:t>
      </w:r>
      <w:r>
        <w:rPr>
          <w:rFonts w:ascii="Calibri" w:hAnsi="Calibri"/>
          <w:sz w:val="24"/>
          <w:szCs w:val="24"/>
          <w:rtl w:val="0"/>
          <w:lang w:val="en-US"/>
        </w:rPr>
        <w:t>positions itself through three pillars: personalised guest service, immersion in local culture, and sustainability. These pillars informed the conception of a six-week social media influencer campaign designed to engage a target audience of 25</w:t>
      </w:r>
      <w:r>
        <w:rPr>
          <w:rFonts w:ascii="Calibri" w:hAnsi="Calibri" w:hint="default"/>
          <w:sz w:val="24"/>
          <w:szCs w:val="24"/>
          <w:rtl w:val="0"/>
        </w:rPr>
        <w:t>–</w:t>
      </w:r>
      <w:r>
        <w:rPr>
          <w:rFonts w:ascii="Calibri" w:hAnsi="Calibri"/>
          <w:sz w:val="24"/>
          <w:szCs w:val="24"/>
          <w:rtl w:val="0"/>
          <w:lang w:val="en-US"/>
        </w:rPr>
        <w:t>35-year-old, urban, experience-seeking, and eco-conscious travellers.</w:t>
      </w:r>
    </w:p>
    <w:p>
      <w:pPr>
        <w:pStyle w:val="Body"/>
        <w:spacing w:line="480" w:lineRule="auto"/>
        <w:rPr>
          <w:rFonts w:ascii="Calibri" w:cs="Calibri" w:hAnsi="Calibri" w:eastAsia="Calibri"/>
          <w:sz w:val="24"/>
          <w:szCs w:val="24"/>
        </w:rPr>
      </w:pPr>
      <w:r>
        <w:rPr>
          <w:rFonts w:ascii="Calibri" w:hAnsi="Calibri"/>
          <w:sz w:val="24"/>
          <w:szCs w:val="24"/>
          <w:rtl w:val="0"/>
          <w:lang w:val="en-US"/>
        </w:rPr>
        <w:t>The decision to select an influencer partnership as the primary tactic was shaped by evidence that consumers increasingly rely on peer-like voices for discovery and evaluation, with influencers acting as credible, relatable messengers who can humanise brand narratives (Freberg et al., 2011; Jin, Muqaddam and Ryu, 2019). This is particularly salient in hospitality, where experiences are intangible, risk is perceived as higher, and visual storytelling reduces uncertainty (Hudson et al., 2016; Ashley and Tuten, 2015). The following sections detail the campaign's design, execution, and performance, situated within the context of key industry trends.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de-DE"/>
        </w:rPr>
        <w:t>2.0 Main Findings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The campaign for Hotel Nicole was a six-week social media influencer partnership executed across Instagram and TikTok. We strategically chose a UK-based travel and lifestyle micro-influencer with approximately 20,000 followers and an engagement rate that surpassed category averages. Our selection process prioritised not just follower count but also audience demographic fit, content authenticity, and the creator</w:t>
      </w:r>
      <w:r>
        <w:rPr>
          <w:rFonts w:ascii="Calibri" w:hAnsi="Calibri" w:hint="default"/>
          <w:sz w:val="24"/>
          <w:szCs w:val="24"/>
          <w:rtl w:val="1"/>
        </w:rPr>
        <w:t>’</w:t>
      </w:r>
      <w:r>
        <w:rPr>
          <w:rFonts w:ascii="Calibri" w:hAnsi="Calibri"/>
          <w:sz w:val="24"/>
          <w:szCs w:val="24"/>
          <w:rtl w:val="0"/>
          <w:lang w:val="en-US"/>
        </w:rPr>
        <w:t>s proven track record in hospitality collaborations (Jin, Muqaddam and Ryu, 2019; Lou and Yuan, 2019). The decision to work with a micro-influencer was deliberate,</w:t>
      </w:r>
      <w:r>
        <w:rPr>
          <w:rFonts w:ascii="Calibri" w:hAnsi="Calibri"/>
          <w:sz w:val="24"/>
          <w:szCs w:val="24"/>
          <w:rtl w:val="0"/>
          <w:lang w:val="en-US"/>
        </w:rPr>
        <w:t xml:space="preserve"> using</w:t>
      </w:r>
      <w:r>
        <w:rPr>
          <w:rFonts w:ascii="Calibri" w:hAnsi="Calibri"/>
          <w:sz w:val="24"/>
          <w:szCs w:val="24"/>
          <w:rtl w:val="0"/>
          <w:lang w:val="en-US"/>
        </w:rPr>
        <w:t xml:space="preserve"> their ability to foster a deeper sense of trust and perceived intimacy, which often translates into more persuasive and effective communication than that of larger profiles (Brown and Hayes, 2018).</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The campaign</w:t>
      </w:r>
      <w:r>
        <w:rPr>
          <w:rFonts w:ascii="Calibri" w:hAnsi="Calibri" w:hint="default"/>
          <w:sz w:val="24"/>
          <w:szCs w:val="24"/>
          <w:rtl w:val="1"/>
        </w:rPr>
        <w:t>’</w:t>
      </w:r>
      <w:r>
        <w:rPr>
          <w:rFonts w:ascii="Calibri" w:hAnsi="Calibri"/>
          <w:sz w:val="24"/>
          <w:szCs w:val="24"/>
          <w:rtl w:val="0"/>
          <w:lang w:val="en-US"/>
        </w:rPr>
        <w:t>s objectives were to: achieve a 20% uplift in average engagement per post; reach at least 15,000 unique accounts cumulatively; drive a 10% increase in website referral sessions; and generate a minimum of 25 tracked booking enquiries. To achieve these, our content strategy centred on three of Hotel Nicole</w:t>
      </w:r>
      <w:r>
        <w:rPr>
          <w:rFonts w:ascii="Calibri" w:hAnsi="Calibri" w:hint="default"/>
          <w:sz w:val="24"/>
          <w:szCs w:val="24"/>
          <w:rtl w:val="1"/>
        </w:rPr>
        <w:t>’</w:t>
      </w:r>
      <w:r>
        <w:rPr>
          <w:rFonts w:ascii="Calibri" w:hAnsi="Calibri"/>
          <w:sz w:val="24"/>
          <w:szCs w:val="24"/>
          <w:rtl w:val="0"/>
          <w:lang w:val="en-US"/>
        </w:rPr>
        <w:t>s brand pillars: design, local culture, and sustainability. We tailored each theme to specific platform formats</w:t>
      </w:r>
      <w:r>
        <w:rPr>
          <w:rFonts w:ascii="Calibri" w:hAnsi="Calibri" w:hint="default"/>
          <w:sz w:val="24"/>
          <w:szCs w:val="24"/>
          <w:rtl w:val="0"/>
          <w:lang w:val="en-US"/>
        </w:rPr>
        <w:t>—</w:t>
      </w:r>
      <w:r>
        <w:rPr>
          <w:rFonts w:ascii="Calibri" w:hAnsi="Calibri"/>
          <w:sz w:val="24"/>
          <w:szCs w:val="24"/>
          <w:rtl w:val="0"/>
          <w:lang w:val="en-US"/>
        </w:rPr>
        <w:t>Instagram Posts and Reels were used for aesthetic storytelling, while TikTok focused on dynamic, short-form narratives. This approach reflects the evidence that short-form video is highly effective for discovery in the travel sector (Lee and Gretzel, 2019; Moorhouse and Waggett, 2016).</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A weekly content cadence was established, including two Instagram assets, one TikTok video, and several Instagram Stories with interactive features. The Stories were a key component for fielding practical questions from the audience, thereby deepening their consideration (Hudson et al., 2016). All calls-to-action used UTM-tagged landing pages and a unique enquiry form to ensure accurate attribution. Our analytics toolkit included native platform dashboards and Google Analytics, allowing for a data-driven feedback loop. We reviewed performance weekly to make tactical adjustments, such as prioritising shorter Reels and optimising posting times to align with audience peaks (Kaplan and Haenlein, 2010; Mariani and Borghi, 2021).</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The campaign successfully met or exceeded all key performance indicators. By Week 5, our cumulative unique reach hit ~18,500 accounts, and we saw a 24% uplift in engagement</w:t>
      </w:r>
      <w:r>
        <w:rPr>
          <w:rFonts w:ascii="Calibri" w:hAnsi="Calibri" w:hint="default"/>
          <w:sz w:val="24"/>
          <w:szCs w:val="24"/>
          <w:rtl w:val="0"/>
          <w:lang w:val="en-US"/>
        </w:rPr>
        <w:t>—</w:t>
      </w:r>
      <w:r>
        <w:rPr>
          <w:rFonts w:ascii="Calibri" w:hAnsi="Calibri"/>
          <w:sz w:val="24"/>
          <w:szCs w:val="24"/>
          <w:rtl w:val="0"/>
          <w:lang w:val="en-US"/>
        </w:rPr>
        <w:t xml:space="preserve">surpassing our 20% target. This over-performance supports the notion that well-matched micro-influencers often drive superior interaction rates compared to paid brand content  </w:t>
      </w:r>
      <w:r>
        <w:rPr>
          <w:rFonts w:ascii="Calibri" w:hAnsi="Calibri"/>
          <w:sz w:val="24"/>
          <w:szCs w:val="24"/>
          <w:rtl w:val="0"/>
          <w:lang w:val="en-US"/>
        </w:rPr>
        <w:t>(</w:t>
      </w:r>
      <w:r>
        <w:rPr>
          <w:rFonts w:ascii="Calibri" w:hAnsi="Calibri"/>
          <w:sz w:val="24"/>
          <w:szCs w:val="24"/>
          <w:rtl w:val="0"/>
          <w:lang w:val="en-US"/>
        </w:rPr>
        <w:t xml:space="preserve">Ashley and Tuten, 2015). We also recorded a 12% increase in website referral traffic, and, importantly, the traffic from content highlighting sustainability was of a notably higher quality, indicated by a longer average session duration. This finding suggests that Hotel Nicole's commitment to social and environmental responsibility resonated deeply with its target audience, translating into more meaningful engagement (Crane et al., 2019; Sigala, 2018). </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Furthermore, the campaign generated 28 tracked enquiries, slightly exceeding our target and demonstrating its direct contribution to the sales pipeline.</w:t>
      </w:r>
    </w:p>
    <w:p>
      <w:pPr>
        <w:pStyle w:val="Body"/>
        <w:spacing w:line="480" w:lineRule="auto"/>
        <w:rPr>
          <w:rFonts w:ascii="Calibri" w:cs="Calibri" w:hAnsi="Calibri" w:eastAsia="Calibri"/>
          <w:sz w:val="24"/>
          <w:szCs w:val="24"/>
        </w:rPr>
      </w:pPr>
      <w:r>
        <w:rPr>
          <w:rFonts w:ascii="Calibri" w:hAnsi="Calibri"/>
          <w:sz w:val="24"/>
          <w:szCs w:val="24"/>
          <w:rtl w:val="0"/>
          <w:lang w:val="en-US"/>
        </w:rPr>
        <w:t>Operationally, the main challenges were coordinating the influencer</w:t>
      </w:r>
      <w:r>
        <w:rPr>
          <w:rFonts w:ascii="Calibri" w:hAnsi="Calibri" w:hint="default"/>
          <w:sz w:val="24"/>
          <w:szCs w:val="24"/>
          <w:rtl w:val="1"/>
        </w:rPr>
        <w:t>’</w:t>
      </w:r>
      <w:r>
        <w:rPr>
          <w:rFonts w:ascii="Calibri" w:hAnsi="Calibri"/>
          <w:sz w:val="24"/>
          <w:szCs w:val="24"/>
          <w:rtl w:val="0"/>
          <w:lang w:val="en-US"/>
        </w:rPr>
        <w:t>s schedule with hotel operations and managing the content approval process to maintain a fresh narrative over six weeks. Ethically, we placed a strong emphasis on transparency, mandating explicit disclosure (#ad, #invite) and ensuring guest privacy was respected at all times (Dwivedi et al., 2021). These measures were critical for building and maintaining trust with the audience.</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3.0 Emerging Trends and Their Impacts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The hospitality marketing landscape is in flux, shaped by new consumer behaviours and technological innovations. This section analyses three pivotal trends that underpinned the Hotel Nicole campaign and will continue to redefine the sector</w:t>
      </w:r>
      <w:r>
        <w:rPr>
          <w:rFonts w:ascii="Calibri" w:hAnsi="Calibri" w:hint="default"/>
          <w:sz w:val="24"/>
          <w:szCs w:val="24"/>
          <w:rtl w:val="1"/>
        </w:rPr>
        <w:t>’</w:t>
      </w:r>
      <w:r>
        <w:rPr>
          <w:rFonts w:ascii="Calibri" w:hAnsi="Calibri"/>
          <w:sz w:val="24"/>
          <w:szCs w:val="24"/>
          <w:rtl w:val="0"/>
          <w:lang w:val="en-US"/>
        </w:rPr>
        <w:t>s promotional strategies.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Firstly, personalisation has become a cornerstone of effective marketing, driven by the rise of data analytics and AI-powered tools. Guests now expect tailored recommendations, customised offers, and hyper-targeted communications that reflect their preferences and previous interactions. Secondly, the growing influence of digital storytelling, particularly through social media platforms, has transformed how hotels engage with audiences. Immersive visual content, influencer partnerships, and user-generated stories allow brands like Hotel Nicole to build authentic connections and encourage organic advocacy. Thirdly, sustainability and ethical practices increasingly influence booking decisions. Consumers are drawn to properties that demonstrate environmental responsibility and social commitment, and campaigns that highlight these values resonate strongly. Together, these trends illustrate a dynamic environment where innovation and empathy remain central to successful marketing.</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3.1 The Rise of Influencer Marketing</w:t>
      </w:r>
    </w:p>
    <w:p>
      <w:pPr>
        <w:pStyle w:val="Body"/>
        <w:spacing w:line="480" w:lineRule="auto"/>
        <w:rPr>
          <w:rFonts w:ascii="Calibri" w:cs="Calibri" w:hAnsi="Calibri" w:eastAsia="Calibri"/>
          <w:b w:val="1"/>
          <w:bCs w:val="1"/>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Influencer marketing has matured from a tactical novelty to a mainstream pillar of the promotional mix, particularly effective in high-involvement, experience-centric categories like travel and hospitality (Mangold and Faulds, 2009; Jin, Muqaddam and Ryu, 2019). Influencers function as cultural intermediaries who translate brand propositions into lived narratives, reducing perceived risk by proxy experience (Hudson et al., 2016). Trust and perceived authenticity are central to this effect: audiences ascribe higher credibility to creators who exhibit consistent values and transparent disclosure practices (Freberg et al., 2011; Lou and Yuan, 2019). For Hotel Nicole, the micro-influencer route leveraged intimacy and community belonging, attributes associated with stronger engagement and persuasive impact (Brown and Hayes, 2018; Ashley and Tuten, 2015). However, risks include audience fatigue from saturation, disclosure lapses, and misalignment between the creator's persona and the brand's identity. Mitigation requires rigorous vetting, clear briefs, and measurement frameworks that go beyond vanity metrics to evaluate incremental reach, sentiment, and assisted conversions </w:t>
      </w:r>
      <w:r>
        <w:rPr>
          <w:rFonts w:ascii="Calibri" w:hAnsi="Calibri"/>
          <w:sz w:val="24"/>
          <w:szCs w:val="24"/>
          <w:rtl w:val="0"/>
          <w:lang w:val="en-US"/>
        </w:rPr>
        <w:t>(</w:t>
      </w:r>
      <w:r>
        <w:rPr>
          <w:rFonts w:ascii="Calibri" w:hAnsi="Calibri"/>
          <w:sz w:val="24"/>
          <w:szCs w:val="24"/>
          <w:rtl w:val="0"/>
          <w:lang w:val="en-US"/>
        </w:rPr>
        <w:t>Chen, Fay and Wang, 2011).</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3.2 Sustainability and Corporate Social Responsibility (CSR) in Hospitality Promotion</w:t>
      </w:r>
    </w:p>
    <w:p>
      <w:pPr>
        <w:pStyle w:val="Body"/>
        <w:spacing w:line="480" w:lineRule="auto"/>
        <w:rPr>
          <w:rFonts w:ascii="Calibri" w:cs="Calibri" w:hAnsi="Calibri" w:eastAsia="Calibri"/>
          <w:b w:val="1"/>
          <w:bCs w:val="1"/>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Sustainability has shifted from a peripheral concern to a core expectation in hospitality, with ethical sourcing, waste reduction, and community contribution increasingly valued by guests (Crane et al., 2019; Sigala, 2018). Marketing that truthfully signals these commitments can differentiate brands and build long-term equity, provided claims are specific, evidenced, and integrated into operations</w:t>
      </w:r>
      <w:r>
        <w:rPr>
          <w:rFonts w:ascii="Calibri" w:hAnsi="Calibri" w:hint="default"/>
          <w:sz w:val="24"/>
          <w:szCs w:val="24"/>
          <w:rtl w:val="0"/>
          <w:lang w:val="en-US"/>
        </w:rPr>
        <w:t>—</w:t>
      </w:r>
      <w:r>
        <w:rPr>
          <w:rFonts w:ascii="Calibri" w:hAnsi="Calibri"/>
          <w:sz w:val="24"/>
          <w:szCs w:val="24"/>
          <w:rtl w:val="0"/>
          <w:lang w:val="en-US"/>
        </w:rPr>
        <w:t>thereby avoiding the reputational risk of 'greenwashing'. In digital channels, CSR narratives are most powerful when embedded in authentic stories</w:t>
      </w:r>
      <w:r>
        <w:rPr>
          <w:rFonts w:ascii="Calibri" w:hAnsi="Calibri" w:hint="default"/>
          <w:sz w:val="24"/>
          <w:szCs w:val="24"/>
          <w:rtl w:val="0"/>
          <w:lang w:val="en-US"/>
        </w:rPr>
        <w:t>—</w:t>
      </w:r>
      <w:r>
        <w:rPr>
          <w:rFonts w:ascii="Calibri" w:hAnsi="Calibri"/>
          <w:sz w:val="24"/>
          <w:szCs w:val="24"/>
          <w:rtl w:val="0"/>
          <w:lang w:val="en-US"/>
        </w:rPr>
        <w:t>for example, staff initiatives, local supplier features, or measurable impacts</w:t>
      </w:r>
      <w:r>
        <w:rPr>
          <w:rFonts w:ascii="Calibri" w:hAnsi="Calibri" w:hint="default"/>
          <w:sz w:val="24"/>
          <w:szCs w:val="24"/>
          <w:rtl w:val="0"/>
          <w:lang w:val="en-US"/>
        </w:rPr>
        <w:t>—</w:t>
      </w:r>
      <w:r>
        <w:rPr>
          <w:rFonts w:ascii="Calibri" w:hAnsi="Calibri"/>
          <w:sz w:val="24"/>
          <w:szCs w:val="24"/>
          <w:rtl w:val="0"/>
          <w:lang w:val="en-US"/>
        </w:rPr>
        <w:t>rather than generic claims. Hotel Nicole</w:t>
      </w:r>
      <w:r>
        <w:rPr>
          <w:rFonts w:ascii="Calibri" w:hAnsi="Calibri" w:hint="default"/>
          <w:sz w:val="24"/>
          <w:szCs w:val="24"/>
          <w:rtl w:val="1"/>
        </w:rPr>
        <w:t>’</w:t>
      </w:r>
      <w:r>
        <w:rPr>
          <w:rFonts w:ascii="Calibri" w:hAnsi="Calibri"/>
          <w:sz w:val="24"/>
          <w:szCs w:val="24"/>
          <w:rtl w:val="0"/>
          <w:lang w:val="en-US"/>
        </w:rPr>
        <w:t>s campaign foregrounded tangible practices like refill stations, recycled materials, and partnerships with local artisans, which resonated strongly in engagement metrics. From a strategic standpoint, CSR-led differentiation aligns with Blue Ocean thinking by creating value beyond price and room inventory, opening up uncontested 'experience' spaces (Kim and Mauborgne, 2004, 2014). Nevertheless, CSR marketing must be supported by sound governance, including clear policies, staff training, and transparent reporting (Crane et al., 2019).</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3.3 Analytics-Led Marketing and Real-Time Optimisation</w:t>
      </w:r>
    </w:p>
    <w:p>
      <w:pPr>
        <w:pStyle w:val="Body"/>
        <w:spacing w:line="480" w:lineRule="auto"/>
        <w:rPr>
          <w:rFonts w:ascii="Calibri" w:cs="Calibri" w:hAnsi="Calibri" w:eastAsia="Calibri"/>
          <w:b w:val="1"/>
          <w:bCs w:val="1"/>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Digital platforms afford unprecedented granularity in monitoring and optimisation. Metrics like reach and impressions indicate distribution, while engagement ratios proxy for relevance; downstream, referral quality and conversion pathways connect activity to business outcomes (Kaplan and Haenlein, 2010; Lemon and Verhoef, 2016). In hospitality, analytics also inform dynamic content sequencing along the customer journey</w:t>
      </w:r>
      <w:r>
        <w:rPr>
          <w:rFonts w:ascii="Calibri" w:hAnsi="Calibri" w:hint="default"/>
          <w:sz w:val="24"/>
          <w:szCs w:val="24"/>
          <w:rtl w:val="0"/>
          <w:lang w:val="en-US"/>
        </w:rPr>
        <w:t>—</w:t>
      </w:r>
      <w:r>
        <w:rPr>
          <w:rFonts w:ascii="Calibri" w:hAnsi="Calibri"/>
          <w:sz w:val="24"/>
          <w:szCs w:val="24"/>
          <w:rtl w:val="0"/>
          <w:lang w:val="en-US"/>
        </w:rPr>
        <w:t>from inspiration to planning to booking (Li and Wang, 2017; Mariani and Borghi, 2021). For Hotel Nicole, weekly analytics cycles supported practical adjustments: we focused on higher-performing formats (short-form video), refined captions for clarity, and timed posts to audience availability. At an enterprise scale, brands like Marriott are deploying AI-enabled systems to personalise offers and orchestrate omnichannel communications, improving efficiency and customer satisfaction while raising challenges around privacy and fairness (Davenport et al., 2020; Dwivedi et al., 2021). A balanced scorecard of leading and lagging indicators</w:t>
      </w:r>
      <w:r>
        <w:rPr>
          <w:rFonts w:ascii="Calibri" w:hAnsi="Calibri" w:hint="default"/>
          <w:sz w:val="24"/>
          <w:szCs w:val="24"/>
          <w:rtl w:val="0"/>
          <w:lang w:val="en-US"/>
        </w:rPr>
        <w:t>—</w:t>
      </w:r>
      <w:r>
        <w:rPr>
          <w:rFonts w:ascii="Calibri" w:hAnsi="Calibri"/>
          <w:sz w:val="24"/>
          <w:szCs w:val="24"/>
          <w:rtl w:val="0"/>
          <w:lang w:val="fr-FR"/>
        </w:rPr>
        <w:t>awareness, engagement, traffic quality, and enquiries</w:t>
      </w:r>
      <w:r>
        <w:rPr>
          <w:rFonts w:ascii="Calibri" w:hAnsi="Calibri" w:hint="default"/>
          <w:sz w:val="24"/>
          <w:szCs w:val="24"/>
          <w:rtl w:val="0"/>
          <w:lang w:val="en-US"/>
        </w:rPr>
        <w:t>—</w:t>
      </w:r>
      <w:r>
        <w:rPr>
          <w:rFonts w:ascii="Calibri" w:hAnsi="Calibri"/>
          <w:sz w:val="24"/>
          <w:szCs w:val="24"/>
          <w:rtl w:val="0"/>
          <w:lang w:val="en-US"/>
        </w:rPr>
        <w:t>helps avoid tunnel vision and encourages learning over a single metric (Kumar and Reinartz, 2016; Foreman, Money and Emerson, 2014).</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4.0 Case Study Analysis: Marriott International</w:t>
      </w:r>
    </w:p>
    <w:p>
      <w:pPr>
        <w:pStyle w:val="Body"/>
        <w:spacing w:line="480" w:lineRule="auto"/>
        <w:rPr>
          <w:rFonts w:ascii="Calibri" w:cs="Calibri" w:hAnsi="Calibri" w:eastAsia="Calibri"/>
          <w:b w:val="1"/>
          <w:bCs w:val="1"/>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Marriott International provides a useful benchmark for the application of influencer partnerships, CSR communication, and analytics at scale. The brand</w:t>
      </w:r>
      <w:r>
        <w:rPr>
          <w:rFonts w:ascii="Calibri" w:hAnsi="Calibri" w:hint="default"/>
          <w:sz w:val="24"/>
          <w:szCs w:val="24"/>
          <w:rtl w:val="1"/>
        </w:rPr>
        <w:t>’</w:t>
      </w:r>
      <w:r>
        <w:rPr>
          <w:rFonts w:ascii="Calibri" w:hAnsi="Calibri"/>
          <w:sz w:val="24"/>
          <w:szCs w:val="24"/>
          <w:rtl w:val="0"/>
          <w:lang w:val="en-US"/>
        </w:rPr>
        <w:t xml:space="preserve">s long-running </w:t>
      </w:r>
      <w:r>
        <w:rPr>
          <w:rFonts w:ascii="Calibri" w:hAnsi="Calibri" w:hint="default"/>
          <w:sz w:val="24"/>
          <w:szCs w:val="24"/>
          <w:rtl w:val="1"/>
        </w:rPr>
        <w:t>‘</w:t>
      </w:r>
      <w:r>
        <w:rPr>
          <w:rFonts w:ascii="Calibri" w:hAnsi="Calibri"/>
          <w:sz w:val="24"/>
          <w:szCs w:val="24"/>
          <w:rtl w:val="0"/>
          <w:lang w:val="en-US"/>
        </w:rPr>
        <w:t>Travel Brilliantly</w:t>
      </w:r>
      <w:r>
        <w:rPr>
          <w:rFonts w:ascii="Calibri" w:hAnsi="Calibri" w:hint="default"/>
          <w:sz w:val="24"/>
          <w:szCs w:val="24"/>
          <w:rtl w:val="1"/>
        </w:rPr>
        <w:t xml:space="preserve">’ </w:t>
      </w:r>
      <w:r>
        <w:rPr>
          <w:rFonts w:ascii="Calibri" w:hAnsi="Calibri"/>
          <w:sz w:val="24"/>
          <w:szCs w:val="24"/>
          <w:rtl w:val="0"/>
          <w:lang w:val="en-US"/>
        </w:rPr>
        <w:t>platform illustrates a commitment to experience innovation and digitally enabled engagement, using creator content to translate brand promises into tangible guest moments (Marriott International, 2023). Marriott has worked with a portfolio of creators across markets to showcase property variety and local context, mixing macro-influencers for broad reach with micro-influencers for depth and cultural fit (Lee and Gretzel, 2019; Brown and Hayes, 2018). The chain</w:t>
      </w:r>
      <w:r>
        <w:rPr>
          <w:rFonts w:ascii="Calibri" w:hAnsi="Calibri" w:hint="default"/>
          <w:sz w:val="24"/>
          <w:szCs w:val="24"/>
          <w:rtl w:val="1"/>
        </w:rPr>
        <w:t>’</w:t>
      </w:r>
      <w:r>
        <w:rPr>
          <w:rFonts w:ascii="Calibri" w:hAnsi="Calibri"/>
          <w:sz w:val="24"/>
          <w:szCs w:val="24"/>
          <w:rtl w:val="0"/>
          <w:lang w:val="en-US"/>
        </w:rPr>
        <w:t>s loyalty programme integrates data-driven personalisation to deliver targeted communications and dynamic offers, exemplifying analytics-led orchestration (Li and Wang, 2017; Kumar and Reinartz, 2016).</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On sustainability, Marriott publishes ambitious goals related to carbon intensity, waste reduction, and community investment. It increasingly weaves these commitments into consumer-facing content, although ensuring consistency across a vast global portfolio remains an ongoing challenge (Crane et al., 2019). Strategically, Marriott</w:t>
      </w:r>
      <w:r>
        <w:rPr>
          <w:rFonts w:ascii="Calibri" w:hAnsi="Calibri" w:hint="default"/>
          <w:sz w:val="24"/>
          <w:szCs w:val="24"/>
          <w:rtl w:val="1"/>
        </w:rPr>
        <w:t>’</w:t>
      </w:r>
      <w:r>
        <w:rPr>
          <w:rFonts w:ascii="Calibri" w:hAnsi="Calibri"/>
          <w:sz w:val="24"/>
          <w:szCs w:val="24"/>
          <w:rtl w:val="0"/>
          <w:lang w:val="en-US"/>
        </w:rPr>
        <w:t>s scale enables experimentation with new formats (e.g., short-form video; interactive social features) and the rapid diffusion of successful practices.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For Hotel Nicole, comparing our process to Marriott</w:t>
      </w:r>
      <w:r>
        <w:rPr>
          <w:rFonts w:ascii="Calibri" w:hAnsi="Calibri" w:hint="default"/>
          <w:sz w:val="24"/>
          <w:szCs w:val="24"/>
          <w:rtl w:val="1"/>
        </w:rPr>
        <w:t>’</w:t>
      </w:r>
      <w:r>
        <w:rPr>
          <w:rFonts w:ascii="Calibri" w:hAnsi="Calibri"/>
          <w:sz w:val="24"/>
          <w:szCs w:val="24"/>
          <w:rtl w:val="0"/>
          <w:lang w:val="en-US"/>
        </w:rPr>
        <w:t>s highlights critical lessons in scaling. While we used UTM tags to track website referrals, Marriott</w:t>
      </w:r>
      <w:r>
        <w:rPr>
          <w:rFonts w:ascii="Calibri" w:hAnsi="Calibri" w:hint="default"/>
          <w:sz w:val="24"/>
          <w:szCs w:val="24"/>
          <w:rtl w:val="1"/>
        </w:rPr>
        <w:t>’</w:t>
      </w:r>
      <w:r>
        <w:rPr>
          <w:rFonts w:ascii="Calibri" w:hAnsi="Calibri"/>
          <w:sz w:val="24"/>
          <w:szCs w:val="24"/>
          <w:rtl w:val="0"/>
          <w:lang w:val="en-US"/>
        </w:rPr>
        <w:t>s multi-channel data-driven personalisation is far more sophisticated. A single misaligned influencer partnership could severely impact our small brand, but Marriott's diversified portfolio makes them more resilient to individual creator risks. This comparison underscores the importance of systematising our creator selection and briefing process</w:t>
      </w:r>
      <w:r>
        <w:rPr>
          <w:rFonts w:ascii="Calibri" w:hAnsi="Calibri" w:hint="default"/>
          <w:sz w:val="24"/>
          <w:szCs w:val="24"/>
          <w:rtl w:val="0"/>
          <w:lang w:val="en-US"/>
        </w:rPr>
        <w:t>—</w:t>
      </w:r>
      <w:r>
        <w:rPr>
          <w:rFonts w:ascii="Calibri" w:hAnsi="Calibri"/>
          <w:sz w:val="24"/>
          <w:szCs w:val="24"/>
          <w:rtl w:val="0"/>
          <w:lang w:val="en-US"/>
        </w:rPr>
        <w:t>even on a small scale</w:t>
      </w:r>
      <w:r>
        <w:rPr>
          <w:rFonts w:ascii="Calibri" w:hAnsi="Calibri" w:hint="default"/>
          <w:sz w:val="24"/>
          <w:szCs w:val="24"/>
          <w:rtl w:val="0"/>
          <w:lang w:val="en-US"/>
        </w:rPr>
        <w:t>—</w:t>
      </w:r>
      <w:r>
        <w:rPr>
          <w:rFonts w:ascii="Calibri" w:hAnsi="Calibri"/>
          <w:sz w:val="24"/>
          <w:szCs w:val="24"/>
          <w:rtl w:val="0"/>
          <w:lang w:val="en-US"/>
        </w:rPr>
        <w:t>to ensure value and brand safety. Similarly, Marriott's public commitment to CSR shows that real-world practices must precede promotion to avoid the reputational risk of "greenwashing." Our campaign</w:t>
      </w:r>
      <w:r>
        <w:rPr>
          <w:rFonts w:ascii="Calibri" w:hAnsi="Calibri" w:hint="default"/>
          <w:sz w:val="24"/>
          <w:szCs w:val="24"/>
          <w:rtl w:val="1"/>
        </w:rPr>
        <w:t>’</w:t>
      </w:r>
      <w:r>
        <w:rPr>
          <w:rFonts w:ascii="Calibri" w:hAnsi="Calibri"/>
          <w:sz w:val="24"/>
          <w:szCs w:val="24"/>
          <w:rtl w:val="0"/>
          <w:lang w:val="en-US"/>
        </w:rPr>
        <w:t>s success with sustainability-focused content reinforces that for consumers, authenticity is key. Finally, Marriott's use of integrated analytics validates the need for Hotel Nicole to build simple but consistent analytics routines to inform every decision, from content to partnerships.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5.0 Personal Reflection and Application</w:t>
      </w:r>
    </w:p>
    <w:p>
      <w:pPr>
        <w:pStyle w:val="Body"/>
        <w:spacing w:line="480" w:lineRule="auto"/>
        <w:rPr>
          <w:rFonts w:ascii="Calibri" w:cs="Calibri" w:hAnsi="Calibri" w:eastAsia="Calibri"/>
          <w:sz w:val="24"/>
          <w:szCs w:val="24"/>
        </w:rPr>
      </w:pPr>
      <w:r>
        <w:rPr>
          <w:rFonts w:ascii="Calibri" w:hAnsi="Calibri"/>
          <w:sz w:val="24"/>
          <w:szCs w:val="24"/>
          <w:rtl w:val="0"/>
          <w:lang w:val="en-US"/>
        </w:rPr>
        <w:t>Conducting the campaign crystallised the interplay between three elements: authenticity, responsibility, and evidence. Authenticity emerged not only from the influencer's tone but also from operational truth</w:t>
      </w:r>
      <w:r>
        <w:rPr>
          <w:rFonts w:ascii="Calibri" w:hAnsi="Calibri" w:hint="default"/>
          <w:sz w:val="24"/>
          <w:szCs w:val="24"/>
          <w:rtl w:val="0"/>
          <w:lang w:val="en-US"/>
        </w:rPr>
        <w:t>—</w:t>
      </w:r>
      <w:r>
        <w:rPr>
          <w:rFonts w:ascii="Calibri" w:hAnsi="Calibri"/>
          <w:sz w:val="24"/>
          <w:szCs w:val="24"/>
          <w:rtl w:val="0"/>
          <w:lang w:val="en-US"/>
        </w:rPr>
        <w:t>staff stories and real supplier relationships. This confirmed that credible narratives start inside the organisation (Crane et al., 2019). Responsibility was manifest in clear disclosure and sensitivity to guest privacy. Evidence came from analytics, which converted intuition into learnable signals, aligning with modern marketing management best practice (Fahy and Jobber, 2019; Lemon and Verhoef, 2016).</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The experience also highlighted practical constraints. Even a small campaign entails significant coordination; a succinct governance framework (brief, calendar, approvals, measurement) was essential. Content fatigue is a real challenge. Curating a pipeline of story angles</w:t>
      </w:r>
      <w:r>
        <w:rPr>
          <w:rFonts w:ascii="Calibri" w:hAnsi="Calibri" w:hint="default"/>
          <w:sz w:val="24"/>
          <w:szCs w:val="24"/>
          <w:rtl w:val="0"/>
          <w:lang w:val="en-US"/>
        </w:rPr>
        <w:t>—</w:t>
      </w:r>
      <w:r>
        <w:rPr>
          <w:rFonts w:ascii="Calibri" w:hAnsi="Calibri"/>
          <w:sz w:val="24"/>
          <w:szCs w:val="24"/>
          <w:rtl w:val="0"/>
          <w:lang w:val="en-US"/>
        </w:rPr>
        <w:t>from design details to neighbourhood itineraries</w:t>
      </w:r>
      <w:r>
        <w:rPr>
          <w:rFonts w:ascii="Calibri" w:hAnsi="Calibri" w:hint="default"/>
          <w:sz w:val="24"/>
          <w:szCs w:val="24"/>
          <w:rtl w:val="0"/>
          <w:lang w:val="en-US"/>
        </w:rPr>
        <w:t>—</w:t>
      </w:r>
      <w:r>
        <w:rPr>
          <w:rFonts w:ascii="Calibri" w:hAnsi="Calibri"/>
          <w:sz w:val="24"/>
          <w:szCs w:val="24"/>
          <w:rtl w:val="0"/>
          <w:lang w:val="en-US"/>
        </w:rPr>
        <w:t>was crucial for maintaining narrative freshness. Finally, I learned that metrics require careful interpretation: high reach without meaningful action risks a false sense of progress. Triangulating engagement with referral quality and enquiry data provided a more reliable picture of the campaign</w:t>
      </w:r>
      <w:r>
        <w:rPr>
          <w:rFonts w:ascii="Calibri" w:hAnsi="Calibri" w:hint="default"/>
          <w:sz w:val="24"/>
          <w:szCs w:val="24"/>
          <w:rtl w:val="1"/>
        </w:rPr>
        <w:t>’</w:t>
      </w:r>
      <w:r>
        <w:rPr>
          <w:rFonts w:ascii="Calibri" w:hAnsi="Calibri"/>
          <w:sz w:val="24"/>
          <w:szCs w:val="24"/>
          <w:rtl w:val="0"/>
          <w:lang w:val="en-US"/>
        </w:rPr>
        <w:t>s true impact (Kaplan and Haenlein, 2010; Kumar and Reinartz, 2016).</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In future roles, I would operationalise these learnings by building modular playbooks: (1) an influencer selection matrix (values fit, audience match, engagement health); (2) a CSR messaging checklist (specificity, evidence, relevance); and (3) a KPI dashboard that blends leading (awareness, engagement) and lagging indicators (traffic, conversions). I would also advocate for dedicated experimentation budgets to institutionalise learning through A/B testing of hooks, formats, and calls-to-action (Foreman, Money and Emerson, 2014; Mariani and Borghi, 2021). Lastly, I would invest in team skills in areas such as copywriting for short-form video, basic data literacy, and ethical judgment to navigate the gray areas of disclosure and targeting (Dwivedi et al., 2021).</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it-IT"/>
        </w:rPr>
        <w:t>6.0 Conclusion</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This report set out to plan, execute, and critically evaluate a mini-marketing campaign for Hotel Nicole through the lens of contemporary marketing management. The objective was to explore how modern strategies could be tailored to optimise the visibility and engagement of a niche hospitality offering, leveraging both traditional and digital platforms for maximum impact.</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The influencer partnership for Hotel Nicole demonstrated that carefully selected creators, authentic CSR (Corporate Social Responsibility) stories, and analytics-driven iteration can deliver measurable uplifts in engagement and enquiry intent. By collaborating with an influencer whose values aligned with the brand's ethos, Hotel Nicole ensured authenticity in its messaging, which resonated strongly with the target audience. The campaign highlighted the importance of crafting narratives that not only promote the brand but also reflect a genuine commitment to social and environmental responsibility, thereby creating a deeper emotional connection with potential guests.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The emergent trends reviewed</w:t>
      </w:r>
      <w:r>
        <w:rPr>
          <w:rFonts w:ascii="Calibri" w:hAnsi="Calibri" w:hint="default"/>
          <w:sz w:val="24"/>
          <w:szCs w:val="24"/>
          <w:rtl w:val="0"/>
          <w:lang w:val="en-US"/>
        </w:rPr>
        <w:t>—</w:t>
      </w:r>
      <w:r>
        <w:rPr>
          <w:rFonts w:ascii="Calibri" w:hAnsi="Calibri"/>
          <w:sz w:val="24"/>
          <w:szCs w:val="24"/>
          <w:rtl w:val="0"/>
          <w:lang w:val="en-US"/>
        </w:rPr>
        <w:t>influencer marketing</w:t>
      </w:r>
      <w:r>
        <w:rPr>
          <w:rFonts w:ascii="Calibri" w:hAnsi="Calibri" w:hint="default"/>
          <w:sz w:val="24"/>
          <w:szCs w:val="24"/>
          <w:rtl w:val="1"/>
        </w:rPr>
        <w:t>’</w:t>
      </w:r>
      <w:r>
        <w:rPr>
          <w:rFonts w:ascii="Calibri" w:hAnsi="Calibri"/>
          <w:sz w:val="24"/>
          <w:szCs w:val="24"/>
          <w:rtl w:val="0"/>
          <w:lang w:val="en-US"/>
        </w:rPr>
        <w:t>s mainstreaming, sustainability</w:t>
      </w:r>
      <w:r>
        <w:rPr>
          <w:rFonts w:ascii="Calibri" w:hAnsi="Calibri" w:hint="default"/>
          <w:sz w:val="24"/>
          <w:szCs w:val="24"/>
          <w:rtl w:val="1"/>
        </w:rPr>
        <w:t>’</w:t>
      </w:r>
      <w:r>
        <w:rPr>
          <w:rFonts w:ascii="Calibri" w:hAnsi="Calibri"/>
          <w:sz w:val="24"/>
          <w:szCs w:val="24"/>
          <w:rtl w:val="0"/>
          <w:lang w:val="en-US"/>
        </w:rPr>
        <w:t>s centrality, and analytics-led optimisation</w:t>
      </w:r>
      <w:r>
        <w:rPr>
          <w:rFonts w:ascii="Calibri" w:hAnsi="Calibri" w:hint="default"/>
          <w:sz w:val="24"/>
          <w:szCs w:val="24"/>
          <w:rtl w:val="0"/>
          <w:lang w:val="en-US"/>
        </w:rPr>
        <w:t>—</w:t>
      </w:r>
      <w:r>
        <w:rPr>
          <w:rFonts w:ascii="Calibri" w:hAnsi="Calibri"/>
          <w:sz w:val="24"/>
          <w:szCs w:val="24"/>
          <w:rtl w:val="0"/>
          <w:lang w:val="en-US"/>
        </w:rPr>
        <w:t>are mutually reinforcing and likely to intensify. Influencer marketing has evolved from a novel strategy to a core component of integrated marketing plans, especially within the hospitality sector, where personal recommendations and authentic experiences hold significant sway. The increasing focus on sustainability reflects growing consumer demand for eco-friendly practices, prompting brands to not only adopt greener operations but also to communicate these efforts effectively. Analytics-led optimisation enables continuous refinement of marketing strategies, ensuring that campaigns remain relevant, efficient, and impactful in a rapidly changing landscape.</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Benchmarking against Marriott International illustrated how these practices scale, as well as the operational and ethical diligence required at the enterprise level. Marriott</w:t>
      </w:r>
      <w:r>
        <w:rPr>
          <w:rFonts w:ascii="Calibri" w:hAnsi="Calibri" w:hint="default"/>
          <w:sz w:val="24"/>
          <w:szCs w:val="24"/>
          <w:rtl w:val="1"/>
        </w:rPr>
        <w:t>’</w:t>
      </w:r>
      <w:r>
        <w:rPr>
          <w:rFonts w:ascii="Calibri" w:hAnsi="Calibri"/>
          <w:sz w:val="24"/>
          <w:szCs w:val="24"/>
          <w:rtl w:val="0"/>
          <w:lang w:val="en-US"/>
        </w:rPr>
        <w:t>s approach underscores the necessity of robust governance structures, ethical influencer collaborations, and comprehensive data analytics to maintain brand integrity and operational excellence. This comparison provided valuable insights into best practices that can be adapted by smaller operators to enhance their marketing effectiveness.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For operators of all sizes, the path forward is clear: integrate authentic storytelling with responsible practices and rigorous measurement to create value for guests, communities, and the business. By doing so, hospitality brands can foster meaningful connections, drive long-term loyalty, and contribute positively to the broader social and environmental context in which they operate.</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7.0 Recommendations</w:t>
      </w: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fr-FR"/>
        </w:rPr>
        <w:t>Small Boutique Hotels</w:t>
      </w:r>
    </w:p>
    <w:p>
      <w:pPr>
        <w:pStyle w:val="Body"/>
        <w:spacing w:line="480" w:lineRule="auto"/>
        <w:rPr>
          <w:rFonts w:ascii="Calibri" w:cs="Calibri" w:hAnsi="Calibri" w:eastAsia="Calibri"/>
          <w:b w:val="0"/>
          <w:bCs w:val="0"/>
          <w:sz w:val="24"/>
          <w:szCs w:val="24"/>
        </w:rPr>
      </w:pPr>
      <w:r>
        <w:rPr>
          <w:rFonts w:ascii="Calibri" w:hAnsi="Calibri"/>
          <w:b w:val="1"/>
          <w:bCs w:val="1"/>
          <w:sz w:val="24"/>
          <w:szCs w:val="24"/>
          <w:rtl w:val="0"/>
          <w:lang w:val="fr-FR"/>
        </w:rPr>
        <w:t>Micro-Influencers</w:t>
      </w:r>
    </w:p>
    <w:p>
      <w:pPr>
        <w:pStyle w:val="Body"/>
        <w:numPr>
          <w:ilvl w:val="0"/>
          <w:numId w:val="2"/>
        </w:numPr>
        <w:suppressAutoHyphens w:val="1"/>
        <w:spacing w:line="480" w:lineRule="auto"/>
        <w:rPr>
          <w:rFonts w:ascii="Calibri" w:hAnsi="Calibri"/>
          <w:sz w:val="24"/>
          <w:szCs w:val="24"/>
          <w:lang w:val="fr-FR"/>
        </w:rPr>
      </w:pPr>
      <w:r>
        <w:rPr>
          <w:rFonts w:ascii="Calibri" w:hAnsi="Calibri"/>
          <w:sz w:val="24"/>
          <w:szCs w:val="24"/>
          <w:rtl w:val="0"/>
          <w:lang w:val="fr-FR"/>
        </w:rPr>
        <w:t>Prioritise micro-influencers (5k</w:t>
      </w:r>
      <w:r>
        <w:rPr>
          <w:rFonts w:ascii="Calibri" w:hAnsi="Calibri" w:hint="default"/>
          <w:sz w:val="24"/>
          <w:szCs w:val="24"/>
          <w:rtl w:val="0"/>
        </w:rPr>
        <w:t>–</w:t>
      </w:r>
      <w:r>
        <w:rPr>
          <w:rFonts w:ascii="Calibri" w:hAnsi="Calibri"/>
          <w:sz w:val="24"/>
          <w:szCs w:val="24"/>
          <w:rtl w:val="0"/>
          <w:lang w:val="en-US"/>
        </w:rPr>
        <w:t>50k followers) with a demonstrated audience fit and authentic engagement. Use a structured brief and mandate disclosure to build trust and ensure compliance (Brown and Hayes, 2018; Lou and Yuan, 2019). This approach not only enhances credibility but also fosters a genuine connection between the influencer and their audience, which is crucial for effective brand promotion.</w:t>
      </w:r>
    </w:p>
    <w:p>
      <w:pPr>
        <w:pStyle w:val="Body"/>
        <w:numPr>
          <w:ilvl w:val="0"/>
          <w:numId w:val="2"/>
        </w:numPr>
        <w:suppressAutoHyphens w:val="1"/>
        <w:spacing w:line="480" w:lineRule="auto"/>
        <w:rPr>
          <w:rFonts w:ascii="Calibri" w:hAnsi="Calibri"/>
          <w:sz w:val="24"/>
          <w:szCs w:val="24"/>
          <w:lang w:val="en-US"/>
        </w:rPr>
      </w:pPr>
      <w:r>
        <w:rPr>
          <w:rFonts w:ascii="Calibri" w:hAnsi="Calibri"/>
          <w:sz w:val="24"/>
          <w:szCs w:val="24"/>
          <w:rtl w:val="0"/>
          <w:lang w:val="en-US"/>
        </w:rPr>
        <w:t>Anchor content in distinctive truths: local partnerships, design craft, and staff personalities. Specifics outperform abstractions and make your brand memorable (Ashley and Tuten, 2015). By highlighting unique aspects of your brand, you create a narrative that resonates with your audience, making your brand stand out in a crowded market.</w:t>
      </w:r>
    </w:p>
    <w:p>
      <w:pPr>
        <w:pStyle w:val="Body"/>
        <w:numPr>
          <w:ilvl w:val="0"/>
          <w:numId w:val="2"/>
        </w:numPr>
        <w:suppressAutoHyphens w:val="1"/>
        <w:spacing w:line="480" w:lineRule="auto"/>
        <w:rPr>
          <w:rFonts w:ascii="Calibri" w:hAnsi="Calibri"/>
          <w:sz w:val="24"/>
          <w:szCs w:val="24"/>
          <w:lang w:val="en-US"/>
        </w:rPr>
      </w:pPr>
      <w:r>
        <w:rPr>
          <w:rFonts w:ascii="Calibri" w:hAnsi="Calibri"/>
          <w:sz w:val="24"/>
          <w:szCs w:val="24"/>
          <w:rtl w:val="0"/>
          <w:lang w:val="en-US"/>
        </w:rPr>
        <w:t>Implement a lightweight analytics routine: track reach, engagement, referral quality, and enquiries using native dashboards and UTM parameters. Review this data weekly to inform quick, effective iterations (Kaplan and Haenlein, 2010). This regular analysis allows for agile adjustments to strategies, ensuring that your marketing efforts remain aligned with your goals and audience preferences.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0"/>
          <w:bCs w:val="0"/>
          <w:sz w:val="24"/>
          <w:szCs w:val="24"/>
        </w:rPr>
      </w:pPr>
      <w:r>
        <w:rPr>
          <w:rFonts w:ascii="Calibri" w:hAnsi="Calibri"/>
          <w:b w:val="1"/>
          <w:bCs w:val="1"/>
          <w:sz w:val="24"/>
          <w:szCs w:val="24"/>
          <w:rtl w:val="0"/>
          <w:lang w:val="en-US"/>
        </w:rPr>
        <w:t>Mid-Sized Hotels</w:t>
      </w:r>
    </w:p>
    <w:p>
      <w:pPr>
        <w:pStyle w:val="Body"/>
        <w:numPr>
          <w:ilvl w:val="0"/>
          <w:numId w:val="2"/>
        </w:numPr>
        <w:suppressAutoHyphens w:val="1"/>
        <w:spacing w:line="480" w:lineRule="auto"/>
        <w:rPr>
          <w:rFonts w:ascii="Calibri" w:hAnsi="Calibri"/>
          <w:sz w:val="24"/>
          <w:szCs w:val="24"/>
          <w:lang w:val="en-US"/>
        </w:rPr>
      </w:pPr>
      <w:r>
        <w:rPr>
          <w:rFonts w:ascii="Calibri" w:hAnsi="Calibri"/>
          <w:sz w:val="24"/>
          <w:szCs w:val="24"/>
          <w:rtl w:val="0"/>
          <w:lang w:val="en-US"/>
        </w:rPr>
        <w:t>Combine influencer activity with targeted paid amplification to reach high-value segments without eroding authenticity. This approach allows for scalability while retaining the credibility of creator content. By strategically amplifying influencer posts, you can expand your reach without compromising the genuine voice that influencers bring to your brand.</w:t>
      </w:r>
    </w:p>
    <w:p>
      <w:pPr>
        <w:pStyle w:val="Body"/>
        <w:numPr>
          <w:ilvl w:val="0"/>
          <w:numId w:val="2"/>
        </w:numPr>
        <w:suppressAutoHyphens w:val="1"/>
        <w:spacing w:line="480" w:lineRule="auto"/>
        <w:rPr>
          <w:rFonts w:ascii="Calibri" w:hAnsi="Calibri"/>
          <w:sz w:val="24"/>
          <w:szCs w:val="24"/>
          <w:lang w:val="en-US"/>
        </w:rPr>
      </w:pPr>
      <w:r>
        <w:rPr>
          <w:rFonts w:ascii="Calibri" w:hAnsi="Calibri"/>
          <w:sz w:val="24"/>
          <w:szCs w:val="24"/>
          <w:rtl w:val="0"/>
          <w:lang w:val="en-US"/>
        </w:rPr>
        <w:t>Deploy social listening to identify traveller questions and emerging topics; feed these insights directly into your content calendars to stay relevant (Mariani and Borghi, 2021). This proactive approach ensures that your content remains timely and addresses the needs and interests of your audience, enhancing engagement and loyalty.</w:t>
      </w:r>
    </w:p>
    <w:p>
      <w:pPr>
        <w:pStyle w:val="Body"/>
        <w:numPr>
          <w:ilvl w:val="0"/>
          <w:numId w:val="2"/>
        </w:numPr>
        <w:suppressAutoHyphens w:val="1"/>
        <w:spacing w:line="480" w:lineRule="auto"/>
        <w:rPr>
          <w:rFonts w:ascii="Calibri" w:hAnsi="Calibri"/>
          <w:sz w:val="24"/>
          <w:szCs w:val="24"/>
          <w:lang w:val="en-US"/>
        </w:rPr>
      </w:pPr>
      <w:r>
        <w:rPr>
          <w:rFonts w:ascii="Calibri" w:hAnsi="Calibri"/>
          <w:sz w:val="24"/>
          <w:szCs w:val="24"/>
          <w:rtl w:val="0"/>
          <w:lang w:val="en-US"/>
        </w:rPr>
        <w:t>Build staff capability in short-form video storytelling and basic data interpretation; create shared playbooks to ensure consistency across teams (Fahy and Jobber, 2019). Empowering your staff with these skills not only improves content quality but also fosters a culture of innovation and collaboration within your organisation.</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0"/>
          <w:bCs w:val="0"/>
          <w:sz w:val="24"/>
          <w:szCs w:val="24"/>
        </w:rPr>
      </w:pPr>
      <w:r>
        <w:rPr>
          <w:rFonts w:ascii="Calibri" w:hAnsi="Calibri"/>
          <w:b w:val="1"/>
          <w:bCs w:val="1"/>
          <w:sz w:val="24"/>
          <w:szCs w:val="24"/>
          <w:rtl w:val="0"/>
          <w:lang w:val="fr-FR"/>
        </w:rPr>
        <w:t>Large Chains</w:t>
      </w:r>
    </w:p>
    <w:p>
      <w:pPr>
        <w:pStyle w:val="Body"/>
        <w:numPr>
          <w:ilvl w:val="0"/>
          <w:numId w:val="2"/>
        </w:numPr>
        <w:suppressAutoHyphens w:val="1"/>
        <w:spacing w:line="480" w:lineRule="auto"/>
        <w:rPr>
          <w:rFonts w:ascii="Calibri" w:hAnsi="Calibri"/>
          <w:sz w:val="24"/>
          <w:szCs w:val="24"/>
          <w:lang w:val="en-US"/>
        </w:rPr>
      </w:pPr>
      <w:r>
        <w:rPr>
          <w:rFonts w:ascii="Calibri" w:hAnsi="Calibri"/>
          <w:sz w:val="24"/>
          <w:szCs w:val="24"/>
          <w:rtl w:val="0"/>
          <w:lang w:val="en-US"/>
        </w:rPr>
        <w:t>Orchestrate multi-market creator programmes with local autonomy for cultural nuance, while maintaining brand governance at a central level (Lee and Gretzel, 2019; Brown and Hayes, 2018). This balanced approach allows for tailored content that resonates with diverse audiences while upholding the core values of your brand.</w:t>
      </w:r>
    </w:p>
    <w:p>
      <w:pPr>
        <w:pStyle w:val="Body"/>
        <w:numPr>
          <w:ilvl w:val="0"/>
          <w:numId w:val="2"/>
        </w:numPr>
        <w:suppressAutoHyphens w:val="1"/>
        <w:spacing w:line="480" w:lineRule="auto"/>
        <w:rPr>
          <w:rFonts w:ascii="Calibri" w:hAnsi="Calibri"/>
          <w:sz w:val="24"/>
          <w:szCs w:val="24"/>
          <w:lang w:val="en-US"/>
        </w:rPr>
      </w:pPr>
      <w:r>
        <w:rPr>
          <w:rFonts w:ascii="Calibri" w:hAnsi="Calibri"/>
          <w:sz w:val="24"/>
          <w:szCs w:val="24"/>
          <w:rtl w:val="0"/>
          <w:lang w:val="en-US"/>
        </w:rPr>
        <w:t xml:space="preserve">Invest in AI-assisted personalisation and campaign automation, but ensure privacy-by-design and a transparent value exchange with customers to build long-term trust (Davenport et al., 2020; Dwivedi et al., 2021). </w:t>
      </w:r>
      <w:r>
        <w:rPr>
          <w:rFonts w:ascii="Calibri" w:hAnsi="Calibri"/>
          <w:sz w:val="24"/>
          <w:szCs w:val="24"/>
          <w:rtl w:val="0"/>
          <w:lang w:val="en-US"/>
        </w:rPr>
        <w:t xml:space="preserve">Using </w:t>
      </w:r>
      <w:r>
        <w:rPr>
          <w:rFonts w:ascii="Calibri" w:hAnsi="Calibri"/>
          <w:sz w:val="24"/>
          <w:szCs w:val="24"/>
          <w:rtl w:val="0"/>
          <w:lang w:val="en-US"/>
        </w:rPr>
        <w:t>AI can enhance customer experiences, but it is essential to prioritise data privacy and transparency to maintain trust and loyalty.</w:t>
      </w:r>
    </w:p>
    <w:p>
      <w:pPr>
        <w:pStyle w:val="Body"/>
        <w:numPr>
          <w:ilvl w:val="0"/>
          <w:numId w:val="2"/>
        </w:numPr>
        <w:suppressAutoHyphens w:val="1"/>
        <w:spacing w:line="480" w:lineRule="auto"/>
        <w:rPr>
          <w:rFonts w:ascii="Calibri" w:hAnsi="Calibri"/>
          <w:sz w:val="24"/>
          <w:szCs w:val="24"/>
          <w:lang w:val="en-US"/>
        </w:rPr>
      </w:pPr>
      <w:r>
        <w:rPr>
          <w:rFonts w:ascii="Calibri" w:hAnsi="Calibri"/>
          <w:sz w:val="24"/>
          <w:szCs w:val="24"/>
          <w:rtl w:val="0"/>
          <w:lang w:val="en-US"/>
        </w:rPr>
        <w:t>Integrate CSR into operations first, then communicate with evidence (metrics, certifications, case stories) to avoid the risk of greenwashing and build genuine brand equity (Crane et al., 2019). Demonstrating a commitment to social responsibility through tangible actions and transparent communication strengthens your brand</w:t>
      </w:r>
      <w:r>
        <w:rPr>
          <w:rFonts w:ascii="Calibri" w:hAnsi="Calibri" w:hint="default"/>
          <w:sz w:val="24"/>
          <w:szCs w:val="24"/>
          <w:rtl w:val="1"/>
        </w:rPr>
        <w:t>’</w:t>
      </w:r>
      <w:r>
        <w:rPr>
          <w:rFonts w:ascii="Calibri" w:hAnsi="Calibri"/>
          <w:sz w:val="24"/>
          <w:szCs w:val="24"/>
          <w:rtl w:val="0"/>
          <w:lang w:val="en-US"/>
        </w:rPr>
        <w:t>s reputation and fosters trust with consumers.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 xml:space="preserve">Appendices </w:t>
      </w: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Appendix A: Campaign Content Calendar</w:t>
      </w:r>
    </w:p>
    <w:p>
      <w:pPr>
        <w:pStyle w:val="Body"/>
        <w:spacing w:line="480" w:lineRule="auto"/>
        <w:rPr>
          <w:rFonts w:ascii="Calibri" w:cs="Calibri" w:hAnsi="Calibri" w:eastAsia="Calibri"/>
          <w:sz w:val="24"/>
          <w:szCs w:val="24"/>
        </w:rPr>
      </w:pPr>
    </w:p>
    <w:tbl>
      <w:tblPr>
        <w:tblW w:w="12000" w:type="dxa"/>
        <w:jc w:val="center"/>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000"/>
        <w:gridCol w:w="2000"/>
        <w:gridCol w:w="2000"/>
        <w:gridCol w:w="2000"/>
        <w:gridCol w:w="2000"/>
        <w:gridCol w:w="2000"/>
      </w:tblGrid>
      <w:tr>
        <w:tblPrEx>
          <w:shd w:val="clear" w:color="auto" w:fill="auto"/>
        </w:tblPrEx>
        <w:trPr>
          <w:trHeight w:val="360" w:hRule="atLeast"/>
        </w:trPr>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b w:val="1"/>
                <w:bCs w:val="1"/>
              </w:rPr>
              <w:t>Week</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b w:val="1"/>
                <w:bCs w:val="1"/>
              </w:rPr>
              <w:t>Date</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b w:val="1"/>
                <w:bCs w:val="1"/>
              </w:rPr>
              <w:t>Platform</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b w:val="1"/>
                <w:bCs w:val="1"/>
              </w:rPr>
              <w:t>Content Type</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b w:val="1"/>
                <w:bCs w:val="1"/>
              </w:rPr>
              <w:t>Theme</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b w:val="1"/>
                <w:bCs w:val="1"/>
              </w:rPr>
              <w:t>Key Messages</w:t>
            </w:r>
          </w:p>
        </w:tc>
      </w:tr>
      <w:tr>
        <w:tblPrEx>
          <w:shd w:val="clear" w:color="auto" w:fill="auto"/>
        </w:tblPrEx>
        <w:trPr>
          <w:trHeight w:val="4294967256" w:hRule="atLeast"/>
        </w:trPr>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Week 1</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Mon 16 Sept</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Instagram</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Reel</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Welcome/Design</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First impressions, aesthetic, personalised service</w:t>
            </w:r>
          </w:p>
        </w:tc>
      </w:tr>
      <w:tr>
        <w:tblPrEx>
          <w:shd w:val="clear" w:color="auto" w:fill="auto"/>
        </w:tblPrEx>
        <w:trPr>
          <w:trHeight w:val="4294967256" w:hRule="atLeast"/>
        </w:trPr>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Wed 18 Sept</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Instagram</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Stories</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Q&amp;A/Behind the scenes</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Ask me anything, staff stories</w:t>
            </w:r>
          </w:p>
        </w:tc>
      </w:tr>
      <w:tr>
        <w:tblPrEx>
          <w:shd w:val="clear" w:color="auto" w:fill="auto"/>
        </w:tblPrEx>
        <w:trPr>
          <w:trHeight w:val="4294967256" w:hRule="atLeast"/>
        </w:trPr>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Fri 20 Sept</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TikTok</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Video</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Ambience</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Boutique details, quiet corners, unique spaces</w:t>
            </w:r>
          </w:p>
        </w:tc>
      </w:tr>
      <w:tr>
        <w:tblPrEx>
          <w:shd w:val="clear" w:color="auto" w:fill="auto"/>
        </w:tblPrEx>
        <w:trPr>
          <w:trHeight w:val="4294967256" w:hRule="atLeast"/>
        </w:trPr>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Week 2</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Mon 23 Sept</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Instagram</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Post</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Sustainability</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Eco-amenities, recycling, tangible CSR</w:t>
            </w:r>
          </w:p>
        </w:tc>
      </w:tr>
      <w:tr>
        <w:tblPrEx>
          <w:shd w:val="clear" w:color="auto" w:fill="auto"/>
        </w:tblPrEx>
        <w:trPr>
          <w:trHeight w:val="4294967256" w:hRule="atLeast"/>
        </w:trPr>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Wed 25 Sept</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Instagram</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Stories</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Poll/Quiz</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hint="default"/>
              </w:rPr>
              <w:t>“</w:t>
            </w:r>
            <w:r>
              <w:rPr>
                <w:rFonts w:ascii="Helvetica Neue" w:hAnsi="Helvetica Neue"/>
              </w:rPr>
              <w:t>Do you know where the best coffee is?</w:t>
            </w:r>
            <w:r>
              <w:rPr>
                <w:rFonts w:ascii="Helvetica Neue" w:hAnsi="Helvetica Neue" w:hint="default"/>
              </w:rPr>
              <w:t>”</w:t>
            </w:r>
          </w:p>
        </w:tc>
      </w:tr>
      <w:tr>
        <w:tblPrEx>
          <w:shd w:val="clear" w:color="auto" w:fill="auto"/>
        </w:tblPrEx>
        <w:trPr>
          <w:trHeight w:val="4294967256" w:hRule="atLeast"/>
        </w:trPr>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Fri 27 Sept</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TikTok</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Video</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Local Immersion</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Neighbourhood guide, local cafes, shops</w:t>
            </w:r>
          </w:p>
        </w:tc>
      </w:tr>
    </w:tbl>
    <w:p>
      <w:pPr>
        <w:pStyle w:val="Free Form"/>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line="480" w:lineRule="auto"/>
        <w:jc w:val="center"/>
        <w:rPr>
          <w:rFonts w:ascii="Calibri" w:cs="Calibri" w:hAnsi="Calibri" w:eastAsia="Calibri"/>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fr-FR"/>
        </w:rPr>
        <w:t>Appendix B: Sample Influencer Brief</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fr-FR"/>
        </w:rPr>
        <w:t>Objectives:</w:t>
      </w: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 Increase brand awareness among urban, eco-conscious travellers (aged 25</w:t>
      </w:r>
      <w:r>
        <w:rPr>
          <w:rFonts w:ascii="Calibri" w:hAnsi="Calibri" w:hint="default"/>
          <w:sz w:val="24"/>
          <w:szCs w:val="24"/>
          <w:rtl w:val="0"/>
        </w:rPr>
        <w:t>–</w:t>
      </w:r>
      <w:r>
        <w:rPr>
          <w:rFonts w:ascii="Calibri" w:hAnsi="Calibri"/>
          <w:sz w:val="24"/>
          <w:szCs w:val="24"/>
          <w:rtl w:val="0"/>
        </w:rPr>
        <w:t>35).</w:t>
      </w: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 Drive qualified traffic to the Hotel Nicole website.</w:t>
      </w:r>
    </w:p>
    <w:p>
      <w:pPr>
        <w:pStyle w:val="Body"/>
        <w:spacing w:line="480" w:lineRule="auto"/>
        <w:rPr>
          <w:rFonts w:ascii="Calibri" w:cs="Calibri" w:hAnsi="Calibri" w:eastAsia="Calibri"/>
          <w:sz w:val="24"/>
          <w:szCs w:val="24"/>
        </w:rPr>
      </w:pPr>
      <w:r>
        <w:rPr>
          <w:rFonts w:ascii="Calibri" w:hAnsi="Calibri"/>
          <w:sz w:val="24"/>
          <w:szCs w:val="24"/>
          <w:rtl w:val="0"/>
          <w:lang w:val="pt-PT"/>
        </w:rPr>
        <w:t xml:space="preserve"> Generate booking enquiries via a unique form link.</w:t>
      </w:r>
    </w:p>
    <w:p>
      <w:pPr>
        <w:pStyle w:val="Body"/>
        <w:spacing w:line="480" w:lineRule="auto"/>
        <w:rPr>
          <w:rFonts w:ascii="Calibri" w:cs="Calibri" w:hAnsi="Calibri" w:eastAsia="Calibri"/>
          <w:sz w:val="24"/>
          <w:szCs w:val="24"/>
        </w:rPr>
      </w:pPr>
      <w:r>
        <w:rPr>
          <w:rFonts w:ascii="Calibri" w:hAnsi="Calibri"/>
          <w:sz w:val="24"/>
          <w:szCs w:val="24"/>
          <w:rtl w:val="0"/>
          <w:lang w:val="en-US"/>
        </w:rPr>
        <w:t>Key Messages:</w:t>
      </w: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 Personalised service and guest experience.</w:t>
      </w: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 Authentic immersion in local culture.</w:t>
      </w: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 Tangible sustainability practices in action.</w:t>
      </w:r>
    </w:p>
    <w:p>
      <w:pPr>
        <w:pStyle w:val="Body"/>
        <w:spacing w:line="480" w:lineRule="auto"/>
        <w:rPr>
          <w:rFonts w:ascii="Calibri" w:cs="Calibri" w:hAnsi="Calibri" w:eastAsia="Calibri"/>
          <w:sz w:val="24"/>
          <w:szCs w:val="24"/>
        </w:rPr>
      </w:pPr>
      <w:r>
        <w:rPr>
          <w:rFonts w:ascii="Calibri" w:hAnsi="Calibri"/>
          <w:sz w:val="24"/>
          <w:szCs w:val="24"/>
          <w:rtl w:val="0"/>
          <w:lang w:val="en-US"/>
        </w:rPr>
        <w:t>Deliverables:</w:t>
      </w: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 6 Instagram assets (3 posts/carousels + 3 Reels).</w:t>
      </w:r>
    </w:p>
    <w:p>
      <w:pPr>
        <w:pStyle w:val="Body"/>
        <w:spacing w:line="480" w:lineRule="auto"/>
        <w:rPr>
          <w:rFonts w:ascii="Calibri" w:cs="Calibri" w:hAnsi="Calibri" w:eastAsia="Calibri"/>
          <w:sz w:val="24"/>
          <w:szCs w:val="24"/>
        </w:rPr>
      </w:pPr>
      <w:r>
        <w:rPr>
          <w:rFonts w:ascii="Calibri" w:hAnsi="Calibri"/>
          <w:sz w:val="24"/>
          <w:szCs w:val="24"/>
          <w:rtl w:val="0"/>
        </w:rPr>
        <w:t xml:space="preserve"> 4 TikTok videos.</w:t>
      </w:r>
    </w:p>
    <w:p>
      <w:pPr>
        <w:pStyle w:val="Body"/>
        <w:spacing w:line="480" w:lineRule="auto"/>
        <w:rPr>
          <w:rFonts w:ascii="Calibri" w:cs="Calibri" w:hAnsi="Calibri" w:eastAsia="Calibri"/>
          <w:sz w:val="24"/>
          <w:szCs w:val="24"/>
        </w:rPr>
      </w:pPr>
      <w:r>
        <w:rPr>
          <w:rFonts w:ascii="Calibri" w:hAnsi="Calibri"/>
          <w:sz w:val="24"/>
          <w:szCs w:val="24"/>
          <w:rtl w:val="0"/>
        </w:rPr>
        <w:t xml:space="preserve"> 12</w:t>
      </w:r>
      <w:r>
        <w:rPr>
          <w:rFonts w:ascii="Calibri" w:hAnsi="Calibri" w:hint="default"/>
          <w:sz w:val="24"/>
          <w:szCs w:val="24"/>
          <w:rtl w:val="0"/>
        </w:rPr>
        <w:t>–</w:t>
      </w:r>
      <w:r>
        <w:rPr>
          <w:rFonts w:ascii="Calibri" w:hAnsi="Calibri"/>
          <w:sz w:val="24"/>
          <w:szCs w:val="24"/>
          <w:rtl w:val="0"/>
          <w:lang w:val="en-US"/>
        </w:rPr>
        <w:t>18 Instagram Stories (including Q&amp;A and polls).</w:t>
      </w:r>
    </w:p>
    <w:p>
      <w:pPr>
        <w:pStyle w:val="Body"/>
        <w:spacing w:line="480" w:lineRule="auto"/>
        <w:rPr>
          <w:rFonts w:ascii="Calibri" w:cs="Calibri" w:hAnsi="Calibri" w:eastAsia="Calibri"/>
          <w:sz w:val="24"/>
          <w:szCs w:val="24"/>
        </w:rPr>
      </w:pPr>
      <w:r>
        <w:rPr>
          <w:rFonts w:ascii="Calibri" w:hAnsi="Calibri"/>
          <w:sz w:val="24"/>
          <w:szCs w:val="24"/>
          <w:rtl w:val="0"/>
          <w:lang w:val="en-US"/>
        </w:rPr>
        <w:t>Creative Guidance:</w:t>
      </w: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 Tone: Warm, authentic, and inclusive.</w:t>
      </w: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 Visuals: High-quality, natural light, avoid heavy filters or over-retouching. Show real moments and details.</w:t>
      </w: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 Narrative: Focus on a genuine experience, highlighting the three pillars in an unscripted, human way.</w:t>
      </w:r>
    </w:p>
    <w:p>
      <w:pPr>
        <w:pStyle w:val="Body"/>
        <w:spacing w:line="480" w:lineRule="auto"/>
        <w:rPr>
          <w:rFonts w:ascii="Calibri" w:cs="Calibri" w:hAnsi="Calibri" w:eastAsia="Calibri"/>
          <w:sz w:val="24"/>
          <w:szCs w:val="24"/>
        </w:rPr>
      </w:pPr>
      <w:r>
        <w:rPr>
          <w:rFonts w:ascii="Calibri" w:hAnsi="Calibri"/>
          <w:sz w:val="24"/>
          <w:szCs w:val="24"/>
          <w:rtl w:val="0"/>
          <w:lang w:val="it-IT"/>
        </w:rPr>
        <w:t>Compliance:</w:t>
      </w: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 All sponsored content must include clear disclosure, e.g., #ad and #invite.</w:t>
      </w: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 Respect guest privacy; obtain explicit consent before featuring any identifiable individuals.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Appendix C: Metrics Tracking Template</w:t>
      </w:r>
    </w:p>
    <w:p>
      <w:pPr>
        <w:pStyle w:val="Body"/>
        <w:spacing w:line="480" w:lineRule="auto"/>
        <w:rPr>
          <w:rFonts w:ascii="Calibri" w:cs="Calibri" w:hAnsi="Calibri" w:eastAsia="Calibri"/>
          <w:sz w:val="24"/>
          <w:szCs w:val="24"/>
        </w:rPr>
      </w:pPr>
    </w:p>
    <w:tbl>
      <w:tblPr>
        <w:tblW w:w="18000" w:type="dxa"/>
        <w:jc w:val="center"/>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000"/>
        <w:gridCol w:w="2000"/>
        <w:gridCol w:w="2000"/>
        <w:gridCol w:w="2000"/>
        <w:gridCol w:w="2000"/>
        <w:gridCol w:w="2000"/>
        <w:gridCol w:w="2000"/>
        <w:gridCol w:w="2000"/>
        <w:gridCol w:w="2000"/>
      </w:tblGrid>
      <w:tr>
        <w:tblPrEx>
          <w:shd w:val="clear" w:color="auto" w:fill="auto"/>
        </w:tblPrEx>
        <w:trPr>
          <w:trHeight w:val="521" w:hRule="atLeast"/>
        </w:trPr>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b w:val="1"/>
                <w:bCs w:val="1"/>
              </w:rPr>
              <w:t>Metric</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b w:val="1"/>
                <w:bCs w:val="1"/>
              </w:rPr>
              <w:t>Pre-Campaign Baseline</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b w:val="1"/>
                <w:bCs w:val="1"/>
              </w:rPr>
              <w:t>Week 1</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b w:val="1"/>
                <w:bCs w:val="1"/>
              </w:rPr>
              <w:t>Week 2</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b w:val="1"/>
                <w:bCs w:val="1"/>
              </w:rPr>
              <w:t>Week 3</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b w:val="1"/>
                <w:bCs w:val="1"/>
              </w:rPr>
              <w:t>Week 4</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b w:val="1"/>
                <w:bCs w:val="1"/>
              </w:rPr>
              <w:t>Week 5</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b w:val="1"/>
                <w:bCs w:val="1"/>
              </w:rPr>
              <w:t>Week 6</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b w:val="1"/>
                <w:bCs w:val="1"/>
              </w:rPr>
              <w:t>Final Result</w:t>
            </w:r>
          </w:p>
        </w:tc>
      </w:tr>
      <w:tr>
        <w:tblPrEx>
          <w:shd w:val="clear" w:color="auto" w:fill="auto"/>
        </w:tblPrEx>
        <w:trPr>
          <w:trHeight w:val="481" w:hRule="atLeast"/>
        </w:trPr>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Reach</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1,200/post</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2,500</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3,100</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4,200</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4,500</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4,800</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5,500</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18,500 (Cumulative)</w:t>
            </w:r>
          </w:p>
        </w:tc>
      </w:tr>
      <w:tr>
        <w:tblPrEx>
          <w:shd w:val="clear" w:color="auto" w:fill="auto"/>
        </w:tblPrEx>
        <w:trPr>
          <w:trHeight w:val="360" w:hRule="atLeast"/>
        </w:trPr>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Engagement Rate</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3.5%</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4.8%</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5.1%</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5.3%</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5.5%</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5.6%</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5.8%</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5.3% (Average)</w:t>
            </w:r>
          </w:p>
        </w:tc>
      </w:tr>
      <w:tr>
        <w:tblPrEx>
          <w:shd w:val="clear" w:color="auto" w:fill="auto"/>
        </w:tblPrEx>
        <w:trPr>
          <w:trHeight w:val="360" w:hRule="atLeast"/>
        </w:trPr>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Website Referrals</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50/week</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65</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70</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80</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90</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95</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110</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+12% Uplift</w:t>
            </w:r>
          </w:p>
        </w:tc>
      </w:tr>
      <w:tr>
        <w:tblPrEx>
          <w:shd w:val="clear" w:color="auto" w:fill="auto"/>
        </w:tblPrEx>
        <w:trPr>
          <w:trHeight w:val="360" w:hRule="atLeast"/>
        </w:trPr>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Tracked Enquiries</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0</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3</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5</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6</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7</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4</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keepNext w:val="0"/>
              <w:keepLines w:val="0"/>
              <w:pageBreakBefore w:val="0"/>
              <w:widowControl w:val="1"/>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t>3</w:t>
            </w:r>
          </w:p>
        </w:tc>
        <w:tc>
          <w:tcPr>
            <w:tcW w:type="dxa" w:w="20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100"/>
              <w:bottom w:type="dxa" w:w="20"/>
              <w:right w:type="dxa" w:w="100"/>
            </w:tcMar>
            <w:vAlign w:val="center"/>
          </w:tcPr>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1"/>
              <w:jc w:val="center"/>
            </w:pPr>
            <w:r>
              <w:rPr>
                <w:rFonts w:ascii="Helvetica Neue" w:hAnsi="Helvetica Neue"/>
              </w:rPr>
              <w:t>28 (Total)</w:t>
            </w:r>
          </w:p>
        </w:tc>
      </w:tr>
    </w:tbl>
    <w:p>
      <w:pPr>
        <w:pStyle w:val="Free Form.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line="480" w:lineRule="auto"/>
        <w:jc w:val="center"/>
        <w:rPr>
          <w:rFonts w:ascii="Calibri" w:cs="Calibri" w:hAnsi="Calibri" w:eastAsia="Calibri"/>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en-US"/>
        </w:rPr>
        <w:t>Appendix D: Sample Social Media Post Copy</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Instagram Caption (Post):</w:t>
      </w:r>
    </w:p>
    <w:p>
      <w:pPr>
        <w:pStyle w:val="Body"/>
        <w:spacing w:line="480" w:lineRule="auto"/>
        <w:rPr>
          <w:rFonts w:ascii="Calibri" w:cs="Calibri" w:hAnsi="Calibri" w:eastAsia="Calibri"/>
          <w:sz w:val="24"/>
          <w:szCs w:val="24"/>
        </w:rPr>
      </w:pPr>
      <w:r>
        <w:rPr>
          <w:rFonts w:ascii="Calibri" w:hAnsi="Calibri" w:hint="default"/>
          <w:sz w:val="24"/>
          <w:szCs w:val="24"/>
          <w:rtl w:val="1"/>
        </w:rPr>
        <w:t>‘</w:t>
      </w:r>
      <w:r>
        <w:rPr>
          <w:rFonts w:ascii="Calibri" w:hAnsi="Calibri"/>
          <w:sz w:val="24"/>
          <w:szCs w:val="24"/>
          <w:rtl w:val="0"/>
          <w:lang w:val="en-US"/>
        </w:rPr>
        <w:t>Boutique details, sustainable comfort. Wake up to locally roasted coffee and a zero-waste breakfast at Hotel Nicole. Book direct via the link in our bio for exclusive perks. #ad #HotelNicole #EcoTravel #StayLocal</w:t>
      </w:r>
      <w:r>
        <w:rPr>
          <w:rFonts w:ascii="Calibri" w:hAnsi="Calibri" w:hint="default"/>
          <w:sz w:val="24"/>
          <w:szCs w:val="24"/>
          <w:rtl w:val="1"/>
        </w:rPr>
        <w:t>’</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TikTok Concept (Video):</w:t>
      </w:r>
    </w:p>
    <w:p>
      <w:pPr>
        <w:pStyle w:val="Body"/>
        <w:spacing w:line="480" w:lineRule="auto"/>
        <w:rPr>
          <w:rFonts w:ascii="Calibri" w:cs="Calibri" w:hAnsi="Calibri" w:eastAsia="Calibri"/>
          <w:sz w:val="24"/>
          <w:szCs w:val="24"/>
        </w:rPr>
      </w:pPr>
      <w:r>
        <w:rPr>
          <w:rFonts w:ascii="Calibri" w:hAnsi="Calibri"/>
          <w:sz w:val="24"/>
          <w:szCs w:val="24"/>
          <w:rtl w:val="0"/>
          <w:lang w:val="en-US"/>
        </w:rPr>
        <w:t>Concept: A fast-paced, 20-second montage showing key moments of a stay: a shot of the exterior, the beautifully designed lobby, a close-up of a refill station, and an influencer enjoying coffee on the terrace.</w:t>
      </w:r>
    </w:p>
    <w:p>
      <w:pPr>
        <w:pStyle w:val="Body"/>
        <w:spacing w:line="480" w:lineRule="auto"/>
        <w:rPr>
          <w:rFonts w:ascii="Calibri" w:cs="Calibri" w:hAnsi="Calibri" w:eastAsia="Calibri"/>
          <w:sz w:val="24"/>
          <w:szCs w:val="24"/>
        </w:rPr>
      </w:pPr>
      <w:r>
        <w:rPr>
          <w:rFonts w:ascii="Calibri" w:hAnsi="Calibri"/>
          <w:sz w:val="24"/>
          <w:szCs w:val="24"/>
          <w:rtl w:val="0"/>
          <w:lang w:val="en-US"/>
        </w:rPr>
        <w:t>Voiceover: "Small details. Big care. Hotel Nicole keeps it local and sustainable."</w:t>
      </w: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Overlay CTA: </w:t>
      </w:r>
      <w:r>
        <w:rPr>
          <w:rFonts w:ascii="Calibri" w:hAnsi="Calibri" w:hint="default"/>
          <w:sz w:val="24"/>
          <w:szCs w:val="24"/>
          <w:rtl w:val="1"/>
        </w:rPr>
        <w:t>‘</w:t>
      </w:r>
      <w:r>
        <w:rPr>
          <w:rFonts w:ascii="Calibri" w:hAnsi="Calibri"/>
          <w:sz w:val="24"/>
          <w:szCs w:val="24"/>
          <w:rtl w:val="0"/>
          <w:lang w:val="en-US"/>
        </w:rPr>
        <w:t>Tap the link for rates.</w:t>
      </w:r>
      <w:r>
        <w:rPr>
          <w:rFonts w:ascii="Calibri" w:hAnsi="Calibri" w:hint="default"/>
          <w:sz w:val="24"/>
          <w:szCs w:val="24"/>
          <w:rtl w:val="1"/>
        </w:rPr>
        <w:t>’</w:t>
      </w:r>
    </w:p>
    <w:p>
      <w:pPr>
        <w:pStyle w:val="Body"/>
        <w:spacing w:line="480" w:lineRule="auto"/>
        <w:rPr>
          <w:rFonts w:ascii="Calibri" w:cs="Calibri" w:hAnsi="Calibri" w:eastAsia="Calibri"/>
          <w:sz w:val="24"/>
          <w:szCs w:val="24"/>
        </w:rPr>
      </w:pPr>
      <w:r>
        <w:rPr>
          <w:rFonts w:ascii="Calibri" w:hAnsi="Calibri"/>
          <w:sz w:val="24"/>
          <w:szCs w:val="24"/>
          <w:rtl w:val="0"/>
          <w:lang w:val="fr-FR"/>
        </w:rPr>
        <w:t>Hashtags: #ad #EcoTravel #BoutiqueHotel #SustainableTravel</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rPr>
      </w:pPr>
      <w:r>
        <w:rPr>
          <w:rFonts w:ascii="Calibri" w:hAnsi="Calibri"/>
          <w:b w:val="1"/>
          <w:bCs w:val="1"/>
          <w:sz w:val="24"/>
          <w:szCs w:val="24"/>
          <w:rtl w:val="0"/>
          <w:lang w:val="fr-FR"/>
        </w:rPr>
        <w:t>References</w:t>
      </w:r>
    </w:p>
    <w:p>
      <w:pPr>
        <w:pStyle w:val="Body"/>
        <w:spacing w:line="480" w:lineRule="auto"/>
        <w:rPr>
          <w:rFonts w:ascii="Calibri" w:cs="Calibri" w:hAnsi="Calibri" w:eastAsia="Calibri"/>
          <w:sz w:val="24"/>
          <w:szCs w:val="24"/>
        </w:rPr>
      </w:pPr>
      <w:r>
        <w:rPr>
          <w:rFonts w:ascii="Calibri" w:hAnsi="Calibri"/>
          <w:sz w:val="24"/>
          <w:szCs w:val="24"/>
          <w:rtl w:val="0"/>
          <w:lang w:val="en-US"/>
        </w:rPr>
        <w:t>Ashley, C. and Tuten, T. (2015) 'Creative strategies in social media marketing: an exploratory study of branded content and consumer engagement', Psychology &amp; Marketing, 32(1), pp. 15</w:t>
      </w:r>
      <w:r>
        <w:rPr>
          <w:rFonts w:ascii="Calibri" w:hAnsi="Calibri" w:hint="default"/>
          <w:sz w:val="24"/>
          <w:szCs w:val="24"/>
          <w:rtl w:val="0"/>
        </w:rPr>
        <w:t>–</w:t>
      </w:r>
      <w:r>
        <w:rPr>
          <w:rFonts w:ascii="Calibri" w:hAnsi="Calibri"/>
          <w:sz w:val="24"/>
          <w:szCs w:val="24"/>
          <w:rtl w:val="0"/>
        </w:rPr>
        <w:t>27.</w:t>
      </w:r>
    </w:p>
    <w:p>
      <w:pPr>
        <w:pStyle w:val="Body"/>
        <w:spacing w:line="480" w:lineRule="auto"/>
        <w:rPr>
          <w:rFonts w:ascii="Calibri" w:cs="Calibri" w:hAnsi="Calibri" w:eastAsia="Calibri"/>
          <w:sz w:val="24"/>
          <w:szCs w:val="24"/>
        </w:rPr>
      </w:pPr>
      <w:r>
        <w:rPr>
          <w:rFonts w:ascii="Calibri" w:hAnsi="Calibri"/>
          <w:sz w:val="24"/>
          <w:szCs w:val="24"/>
          <w:rtl w:val="0"/>
          <w:lang w:val="en-US"/>
        </w:rPr>
        <w:t>Brown, D. and Hayes, N. (2018) Influencer marketing: Who really influences your customers?. New York: Routledge.</w:t>
      </w:r>
    </w:p>
    <w:p>
      <w:pPr>
        <w:pStyle w:val="Body"/>
        <w:spacing w:line="480" w:lineRule="auto"/>
        <w:rPr>
          <w:rFonts w:ascii="Calibri" w:cs="Calibri" w:hAnsi="Calibri" w:eastAsia="Calibri"/>
          <w:sz w:val="24"/>
          <w:szCs w:val="24"/>
        </w:rPr>
      </w:pPr>
      <w:r>
        <w:rPr>
          <w:rFonts w:ascii="Calibri" w:hAnsi="Calibri"/>
          <w:sz w:val="24"/>
          <w:szCs w:val="24"/>
          <w:rtl w:val="0"/>
          <w:lang w:val="en-US"/>
        </w:rPr>
        <w:t>Chen, Y., Fay, S. and Wang, Q. (2011) 'The Role of Marketing in Social Media: How Online Consumer Reviews Evolve', Journal of Marketing, 75(4), pp. 1</w:t>
      </w:r>
      <w:r>
        <w:rPr>
          <w:rFonts w:ascii="Calibri" w:hAnsi="Calibri" w:hint="default"/>
          <w:sz w:val="24"/>
          <w:szCs w:val="24"/>
          <w:rtl w:val="0"/>
        </w:rPr>
        <w:t>–</w:t>
      </w:r>
      <w:r>
        <w:rPr>
          <w:rFonts w:ascii="Calibri" w:hAnsi="Calibri"/>
          <w:sz w:val="24"/>
          <w:szCs w:val="24"/>
          <w:rtl w:val="0"/>
        </w:rPr>
        <w:t>3.</w:t>
      </w:r>
    </w:p>
    <w:p>
      <w:pPr>
        <w:pStyle w:val="Body"/>
        <w:spacing w:line="480" w:lineRule="auto"/>
        <w:rPr>
          <w:rFonts w:ascii="Calibri" w:cs="Calibri" w:hAnsi="Calibri" w:eastAsia="Calibri"/>
          <w:sz w:val="24"/>
          <w:szCs w:val="24"/>
        </w:rPr>
      </w:pPr>
      <w:r>
        <w:rPr>
          <w:rFonts w:ascii="Calibri" w:hAnsi="Calibri"/>
          <w:sz w:val="24"/>
          <w:szCs w:val="24"/>
          <w:rtl w:val="0"/>
          <w:lang w:val="en-US"/>
        </w:rPr>
        <w:t>Crane, A., Matten, D., Glozer, S. and Spence, L. (2019) Corporate social responsibility: Readings and cases in a global context. 3rd edn. New York: Routledge.</w:t>
      </w:r>
    </w:p>
    <w:p>
      <w:pPr>
        <w:pStyle w:val="Body"/>
        <w:spacing w:line="480" w:lineRule="auto"/>
        <w:rPr>
          <w:rFonts w:ascii="Calibri" w:cs="Calibri" w:hAnsi="Calibri" w:eastAsia="Calibri"/>
          <w:sz w:val="24"/>
          <w:szCs w:val="24"/>
        </w:rPr>
      </w:pPr>
      <w:r>
        <w:rPr>
          <w:rFonts w:ascii="Calibri" w:hAnsi="Calibri"/>
          <w:sz w:val="24"/>
          <w:szCs w:val="24"/>
          <w:rtl w:val="0"/>
          <w:lang w:val="en-US"/>
        </w:rPr>
        <w:t>Davenport, T. H., Guha, A., Grewal, D. and Bressgott, T. (2020) 'How artificial intelligence will change the future of marketing', Journal of the Academy of Marketing Science, 48(1), pp. 24</w:t>
      </w:r>
      <w:r>
        <w:rPr>
          <w:rFonts w:ascii="Calibri" w:hAnsi="Calibri" w:hint="default"/>
          <w:sz w:val="24"/>
          <w:szCs w:val="24"/>
          <w:rtl w:val="0"/>
        </w:rPr>
        <w:t>–</w:t>
      </w:r>
      <w:r>
        <w:rPr>
          <w:rFonts w:ascii="Calibri" w:hAnsi="Calibri"/>
          <w:sz w:val="24"/>
          <w:szCs w:val="24"/>
          <w:rtl w:val="0"/>
        </w:rPr>
        <w:t>42.</w:t>
      </w:r>
    </w:p>
    <w:p>
      <w:pPr>
        <w:pStyle w:val="Body"/>
        <w:spacing w:line="480" w:lineRule="auto"/>
        <w:rPr>
          <w:rFonts w:ascii="Calibri" w:cs="Calibri" w:hAnsi="Calibri" w:eastAsia="Calibri"/>
          <w:sz w:val="24"/>
          <w:szCs w:val="24"/>
        </w:rPr>
      </w:pPr>
      <w:r>
        <w:rPr>
          <w:rFonts w:ascii="Calibri" w:hAnsi="Calibri"/>
          <w:sz w:val="24"/>
          <w:szCs w:val="24"/>
          <w:rtl w:val="0"/>
          <w:lang w:val="en-US"/>
        </w:rPr>
        <w:t>Dwivedi, Y. K., Ismagilova, E., Hughes, D. L., Carlson, J., Filieri, R., Kumar, V., ... and Wang, Y. (2021) 'Setting the future of digital and social media marketing research: Perspectives and research propositions', International Journal of Information Management, 59, pp. 102168.</w:t>
      </w:r>
    </w:p>
    <w:p>
      <w:pPr>
        <w:pStyle w:val="Body"/>
        <w:spacing w:line="480" w:lineRule="auto"/>
        <w:rPr>
          <w:rFonts w:ascii="Calibri" w:cs="Calibri" w:hAnsi="Calibri" w:eastAsia="Calibri"/>
          <w:sz w:val="24"/>
          <w:szCs w:val="24"/>
        </w:rPr>
      </w:pPr>
      <w:r>
        <w:rPr>
          <w:rFonts w:ascii="Calibri" w:hAnsi="Calibri"/>
          <w:sz w:val="24"/>
          <w:szCs w:val="24"/>
          <w:rtl w:val="0"/>
          <w:lang w:val="en-US"/>
        </w:rPr>
        <w:t>Fahy, J. and Jobber, D. (2019) Foundations of marketing. 6th edn. London: McGraw-Hill Education.</w:t>
      </w:r>
    </w:p>
    <w:p>
      <w:pPr>
        <w:pStyle w:val="Body"/>
        <w:spacing w:line="480" w:lineRule="auto"/>
        <w:rPr>
          <w:rFonts w:ascii="Calibri" w:cs="Calibri" w:hAnsi="Calibri" w:eastAsia="Calibri"/>
          <w:sz w:val="24"/>
          <w:szCs w:val="24"/>
        </w:rPr>
      </w:pPr>
      <w:r>
        <w:rPr>
          <w:rFonts w:ascii="Calibri" w:hAnsi="Calibri"/>
          <w:sz w:val="24"/>
          <w:szCs w:val="24"/>
          <w:rtl w:val="0"/>
          <w:lang w:val="en-US"/>
        </w:rPr>
        <w:t>Freberg, K., Graham, K., McGrew, K. and T. (2011) 'Social media adoption in public relations', Public Relations Review, 37(3), pp. 243</w:t>
      </w:r>
      <w:r>
        <w:rPr>
          <w:rFonts w:ascii="Calibri" w:hAnsi="Calibri" w:hint="default"/>
          <w:sz w:val="24"/>
          <w:szCs w:val="24"/>
          <w:rtl w:val="0"/>
        </w:rPr>
        <w:t>–</w:t>
      </w:r>
      <w:r>
        <w:rPr>
          <w:rFonts w:ascii="Calibri" w:hAnsi="Calibri"/>
          <w:sz w:val="24"/>
          <w:szCs w:val="24"/>
          <w:rtl w:val="0"/>
        </w:rPr>
        <w:t>246.</w:t>
      </w:r>
    </w:p>
    <w:p>
      <w:pPr>
        <w:pStyle w:val="Body"/>
        <w:spacing w:line="480" w:lineRule="auto"/>
        <w:rPr>
          <w:rFonts w:ascii="Calibri" w:cs="Calibri" w:hAnsi="Calibri" w:eastAsia="Calibri"/>
          <w:sz w:val="24"/>
          <w:szCs w:val="24"/>
        </w:rPr>
      </w:pPr>
      <w:r>
        <w:rPr>
          <w:rFonts w:ascii="Calibri" w:hAnsi="Calibri"/>
          <w:sz w:val="24"/>
          <w:szCs w:val="24"/>
          <w:rtl w:val="0"/>
          <w:lang w:val="en-US"/>
        </w:rPr>
        <w:t>Foreman, J., Money, A. and Emerson, T. (2014) The Agile marketer: Principles and practice. London: Kogan Page.</w:t>
      </w:r>
    </w:p>
    <w:p>
      <w:pPr>
        <w:pStyle w:val="Body"/>
        <w:spacing w:line="480" w:lineRule="auto"/>
        <w:rPr>
          <w:rFonts w:ascii="Calibri" w:cs="Calibri" w:hAnsi="Calibri" w:eastAsia="Calibri"/>
          <w:sz w:val="24"/>
          <w:szCs w:val="24"/>
        </w:rPr>
      </w:pPr>
      <w:r>
        <w:rPr>
          <w:rFonts w:ascii="Calibri" w:hAnsi="Calibri"/>
          <w:sz w:val="24"/>
          <w:szCs w:val="24"/>
          <w:rtl w:val="0"/>
          <w:lang w:val="en-US"/>
        </w:rPr>
        <w:t>Hudson, S., Roth, M. S., Madden, T. J. and Hudson, R. (2016) 'The effects of social media on tourism marketing', Journal of Tourism Management, 47, pp. 317</w:t>
      </w:r>
      <w:r>
        <w:rPr>
          <w:rFonts w:ascii="Calibri" w:hAnsi="Calibri" w:hint="default"/>
          <w:sz w:val="24"/>
          <w:szCs w:val="24"/>
          <w:rtl w:val="0"/>
        </w:rPr>
        <w:t>–</w:t>
      </w:r>
      <w:r>
        <w:rPr>
          <w:rFonts w:ascii="Calibri" w:hAnsi="Calibri"/>
          <w:sz w:val="24"/>
          <w:szCs w:val="24"/>
          <w:rtl w:val="0"/>
        </w:rPr>
        <w:t>328.</w:t>
      </w:r>
    </w:p>
    <w:p>
      <w:pPr>
        <w:pStyle w:val="Body"/>
        <w:spacing w:line="480" w:lineRule="auto"/>
        <w:rPr>
          <w:rFonts w:ascii="Calibri" w:cs="Calibri" w:hAnsi="Calibri" w:eastAsia="Calibri"/>
          <w:sz w:val="24"/>
          <w:szCs w:val="24"/>
        </w:rPr>
      </w:pPr>
      <w:r>
        <w:rPr>
          <w:rFonts w:ascii="Calibri" w:hAnsi="Calibri"/>
          <w:sz w:val="24"/>
          <w:szCs w:val="24"/>
          <w:rtl w:val="0"/>
          <w:lang w:val="en-US"/>
        </w:rPr>
        <w:t>Jin, S. V., Muqaddam, A. and Ryu, E. (2019) 'Instafamous and its effect on consumer engagement', Journal of Business Research, 105, pp. 100</w:t>
      </w:r>
      <w:r>
        <w:rPr>
          <w:rFonts w:ascii="Calibri" w:hAnsi="Calibri" w:hint="default"/>
          <w:sz w:val="24"/>
          <w:szCs w:val="24"/>
          <w:rtl w:val="0"/>
        </w:rPr>
        <w:t>–</w:t>
      </w:r>
      <w:r>
        <w:rPr>
          <w:rFonts w:ascii="Calibri" w:hAnsi="Calibri"/>
          <w:sz w:val="24"/>
          <w:szCs w:val="24"/>
          <w:rtl w:val="0"/>
        </w:rPr>
        <w:t>108.</w:t>
      </w:r>
    </w:p>
    <w:p>
      <w:pPr>
        <w:pStyle w:val="Body"/>
        <w:spacing w:line="480" w:lineRule="auto"/>
        <w:rPr>
          <w:rFonts w:ascii="Calibri" w:cs="Calibri" w:hAnsi="Calibri" w:eastAsia="Calibri"/>
          <w:sz w:val="24"/>
          <w:szCs w:val="24"/>
        </w:rPr>
      </w:pPr>
      <w:r>
        <w:rPr>
          <w:rFonts w:ascii="Calibri" w:hAnsi="Calibri"/>
          <w:sz w:val="24"/>
          <w:szCs w:val="24"/>
          <w:rtl w:val="0"/>
          <w:lang w:val="en-US"/>
        </w:rPr>
        <w:t>Kaplan, A. M. and Haenlein, M. (2010) 'Users of the world, unite! The challenges and opportunities of social media', Business Horizons, 53(1), pp. 59</w:t>
      </w:r>
      <w:r>
        <w:rPr>
          <w:rFonts w:ascii="Calibri" w:hAnsi="Calibri" w:hint="default"/>
          <w:sz w:val="24"/>
          <w:szCs w:val="24"/>
          <w:rtl w:val="0"/>
        </w:rPr>
        <w:t>–</w:t>
      </w:r>
      <w:r>
        <w:rPr>
          <w:rFonts w:ascii="Calibri" w:hAnsi="Calibri"/>
          <w:sz w:val="24"/>
          <w:szCs w:val="24"/>
          <w:rtl w:val="0"/>
        </w:rPr>
        <w:t>68.</w:t>
      </w:r>
    </w:p>
    <w:p>
      <w:pPr>
        <w:pStyle w:val="Body"/>
        <w:spacing w:line="480" w:lineRule="auto"/>
        <w:rPr>
          <w:rFonts w:ascii="Calibri" w:cs="Calibri" w:hAnsi="Calibri" w:eastAsia="Calibri"/>
          <w:sz w:val="24"/>
          <w:szCs w:val="24"/>
        </w:rPr>
      </w:pPr>
      <w:r>
        <w:rPr>
          <w:rFonts w:ascii="Calibri" w:hAnsi="Calibri"/>
          <w:sz w:val="24"/>
          <w:szCs w:val="24"/>
          <w:rtl w:val="0"/>
          <w:lang w:val="en-US"/>
        </w:rPr>
        <w:t>Kim, W. C. and Mauborgne, R. (2004) 'Blue ocean strategy', Harvard Business Review, 82(10), pp. 76</w:t>
      </w:r>
      <w:r>
        <w:rPr>
          <w:rFonts w:ascii="Calibri" w:hAnsi="Calibri" w:hint="default"/>
          <w:sz w:val="24"/>
          <w:szCs w:val="24"/>
          <w:rtl w:val="0"/>
        </w:rPr>
        <w:t>–</w:t>
      </w:r>
      <w:r>
        <w:rPr>
          <w:rFonts w:ascii="Calibri" w:hAnsi="Calibri"/>
          <w:sz w:val="24"/>
          <w:szCs w:val="24"/>
          <w:rtl w:val="0"/>
        </w:rPr>
        <w:t>84.</w:t>
      </w:r>
    </w:p>
    <w:p>
      <w:pPr>
        <w:pStyle w:val="Body"/>
        <w:spacing w:line="480" w:lineRule="auto"/>
        <w:rPr>
          <w:rFonts w:ascii="Calibri" w:cs="Calibri" w:hAnsi="Calibri" w:eastAsia="Calibri"/>
          <w:sz w:val="24"/>
          <w:szCs w:val="24"/>
        </w:rPr>
      </w:pPr>
      <w:r>
        <w:rPr>
          <w:rFonts w:ascii="Calibri" w:hAnsi="Calibri"/>
          <w:sz w:val="24"/>
          <w:szCs w:val="24"/>
          <w:rtl w:val="0"/>
          <w:lang w:val="en-US"/>
        </w:rPr>
        <w:t>Kim, W. C. and Mauborgne, R. (2014) Blue ocean strategy: How to create uncontested market space and make the competition irrelevant. Boston: Harvard Business Review Press.</w:t>
      </w:r>
    </w:p>
    <w:p>
      <w:pPr>
        <w:pStyle w:val="Body"/>
        <w:spacing w:line="480" w:lineRule="auto"/>
        <w:rPr>
          <w:rFonts w:ascii="Calibri" w:cs="Calibri" w:hAnsi="Calibri" w:eastAsia="Calibri"/>
          <w:sz w:val="24"/>
          <w:szCs w:val="24"/>
        </w:rPr>
      </w:pPr>
      <w:r>
        <w:rPr>
          <w:rFonts w:ascii="Calibri" w:hAnsi="Calibri"/>
          <w:sz w:val="24"/>
          <w:szCs w:val="24"/>
          <w:rtl w:val="0"/>
          <w:lang w:val="en-US"/>
        </w:rPr>
        <w:t>Kotler, P. and Chernev, A. (2012) Strategic marketing management. 10th edn. New York: Prentice Hall.</w:t>
      </w:r>
    </w:p>
    <w:p>
      <w:pPr>
        <w:pStyle w:val="Body"/>
        <w:spacing w:line="480" w:lineRule="auto"/>
        <w:rPr>
          <w:rFonts w:ascii="Calibri" w:cs="Calibri" w:hAnsi="Calibri" w:eastAsia="Calibri"/>
          <w:sz w:val="24"/>
          <w:szCs w:val="24"/>
        </w:rPr>
      </w:pPr>
      <w:r>
        <w:rPr>
          <w:rFonts w:ascii="Calibri" w:hAnsi="Calibri"/>
          <w:sz w:val="24"/>
          <w:szCs w:val="24"/>
          <w:rtl w:val="0"/>
          <w:lang w:val="en-US"/>
        </w:rPr>
        <w:t>Kumar, V. and Reinartz, W. (2016) Customer relationship management. Hoboken, NJ: John Wiley &amp; Sons.</w:t>
      </w:r>
    </w:p>
    <w:p>
      <w:pPr>
        <w:pStyle w:val="Body"/>
        <w:spacing w:line="480" w:lineRule="auto"/>
        <w:rPr>
          <w:rFonts w:ascii="Calibri" w:cs="Calibri" w:hAnsi="Calibri" w:eastAsia="Calibri"/>
          <w:sz w:val="24"/>
          <w:szCs w:val="24"/>
        </w:rPr>
      </w:pPr>
      <w:r>
        <w:rPr>
          <w:rFonts w:ascii="Calibri" w:hAnsi="Calibri"/>
          <w:sz w:val="24"/>
          <w:szCs w:val="24"/>
          <w:rtl w:val="0"/>
          <w:lang w:val="en-US"/>
        </w:rPr>
        <w:t>Lee, W. K. and Gretzel, U. (2019) 'Effects of short-form video on travel intentions', Journal of Travel Research, 58(8), pp. 1297</w:t>
      </w:r>
      <w:r>
        <w:rPr>
          <w:rFonts w:ascii="Calibri" w:hAnsi="Calibri" w:hint="default"/>
          <w:sz w:val="24"/>
          <w:szCs w:val="24"/>
          <w:rtl w:val="0"/>
        </w:rPr>
        <w:t>–</w:t>
      </w:r>
      <w:r>
        <w:rPr>
          <w:rFonts w:ascii="Calibri" w:hAnsi="Calibri"/>
          <w:sz w:val="24"/>
          <w:szCs w:val="24"/>
          <w:rtl w:val="0"/>
        </w:rPr>
        <w:t>1309.</w:t>
      </w:r>
    </w:p>
    <w:p>
      <w:pPr>
        <w:pStyle w:val="Body"/>
        <w:spacing w:line="480" w:lineRule="auto"/>
        <w:rPr>
          <w:rFonts w:ascii="Calibri" w:cs="Calibri" w:hAnsi="Calibri" w:eastAsia="Calibri"/>
          <w:sz w:val="24"/>
          <w:szCs w:val="24"/>
        </w:rPr>
      </w:pPr>
      <w:r>
        <w:rPr>
          <w:rFonts w:ascii="Calibri" w:hAnsi="Calibri"/>
          <w:sz w:val="24"/>
          <w:szCs w:val="24"/>
          <w:rtl w:val="0"/>
          <w:lang w:val="en-US"/>
        </w:rPr>
        <w:t>Lemon, K. N. and Verhoef, P. C. (2016) 'The future of marketing: marketing strategy in a data-rich environment', Journal of the Academy of Marketing Science, 44(2), pp. 191</w:t>
      </w:r>
      <w:r>
        <w:rPr>
          <w:rFonts w:ascii="Calibri" w:hAnsi="Calibri" w:hint="default"/>
          <w:sz w:val="24"/>
          <w:szCs w:val="24"/>
          <w:rtl w:val="0"/>
        </w:rPr>
        <w:t>–</w:t>
      </w:r>
      <w:r>
        <w:rPr>
          <w:rFonts w:ascii="Calibri" w:hAnsi="Calibri"/>
          <w:sz w:val="24"/>
          <w:szCs w:val="24"/>
          <w:rtl w:val="0"/>
        </w:rPr>
        <w:t>201.</w:t>
      </w:r>
    </w:p>
    <w:p>
      <w:pPr>
        <w:pStyle w:val="Body"/>
        <w:spacing w:line="480" w:lineRule="auto"/>
        <w:rPr>
          <w:rFonts w:ascii="Calibri" w:cs="Calibri" w:hAnsi="Calibri" w:eastAsia="Calibri"/>
          <w:sz w:val="24"/>
          <w:szCs w:val="24"/>
        </w:rPr>
      </w:pPr>
      <w:r>
        <w:rPr>
          <w:rFonts w:ascii="Calibri" w:hAnsi="Calibri"/>
          <w:sz w:val="24"/>
          <w:szCs w:val="24"/>
          <w:rtl w:val="0"/>
          <w:lang w:val="en-US"/>
        </w:rPr>
        <w:t>Li, C. and Wang, Y. (2017) 'Leveraging big data analytics for marketing insights', Journal of Marketing Analytics, 5(2), pp. 69</w:t>
      </w:r>
      <w:r>
        <w:rPr>
          <w:rFonts w:ascii="Calibri" w:hAnsi="Calibri" w:hint="default"/>
          <w:sz w:val="24"/>
          <w:szCs w:val="24"/>
          <w:rtl w:val="0"/>
        </w:rPr>
        <w:t>–</w:t>
      </w:r>
      <w:r>
        <w:rPr>
          <w:rFonts w:ascii="Calibri" w:hAnsi="Calibri"/>
          <w:sz w:val="24"/>
          <w:szCs w:val="24"/>
          <w:rtl w:val="0"/>
        </w:rPr>
        <w:t>85.</w:t>
      </w:r>
    </w:p>
    <w:p>
      <w:pPr>
        <w:pStyle w:val="Body"/>
        <w:spacing w:line="480" w:lineRule="auto"/>
        <w:rPr>
          <w:rFonts w:ascii="Calibri" w:cs="Calibri" w:hAnsi="Calibri" w:eastAsia="Calibri"/>
          <w:sz w:val="24"/>
          <w:szCs w:val="24"/>
        </w:rPr>
      </w:pPr>
      <w:r>
        <w:rPr>
          <w:rFonts w:ascii="Calibri" w:hAnsi="Calibri"/>
          <w:sz w:val="24"/>
          <w:szCs w:val="24"/>
          <w:rtl w:val="0"/>
          <w:lang w:val="en-US"/>
        </w:rPr>
        <w:t>Lou, C., &amp; Yuan, S. (2019). Influencer Marketing: How Message Value and Credibility Affect Consumer Trust of Branded Content on Social Media. Journal of Interactive Advertising, 19, 58-73.</w:t>
      </w:r>
    </w:p>
    <w:p>
      <w:pPr>
        <w:pStyle w:val="Body"/>
        <w:spacing w:line="480" w:lineRule="auto"/>
        <w:rPr>
          <w:rFonts w:ascii="Calibri" w:cs="Calibri" w:hAnsi="Calibri" w:eastAsia="Calibri"/>
          <w:sz w:val="24"/>
          <w:szCs w:val="24"/>
        </w:rPr>
      </w:pPr>
      <w:r>
        <w:rPr>
          <w:rFonts w:ascii="Calibri" w:hAnsi="Calibri"/>
          <w:sz w:val="24"/>
          <w:szCs w:val="24"/>
          <w:rtl w:val="0"/>
          <w:lang w:val="en-US"/>
        </w:rPr>
        <w:t>Mangold, W. G. and Faulds, D. J. (2009) 'Social media: The new hybrid element of the promotion mix', Business Horizons, 52(4), pp. 357</w:t>
      </w:r>
      <w:r>
        <w:rPr>
          <w:rFonts w:ascii="Calibri" w:hAnsi="Calibri" w:hint="default"/>
          <w:sz w:val="24"/>
          <w:szCs w:val="24"/>
          <w:rtl w:val="0"/>
        </w:rPr>
        <w:t>–</w:t>
      </w:r>
      <w:r>
        <w:rPr>
          <w:rFonts w:ascii="Calibri" w:hAnsi="Calibri"/>
          <w:sz w:val="24"/>
          <w:szCs w:val="24"/>
          <w:rtl w:val="0"/>
        </w:rPr>
        <w:t>365.</w:t>
      </w:r>
    </w:p>
    <w:p>
      <w:pPr>
        <w:pStyle w:val="Body"/>
        <w:spacing w:line="480" w:lineRule="auto"/>
        <w:rPr>
          <w:rFonts w:ascii="Calibri" w:cs="Calibri" w:hAnsi="Calibri" w:eastAsia="Calibri"/>
          <w:sz w:val="24"/>
          <w:szCs w:val="24"/>
        </w:rPr>
      </w:pPr>
      <w:r>
        <w:rPr>
          <w:rFonts w:ascii="Calibri" w:hAnsi="Calibri"/>
          <w:sz w:val="24"/>
          <w:szCs w:val="24"/>
          <w:rtl w:val="0"/>
          <w:lang w:val="en-US"/>
        </w:rPr>
        <w:t>Mariani, M. M. and Borghi, A. (2021) 'Customers</w:t>
      </w:r>
      <w:r>
        <w:rPr>
          <w:rFonts w:ascii="Calibri" w:hAnsi="Calibri" w:hint="default"/>
          <w:sz w:val="24"/>
          <w:szCs w:val="24"/>
          <w:rtl w:val="1"/>
        </w:rPr>
        <w:t xml:space="preserve">’ </w:t>
      </w:r>
      <w:r>
        <w:rPr>
          <w:rFonts w:ascii="Calibri" w:hAnsi="Calibri"/>
          <w:sz w:val="24"/>
          <w:szCs w:val="24"/>
          <w:rtl w:val="0"/>
          <w:lang w:val="en-US"/>
        </w:rPr>
        <w:t>evaluation of mechanical artificial intelligence in hospitality services: a study using online reviews analytics', International Journal of Contemporary Hospitality Management</w:t>
      </w:r>
    </w:p>
    <w:p>
      <w:pPr>
        <w:pStyle w:val="Body"/>
        <w:spacing w:line="480" w:lineRule="auto"/>
        <w:rPr>
          <w:rFonts w:ascii="Calibri" w:cs="Calibri" w:hAnsi="Calibri" w:eastAsia="Calibri"/>
          <w:sz w:val="24"/>
          <w:szCs w:val="24"/>
        </w:rPr>
      </w:pPr>
      <w:r>
        <w:rPr>
          <w:rFonts w:ascii="Calibri" w:hAnsi="Calibri"/>
          <w:sz w:val="24"/>
          <w:szCs w:val="24"/>
          <w:rtl w:val="0"/>
          <w:lang w:val="en-US"/>
        </w:rPr>
        <w:t>Marriott International. (2023) Travel Brilliantly. Available at: https://www.marriott.com/en-us/travel-brilliantly (Accessed: 14 September 2025).</w:t>
      </w:r>
    </w:p>
    <w:p>
      <w:pPr>
        <w:pStyle w:val="Body"/>
        <w:spacing w:line="480" w:lineRule="auto"/>
        <w:rPr>
          <w:rFonts w:ascii="Calibri" w:cs="Calibri" w:hAnsi="Calibri" w:eastAsia="Calibri"/>
          <w:sz w:val="24"/>
          <w:szCs w:val="24"/>
        </w:rPr>
      </w:pPr>
      <w:r>
        <w:rPr>
          <w:rFonts w:ascii="Calibri" w:hAnsi="Calibri"/>
          <w:sz w:val="24"/>
          <w:szCs w:val="24"/>
          <w:rtl w:val="0"/>
          <w:lang w:val="en-US"/>
        </w:rPr>
        <w:t>Moorhouse, A. and Waggett, M. (2016) Hospitality marketing management. 5th edn. Oxford: Oxford University Press.</w:t>
      </w:r>
    </w:p>
    <w:p>
      <w:pPr>
        <w:pStyle w:val="Body"/>
        <w:spacing w:line="480" w:lineRule="auto"/>
      </w:pPr>
      <w:r>
        <w:rPr>
          <w:rFonts w:ascii="Calibri" w:hAnsi="Calibri"/>
          <w:sz w:val="24"/>
          <w:szCs w:val="24"/>
          <w:rtl w:val="0"/>
          <w:lang w:val="en-US"/>
        </w:rPr>
        <w:t>Sigala, M. (2018) 'Social media and sustainable tourism', Journal of Sustainable Tourism, 26(1), pp. 1</w:t>
      </w:r>
      <w:r>
        <w:rPr>
          <w:rFonts w:ascii="Calibri" w:hAnsi="Calibri" w:hint="default"/>
          <w:sz w:val="24"/>
          <w:szCs w:val="24"/>
          <w:rtl w:val="0"/>
        </w:rPr>
        <w:t>–</w:t>
      </w:r>
      <w:r>
        <w:rPr>
          <w:rFonts w:ascii="Calibri" w:hAnsi="Calibri"/>
          <w:sz w:val="24"/>
          <w:szCs w:val="24"/>
          <w:rtl w:val="0"/>
        </w:rPr>
        <w:t>20.</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560" w:hanging="560"/>
      </w:pPr>
      <w:rPr>
        <w:rFonts w:ascii="Calibri" w:cs="Calibri" w:hAnsi="Calibri" w:eastAsia="Calibri"/>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740" w:hanging="560"/>
      </w:pPr>
      <w:rPr>
        <w:rFonts w:ascii="Calibri" w:cs="Calibri" w:hAnsi="Calibri" w:eastAsia="Calibri"/>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start w:val="1"/>
      <w:numFmt w:val="bullet"/>
      <w:suff w:val="tab"/>
      <w:lvlText w:val="•"/>
      <w:lvlJc w:val="left"/>
      <w:pP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920" w:hanging="560"/>
      </w:pPr>
      <w:rPr>
        <w:rFonts w:ascii="Calibri" w:cs="Calibri" w:hAnsi="Calibri" w:eastAsia="Calibri"/>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1100" w:hanging="560"/>
      </w:pPr>
      <w:rPr>
        <w:rFonts w:ascii="Calibri" w:cs="Calibri" w:hAnsi="Calibri" w:eastAsia="Calibri"/>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start w:val="1"/>
      <w:numFmt w:val="bullet"/>
      <w:suff w:val="tab"/>
      <w:lvlText w:val="•"/>
      <w:lvlJc w:val="left"/>
      <w:pPr>
        <w:tabs>
          <w:tab w:val="left" w:pos="56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1280" w:hanging="560"/>
      </w:pPr>
      <w:rPr>
        <w:rFonts w:ascii="Calibri" w:cs="Calibri" w:hAnsi="Calibri" w:eastAsia="Calibri"/>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start w:val="1"/>
      <w:numFmt w:val="bullet"/>
      <w:suff w:val="tab"/>
      <w:lvlText w:val="•"/>
      <w:lvlJc w:val="left"/>
      <w:pPr>
        <w:tabs>
          <w:tab w:val="left" w:pos="56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1460" w:hanging="560"/>
      </w:pPr>
      <w:rPr>
        <w:rFonts w:ascii="Calibri" w:cs="Calibri" w:hAnsi="Calibri" w:eastAsia="Calibri"/>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1640" w:hanging="560"/>
      </w:pPr>
      <w:rPr>
        <w:rFonts w:ascii="Calibri" w:cs="Calibri" w:hAnsi="Calibri" w:eastAsia="Calibri"/>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start w:val="1"/>
      <w:numFmt w:val="bullet"/>
      <w:suff w:val="tab"/>
      <w:lvlText w:val="•"/>
      <w:lvlJc w:val="left"/>
      <w:pPr>
        <w:tabs>
          <w:tab w:val="left" w:pos="560"/>
          <w:tab w:val="left" w:pos="112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1820" w:hanging="560"/>
      </w:pPr>
      <w:rPr>
        <w:rFonts w:ascii="Calibri" w:cs="Calibri" w:hAnsi="Calibri" w:eastAsia="Calibri"/>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start w:val="1"/>
      <w:numFmt w:val="bullet"/>
      <w:suff w:val="tab"/>
      <w:lvlText w:val="•"/>
      <w:lvlJc w:val="left"/>
      <w:pPr>
        <w:tabs>
          <w:tab w:val="left" w:pos="560"/>
          <w:tab w:val="left" w:pos="112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2000" w:hanging="560"/>
      </w:pPr>
      <w:rPr>
        <w:rFonts w:ascii="Calibri" w:cs="Calibri" w:hAnsi="Calibri" w:eastAsia="Calibri"/>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numbering" w:styleId="Bullet">
    <w:name w:val="Bullet"/>
    <w:pPr>
      <w:numPr>
        <w:numId w:val="1"/>
      </w:numPr>
    </w:pPr>
  </w:style>
  <w:style w:type="paragraph" w:styleId="Free Form">
    <w:name w:val="Free Form"/>
    <w:next w:val="Free Form"/>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ree Form.0">
    <w:name w:val="Free Form"/>
    <w:next w:val="Free Form.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