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710ED" w14:textId="4D25A82D" w:rsidR="00BA3001" w:rsidRDefault="00BA3001" w:rsidP="00BA3001">
      <w:pPr>
        <w:jc w:val="center"/>
      </w:pPr>
      <w:r>
        <w:t>Name: Aida Jabbarinasab</w:t>
      </w:r>
    </w:p>
    <w:p w14:paraId="14CABB8A" w14:textId="627F9352" w:rsidR="00BA3001" w:rsidRDefault="00BA3001" w:rsidP="00BA3001">
      <w:pPr>
        <w:jc w:val="center"/>
      </w:pPr>
      <w:r>
        <w:t>Student ID: 2511217</w:t>
      </w:r>
    </w:p>
    <w:p w14:paraId="61FECA97" w14:textId="7D8EE7BF" w:rsidR="00BA3001" w:rsidRDefault="00BA3001" w:rsidP="00BA3001">
      <w:pPr>
        <w:jc w:val="center"/>
      </w:pPr>
      <w:r w:rsidRPr="00BA3001">
        <w:t>Module code: LCHS4003</w:t>
      </w:r>
    </w:p>
    <w:p w14:paraId="54ADE76A" w14:textId="3C46856C" w:rsidR="00BA3001" w:rsidRPr="00BA3001" w:rsidRDefault="00BA3001" w:rsidP="00BA3001">
      <w:pPr>
        <w:jc w:val="center"/>
      </w:pPr>
      <w:r w:rsidRPr="00BA3001">
        <w:t>Module</w:t>
      </w:r>
      <w:r w:rsidRPr="00BA3001">
        <w:t xml:space="preserve">: </w:t>
      </w:r>
      <w:r w:rsidRPr="00BA3001">
        <w:t>Community Mental Health Services in the UK</w:t>
      </w:r>
    </w:p>
    <w:p w14:paraId="4A57E665" w14:textId="2FADAE98" w:rsidR="00BA3001" w:rsidRDefault="00BA3001" w:rsidP="00BA3001">
      <w:pPr>
        <w:jc w:val="center"/>
      </w:pPr>
      <w:r w:rsidRPr="610F15E5">
        <w:t xml:space="preserve">Lecturer: Wafa Nasir </w:t>
      </w:r>
    </w:p>
    <w:p w14:paraId="68B5158B" w14:textId="77777777" w:rsidR="00BA3001" w:rsidRDefault="00BA3001" w:rsidP="00BA3001"/>
    <w:p w14:paraId="6D2E4B1F" w14:textId="77777777" w:rsidR="00BA3001" w:rsidRDefault="00BA3001" w:rsidP="610F15E5">
      <w:pPr>
        <w:jc w:val="center"/>
        <w:rPr>
          <w:b/>
          <w:bCs/>
        </w:rPr>
      </w:pPr>
    </w:p>
    <w:p w14:paraId="683997F2" w14:textId="77777777" w:rsidR="00BA3001" w:rsidRDefault="00BA3001">
      <w:pPr>
        <w:rPr>
          <w:b/>
          <w:bCs/>
        </w:rPr>
      </w:pPr>
      <w:r>
        <w:rPr>
          <w:b/>
          <w:bCs/>
        </w:rPr>
        <w:br w:type="page"/>
      </w:r>
    </w:p>
    <w:p w14:paraId="4D2199A9" w14:textId="2404D3AF" w:rsidR="63E81F62" w:rsidRDefault="63E81F62" w:rsidP="610F15E5">
      <w:pPr>
        <w:jc w:val="center"/>
      </w:pPr>
      <w:r w:rsidRPr="610F15E5">
        <w:lastRenderedPageBreak/>
        <w:t xml:space="preserve"> </w:t>
      </w:r>
    </w:p>
    <w:tbl>
      <w:tblPr>
        <w:tblStyle w:val="TableGrid"/>
        <w:tblpPr w:leftFromText="180" w:rightFromText="180" w:vertAnchor="text" w:horzAnchor="margin" w:tblpY="32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3A0" w:firstRow="1" w:lastRow="0" w:firstColumn="1" w:lastColumn="1" w:noHBand="1" w:noVBand="0"/>
      </w:tblPr>
      <w:tblGrid>
        <w:gridCol w:w="3366"/>
      </w:tblGrid>
      <w:tr w:rsidR="00E56194" w14:paraId="29231BF9" w14:textId="77777777" w:rsidTr="00E56194">
        <w:trPr>
          <w:trHeight w:val="300"/>
        </w:trPr>
        <w:tc>
          <w:tcPr>
            <w:tcW w:w="3366" w:type="dxa"/>
            <w:shd w:val="clear" w:color="auto" w:fill="95DCF7" w:themeFill="accent4" w:themeFillTint="66"/>
          </w:tcPr>
          <w:p w14:paraId="1D10D0B3" w14:textId="77777777" w:rsidR="00E56194" w:rsidRDefault="00E56194" w:rsidP="00E56194">
            <w:pPr>
              <w:rPr>
                <w:b/>
                <w:bCs/>
              </w:rPr>
            </w:pPr>
            <w:r w:rsidRPr="1248603F">
              <w:rPr>
                <w:b/>
                <w:bCs/>
              </w:rPr>
              <w:t>What the Service Is</w:t>
            </w:r>
            <w:r>
              <w:rPr>
                <w:rFonts w:hint="cs"/>
                <w:b/>
                <w:bCs/>
                <w:rtl/>
              </w:rPr>
              <w:t>?</w:t>
            </w:r>
          </w:p>
        </w:tc>
      </w:tr>
      <w:tr w:rsidR="00E56194" w14:paraId="4B51A72D" w14:textId="77777777" w:rsidTr="00E56194">
        <w:trPr>
          <w:trHeight w:val="2679"/>
        </w:trPr>
        <w:tc>
          <w:tcPr>
            <w:tcW w:w="3366" w:type="dxa"/>
            <w:shd w:val="clear" w:color="auto" w:fill="CAEDFB" w:themeFill="accent4" w:themeFillTint="33"/>
          </w:tcPr>
          <w:p w14:paraId="42F4FB18" w14:textId="77777777" w:rsidR="00E56194" w:rsidRDefault="00476A95" w:rsidP="00476A95">
            <w:r w:rsidRPr="00476A95">
              <w:rPr>
                <w:sz w:val="22"/>
                <w:szCs w:val="22"/>
                <w:lang w:val="en-US"/>
              </w:rPr>
              <w:t xml:space="preserve">Community Mental Health Teams (CMHTs) offer comprehensive evaluation, therapeutic intervention and continuous support for adults with significant mental health conditions who remain in community </w:t>
            </w:r>
            <w:proofErr w:type="gramStart"/>
            <w:r w:rsidRPr="00476A95">
              <w:rPr>
                <w:sz w:val="22"/>
                <w:szCs w:val="22"/>
                <w:lang w:val="en-US"/>
              </w:rPr>
              <w:t>settings.</w:t>
            </w:r>
            <w:r w:rsidR="00E56194" w:rsidRPr="008A34A6">
              <w:rPr>
                <w:sz w:val="22"/>
                <w:szCs w:val="22"/>
              </w:rPr>
              <w:t>The</w:t>
            </w:r>
            <w:proofErr w:type="gramEnd"/>
            <w:r w:rsidR="00E56194" w:rsidRPr="008A34A6">
              <w:rPr>
                <w:sz w:val="22"/>
                <w:szCs w:val="22"/>
              </w:rPr>
              <w:t xml:space="preserve"> service promotes recovery, early intervention and relapse prevention, aiming to reduce unnecessary hospital admissions and improve quality of life (NHS England, 2023).</w:t>
            </w:r>
          </w:p>
        </w:tc>
      </w:tr>
    </w:tbl>
    <w:tbl>
      <w:tblPr>
        <w:tblStyle w:val="TableGrid"/>
        <w:tblpPr w:leftFromText="180" w:rightFromText="180" w:vertAnchor="text" w:horzAnchor="margin" w:tblpXSpec="right" w:tblpY="365"/>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3A0" w:firstRow="1" w:lastRow="0" w:firstColumn="1" w:lastColumn="1" w:noHBand="1" w:noVBand="0"/>
      </w:tblPr>
      <w:tblGrid>
        <w:gridCol w:w="2940"/>
      </w:tblGrid>
      <w:tr w:rsidR="00E56194" w14:paraId="6084FEF3" w14:textId="77777777" w:rsidTr="00E56194">
        <w:trPr>
          <w:trHeight w:val="300"/>
        </w:trPr>
        <w:tc>
          <w:tcPr>
            <w:tcW w:w="2940" w:type="dxa"/>
            <w:shd w:val="clear" w:color="auto" w:fill="95DCF7" w:themeFill="accent4" w:themeFillTint="66"/>
          </w:tcPr>
          <w:p w14:paraId="168752ED" w14:textId="77777777" w:rsidR="00E56194" w:rsidRDefault="00E56194" w:rsidP="00E56194">
            <w:pPr>
              <w:rPr>
                <w:b/>
                <w:bCs/>
              </w:rPr>
            </w:pPr>
            <w:r w:rsidRPr="00B21672">
              <w:rPr>
                <w:b/>
                <w:bCs/>
              </w:rPr>
              <w:t>Function of the Service</w:t>
            </w:r>
          </w:p>
        </w:tc>
      </w:tr>
      <w:tr w:rsidR="00E56194" w14:paraId="4878D61E" w14:textId="77777777" w:rsidTr="00E56194">
        <w:trPr>
          <w:trHeight w:val="1710"/>
        </w:trPr>
        <w:tc>
          <w:tcPr>
            <w:tcW w:w="2940" w:type="dxa"/>
            <w:shd w:val="clear" w:color="auto" w:fill="CAEDFB" w:themeFill="accent4" w:themeFillTint="33"/>
          </w:tcPr>
          <w:p w14:paraId="69359A99" w14:textId="77777777" w:rsidR="00E56194" w:rsidRPr="00B21672" w:rsidRDefault="00E56194" w:rsidP="00E56194">
            <w:pPr>
              <w:rPr>
                <w:sz w:val="22"/>
                <w:szCs w:val="22"/>
              </w:rPr>
            </w:pPr>
            <w:r w:rsidRPr="008A34A6">
              <w:rPr>
                <w:sz w:val="22"/>
                <w:szCs w:val="22"/>
              </w:rPr>
              <w:t>CMHTs operate through referral pathways from GPs, hospitals and crisis teams. Following assessment, a personalised care plan is developed, which may include medication management, psychological therapies and social support. Regular reviews ensure care remains responsive to changing needs (NHS England, 2023).</w:t>
            </w:r>
          </w:p>
        </w:tc>
      </w:tr>
    </w:tbl>
    <w:p w14:paraId="5EBB245F" w14:textId="7AB3277F" w:rsidR="0F2733EE" w:rsidRDefault="0F2733EE" w:rsidP="00BA3001"/>
    <w:tbl>
      <w:tblPr>
        <w:tblStyle w:val="TableGrid"/>
        <w:tblpPr w:leftFromText="180" w:rightFromText="180" w:vertAnchor="text" w:horzAnchor="margin" w:tblpXSpec="center" w:tblpY="-4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3A0" w:firstRow="1" w:lastRow="0" w:firstColumn="1" w:lastColumn="1" w:noHBand="1" w:noVBand="0"/>
      </w:tblPr>
      <w:tblGrid>
        <w:gridCol w:w="2972"/>
      </w:tblGrid>
      <w:tr w:rsidR="00E56194" w14:paraId="6495385E" w14:textId="77777777" w:rsidTr="00E56194">
        <w:trPr>
          <w:trHeight w:val="106"/>
        </w:trPr>
        <w:tc>
          <w:tcPr>
            <w:tcW w:w="2972" w:type="dxa"/>
            <w:shd w:val="clear" w:color="auto" w:fill="95DCF7" w:themeFill="accent4" w:themeFillTint="66"/>
          </w:tcPr>
          <w:p w14:paraId="4C6F4ACB" w14:textId="77777777" w:rsidR="00E56194" w:rsidRPr="00860BA2" w:rsidRDefault="00E56194" w:rsidP="00E56194">
            <w:pPr>
              <w:rPr>
                <w:b/>
                <w:bCs/>
              </w:rPr>
            </w:pPr>
            <w:r w:rsidRPr="00860BA2">
              <w:rPr>
                <w:rFonts w:ascii="Helvetica Neue" w:hAnsi="Helvetica Neue" w:cs="Helvetica Neue"/>
                <w:b/>
                <w:bCs/>
                <w:color w:val="000000"/>
                <w:lang w:val="en-US"/>
              </w:rPr>
              <w:t>Historical Development</w:t>
            </w:r>
          </w:p>
        </w:tc>
      </w:tr>
      <w:tr w:rsidR="00E56194" w14:paraId="61B10727" w14:textId="77777777" w:rsidTr="00E56194">
        <w:trPr>
          <w:trHeight w:val="1710"/>
        </w:trPr>
        <w:tc>
          <w:tcPr>
            <w:tcW w:w="2972" w:type="dxa"/>
            <w:shd w:val="clear" w:color="auto" w:fill="CAEDFB" w:themeFill="accent4" w:themeFillTint="33"/>
          </w:tcPr>
          <w:p w14:paraId="4BA05A32" w14:textId="77777777" w:rsidR="00E56194" w:rsidRDefault="00E56194" w:rsidP="00476A95">
            <w:r w:rsidRPr="008A34A6">
              <w:rPr>
                <w:sz w:val="22"/>
                <w:szCs w:val="22"/>
              </w:rPr>
              <w:t xml:space="preserve">Historically, mental health care in the UK was delivered in large institutions. During the 1980s and 1990s, </w:t>
            </w:r>
            <w:r w:rsidR="00476A95" w:rsidRPr="00476A95">
              <w:rPr>
                <w:rFonts w:ascii="Helvetica Neue" w:hAnsi="Helvetica Neue" w:cs="Helvetica Neue"/>
                <w:color w:val="000000"/>
                <w:sz w:val="26"/>
                <w:szCs w:val="26"/>
                <w:lang w:val="en-US"/>
              </w:rPr>
              <w:t xml:space="preserve"> </w:t>
            </w:r>
            <w:r w:rsidR="00476A95" w:rsidRPr="00476A95">
              <w:rPr>
                <w:sz w:val="22"/>
                <w:szCs w:val="22"/>
                <w:lang w:val="en-US"/>
              </w:rPr>
              <w:t>deinstitutionalization policies led to a move towards community-based support.</w:t>
            </w:r>
            <w:r w:rsidRPr="008A34A6">
              <w:rPr>
                <w:sz w:val="22"/>
                <w:szCs w:val="22"/>
              </w:rPr>
              <w:t>Legislation such as the Mental Health Act 1983 (amended 2007) supported this transition and strengthened patient rights.</w:t>
            </w:r>
          </w:p>
        </w:tc>
      </w:tr>
    </w:tbl>
    <w:p w14:paraId="5F6C5EF3" w14:textId="77777777" w:rsidR="1248603F" w:rsidRDefault="1248603F" w:rsidP="1248603F">
      <w:pPr>
        <w:jc w:val="center"/>
      </w:pPr>
    </w:p>
    <w:p w14:paraId="5B836CD0" w14:textId="77777777" w:rsidR="00B21672" w:rsidRDefault="00B21672" w:rsidP="00860BA2">
      <w:pPr>
        <w:tabs>
          <w:tab w:val="left" w:pos="1825"/>
        </w:tabs>
      </w:pPr>
    </w:p>
    <w:p w14:paraId="5BF24DEA" w14:textId="77777777" w:rsidR="00B21672" w:rsidRPr="00B21672" w:rsidRDefault="00B21672" w:rsidP="00B21672"/>
    <w:p w14:paraId="79A3E87D" w14:textId="77777777" w:rsidR="00B21672" w:rsidRPr="00B21672" w:rsidRDefault="00B21672" w:rsidP="00B21672"/>
    <w:p w14:paraId="201B057D" w14:textId="77777777" w:rsidR="00B21672" w:rsidRPr="00B21672" w:rsidRDefault="00B21672" w:rsidP="00B21672"/>
    <w:p w14:paraId="47AE4C79" w14:textId="77777777" w:rsidR="00B21672" w:rsidRPr="00B21672" w:rsidRDefault="00B21672" w:rsidP="00B21672"/>
    <w:p w14:paraId="04B8A36A" w14:textId="77777777" w:rsidR="00B21672" w:rsidRPr="00B21672" w:rsidRDefault="00B21672" w:rsidP="00B21672"/>
    <w:tbl>
      <w:tblPr>
        <w:tblStyle w:val="TableGrid"/>
        <w:tblpPr w:leftFromText="180" w:rightFromText="180" w:vertAnchor="text" w:horzAnchor="margin" w:tblpY="40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3351"/>
      </w:tblGrid>
      <w:tr w:rsidR="00E56194" w14:paraId="54AB7519" w14:textId="77777777" w:rsidTr="00E56194">
        <w:trPr>
          <w:trHeight w:val="300"/>
        </w:trPr>
        <w:tc>
          <w:tcPr>
            <w:tcW w:w="3351" w:type="dxa"/>
            <w:shd w:val="clear" w:color="auto" w:fill="95DCF7" w:themeFill="accent4" w:themeFillTint="66"/>
          </w:tcPr>
          <w:p w14:paraId="3A61CABD" w14:textId="77777777" w:rsidR="00E56194" w:rsidRDefault="00E56194" w:rsidP="00E56194">
            <w:r w:rsidRPr="610F15E5">
              <w:rPr>
                <w:b/>
                <w:bCs/>
              </w:rPr>
              <w:t xml:space="preserve">Who Provides and? Where </w:t>
            </w:r>
            <w:proofErr w:type="gramStart"/>
            <w:r w:rsidRPr="610F15E5">
              <w:rPr>
                <w:b/>
                <w:bCs/>
              </w:rPr>
              <w:t>It Is</w:t>
            </w:r>
            <w:proofErr w:type="gramEnd"/>
            <w:r w:rsidRPr="610F15E5">
              <w:rPr>
                <w:b/>
                <w:bCs/>
              </w:rPr>
              <w:t xml:space="preserve"> Delivered</w:t>
            </w:r>
            <w:r>
              <w:rPr>
                <w:b/>
                <w:bCs/>
              </w:rPr>
              <w:t>?</w:t>
            </w:r>
          </w:p>
        </w:tc>
      </w:tr>
      <w:tr w:rsidR="00E56194" w14:paraId="42FDB670" w14:textId="77777777" w:rsidTr="00E56194">
        <w:trPr>
          <w:trHeight w:val="300"/>
        </w:trPr>
        <w:tc>
          <w:tcPr>
            <w:tcW w:w="3351" w:type="dxa"/>
            <w:shd w:val="clear" w:color="auto" w:fill="CAEDFB" w:themeFill="accent4" w:themeFillTint="33"/>
          </w:tcPr>
          <w:p w14:paraId="50B82203" w14:textId="77777777" w:rsidR="00E56194" w:rsidRDefault="00E56194" w:rsidP="00E56194">
            <w:pPr>
              <w:rPr>
                <w:sz w:val="22"/>
                <w:szCs w:val="22"/>
              </w:rPr>
            </w:pPr>
            <w:r w:rsidRPr="008A34A6">
              <w:rPr>
                <w:sz w:val="22"/>
                <w:szCs w:val="22"/>
              </w:rPr>
              <w:t>Care is delivered by multidisciplinary teams including psychiatrists, mental health nurses, psychologists, social workers and occupational therapists. Services are provided in community mental health centres, outpatient clinics and service users’ homes to improve accessibility and social inclusion (Department of Health and Social Care, 2014).</w:t>
            </w:r>
          </w:p>
        </w:tc>
      </w:tr>
    </w:tbl>
    <w:p w14:paraId="1A4CCF5D" w14:textId="77777777" w:rsidR="00B21672" w:rsidRPr="00B21672" w:rsidRDefault="00B21672" w:rsidP="00B21672"/>
    <w:tbl>
      <w:tblPr>
        <w:tblStyle w:val="TableGrid"/>
        <w:tblpPr w:leftFromText="180" w:rightFromText="180" w:vertAnchor="text" w:horzAnchor="margin" w:tblpXSpec="right" w:tblpY="-3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2972"/>
      </w:tblGrid>
      <w:tr w:rsidR="00E56194" w14:paraId="386A4839" w14:textId="77777777" w:rsidTr="00E56194">
        <w:trPr>
          <w:trHeight w:val="300"/>
        </w:trPr>
        <w:tc>
          <w:tcPr>
            <w:tcW w:w="2972" w:type="dxa"/>
            <w:shd w:val="clear" w:color="auto" w:fill="95DCF7" w:themeFill="accent4" w:themeFillTint="66"/>
          </w:tcPr>
          <w:p w14:paraId="0FBBF31D" w14:textId="77777777" w:rsidR="00E56194" w:rsidRDefault="00E56194" w:rsidP="00E56194">
            <w:pPr>
              <w:rPr>
                <w:b/>
                <w:bCs/>
              </w:rPr>
            </w:pPr>
            <w:r w:rsidRPr="00B21672">
              <w:rPr>
                <w:b/>
                <w:bCs/>
              </w:rPr>
              <w:t>Challenge 1: Increasing Demand</w:t>
            </w:r>
          </w:p>
        </w:tc>
      </w:tr>
      <w:tr w:rsidR="00E56194" w14:paraId="173A60FA" w14:textId="77777777" w:rsidTr="00E56194">
        <w:trPr>
          <w:trHeight w:val="1670"/>
        </w:trPr>
        <w:tc>
          <w:tcPr>
            <w:tcW w:w="2972" w:type="dxa"/>
            <w:shd w:val="clear" w:color="auto" w:fill="CAEDFB" w:themeFill="accent4" w:themeFillTint="33"/>
          </w:tcPr>
          <w:p w14:paraId="60617E62" w14:textId="77777777" w:rsidR="00E56194" w:rsidRPr="00B21672" w:rsidRDefault="00E56194" w:rsidP="00E56194">
            <w:pPr>
              <w:rPr>
                <w:sz w:val="22"/>
                <w:szCs w:val="22"/>
              </w:rPr>
            </w:pPr>
            <w:r w:rsidRPr="008A34A6">
              <w:rPr>
                <w:sz w:val="22"/>
                <w:szCs w:val="22"/>
              </w:rPr>
              <w:t>Rising levels of mental health conditions across the UK have increased demand for community services. This has resulted in longer waiting times and pressure on resources, potentially affecting timely access to care (NHS Digital, 2023).</w:t>
            </w:r>
          </w:p>
        </w:tc>
      </w:tr>
    </w:tbl>
    <w:p w14:paraId="35A71576" w14:textId="77777777" w:rsidR="00B21672" w:rsidRPr="00B21672" w:rsidRDefault="00E56194" w:rsidP="00B21672">
      <w:r>
        <w:rPr>
          <w:b/>
          <w:bCs/>
          <w:noProof/>
        </w:rPr>
        <w:drawing>
          <wp:inline distT="0" distB="0" distL="0" distR="0" wp14:anchorId="3BBEAF55" wp14:editId="363BAF62">
            <wp:extent cx="2292397" cy="1104264"/>
            <wp:effectExtent l="0" t="0" r="0" b="1270"/>
            <wp:docPr id="297839913" name="Picture 3" descr="Consulting with senior patient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839913" name="Picture 297839913" descr="Consulting with senior patient at ho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39831" cy="1175284"/>
                    </a:xfrm>
                    <a:prstGeom prst="rect">
                      <a:avLst/>
                    </a:prstGeom>
                  </pic:spPr>
                </pic:pic>
              </a:graphicData>
            </a:graphic>
          </wp:inline>
        </w:drawing>
      </w:r>
    </w:p>
    <w:tbl>
      <w:tblPr>
        <w:tblStyle w:val="TableGrid"/>
        <w:tblpPr w:leftFromText="180" w:rightFromText="180" w:vertAnchor="text" w:horzAnchor="margin" w:tblpXSpec="center" w:tblpY="10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2972"/>
      </w:tblGrid>
      <w:tr w:rsidR="00E56194" w14:paraId="22456042" w14:textId="77777777" w:rsidTr="00E56194">
        <w:trPr>
          <w:trHeight w:val="300"/>
        </w:trPr>
        <w:tc>
          <w:tcPr>
            <w:tcW w:w="2972" w:type="dxa"/>
            <w:shd w:val="clear" w:color="auto" w:fill="95DCF7" w:themeFill="accent4" w:themeFillTint="66"/>
          </w:tcPr>
          <w:p w14:paraId="65EF2402" w14:textId="77777777" w:rsidR="00E56194" w:rsidRDefault="00E56194" w:rsidP="00E56194">
            <w:pPr>
              <w:rPr>
                <w:b/>
                <w:bCs/>
              </w:rPr>
            </w:pPr>
            <w:r w:rsidRPr="00860BA2">
              <w:rPr>
                <w:b/>
                <w:bCs/>
              </w:rPr>
              <w:t>Policy Development</w:t>
            </w:r>
          </w:p>
        </w:tc>
      </w:tr>
      <w:tr w:rsidR="00E56194" w14:paraId="0DF5A4BA" w14:textId="77777777" w:rsidTr="00E56194">
        <w:trPr>
          <w:trHeight w:val="1974"/>
        </w:trPr>
        <w:tc>
          <w:tcPr>
            <w:tcW w:w="2972" w:type="dxa"/>
            <w:shd w:val="clear" w:color="auto" w:fill="CAEDFB" w:themeFill="accent4" w:themeFillTint="33"/>
          </w:tcPr>
          <w:p w14:paraId="5A8A7D4C" w14:textId="77777777" w:rsidR="00E56194" w:rsidRPr="008A34A6" w:rsidRDefault="00E56194" w:rsidP="00E56194">
            <w:pPr>
              <w:rPr>
                <w:sz w:val="22"/>
                <w:szCs w:val="22"/>
              </w:rPr>
            </w:pPr>
            <w:r w:rsidRPr="008A34A6">
              <w:rPr>
                <w:sz w:val="22"/>
                <w:szCs w:val="22"/>
              </w:rPr>
              <w:t>Key legislation shaping community mental health services includes the Mental Health Act 1983 (amended 2007) and the Care Act 2014. These policies emphasise safeguarding, person-centred care and legal protection for service users (Department of Health and Social Care, 2014).</w:t>
            </w:r>
          </w:p>
        </w:tc>
      </w:tr>
    </w:tbl>
    <w:p w14:paraId="23BD3E6D" w14:textId="77777777" w:rsidR="00B21672" w:rsidRPr="00B21672" w:rsidRDefault="00B21672" w:rsidP="00B21672"/>
    <w:tbl>
      <w:tblPr>
        <w:tblStyle w:val="TableGrid"/>
        <w:tblpPr w:leftFromText="180" w:rightFromText="180" w:vertAnchor="text" w:horzAnchor="margin" w:tblpY="534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5387"/>
      </w:tblGrid>
      <w:tr w:rsidR="00E56194" w14:paraId="4EF11F2F" w14:textId="77777777" w:rsidTr="00E56194">
        <w:trPr>
          <w:trHeight w:val="300"/>
        </w:trPr>
        <w:tc>
          <w:tcPr>
            <w:tcW w:w="5387" w:type="dxa"/>
            <w:shd w:val="clear" w:color="auto" w:fill="95DCF7" w:themeFill="accent4" w:themeFillTint="66"/>
          </w:tcPr>
          <w:p w14:paraId="2E10A0AF" w14:textId="77777777" w:rsidR="00E56194" w:rsidRDefault="00E56194" w:rsidP="00E56194">
            <w:pPr>
              <w:rPr>
                <w:b/>
                <w:bCs/>
              </w:rPr>
            </w:pPr>
            <w:r w:rsidRPr="610F15E5">
              <w:rPr>
                <w:b/>
                <w:bCs/>
              </w:rPr>
              <w:t>Why It Is Important</w:t>
            </w:r>
            <w:r>
              <w:rPr>
                <w:b/>
                <w:bCs/>
              </w:rPr>
              <w:t>?</w:t>
            </w:r>
          </w:p>
        </w:tc>
      </w:tr>
      <w:tr w:rsidR="00E56194" w14:paraId="03FD7EA0" w14:textId="77777777" w:rsidTr="00E56194">
        <w:trPr>
          <w:trHeight w:val="567"/>
        </w:trPr>
        <w:tc>
          <w:tcPr>
            <w:tcW w:w="5387" w:type="dxa"/>
            <w:shd w:val="clear" w:color="auto" w:fill="CAEDFB" w:themeFill="accent4" w:themeFillTint="33"/>
          </w:tcPr>
          <w:p w14:paraId="13461E1A" w14:textId="77777777" w:rsidR="00E56194" w:rsidRDefault="00E56194" w:rsidP="00E56194">
            <w:r w:rsidRPr="008A34A6">
              <w:t>Community-based provision improves access to mental health support, promotes independence and reduces reliance on inpatient care. It plays a key role within the UK health and social care system by supporting recovery and safeguarding wellbeing.</w:t>
            </w:r>
          </w:p>
        </w:tc>
      </w:tr>
    </w:tbl>
    <w:p w14:paraId="2EEF75ED" w14:textId="77777777" w:rsidR="00B21672" w:rsidRDefault="00B21672" w:rsidP="00B21672"/>
    <w:tbl>
      <w:tblPr>
        <w:tblStyle w:val="TableGrid"/>
        <w:tblpPr w:leftFromText="180" w:rightFromText="180" w:vertAnchor="text" w:horzAnchor="margin" w:tblpY="1004"/>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3119"/>
      </w:tblGrid>
      <w:tr w:rsidR="00E56194" w14:paraId="149BD567" w14:textId="77777777" w:rsidTr="00E56194">
        <w:trPr>
          <w:trHeight w:val="300"/>
        </w:trPr>
        <w:tc>
          <w:tcPr>
            <w:tcW w:w="3119" w:type="dxa"/>
            <w:shd w:val="clear" w:color="auto" w:fill="95DCF7" w:themeFill="accent4" w:themeFillTint="66"/>
          </w:tcPr>
          <w:p w14:paraId="338BC89C" w14:textId="77777777" w:rsidR="00E56194" w:rsidRDefault="00E56194" w:rsidP="00E56194">
            <w:pPr>
              <w:rPr>
                <w:b/>
                <w:bCs/>
              </w:rPr>
            </w:pPr>
            <w:r w:rsidRPr="610F15E5">
              <w:rPr>
                <w:b/>
                <w:bCs/>
              </w:rPr>
              <w:t>Who Uses the Service</w:t>
            </w:r>
            <w:r>
              <w:rPr>
                <w:b/>
                <w:bCs/>
              </w:rPr>
              <w:t>?</w:t>
            </w:r>
          </w:p>
        </w:tc>
      </w:tr>
      <w:tr w:rsidR="00E56194" w14:paraId="470EB9DD" w14:textId="77777777" w:rsidTr="00E56194">
        <w:trPr>
          <w:trHeight w:val="2113"/>
        </w:trPr>
        <w:tc>
          <w:tcPr>
            <w:tcW w:w="3119" w:type="dxa"/>
            <w:shd w:val="clear" w:color="auto" w:fill="CAEDFB" w:themeFill="accent4" w:themeFillTint="33"/>
          </w:tcPr>
          <w:p w14:paraId="395683E5" w14:textId="77777777" w:rsidR="00E56194" w:rsidRDefault="00E56194" w:rsidP="00E56194">
            <w:r w:rsidRPr="008A34A6">
              <w:rPr>
                <w:sz w:val="22"/>
                <w:szCs w:val="22"/>
              </w:rPr>
              <w:t>The service supports adults with conditions such as depression, bipolar disorder, schizophrenia and anxiety disorders. It also assists individuals experiencing crisis or requiring coordinated long-term care. Referrals are typically made by GPs or secondary care services (CQC, 2023).</w:t>
            </w:r>
          </w:p>
        </w:tc>
      </w:tr>
    </w:tbl>
    <w:p w14:paraId="1AFD2CAD" w14:textId="77777777" w:rsidR="00B21672" w:rsidRPr="00B21672" w:rsidRDefault="00B21672" w:rsidP="00E56194"/>
    <w:tbl>
      <w:tblPr>
        <w:tblStyle w:val="TableGrid"/>
        <w:tblpPr w:leftFromText="180" w:rightFromText="180" w:vertAnchor="text" w:horzAnchor="margin" w:tblpXSpec="right" w:tblpY="3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2977"/>
      </w:tblGrid>
      <w:tr w:rsidR="00E56194" w14:paraId="26271FA8" w14:textId="77777777" w:rsidTr="00E56194">
        <w:trPr>
          <w:trHeight w:val="300"/>
        </w:trPr>
        <w:tc>
          <w:tcPr>
            <w:tcW w:w="2977" w:type="dxa"/>
            <w:shd w:val="clear" w:color="auto" w:fill="95DCF7" w:themeFill="accent4" w:themeFillTint="66"/>
          </w:tcPr>
          <w:p w14:paraId="7DA7B712" w14:textId="77777777" w:rsidR="00E56194" w:rsidRDefault="00E56194" w:rsidP="00E56194">
            <w:pPr>
              <w:rPr>
                <w:b/>
                <w:bCs/>
              </w:rPr>
            </w:pPr>
            <w:r w:rsidRPr="00D209C7">
              <w:rPr>
                <w:b/>
                <w:bCs/>
              </w:rPr>
              <w:t>Challenge 2: Workforce and Funding Pressures</w:t>
            </w:r>
          </w:p>
        </w:tc>
      </w:tr>
      <w:tr w:rsidR="00E56194" w14:paraId="126BD97C" w14:textId="77777777" w:rsidTr="00E56194">
        <w:trPr>
          <w:trHeight w:val="1120"/>
        </w:trPr>
        <w:tc>
          <w:tcPr>
            <w:tcW w:w="2977" w:type="dxa"/>
            <w:shd w:val="clear" w:color="auto" w:fill="CAEDFB" w:themeFill="accent4" w:themeFillTint="33"/>
          </w:tcPr>
          <w:p w14:paraId="45F63C15" w14:textId="77777777" w:rsidR="00E56194" w:rsidRPr="008A34A6" w:rsidRDefault="00E56194" w:rsidP="00E56194">
            <w:pPr>
              <w:rPr>
                <w:sz w:val="22"/>
                <w:szCs w:val="22"/>
              </w:rPr>
            </w:pPr>
            <w:r w:rsidRPr="00D209C7">
              <w:rPr>
                <w:sz w:val="22"/>
                <w:szCs w:val="22"/>
              </w:rPr>
              <w:t xml:space="preserve">Staff shortages and limited </w:t>
            </w:r>
            <w:r w:rsidRPr="008A34A6">
              <w:rPr>
                <w:sz w:val="22"/>
                <w:szCs w:val="22"/>
              </w:rPr>
              <w:t>Staff shortages and limited funding continue to affect service capacity and continuity of care. Workforce pressures may impact staff wellbeing and the ability to deliver consistent, high-quality support (CQC, 2023).</w:t>
            </w:r>
          </w:p>
        </w:tc>
      </w:tr>
    </w:tbl>
    <w:p w14:paraId="4E831415" w14:textId="77777777" w:rsidR="00E56194" w:rsidRDefault="00E56194" w:rsidP="00BC543C">
      <w:pPr>
        <w:tabs>
          <w:tab w:val="left" w:pos="2568"/>
        </w:tabs>
      </w:pPr>
    </w:p>
    <w:p w14:paraId="15A63FA6" w14:textId="77777777" w:rsidR="00E56194" w:rsidRDefault="00E56194" w:rsidP="00BC543C">
      <w:pPr>
        <w:tabs>
          <w:tab w:val="left" w:pos="2568"/>
        </w:tabs>
      </w:pPr>
    </w:p>
    <w:p w14:paraId="25E48ADD" w14:textId="77777777" w:rsidR="00E56194" w:rsidRDefault="00E56194" w:rsidP="00BC543C">
      <w:pPr>
        <w:tabs>
          <w:tab w:val="left" w:pos="2568"/>
        </w:tabs>
      </w:pPr>
    </w:p>
    <w:p w14:paraId="4BB005AB" w14:textId="77777777" w:rsidR="00E56194" w:rsidRDefault="00E56194" w:rsidP="00BC543C">
      <w:pPr>
        <w:tabs>
          <w:tab w:val="left" w:pos="2568"/>
        </w:tabs>
      </w:pPr>
    </w:p>
    <w:p w14:paraId="3AD6529A" w14:textId="77777777" w:rsidR="4C690043" w:rsidRDefault="00E56194" w:rsidP="00BC543C">
      <w:pPr>
        <w:tabs>
          <w:tab w:val="left" w:pos="2568"/>
        </w:tabs>
      </w:pPr>
      <w:r>
        <w:rPr>
          <w:noProof/>
        </w:rPr>
        <w:drawing>
          <wp:inline distT="0" distB="0" distL="0" distR="0" wp14:anchorId="61CD029F" wp14:editId="702AD509">
            <wp:extent cx="2429302" cy="1064260"/>
            <wp:effectExtent l="0" t="0" r="0" b="2540"/>
            <wp:docPr id="1494849352" name="Picture 4" descr="People in group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49352" name="Picture 1494849352" descr="People in group therapy"/>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82067" cy="1087376"/>
                    </a:xfrm>
                    <a:prstGeom prst="rect">
                      <a:avLst/>
                    </a:prstGeom>
                  </pic:spPr>
                </pic:pic>
              </a:graphicData>
            </a:graphic>
          </wp:inline>
        </w:drawing>
      </w:r>
      <w:r w:rsidR="00BC543C">
        <w:br w:type="textWrapping" w:clear="all"/>
        <w:t xml:space="preserve">  </w:t>
      </w:r>
    </w:p>
    <w:tbl>
      <w:tblPr>
        <w:tblStyle w:val="TableGrid"/>
        <w:tblpPr w:leftFromText="180" w:rightFromText="180" w:vertAnchor="text" w:horzAnchor="margin" w:tblpXSpec="right" w:tblpY="-4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4819"/>
      </w:tblGrid>
      <w:tr w:rsidR="00E56194" w14:paraId="690536DE" w14:textId="77777777" w:rsidTr="00E56194">
        <w:trPr>
          <w:trHeight w:val="300"/>
        </w:trPr>
        <w:tc>
          <w:tcPr>
            <w:tcW w:w="4819" w:type="dxa"/>
            <w:shd w:val="clear" w:color="auto" w:fill="95DCF7" w:themeFill="accent4" w:themeFillTint="66"/>
          </w:tcPr>
          <w:p w14:paraId="4B2BC3D9" w14:textId="77777777" w:rsidR="00E56194" w:rsidRDefault="00E56194" w:rsidP="00E56194">
            <w:pPr>
              <w:rPr>
                <w:b/>
                <w:bCs/>
              </w:rPr>
            </w:pPr>
            <w:r w:rsidRPr="00D209C7">
              <w:rPr>
                <w:b/>
                <w:bCs/>
              </w:rPr>
              <w:t>Conclusion</w:t>
            </w:r>
          </w:p>
        </w:tc>
      </w:tr>
      <w:tr w:rsidR="00E56194" w14:paraId="6F464B2B" w14:textId="77777777" w:rsidTr="00E56194">
        <w:trPr>
          <w:trHeight w:val="1670"/>
        </w:trPr>
        <w:tc>
          <w:tcPr>
            <w:tcW w:w="4819" w:type="dxa"/>
            <w:shd w:val="clear" w:color="auto" w:fill="CAEDFB" w:themeFill="accent4" w:themeFillTint="33"/>
          </w:tcPr>
          <w:p w14:paraId="0816D717" w14:textId="77777777" w:rsidR="00E56194" w:rsidRDefault="00E56194" w:rsidP="00E56194">
            <w:r w:rsidRPr="008A34A6">
              <w:rPr>
                <w:sz w:val="22"/>
                <w:szCs w:val="22"/>
              </w:rPr>
              <w:t>Community Mental Health Services are essential in supporting individuals within the community. Despite challenges such as increasing demand and workforce pressures, these services remain central to delivering accessible and recovery-focused mental health care.</w:t>
            </w:r>
          </w:p>
        </w:tc>
      </w:tr>
    </w:tbl>
    <w:p w14:paraId="76BEAB33" w14:textId="77777777" w:rsidR="00E26320" w:rsidRPr="00A631C6" w:rsidRDefault="00E52115" w:rsidP="00A631C6">
      <w:r>
        <w:rPr>
          <w:b/>
          <w:bCs/>
        </w:rPr>
        <w:br w:type="page"/>
      </w:r>
      <w:r w:rsidR="00E26320" w:rsidRPr="00E26320">
        <w:rPr>
          <w:b/>
          <w:bCs/>
          <w:lang w:bidi="fa-IR"/>
        </w:rPr>
        <w:lastRenderedPageBreak/>
        <w:t>Dentistry Services in the UK</w:t>
      </w:r>
    </w:p>
    <w:p w14:paraId="0BBACA07"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Dentistry services in the UK play a significant role in maintaining oral health and preventing wider health complications. Oral health is closely linked to general wellbeing, as untreated dental conditions can lead to pain, infection and difficulties with eating and speaking. Poor oral health has also been associated with broader systemic conditions, including cardiovascular disease and diabetes, highlighting the importance of early intervention and prevention. Dental services therefore contribute not only to individual quality of life but also to broader public health outcomes (NHS, 2023).</w:t>
      </w:r>
    </w:p>
    <w:p w14:paraId="17E523D2"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b/>
          <w:bCs/>
          <w:color w:val="000000"/>
          <w:sz w:val="26"/>
          <w:szCs w:val="26"/>
          <w:lang w:val="en-US"/>
        </w:rPr>
      </w:pPr>
    </w:p>
    <w:p w14:paraId="4C9BE862"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Organized dental care in the UK developed gradually during the late nineteenth and early twentieth centuries. Before the establishment of the National Health Service (NHS) in 1948, access to dental treatment largely depended on an individual’s ability to pay. The creation of the NHS marked a major reform, making dental care more widely accessible and aiming to reduce health inequalities. However, high demand quickly created financial and organizational pressures, leading to ongoing reforms to manage costs and improve service delivery (The King’s Fund, 2023). These historical developments shaped the modern structure of NHS dentistry and continue to influence policy debates today.</w:t>
      </w:r>
    </w:p>
    <w:p w14:paraId="142EE12E"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p>
    <w:p w14:paraId="65815290"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Dentistry in England operates through a mixed system of NHS and private provision. In 2006, a new NHS dental contract was introduced based on Units of Dental Activity (UDAs), designed to measure workload and control expenditure. While the UDA system simplified funding arrangements, it has been criticized for not always reflecting the complexity of treatments required by individual patients (British Dental Association, 2022). Some argue that this model may priorities activity targets over patient-centered care.</w:t>
      </w:r>
    </w:p>
    <w:p w14:paraId="2D4948A3"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However, the payment structure has also been criticized for discouraging dentists from accepting high-need patients, as complex cases may require more time without additional financial reward. This has contributed to concerns about fairness and long-term sustainability within NHS dentistry, particularly in areas with higher levels of deprivation.</w:t>
      </w:r>
    </w:p>
    <w:p w14:paraId="6F746563"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p>
    <w:p w14:paraId="5F626E70"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Patients typically access NHS dental services by registering with a dental practice or through referral. Services include routine examinations, preventive treatments, fillings, extractions and emergency care. Preventive approaches aim to reduce long-term complications and improve population oral health outcomes (NHS England, 2023). Dental professionals operate within regulated frameworks to ensure safety and quality standards, supporting early detection and intervention. Regular monitoring and inspection processes also aim to maintain clinical accountability and protect patient safety.</w:t>
      </w:r>
    </w:p>
    <w:p w14:paraId="5E33B90B"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p>
    <w:p w14:paraId="014ECC97"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Despite its importance, NHS dentistry faces significant challenges. Workforce shortages and recruitment difficulties have affected service capacity in many regions. Funding pressures continue to impact access, particularly in deprived communities. Long waiting times and regional disparities have raised concerns regarding equitable access to care (NHS Digital, 2023).</w:t>
      </w:r>
    </w:p>
    <w:p w14:paraId="470B7E6B"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Recruitment and retention challenges have particularly affected rural and socioeconomically disadvantaged areas, where practices struggle to maintain NHS contracts. This further widens regional inequalities in access to dental care and highlights ongoing structural pressures within the system. As a result, some patients increasingly turn to private provision, which may intensify inequalities for those unable to afford alternative options.</w:t>
      </w:r>
    </w:p>
    <w:p w14:paraId="1EFDA63E"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p>
    <w:p w14:paraId="03DF4F86" w14:textId="77777777" w:rsidR="00A631C6" w:rsidRDefault="00E74B21" w:rsidP="00E74B21">
      <w:pPr>
        <w:tabs>
          <w:tab w:val="left" w:pos="4726"/>
        </w:tabs>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lastRenderedPageBreak/>
        <w:t>Recent policy discussions emphasize integration, prevention and sustainability within health and social care systems. Government strategies aim to improve collaboration and long-term planning to strengthen service provision (Department of Health and Social Care, 2022). Nevertheless, meaningful reform requires balancing financial constraints with patient need while maintaining quality standards.</w:t>
      </w:r>
    </w:p>
    <w:p w14:paraId="28FA8798"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t>Sustainable workforce planning and investment in preventive services are often highlighted as key priorities for future reform.</w:t>
      </w:r>
    </w:p>
    <w:p w14:paraId="2E30A9BD" w14:textId="77777777" w:rsidR="00E74B21" w:rsidRDefault="00E74B21" w:rsidP="00E74B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hAnsi="Helvetica Neue" w:cs="Helvetica Neue"/>
          <w:color w:val="000000"/>
          <w:sz w:val="26"/>
          <w:szCs w:val="26"/>
          <w:lang w:val="en-US"/>
        </w:rPr>
      </w:pPr>
    </w:p>
    <w:p w14:paraId="1BEC7122" w14:textId="77777777" w:rsidR="00E74B21" w:rsidRDefault="00E74B21" w:rsidP="00E74B21">
      <w:pPr>
        <w:tabs>
          <w:tab w:val="left" w:pos="4726"/>
        </w:tabs>
        <w:rPr>
          <w:rFonts w:ascii="Helvetica Neue" w:hAnsi="Helvetica Neue" w:cs="Helvetica Neue"/>
          <w:color w:val="000000"/>
          <w:sz w:val="22"/>
          <w:szCs w:val="22"/>
          <w:lang w:val="en-US"/>
        </w:rPr>
      </w:pPr>
      <w:r>
        <w:rPr>
          <w:rFonts w:ascii="Helvetica Neue" w:hAnsi="Helvetica Neue" w:cs="Helvetica Neue"/>
          <w:color w:val="000000"/>
          <w:sz w:val="26"/>
          <w:szCs w:val="26"/>
          <w:lang w:val="en-US"/>
        </w:rPr>
        <w:t>Dentistry services in the UK have evolved from limited private provision to a publicly supported system intended to improve access and reduce inequality. Although reforms such as the UDA system were introduced to improve efficiency, workforce shortages and funding pressures continue to challenge service delivery. Future reforms must balance financial sustainability with patient need, ensuring that prevention and equitable access remain central priorities within NHS dentistry while addressing persistent structural inequalities.</w:t>
      </w:r>
    </w:p>
    <w:p w14:paraId="58BCE50A" w14:textId="77777777" w:rsidR="00A631C6" w:rsidRDefault="00A631C6" w:rsidP="00A631C6">
      <w:pPr>
        <w:tabs>
          <w:tab w:val="left" w:pos="4726"/>
        </w:tabs>
        <w:rPr>
          <w:rFonts w:ascii="Helvetica Neue" w:hAnsi="Helvetica Neue" w:cs="Helvetica Neue"/>
          <w:color w:val="000000"/>
          <w:sz w:val="22"/>
          <w:szCs w:val="22"/>
          <w:lang w:val="en-US"/>
        </w:rPr>
      </w:pPr>
    </w:p>
    <w:p w14:paraId="61AB999B" w14:textId="77777777" w:rsidR="00A631C6" w:rsidRDefault="00A631C6" w:rsidP="00A631C6">
      <w:pPr>
        <w:tabs>
          <w:tab w:val="left" w:pos="4726"/>
        </w:tabs>
        <w:rPr>
          <w:rFonts w:ascii="Helvetica Neue" w:hAnsi="Helvetica Neue" w:cs="Helvetica Neue"/>
          <w:color w:val="000000"/>
          <w:sz w:val="22"/>
          <w:szCs w:val="22"/>
          <w:lang w:val="en-US"/>
        </w:rPr>
      </w:pPr>
    </w:p>
    <w:p w14:paraId="0F30BB82" w14:textId="77777777" w:rsidR="00A631C6" w:rsidRDefault="00A631C6" w:rsidP="00A631C6">
      <w:pPr>
        <w:tabs>
          <w:tab w:val="left" w:pos="4726"/>
        </w:tabs>
        <w:rPr>
          <w:rFonts w:ascii="Helvetica Neue" w:hAnsi="Helvetica Neue" w:cs="Helvetica Neue"/>
          <w:color w:val="000000"/>
          <w:sz w:val="22"/>
          <w:szCs w:val="22"/>
          <w:lang w:val="en-US"/>
        </w:rPr>
      </w:pPr>
    </w:p>
    <w:p w14:paraId="5B9628CA" w14:textId="77777777" w:rsidR="00A631C6" w:rsidRDefault="00A631C6" w:rsidP="00A631C6">
      <w:pPr>
        <w:tabs>
          <w:tab w:val="left" w:pos="4726"/>
        </w:tabs>
        <w:rPr>
          <w:rFonts w:ascii="Helvetica Neue" w:hAnsi="Helvetica Neue" w:cs="Helvetica Neue"/>
          <w:color w:val="000000"/>
          <w:sz w:val="22"/>
          <w:szCs w:val="22"/>
          <w:lang w:val="en-US"/>
        </w:rPr>
      </w:pPr>
    </w:p>
    <w:p w14:paraId="2AA7C0ED" w14:textId="77777777" w:rsidR="00A631C6" w:rsidRDefault="00A631C6" w:rsidP="00A631C6">
      <w:pPr>
        <w:tabs>
          <w:tab w:val="left" w:pos="4726"/>
        </w:tabs>
        <w:rPr>
          <w:rFonts w:ascii="Helvetica Neue" w:hAnsi="Helvetica Neue" w:cs="Helvetica Neue"/>
          <w:color w:val="000000"/>
          <w:sz w:val="22"/>
          <w:szCs w:val="22"/>
          <w:lang w:val="en-US"/>
        </w:rPr>
      </w:pPr>
    </w:p>
    <w:p w14:paraId="00A0FB06" w14:textId="77777777" w:rsidR="00A631C6" w:rsidRDefault="00A631C6" w:rsidP="00A631C6">
      <w:pPr>
        <w:tabs>
          <w:tab w:val="left" w:pos="4726"/>
        </w:tabs>
        <w:rPr>
          <w:rFonts w:ascii="Helvetica Neue" w:hAnsi="Helvetica Neue" w:cs="Helvetica Neue"/>
          <w:color w:val="000000"/>
          <w:sz w:val="22"/>
          <w:szCs w:val="22"/>
          <w:lang w:val="en-US"/>
        </w:rPr>
      </w:pPr>
    </w:p>
    <w:p w14:paraId="3ACACE20" w14:textId="77777777" w:rsidR="00A631C6" w:rsidRDefault="00A631C6" w:rsidP="00A631C6">
      <w:pPr>
        <w:tabs>
          <w:tab w:val="left" w:pos="4726"/>
        </w:tabs>
        <w:rPr>
          <w:rFonts w:ascii="Helvetica Neue" w:hAnsi="Helvetica Neue" w:cs="Helvetica Neue"/>
          <w:color w:val="000000"/>
          <w:sz w:val="22"/>
          <w:szCs w:val="22"/>
          <w:lang w:val="en-US"/>
        </w:rPr>
      </w:pPr>
    </w:p>
    <w:p w14:paraId="11527D44" w14:textId="77777777" w:rsidR="00A631C6" w:rsidRDefault="00A631C6" w:rsidP="00A631C6">
      <w:pPr>
        <w:tabs>
          <w:tab w:val="left" w:pos="4726"/>
        </w:tabs>
        <w:rPr>
          <w:rFonts w:ascii="Helvetica Neue" w:hAnsi="Helvetica Neue" w:cs="Helvetica Neue"/>
          <w:color w:val="000000"/>
          <w:sz w:val="22"/>
          <w:szCs w:val="22"/>
          <w:lang w:val="en-US"/>
        </w:rPr>
      </w:pPr>
    </w:p>
    <w:p w14:paraId="249C5E44" w14:textId="77777777" w:rsidR="00A631C6" w:rsidRDefault="00A631C6" w:rsidP="00A631C6">
      <w:pPr>
        <w:tabs>
          <w:tab w:val="left" w:pos="4726"/>
        </w:tabs>
        <w:rPr>
          <w:rFonts w:ascii="Helvetica Neue" w:hAnsi="Helvetica Neue" w:cs="Helvetica Neue"/>
          <w:color w:val="000000"/>
          <w:sz w:val="22"/>
          <w:szCs w:val="22"/>
          <w:lang w:val="en-US"/>
        </w:rPr>
      </w:pPr>
    </w:p>
    <w:p w14:paraId="1DD911E6" w14:textId="77777777" w:rsidR="00A631C6" w:rsidRDefault="00A631C6" w:rsidP="00A631C6">
      <w:pPr>
        <w:tabs>
          <w:tab w:val="left" w:pos="4726"/>
        </w:tabs>
        <w:rPr>
          <w:rFonts w:ascii="Helvetica Neue" w:hAnsi="Helvetica Neue" w:cs="Helvetica Neue"/>
          <w:color w:val="000000"/>
          <w:sz w:val="22"/>
          <w:szCs w:val="22"/>
          <w:lang w:val="en-US"/>
        </w:rPr>
      </w:pPr>
    </w:p>
    <w:p w14:paraId="2B906B10" w14:textId="77777777" w:rsidR="00A631C6" w:rsidRDefault="00A631C6" w:rsidP="00A631C6">
      <w:pPr>
        <w:tabs>
          <w:tab w:val="left" w:pos="4726"/>
        </w:tabs>
        <w:rPr>
          <w:rFonts w:ascii="Helvetica Neue" w:hAnsi="Helvetica Neue" w:cs="Helvetica Neue"/>
          <w:color w:val="000000"/>
          <w:sz w:val="22"/>
          <w:szCs w:val="22"/>
          <w:lang w:val="en-US"/>
        </w:rPr>
      </w:pPr>
    </w:p>
    <w:p w14:paraId="5E681BBA" w14:textId="77777777" w:rsidR="00A631C6" w:rsidRDefault="00A631C6" w:rsidP="00A631C6">
      <w:pPr>
        <w:tabs>
          <w:tab w:val="left" w:pos="4726"/>
        </w:tabs>
        <w:rPr>
          <w:rFonts w:ascii="Helvetica Neue" w:hAnsi="Helvetica Neue" w:cs="Helvetica Neue"/>
          <w:color w:val="000000"/>
          <w:sz w:val="22"/>
          <w:szCs w:val="22"/>
          <w:lang w:val="en-US"/>
        </w:rPr>
      </w:pPr>
    </w:p>
    <w:p w14:paraId="5AFCA362" w14:textId="77777777" w:rsidR="00A631C6" w:rsidRDefault="00A631C6" w:rsidP="00A631C6">
      <w:pPr>
        <w:tabs>
          <w:tab w:val="left" w:pos="4726"/>
        </w:tabs>
        <w:rPr>
          <w:rFonts w:ascii="Helvetica Neue" w:hAnsi="Helvetica Neue" w:cs="Helvetica Neue"/>
          <w:color w:val="000000"/>
          <w:sz w:val="22"/>
          <w:szCs w:val="22"/>
          <w:lang w:val="en-US"/>
        </w:rPr>
      </w:pPr>
    </w:p>
    <w:p w14:paraId="2914C743" w14:textId="77777777" w:rsidR="00A631C6" w:rsidRDefault="00A631C6" w:rsidP="00A631C6">
      <w:pPr>
        <w:tabs>
          <w:tab w:val="left" w:pos="4726"/>
        </w:tabs>
        <w:rPr>
          <w:rFonts w:ascii="Helvetica Neue" w:hAnsi="Helvetica Neue" w:cs="Helvetica Neue"/>
          <w:color w:val="000000"/>
          <w:sz w:val="22"/>
          <w:szCs w:val="22"/>
          <w:lang w:val="en-US"/>
        </w:rPr>
      </w:pPr>
    </w:p>
    <w:p w14:paraId="1D2D14F5" w14:textId="77777777" w:rsidR="00A631C6" w:rsidRDefault="00A631C6" w:rsidP="00A631C6">
      <w:pPr>
        <w:tabs>
          <w:tab w:val="left" w:pos="4726"/>
        </w:tabs>
        <w:rPr>
          <w:rFonts w:ascii="Helvetica Neue" w:hAnsi="Helvetica Neue" w:cs="Helvetica Neue"/>
          <w:color w:val="000000"/>
          <w:sz w:val="22"/>
          <w:szCs w:val="22"/>
          <w:lang w:val="en-US"/>
        </w:rPr>
      </w:pPr>
    </w:p>
    <w:p w14:paraId="6589B6A5" w14:textId="77777777" w:rsidR="00A631C6" w:rsidRDefault="00A631C6" w:rsidP="00A631C6">
      <w:pPr>
        <w:tabs>
          <w:tab w:val="left" w:pos="4726"/>
        </w:tabs>
        <w:rPr>
          <w:rFonts w:ascii="Helvetica Neue" w:hAnsi="Helvetica Neue" w:cs="Helvetica Neue"/>
          <w:color w:val="000000"/>
          <w:sz w:val="22"/>
          <w:szCs w:val="22"/>
          <w:lang w:val="en-US"/>
        </w:rPr>
      </w:pPr>
    </w:p>
    <w:p w14:paraId="6F30C842" w14:textId="77777777" w:rsidR="00A631C6" w:rsidRDefault="00A631C6" w:rsidP="00A631C6">
      <w:pPr>
        <w:tabs>
          <w:tab w:val="left" w:pos="4726"/>
        </w:tabs>
        <w:rPr>
          <w:rFonts w:ascii="Helvetica Neue" w:hAnsi="Helvetica Neue" w:cs="Helvetica Neue"/>
          <w:color w:val="000000"/>
          <w:sz w:val="22"/>
          <w:szCs w:val="22"/>
          <w:lang w:val="en-US"/>
        </w:rPr>
      </w:pPr>
    </w:p>
    <w:p w14:paraId="3D7F7088" w14:textId="77777777" w:rsidR="00E74B21" w:rsidRDefault="00E74B21" w:rsidP="00A631C6">
      <w:pPr>
        <w:tabs>
          <w:tab w:val="left" w:pos="4726"/>
        </w:tabs>
        <w:rPr>
          <w:rFonts w:ascii="Helvetica Neue" w:hAnsi="Helvetica Neue" w:cs="Helvetica Neue"/>
          <w:color w:val="000000"/>
          <w:sz w:val="22"/>
          <w:szCs w:val="22"/>
          <w:lang w:val="en-US"/>
        </w:rPr>
      </w:pPr>
    </w:p>
    <w:p w14:paraId="5D0CE21A" w14:textId="77777777" w:rsidR="00A631C6" w:rsidRDefault="00A631C6" w:rsidP="00A631C6">
      <w:pPr>
        <w:tabs>
          <w:tab w:val="left" w:pos="4726"/>
        </w:tabs>
        <w:rPr>
          <w:rFonts w:ascii="Helvetica Neue" w:hAnsi="Helvetica Neue" w:cs="Helvetica Neue"/>
          <w:color w:val="000000"/>
          <w:sz w:val="22"/>
          <w:szCs w:val="22"/>
          <w:lang w:val="en-US"/>
        </w:rPr>
      </w:pPr>
    </w:p>
    <w:p w14:paraId="524AF156" w14:textId="77777777" w:rsidR="00A631C6" w:rsidRDefault="00A631C6" w:rsidP="00A631C6">
      <w:pPr>
        <w:tabs>
          <w:tab w:val="left" w:pos="4726"/>
        </w:tabs>
        <w:rPr>
          <w:rFonts w:ascii="Helvetica Neue" w:hAnsi="Helvetica Neue" w:cs="Helvetica Neue"/>
          <w:color w:val="000000"/>
          <w:sz w:val="22"/>
          <w:szCs w:val="22"/>
          <w:lang w:val="en-US"/>
        </w:rPr>
      </w:pPr>
    </w:p>
    <w:p w14:paraId="20194DAE" w14:textId="77777777" w:rsidR="00A631C6" w:rsidRDefault="00A631C6" w:rsidP="00A631C6">
      <w:pPr>
        <w:tabs>
          <w:tab w:val="left" w:pos="4726"/>
        </w:tabs>
        <w:rPr>
          <w:rFonts w:ascii="Helvetica Neue" w:hAnsi="Helvetica Neue" w:cs="Helvetica Neue"/>
          <w:color w:val="000000"/>
          <w:sz w:val="22"/>
          <w:szCs w:val="22"/>
          <w:lang w:val="en-US"/>
        </w:rPr>
      </w:pPr>
    </w:p>
    <w:p w14:paraId="05C5D319" w14:textId="77777777" w:rsidR="00A631C6" w:rsidRPr="00A631C6" w:rsidRDefault="00A631C6" w:rsidP="00A631C6">
      <w:pPr>
        <w:tabs>
          <w:tab w:val="left" w:pos="4726"/>
        </w:tabs>
        <w:rPr>
          <w:b/>
          <w:bCs/>
          <w:sz w:val="22"/>
          <w:szCs w:val="22"/>
          <w:lang w:bidi="fa-IR"/>
        </w:rPr>
      </w:pPr>
      <w:r w:rsidRPr="00A631C6">
        <w:rPr>
          <w:b/>
          <w:bCs/>
          <w:sz w:val="22"/>
          <w:szCs w:val="22"/>
          <w:lang w:bidi="fa-IR"/>
        </w:rPr>
        <w:lastRenderedPageBreak/>
        <w:t>References</w:t>
      </w:r>
    </w:p>
    <w:p w14:paraId="1140131E"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British Dental Association (2022) </w:t>
      </w:r>
      <w:r w:rsidRPr="00A631C6">
        <w:rPr>
          <w:i/>
          <w:iCs/>
          <w:sz w:val="22"/>
          <w:szCs w:val="22"/>
          <w:lang w:val="en-US" w:bidi="fa-IR"/>
        </w:rPr>
        <w:t>The NHS dental contract in England</w:t>
      </w:r>
      <w:r w:rsidRPr="00A631C6">
        <w:rPr>
          <w:sz w:val="22"/>
          <w:szCs w:val="22"/>
          <w:lang w:val="en-US" w:bidi="fa-IR"/>
        </w:rPr>
        <w:t>. London: British Dental Association. Available at: https://www.bda.org (Accessed: 13 February 2026).</w:t>
      </w:r>
    </w:p>
    <w:p w14:paraId="622A1FBE" w14:textId="77777777" w:rsidR="00A631C6" w:rsidRPr="00A631C6" w:rsidRDefault="00A631C6" w:rsidP="00A631C6">
      <w:pPr>
        <w:tabs>
          <w:tab w:val="left" w:pos="4726"/>
        </w:tabs>
        <w:rPr>
          <w:sz w:val="22"/>
          <w:szCs w:val="22"/>
          <w:lang w:val="en-US" w:bidi="fa-IR"/>
        </w:rPr>
      </w:pPr>
    </w:p>
    <w:p w14:paraId="05109E8F"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Care Quality Commission (2023) </w:t>
      </w:r>
      <w:r w:rsidRPr="00A631C6">
        <w:rPr>
          <w:i/>
          <w:iCs/>
          <w:sz w:val="22"/>
          <w:szCs w:val="22"/>
          <w:lang w:val="en-US" w:bidi="fa-IR"/>
        </w:rPr>
        <w:t>Community mental health survey 2023</w:t>
      </w:r>
      <w:r w:rsidRPr="00A631C6">
        <w:rPr>
          <w:sz w:val="22"/>
          <w:szCs w:val="22"/>
          <w:lang w:val="en-US" w:bidi="fa-IR"/>
        </w:rPr>
        <w:t>. London: Care Quality Commission.</w:t>
      </w:r>
    </w:p>
    <w:p w14:paraId="699F81F4" w14:textId="77777777" w:rsidR="00A631C6" w:rsidRPr="00A631C6" w:rsidRDefault="00A631C6" w:rsidP="00A631C6">
      <w:pPr>
        <w:tabs>
          <w:tab w:val="left" w:pos="4726"/>
        </w:tabs>
        <w:rPr>
          <w:sz w:val="22"/>
          <w:szCs w:val="22"/>
          <w:lang w:val="en-US" w:bidi="fa-IR"/>
        </w:rPr>
      </w:pPr>
    </w:p>
    <w:p w14:paraId="27495BB6"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Department of Health and Social Care (2014) </w:t>
      </w:r>
      <w:r w:rsidRPr="00A631C6">
        <w:rPr>
          <w:i/>
          <w:iCs/>
          <w:sz w:val="22"/>
          <w:szCs w:val="22"/>
          <w:lang w:val="en-US" w:bidi="fa-IR"/>
        </w:rPr>
        <w:t>Care Act 2014</w:t>
      </w:r>
      <w:r w:rsidRPr="00A631C6">
        <w:rPr>
          <w:sz w:val="22"/>
          <w:szCs w:val="22"/>
          <w:lang w:val="en-US" w:bidi="fa-IR"/>
        </w:rPr>
        <w:t>. London: HMSO.</w:t>
      </w:r>
    </w:p>
    <w:p w14:paraId="44502870" w14:textId="77777777" w:rsidR="00A631C6" w:rsidRPr="00A631C6" w:rsidRDefault="00A631C6" w:rsidP="00A631C6">
      <w:pPr>
        <w:tabs>
          <w:tab w:val="left" w:pos="4726"/>
        </w:tabs>
        <w:rPr>
          <w:sz w:val="22"/>
          <w:szCs w:val="22"/>
          <w:lang w:val="en-US" w:bidi="fa-IR"/>
        </w:rPr>
      </w:pPr>
    </w:p>
    <w:p w14:paraId="522C29ED"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Great Britain (1983) </w:t>
      </w:r>
      <w:r w:rsidRPr="00A631C6">
        <w:rPr>
          <w:i/>
          <w:iCs/>
          <w:sz w:val="22"/>
          <w:szCs w:val="22"/>
          <w:lang w:val="en-US" w:bidi="fa-IR"/>
        </w:rPr>
        <w:t>Mental Health Act 1983</w:t>
      </w:r>
      <w:r w:rsidRPr="00A631C6">
        <w:rPr>
          <w:sz w:val="22"/>
          <w:szCs w:val="22"/>
          <w:lang w:val="en-US" w:bidi="fa-IR"/>
        </w:rPr>
        <w:t>. London: HMSO.</w:t>
      </w:r>
    </w:p>
    <w:p w14:paraId="03514FC1" w14:textId="77777777" w:rsidR="00A631C6" w:rsidRPr="00A631C6" w:rsidRDefault="00A631C6" w:rsidP="00A631C6">
      <w:pPr>
        <w:tabs>
          <w:tab w:val="left" w:pos="4726"/>
        </w:tabs>
        <w:rPr>
          <w:sz w:val="22"/>
          <w:szCs w:val="22"/>
          <w:lang w:val="en-US" w:bidi="fa-IR"/>
        </w:rPr>
      </w:pPr>
    </w:p>
    <w:p w14:paraId="616D4CBE"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NHS (2023) </w:t>
      </w:r>
      <w:r w:rsidRPr="00A631C6">
        <w:rPr>
          <w:i/>
          <w:iCs/>
          <w:sz w:val="22"/>
          <w:szCs w:val="22"/>
          <w:lang w:val="en-US" w:bidi="fa-IR"/>
        </w:rPr>
        <w:t>NHS dental services explained</w:t>
      </w:r>
      <w:r w:rsidRPr="00A631C6">
        <w:rPr>
          <w:sz w:val="22"/>
          <w:szCs w:val="22"/>
          <w:lang w:val="en-US" w:bidi="fa-IR"/>
        </w:rPr>
        <w:t>. Available at: https://www.nhs.uk/nhs-services/dentists/ (Accessed: 13 February 2026).</w:t>
      </w:r>
    </w:p>
    <w:p w14:paraId="3926069E" w14:textId="77777777" w:rsidR="00A631C6" w:rsidRPr="00A631C6" w:rsidRDefault="00A631C6" w:rsidP="00A631C6">
      <w:pPr>
        <w:tabs>
          <w:tab w:val="left" w:pos="4726"/>
        </w:tabs>
        <w:rPr>
          <w:sz w:val="22"/>
          <w:szCs w:val="22"/>
          <w:lang w:val="en-US" w:bidi="fa-IR"/>
        </w:rPr>
      </w:pPr>
    </w:p>
    <w:p w14:paraId="02D8B3F8"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NHS Digital (2023) </w:t>
      </w:r>
      <w:r w:rsidRPr="00A631C6">
        <w:rPr>
          <w:i/>
          <w:iCs/>
          <w:sz w:val="22"/>
          <w:szCs w:val="22"/>
          <w:lang w:val="en-US" w:bidi="fa-IR"/>
        </w:rPr>
        <w:t>Mental health statistics annual report</w:t>
      </w:r>
      <w:r w:rsidRPr="00A631C6">
        <w:rPr>
          <w:sz w:val="22"/>
          <w:szCs w:val="22"/>
          <w:lang w:val="en-US" w:bidi="fa-IR"/>
        </w:rPr>
        <w:t>. Leeds: NHS Digital.</w:t>
      </w:r>
    </w:p>
    <w:p w14:paraId="4E7CD908" w14:textId="77777777" w:rsidR="00A631C6" w:rsidRPr="00A631C6" w:rsidRDefault="00A631C6" w:rsidP="00A631C6">
      <w:pPr>
        <w:tabs>
          <w:tab w:val="left" w:pos="4726"/>
        </w:tabs>
        <w:rPr>
          <w:sz w:val="22"/>
          <w:szCs w:val="22"/>
          <w:lang w:val="en-US" w:bidi="fa-IR"/>
        </w:rPr>
      </w:pPr>
    </w:p>
    <w:p w14:paraId="269EDAA2"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NHS England (2023) </w:t>
      </w:r>
      <w:r w:rsidRPr="00A631C6">
        <w:rPr>
          <w:i/>
          <w:iCs/>
          <w:sz w:val="22"/>
          <w:szCs w:val="22"/>
          <w:lang w:val="en-US" w:bidi="fa-IR"/>
        </w:rPr>
        <w:t>Community mental health services framework</w:t>
      </w:r>
      <w:r w:rsidRPr="00A631C6">
        <w:rPr>
          <w:sz w:val="22"/>
          <w:szCs w:val="22"/>
          <w:lang w:val="en-US" w:bidi="fa-IR"/>
        </w:rPr>
        <w:t>. London: NHS England.</w:t>
      </w:r>
    </w:p>
    <w:p w14:paraId="37363159" w14:textId="77777777" w:rsidR="00A631C6" w:rsidRPr="00A631C6" w:rsidRDefault="00A631C6" w:rsidP="00A631C6">
      <w:pPr>
        <w:tabs>
          <w:tab w:val="left" w:pos="4726"/>
        </w:tabs>
        <w:rPr>
          <w:sz w:val="22"/>
          <w:szCs w:val="22"/>
          <w:lang w:val="en-US" w:bidi="fa-IR"/>
        </w:rPr>
      </w:pPr>
    </w:p>
    <w:p w14:paraId="350FFB86" w14:textId="77777777" w:rsid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Public Health England (2017) </w:t>
      </w:r>
      <w:r w:rsidRPr="00A631C6">
        <w:rPr>
          <w:i/>
          <w:iCs/>
          <w:sz w:val="22"/>
          <w:szCs w:val="22"/>
          <w:lang w:val="en-US" w:bidi="fa-IR"/>
        </w:rPr>
        <w:t>Delivering better oral health: An evidence-based toolkit for prevention</w:t>
      </w:r>
      <w:r w:rsidRPr="00A631C6">
        <w:rPr>
          <w:sz w:val="22"/>
          <w:szCs w:val="22"/>
          <w:lang w:val="en-US" w:bidi="fa-IR"/>
        </w:rPr>
        <w:t xml:space="preserve">. 3rd </w:t>
      </w:r>
      <w:proofErr w:type="spellStart"/>
      <w:r w:rsidRPr="00A631C6">
        <w:rPr>
          <w:sz w:val="22"/>
          <w:szCs w:val="22"/>
          <w:lang w:val="en-US" w:bidi="fa-IR"/>
        </w:rPr>
        <w:t>edn</w:t>
      </w:r>
      <w:proofErr w:type="spellEnd"/>
      <w:r w:rsidRPr="00A631C6">
        <w:rPr>
          <w:sz w:val="22"/>
          <w:szCs w:val="22"/>
          <w:lang w:val="en-US" w:bidi="fa-IR"/>
        </w:rPr>
        <w:t>. London: Public Health England.</w:t>
      </w:r>
    </w:p>
    <w:p w14:paraId="41311580" w14:textId="77777777" w:rsidR="00892EFB" w:rsidRDefault="00892EFB" w:rsidP="00892EFB">
      <w:pPr>
        <w:pStyle w:val="ListParagraph"/>
        <w:rPr>
          <w:sz w:val="22"/>
          <w:szCs w:val="22"/>
          <w:lang w:val="en-US" w:bidi="fa-IR"/>
        </w:rPr>
      </w:pPr>
    </w:p>
    <w:p w14:paraId="1312B6D4" w14:textId="77777777" w:rsidR="00892EFB" w:rsidRPr="00A631C6" w:rsidRDefault="00892EFB" w:rsidP="00892EFB">
      <w:pPr>
        <w:numPr>
          <w:ilvl w:val="0"/>
          <w:numId w:val="2"/>
        </w:numPr>
        <w:tabs>
          <w:tab w:val="left" w:pos="4726"/>
        </w:tabs>
        <w:rPr>
          <w:sz w:val="22"/>
          <w:szCs w:val="22"/>
          <w:lang w:val="en-US" w:bidi="fa-IR"/>
        </w:rPr>
      </w:pPr>
      <w:r w:rsidRPr="00892EFB">
        <w:rPr>
          <w:sz w:val="22"/>
          <w:szCs w:val="22"/>
          <w:lang w:val="en-US" w:bidi="fa-IR"/>
        </w:rPr>
        <w:t xml:space="preserve">Public Health England (2017) </w:t>
      </w:r>
      <w:r w:rsidRPr="00892EFB">
        <w:rPr>
          <w:i/>
          <w:iCs/>
          <w:sz w:val="22"/>
          <w:szCs w:val="22"/>
          <w:lang w:val="en-US" w:bidi="fa-IR"/>
        </w:rPr>
        <w:t>Delivering better oral health: An evidence-based toolkit for prevention</w:t>
      </w:r>
      <w:r w:rsidRPr="00892EFB">
        <w:rPr>
          <w:sz w:val="22"/>
          <w:szCs w:val="22"/>
          <w:lang w:val="en-US" w:bidi="fa-IR"/>
        </w:rPr>
        <w:t xml:space="preserve">. 3rd </w:t>
      </w:r>
      <w:proofErr w:type="spellStart"/>
      <w:r w:rsidRPr="00892EFB">
        <w:rPr>
          <w:sz w:val="22"/>
          <w:szCs w:val="22"/>
          <w:lang w:val="en-US" w:bidi="fa-IR"/>
        </w:rPr>
        <w:t>edn</w:t>
      </w:r>
      <w:proofErr w:type="spellEnd"/>
      <w:r w:rsidRPr="00892EFB">
        <w:rPr>
          <w:sz w:val="22"/>
          <w:szCs w:val="22"/>
          <w:lang w:val="en-US" w:bidi="fa-IR"/>
        </w:rPr>
        <w:t>. London: Public Health England.</w:t>
      </w:r>
    </w:p>
    <w:p w14:paraId="4FFCA8FF" w14:textId="77777777" w:rsidR="00A631C6" w:rsidRPr="00A631C6" w:rsidRDefault="00A631C6" w:rsidP="00A631C6">
      <w:pPr>
        <w:tabs>
          <w:tab w:val="left" w:pos="4726"/>
        </w:tabs>
        <w:rPr>
          <w:sz w:val="22"/>
          <w:szCs w:val="22"/>
          <w:lang w:val="en-US" w:bidi="fa-IR"/>
        </w:rPr>
      </w:pPr>
    </w:p>
    <w:p w14:paraId="2AEC3181" w14:textId="77777777" w:rsidR="00A631C6" w:rsidRPr="00A631C6" w:rsidRDefault="00A631C6" w:rsidP="00A631C6">
      <w:pPr>
        <w:numPr>
          <w:ilvl w:val="0"/>
          <w:numId w:val="2"/>
        </w:numPr>
        <w:tabs>
          <w:tab w:val="left" w:pos="4726"/>
        </w:tabs>
        <w:rPr>
          <w:sz w:val="22"/>
          <w:szCs w:val="22"/>
          <w:lang w:val="en-US" w:bidi="fa-IR"/>
        </w:rPr>
      </w:pPr>
      <w:r w:rsidRPr="00A631C6">
        <w:rPr>
          <w:sz w:val="22"/>
          <w:szCs w:val="22"/>
          <w:lang w:val="en-US" w:bidi="fa-IR"/>
        </w:rPr>
        <w:t xml:space="preserve">The King’s Fund (2023) </w:t>
      </w:r>
      <w:r w:rsidRPr="00A631C6">
        <w:rPr>
          <w:i/>
          <w:iCs/>
          <w:sz w:val="22"/>
          <w:szCs w:val="22"/>
          <w:lang w:val="en-US" w:bidi="fa-IR"/>
        </w:rPr>
        <w:t>NHS dentistry in England: challenges and reform</w:t>
      </w:r>
      <w:r w:rsidRPr="00A631C6">
        <w:rPr>
          <w:sz w:val="22"/>
          <w:szCs w:val="22"/>
          <w:lang w:val="en-US" w:bidi="fa-IR"/>
        </w:rPr>
        <w:t>. London: The King’s Fund. Available at: https://www.kingsfund.org.uk (Accessed: 13 February 2026).</w:t>
      </w:r>
    </w:p>
    <w:p w14:paraId="4233E6CC" w14:textId="77777777" w:rsidR="00A631C6" w:rsidRPr="00A631C6" w:rsidRDefault="00A631C6" w:rsidP="00A631C6">
      <w:pPr>
        <w:tabs>
          <w:tab w:val="left" w:pos="4726"/>
        </w:tabs>
        <w:rPr>
          <w:sz w:val="22"/>
          <w:szCs w:val="22"/>
          <w:lang w:val="en-US" w:bidi="fa-IR"/>
        </w:rPr>
      </w:pPr>
    </w:p>
    <w:p w14:paraId="5C29FE25" w14:textId="77777777" w:rsidR="00A631C6" w:rsidRPr="00A631C6" w:rsidRDefault="00A631C6" w:rsidP="00A631C6">
      <w:pPr>
        <w:numPr>
          <w:ilvl w:val="0"/>
          <w:numId w:val="2"/>
        </w:numPr>
        <w:tabs>
          <w:tab w:val="left" w:pos="4726"/>
        </w:tabs>
        <w:rPr>
          <w:sz w:val="22"/>
          <w:szCs w:val="22"/>
          <w:lang w:bidi="fa-IR"/>
        </w:rPr>
      </w:pPr>
      <w:r w:rsidRPr="00A631C6">
        <w:rPr>
          <w:sz w:val="22"/>
          <w:szCs w:val="22"/>
          <w:lang w:val="en-US" w:bidi="fa-IR"/>
        </w:rPr>
        <w:t xml:space="preserve">The National Archives (2022) </w:t>
      </w:r>
      <w:r w:rsidRPr="00A631C6">
        <w:rPr>
          <w:i/>
          <w:iCs/>
          <w:sz w:val="22"/>
          <w:szCs w:val="22"/>
          <w:lang w:val="en-US" w:bidi="fa-IR"/>
        </w:rPr>
        <w:t>The creation of the NHS in 1948</w:t>
      </w:r>
      <w:r w:rsidRPr="00A631C6">
        <w:rPr>
          <w:sz w:val="22"/>
          <w:szCs w:val="22"/>
          <w:lang w:val="en-US" w:bidi="fa-IR"/>
        </w:rPr>
        <w:t>. London: The National Archives. Available at: https://www.nationalarchives.gov.uk (Accessed: 13 February 2026).</w:t>
      </w:r>
    </w:p>
    <w:p w14:paraId="5207A9B5" w14:textId="77777777" w:rsidR="00A631C6" w:rsidRPr="00E64FEA" w:rsidRDefault="00A631C6" w:rsidP="00A631C6">
      <w:pPr>
        <w:tabs>
          <w:tab w:val="left" w:pos="4726"/>
        </w:tabs>
        <w:rPr>
          <w:sz w:val="22"/>
          <w:szCs w:val="22"/>
          <w:lang w:bidi="fa-IR"/>
        </w:rPr>
      </w:pPr>
    </w:p>
    <w:sectPr w:rsidR="00A631C6" w:rsidRPr="00E64FEA">
      <w:pgSz w:w="11907" w:h="16839"/>
      <w:pgMar w:top="720" w:right="720" w:bottom="720" w:left="720" w:header="720" w:footer="720" w:gutter="0"/>
      <w:cols w:space="720" w:equalWidth="0">
        <w:col w:w="10467"/>
      </w:cols>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57818"/>
    <w:multiLevelType w:val="hybridMultilevel"/>
    <w:tmpl w:val="28DCD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C213E7"/>
    <w:multiLevelType w:val="hybridMultilevel"/>
    <w:tmpl w:val="1F1A8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5199868">
    <w:abstractNumId w:val="1"/>
  </w:num>
  <w:num w:numId="2" w16cid:durableId="460080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001"/>
    <w:rsid w:val="000378DF"/>
    <w:rsid w:val="00287311"/>
    <w:rsid w:val="0036734F"/>
    <w:rsid w:val="00390FD8"/>
    <w:rsid w:val="00476A95"/>
    <w:rsid w:val="005A5FD3"/>
    <w:rsid w:val="0063167E"/>
    <w:rsid w:val="008258C8"/>
    <w:rsid w:val="0083567A"/>
    <w:rsid w:val="00860BA2"/>
    <w:rsid w:val="00892EFB"/>
    <w:rsid w:val="00893C61"/>
    <w:rsid w:val="008A34A6"/>
    <w:rsid w:val="008D3A8D"/>
    <w:rsid w:val="00A57732"/>
    <w:rsid w:val="00A631C6"/>
    <w:rsid w:val="00B21672"/>
    <w:rsid w:val="00BA3001"/>
    <w:rsid w:val="00BC543C"/>
    <w:rsid w:val="00C60116"/>
    <w:rsid w:val="00D209C7"/>
    <w:rsid w:val="00DB1591"/>
    <w:rsid w:val="00E26320"/>
    <w:rsid w:val="00E52115"/>
    <w:rsid w:val="00E56194"/>
    <w:rsid w:val="00E64FEA"/>
    <w:rsid w:val="00E74B21"/>
    <w:rsid w:val="00F34041"/>
    <w:rsid w:val="00FB4890"/>
    <w:rsid w:val="06C02FF7"/>
    <w:rsid w:val="076D012E"/>
    <w:rsid w:val="091B512B"/>
    <w:rsid w:val="09DB683B"/>
    <w:rsid w:val="0A013E7A"/>
    <w:rsid w:val="0F2733EE"/>
    <w:rsid w:val="120D3394"/>
    <w:rsid w:val="1248603F"/>
    <w:rsid w:val="139EDB83"/>
    <w:rsid w:val="161E48FC"/>
    <w:rsid w:val="190B7764"/>
    <w:rsid w:val="19C882A7"/>
    <w:rsid w:val="1A648AE2"/>
    <w:rsid w:val="1A65BC0E"/>
    <w:rsid w:val="1C646293"/>
    <w:rsid w:val="1C8C822B"/>
    <w:rsid w:val="1E937C95"/>
    <w:rsid w:val="1F18C15B"/>
    <w:rsid w:val="22565E90"/>
    <w:rsid w:val="23DEE5D8"/>
    <w:rsid w:val="24A1E6B6"/>
    <w:rsid w:val="2A085001"/>
    <w:rsid w:val="2A9F1E21"/>
    <w:rsid w:val="2AA6098C"/>
    <w:rsid w:val="2C33A501"/>
    <w:rsid w:val="2D06B94F"/>
    <w:rsid w:val="2F60378E"/>
    <w:rsid w:val="316E257B"/>
    <w:rsid w:val="351C56AB"/>
    <w:rsid w:val="383CD240"/>
    <w:rsid w:val="399759E9"/>
    <w:rsid w:val="39CC5580"/>
    <w:rsid w:val="3BA80E5F"/>
    <w:rsid w:val="3BDC0116"/>
    <w:rsid w:val="3EF9300C"/>
    <w:rsid w:val="414D3DF6"/>
    <w:rsid w:val="417B4596"/>
    <w:rsid w:val="44C2BAE2"/>
    <w:rsid w:val="461910FE"/>
    <w:rsid w:val="4716EB8E"/>
    <w:rsid w:val="4809D88D"/>
    <w:rsid w:val="48E341AC"/>
    <w:rsid w:val="49C22180"/>
    <w:rsid w:val="49C47E66"/>
    <w:rsid w:val="4A0FBA59"/>
    <w:rsid w:val="4C690043"/>
    <w:rsid w:val="5474B800"/>
    <w:rsid w:val="57196D66"/>
    <w:rsid w:val="57F8C9B3"/>
    <w:rsid w:val="5A0F52A5"/>
    <w:rsid w:val="5EBA293D"/>
    <w:rsid w:val="5FAF985E"/>
    <w:rsid w:val="610F15E5"/>
    <w:rsid w:val="61E3C5D1"/>
    <w:rsid w:val="61EE66E2"/>
    <w:rsid w:val="63E81F62"/>
    <w:rsid w:val="6834CF8A"/>
    <w:rsid w:val="6A6A03C7"/>
    <w:rsid w:val="6C6AFEBA"/>
    <w:rsid w:val="6D28CF97"/>
    <w:rsid w:val="6E79AA50"/>
    <w:rsid w:val="6FE8ECBD"/>
    <w:rsid w:val="74EC4FA3"/>
    <w:rsid w:val="78FB439C"/>
    <w:rsid w:val="7B5918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F71BA"/>
  <w15:chartTrackingRefBased/>
  <w15:docId w15:val="{D542BC5B-148C-A44E-A0C5-433CFBAA5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52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ehrshadezedin/Desktop/UWTSD%20Hwb%20final.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B79D5F-2754-E344-AE66-4AEEBA035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Hwb final.dotx</Template>
  <TotalTime>5</TotalTime>
  <Pages>5</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MEHRSHAD EZEDIN</cp:lastModifiedBy>
  <cp:revision>1</cp:revision>
  <cp:lastPrinted>2026-02-23T01:29:00Z</cp:lastPrinted>
  <dcterms:created xsi:type="dcterms:W3CDTF">2026-02-23T02:09:00Z</dcterms:created>
  <dcterms:modified xsi:type="dcterms:W3CDTF">2026-02-23T02:17:00Z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e042cc-d07b-4a2b-bb0d-2838b48f80eb_Enabled">
    <vt:lpwstr>true</vt:lpwstr>
  </property>
  <property fmtid="{D5CDD505-2E9C-101B-9397-08002B2CF9AE}" pid="3" name="MSIP_Label_aae042cc-d07b-4a2b-bb0d-2838b48f80eb_SetDate">
    <vt:lpwstr>2026-02-15T01:08:25Z</vt:lpwstr>
  </property>
  <property fmtid="{D5CDD505-2E9C-101B-9397-08002B2CF9AE}" pid="4" name="MSIP_Label_aae042cc-d07b-4a2b-bb0d-2838b48f80eb_Method">
    <vt:lpwstr>Privileged</vt:lpwstr>
  </property>
  <property fmtid="{D5CDD505-2E9C-101B-9397-08002B2CF9AE}" pid="5" name="MSIP_Label_aae042cc-d07b-4a2b-bb0d-2838b48f80eb_Name">
    <vt:lpwstr>Personal</vt:lpwstr>
  </property>
  <property fmtid="{D5CDD505-2E9C-101B-9397-08002B2CF9AE}" pid="6" name="MSIP_Label_aae042cc-d07b-4a2b-bb0d-2838b48f80eb_SiteId">
    <vt:lpwstr>23706653-cd57-4504-9a59-0960251db4b0</vt:lpwstr>
  </property>
  <property fmtid="{D5CDD505-2E9C-101B-9397-08002B2CF9AE}" pid="7" name="MSIP_Label_aae042cc-d07b-4a2b-bb0d-2838b48f80eb_ActionId">
    <vt:lpwstr>d76e98d7-f45e-4173-87b2-56912fa830e9</vt:lpwstr>
  </property>
  <property fmtid="{D5CDD505-2E9C-101B-9397-08002B2CF9AE}" pid="8" name="MSIP_Label_aae042cc-d07b-4a2b-bb0d-2838b48f80eb_ContentBits">
    <vt:lpwstr>0</vt:lpwstr>
  </property>
  <property fmtid="{D5CDD505-2E9C-101B-9397-08002B2CF9AE}" pid="9" name="MSIP_Label_aae042cc-d07b-4a2b-bb0d-2838b48f80eb_Tag">
    <vt:lpwstr>50, 0, 1, 1</vt:lpwstr>
  </property>
</Properties>
</file>