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47AFEBC6" w14:textId="4D082101" w:rsidR="00EA573E" w:rsidRPr="000B7408" w:rsidRDefault="00332F9F" w:rsidP="00332F9F">
      <w:pPr>
        <w:spacing w:line="360" w:lineRule="auto"/>
        <w:jc w:val="center"/>
        <w:rPr>
          <w:sz w:val="24"/>
          <w:szCs w:val="24"/>
          <w:u w:val="single"/>
        </w:rPr>
      </w:pPr>
      <w:r w:rsidRPr="000B7408">
        <w:rPr>
          <w:sz w:val="24"/>
          <w:szCs w:val="24"/>
          <w:u w:val="single"/>
        </w:rPr>
        <w:t xml:space="preserve">Written Exercise on Early Textual History and Performance </w:t>
      </w:r>
    </w:p>
    <w:p w14:paraId="7ACB402F" w14:textId="77777777" w:rsidR="00332F9F" w:rsidRPr="000B7408" w:rsidRDefault="00332F9F" w:rsidP="00332F9F">
      <w:pPr>
        <w:spacing w:line="360" w:lineRule="auto"/>
        <w:rPr>
          <w:sz w:val="24"/>
          <w:szCs w:val="24"/>
        </w:rPr>
      </w:pPr>
    </w:p>
    <w:p w14:paraId="3D9F3489" w14:textId="56089348" w:rsidR="00332F9F" w:rsidRPr="000B7408" w:rsidRDefault="00332F9F" w:rsidP="00332F9F">
      <w:pPr>
        <w:spacing w:line="360" w:lineRule="auto"/>
        <w:rPr>
          <w:sz w:val="24"/>
          <w:szCs w:val="24"/>
        </w:rPr>
      </w:pPr>
      <w:r w:rsidRPr="000B7408">
        <w:rPr>
          <w:sz w:val="24"/>
          <w:szCs w:val="24"/>
        </w:rPr>
        <w:t xml:space="preserve">THE | ALCHEMIST. | WRITTEN | by | BEN. IONSON. | [rule] </w:t>
      </w:r>
      <w:r w:rsidRPr="000B7408">
        <w:rPr>
          <w:i/>
          <w:iCs/>
          <w:sz w:val="24"/>
          <w:szCs w:val="24"/>
        </w:rPr>
        <w:t xml:space="preserve">Neque, me vt miretur turba, laboro: | Contentus paucis lectoribus. </w:t>
      </w:r>
      <w:r w:rsidRPr="000B7408">
        <w:rPr>
          <w:sz w:val="24"/>
          <w:szCs w:val="24"/>
        </w:rPr>
        <w:t xml:space="preserve">| [rule] | LONDON, | Printed by </w:t>
      </w:r>
      <w:r w:rsidRPr="000B7408">
        <w:rPr>
          <w:i/>
          <w:iCs/>
          <w:sz w:val="24"/>
          <w:szCs w:val="24"/>
        </w:rPr>
        <w:t>Thomas Snodham</w:t>
      </w:r>
      <w:r w:rsidRPr="000B7408">
        <w:rPr>
          <w:sz w:val="24"/>
          <w:szCs w:val="24"/>
        </w:rPr>
        <w:t xml:space="preserve">, for </w:t>
      </w:r>
      <w:r w:rsidRPr="000B7408">
        <w:rPr>
          <w:i/>
          <w:iCs/>
          <w:sz w:val="24"/>
          <w:szCs w:val="24"/>
        </w:rPr>
        <w:t>Walter Burre</w:t>
      </w:r>
      <w:r w:rsidRPr="000B7408">
        <w:rPr>
          <w:sz w:val="24"/>
          <w:szCs w:val="24"/>
        </w:rPr>
        <w:t xml:space="preserve">, | and are to be </w:t>
      </w:r>
      <w:r w:rsidR="00711DC9">
        <w:rPr>
          <w:sz w:val="24"/>
          <w:szCs w:val="24"/>
        </w:rPr>
        <w:t>ƒ</w:t>
      </w:r>
      <w:r w:rsidRPr="000B7408">
        <w:rPr>
          <w:sz w:val="24"/>
          <w:szCs w:val="24"/>
        </w:rPr>
        <w:t xml:space="preserve">old by </w:t>
      </w:r>
      <w:r w:rsidRPr="000B7408">
        <w:rPr>
          <w:i/>
          <w:iCs/>
          <w:sz w:val="24"/>
          <w:szCs w:val="24"/>
        </w:rPr>
        <w:t>Iohn Stepneth</w:t>
      </w:r>
      <w:r w:rsidRPr="000B7408">
        <w:rPr>
          <w:sz w:val="24"/>
          <w:szCs w:val="24"/>
        </w:rPr>
        <w:t>, at the | West-end of Paules. | 1612.</w:t>
      </w:r>
    </w:p>
    <w:p w14:paraId="117022C9" w14:textId="77777777" w:rsidR="00393DBB" w:rsidRDefault="00393DBB" w:rsidP="00332F9F">
      <w:pPr>
        <w:spacing w:line="360" w:lineRule="auto"/>
        <w:rPr>
          <w:sz w:val="24"/>
          <w:szCs w:val="24"/>
        </w:rPr>
      </w:pPr>
    </w:p>
    <w:p w14:paraId="0F932204" w14:textId="5C0B360E" w:rsidR="00E352E4" w:rsidRDefault="00393DBB" w:rsidP="00332F9F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>This early edition was formatted in</w:t>
      </w:r>
      <w:r w:rsidR="000F4A4D">
        <w:rPr>
          <w:sz w:val="24"/>
          <w:szCs w:val="24"/>
        </w:rPr>
        <w:t xml:space="preserve"> </w:t>
      </w:r>
      <w:r>
        <w:rPr>
          <w:sz w:val="24"/>
          <w:szCs w:val="24"/>
        </w:rPr>
        <w:t>quarto</w:t>
      </w:r>
      <w:r w:rsidR="005B2308">
        <w:rPr>
          <w:sz w:val="24"/>
          <w:szCs w:val="24"/>
        </w:rPr>
        <w:t xml:space="preserve"> (Q)</w:t>
      </w:r>
      <w:r w:rsidR="00CF256B" w:rsidRPr="000B7408">
        <w:rPr>
          <w:sz w:val="24"/>
          <w:szCs w:val="24"/>
        </w:rPr>
        <w:t>.</w:t>
      </w:r>
    </w:p>
    <w:p w14:paraId="69603BD9" w14:textId="77777777" w:rsidR="008D2084" w:rsidRDefault="008D2084" w:rsidP="008D2084">
      <w:pPr>
        <w:spacing w:line="360" w:lineRule="auto"/>
        <w:rPr>
          <w:sz w:val="24"/>
          <w:szCs w:val="24"/>
        </w:rPr>
      </w:pPr>
    </w:p>
    <w:p w14:paraId="09A96C7D" w14:textId="77777777" w:rsidR="008D2084" w:rsidRDefault="008D2084" w:rsidP="008D2084">
      <w:pPr>
        <w:spacing w:line="360" w:lineRule="auto"/>
        <w:rPr>
          <w:sz w:val="24"/>
          <w:szCs w:val="24"/>
        </w:rPr>
      </w:pPr>
    </w:p>
    <w:p w14:paraId="03426766" w14:textId="04CD2AAD" w:rsidR="00CF256B" w:rsidRDefault="003F2D75" w:rsidP="008D2084">
      <w:pPr>
        <w:spacing w:line="360" w:lineRule="auto"/>
        <w:rPr>
          <w:sz w:val="24"/>
          <w:szCs w:val="24"/>
        </w:rPr>
      </w:pPr>
      <w:r w:rsidRPr="000B7408">
        <w:rPr>
          <w:sz w:val="24"/>
          <w:szCs w:val="24"/>
        </w:rPr>
        <w:t xml:space="preserve">According to </w:t>
      </w:r>
      <w:r w:rsidR="00714CA8" w:rsidRPr="000B7408">
        <w:rPr>
          <w:sz w:val="24"/>
          <w:szCs w:val="24"/>
        </w:rPr>
        <w:t xml:space="preserve">the </w:t>
      </w:r>
      <w:r w:rsidR="00714CA8" w:rsidRPr="000B7408">
        <w:rPr>
          <w:i/>
          <w:iCs/>
          <w:sz w:val="24"/>
          <w:szCs w:val="24"/>
        </w:rPr>
        <w:t>English Renaissance Drama: A Norton Anthology,</w:t>
      </w:r>
      <w:r w:rsidR="00CF29C3" w:rsidRPr="000B7408">
        <w:rPr>
          <w:i/>
          <w:iCs/>
          <w:sz w:val="24"/>
          <w:szCs w:val="24"/>
        </w:rPr>
        <w:t xml:space="preserve"> </w:t>
      </w:r>
      <w:r w:rsidR="00CF29C3" w:rsidRPr="000B7408">
        <w:rPr>
          <w:sz w:val="24"/>
          <w:szCs w:val="24"/>
        </w:rPr>
        <w:t>it was on the 3</w:t>
      </w:r>
      <w:r w:rsidR="00CF29C3" w:rsidRPr="000B7408">
        <w:rPr>
          <w:sz w:val="24"/>
          <w:szCs w:val="24"/>
          <w:vertAlign w:val="superscript"/>
        </w:rPr>
        <w:t>rd</w:t>
      </w:r>
      <w:r w:rsidR="00CF29C3" w:rsidRPr="000B7408">
        <w:rPr>
          <w:sz w:val="24"/>
          <w:szCs w:val="24"/>
        </w:rPr>
        <w:t xml:space="preserve"> of </w:t>
      </w:r>
      <w:r w:rsidR="00A712F1" w:rsidRPr="000B7408">
        <w:rPr>
          <w:sz w:val="24"/>
          <w:szCs w:val="24"/>
        </w:rPr>
        <w:t>October</w:t>
      </w:r>
      <w:r w:rsidR="00CF29C3" w:rsidRPr="000B7408">
        <w:rPr>
          <w:sz w:val="24"/>
          <w:szCs w:val="24"/>
        </w:rPr>
        <w:t xml:space="preserve"> 1610, that</w:t>
      </w:r>
      <w:r w:rsidR="00714CA8" w:rsidRPr="000B7408">
        <w:rPr>
          <w:i/>
          <w:iCs/>
          <w:sz w:val="24"/>
          <w:szCs w:val="24"/>
        </w:rPr>
        <w:t xml:space="preserve"> </w:t>
      </w:r>
      <w:r w:rsidR="00C1453C" w:rsidRPr="000B7408">
        <w:rPr>
          <w:i/>
          <w:iCs/>
          <w:sz w:val="24"/>
          <w:szCs w:val="24"/>
        </w:rPr>
        <w:t xml:space="preserve">The Alchemist </w:t>
      </w:r>
      <w:r w:rsidR="00C1453C" w:rsidRPr="000B7408">
        <w:rPr>
          <w:sz w:val="24"/>
          <w:szCs w:val="24"/>
        </w:rPr>
        <w:t xml:space="preserve">was entered </w:t>
      </w:r>
      <w:r w:rsidR="00CF29C3" w:rsidRPr="000B7408">
        <w:rPr>
          <w:sz w:val="24"/>
          <w:szCs w:val="24"/>
        </w:rPr>
        <w:t>in the Stationers’ Register</w:t>
      </w:r>
      <w:r w:rsidR="00B87F2C" w:rsidRPr="000B7408">
        <w:rPr>
          <w:sz w:val="24"/>
          <w:szCs w:val="24"/>
        </w:rPr>
        <w:t xml:space="preserve"> for it </w:t>
      </w:r>
      <w:r w:rsidR="00BB57A3">
        <w:rPr>
          <w:sz w:val="24"/>
          <w:szCs w:val="24"/>
        </w:rPr>
        <w:t>to be then</w:t>
      </w:r>
      <w:r w:rsidR="00B87F2C" w:rsidRPr="000B7408">
        <w:rPr>
          <w:sz w:val="24"/>
          <w:szCs w:val="24"/>
        </w:rPr>
        <w:t xml:space="preserve"> published in 1612</w:t>
      </w:r>
      <w:r w:rsidR="00D87230">
        <w:rPr>
          <w:sz w:val="24"/>
          <w:szCs w:val="24"/>
        </w:rPr>
        <w:t xml:space="preserve"> in quarto format</w:t>
      </w:r>
      <w:r w:rsidR="0076392C">
        <w:rPr>
          <w:sz w:val="24"/>
          <w:szCs w:val="24"/>
        </w:rPr>
        <w:t>, which also featured a dedication to Mary, Lady Wroth, one of the first reputable female British poets</w:t>
      </w:r>
      <w:r w:rsidR="00DE75AA" w:rsidRPr="000B7408">
        <w:rPr>
          <w:sz w:val="24"/>
          <w:szCs w:val="24"/>
        </w:rPr>
        <w:t>. However, it is also believed that in his later folio edition</w:t>
      </w:r>
      <w:r w:rsidR="00AF423D">
        <w:rPr>
          <w:sz w:val="24"/>
          <w:szCs w:val="24"/>
        </w:rPr>
        <w:t>s</w:t>
      </w:r>
      <w:r w:rsidR="00DE75AA" w:rsidRPr="000B7408">
        <w:rPr>
          <w:sz w:val="24"/>
          <w:szCs w:val="24"/>
        </w:rPr>
        <w:t xml:space="preserve"> published in 1616, Jonson revised </w:t>
      </w:r>
      <w:r w:rsidR="0077067D" w:rsidRPr="000B7408">
        <w:rPr>
          <w:sz w:val="24"/>
          <w:szCs w:val="24"/>
        </w:rPr>
        <w:t>this text</w:t>
      </w:r>
      <w:r w:rsidR="00A55631" w:rsidRPr="000B7408">
        <w:rPr>
          <w:sz w:val="24"/>
          <w:szCs w:val="24"/>
        </w:rPr>
        <w:t xml:space="preserve"> “as the result of a kind of censorship,” which resulted in the </w:t>
      </w:r>
      <w:r w:rsidR="007C120A" w:rsidRPr="000B7408">
        <w:rPr>
          <w:sz w:val="24"/>
          <w:szCs w:val="24"/>
        </w:rPr>
        <w:t>few alterations to be “convincingly authorial.”</w:t>
      </w:r>
      <w:r w:rsidR="00EF6FA7" w:rsidRPr="000B7408">
        <w:rPr>
          <w:rStyle w:val="FootnoteReference"/>
          <w:sz w:val="24"/>
          <w:szCs w:val="24"/>
        </w:rPr>
        <w:footnoteReference w:id="1"/>
      </w:r>
      <w:r w:rsidR="00BF1B6B">
        <w:rPr>
          <w:sz w:val="24"/>
          <w:szCs w:val="24"/>
        </w:rPr>
        <w:t xml:space="preserve"> </w:t>
      </w:r>
    </w:p>
    <w:p w14:paraId="1E22787F" w14:textId="272876AA" w:rsidR="00B97A76" w:rsidRDefault="0022339D" w:rsidP="00332F9F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ab/>
      </w:r>
      <w:r w:rsidR="00EB44BF">
        <w:rPr>
          <w:sz w:val="24"/>
          <w:szCs w:val="24"/>
        </w:rPr>
        <w:t>A Transcript of the Registers of the Company of Stationers of London 1554 – 1640 shows that Walter Burre entered the 1610 entry</w:t>
      </w:r>
      <w:r w:rsidR="003B016E">
        <w:rPr>
          <w:sz w:val="24"/>
          <w:szCs w:val="24"/>
        </w:rPr>
        <w:t>, possibly as permission for the performance itself</w:t>
      </w:r>
      <w:r w:rsidR="00745643">
        <w:rPr>
          <w:sz w:val="24"/>
          <w:szCs w:val="24"/>
        </w:rPr>
        <w:t>.</w:t>
      </w:r>
      <w:r w:rsidR="00745643">
        <w:rPr>
          <w:rStyle w:val="FootnoteReference"/>
          <w:sz w:val="24"/>
          <w:szCs w:val="24"/>
        </w:rPr>
        <w:footnoteReference w:id="2"/>
      </w:r>
      <w:r w:rsidR="003A29EA">
        <w:rPr>
          <w:sz w:val="24"/>
          <w:szCs w:val="24"/>
        </w:rPr>
        <w:t xml:space="preserve"> </w:t>
      </w:r>
      <w:r w:rsidR="00186533">
        <w:rPr>
          <w:sz w:val="24"/>
          <w:szCs w:val="24"/>
        </w:rPr>
        <w:t xml:space="preserve">There are two more </w:t>
      </w:r>
      <w:r w:rsidR="00C973E9">
        <w:rPr>
          <w:sz w:val="24"/>
          <w:szCs w:val="24"/>
        </w:rPr>
        <w:t>entries, one on the 3</w:t>
      </w:r>
      <w:r w:rsidR="00C973E9" w:rsidRPr="00C973E9">
        <w:rPr>
          <w:sz w:val="24"/>
          <w:szCs w:val="24"/>
          <w:vertAlign w:val="superscript"/>
        </w:rPr>
        <w:t>rd</w:t>
      </w:r>
      <w:r w:rsidR="00C973E9">
        <w:rPr>
          <w:sz w:val="24"/>
          <w:szCs w:val="24"/>
        </w:rPr>
        <w:t xml:space="preserve"> of July 1930, under </w:t>
      </w:r>
      <w:r w:rsidR="00364F8C">
        <w:rPr>
          <w:sz w:val="24"/>
          <w:szCs w:val="24"/>
        </w:rPr>
        <w:t>John Spencer,</w:t>
      </w:r>
      <w:r w:rsidR="00364F8C">
        <w:rPr>
          <w:rStyle w:val="FootnoteReference"/>
          <w:sz w:val="24"/>
          <w:szCs w:val="24"/>
        </w:rPr>
        <w:footnoteReference w:id="3"/>
      </w:r>
      <w:r w:rsidR="00364F8C">
        <w:rPr>
          <w:sz w:val="24"/>
          <w:szCs w:val="24"/>
        </w:rPr>
        <w:t xml:space="preserve"> and another </w:t>
      </w:r>
      <w:r w:rsidR="00EB44BF">
        <w:rPr>
          <w:sz w:val="24"/>
          <w:szCs w:val="24"/>
        </w:rPr>
        <w:t>on July 4th, 1635 (entered under the hand of Walter Burre and master Mathew Lownes), which requested for the court to grant their copies</w:t>
      </w:r>
      <w:r w:rsidR="00720EED">
        <w:rPr>
          <w:sz w:val="24"/>
          <w:szCs w:val="24"/>
        </w:rPr>
        <w:t xml:space="preserve"> – possibly –</w:t>
      </w:r>
      <w:r w:rsidR="00EB44BF">
        <w:rPr>
          <w:sz w:val="24"/>
          <w:szCs w:val="24"/>
        </w:rPr>
        <w:t xml:space="preserve"> </w:t>
      </w:r>
      <w:r w:rsidR="00AB456C">
        <w:rPr>
          <w:sz w:val="24"/>
          <w:szCs w:val="24"/>
        </w:rPr>
        <w:t>permission</w:t>
      </w:r>
      <w:r w:rsidR="00720EED">
        <w:rPr>
          <w:sz w:val="24"/>
          <w:szCs w:val="24"/>
        </w:rPr>
        <w:t xml:space="preserve"> to</w:t>
      </w:r>
      <w:r w:rsidR="00EB44BF">
        <w:rPr>
          <w:sz w:val="24"/>
          <w:szCs w:val="24"/>
        </w:rPr>
        <w:t xml:space="preserve"> publication</w:t>
      </w:r>
      <w:r w:rsidR="00AB456C">
        <w:rPr>
          <w:sz w:val="24"/>
          <w:szCs w:val="24"/>
        </w:rPr>
        <w:t xml:space="preserve"> as </w:t>
      </w:r>
      <w:r w:rsidR="00224125">
        <w:rPr>
          <w:sz w:val="24"/>
          <w:szCs w:val="24"/>
        </w:rPr>
        <w:t xml:space="preserve">there </w:t>
      </w:r>
      <w:r w:rsidR="00720EED">
        <w:rPr>
          <w:sz w:val="24"/>
          <w:szCs w:val="24"/>
        </w:rPr>
        <w:t>is</w:t>
      </w:r>
      <w:r w:rsidR="00224125">
        <w:rPr>
          <w:sz w:val="24"/>
          <w:szCs w:val="24"/>
        </w:rPr>
        <w:t xml:space="preserve"> evidence of editions </w:t>
      </w:r>
      <w:r w:rsidR="00833DA5">
        <w:rPr>
          <w:sz w:val="24"/>
          <w:szCs w:val="24"/>
        </w:rPr>
        <w:t>printed on these dates</w:t>
      </w:r>
      <w:r w:rsidR="005856DA">
        <w:rPr>
          <w:sz w:val="24"/>
          <w:szCs w:val="24"/>
        </w:rPr>
        <w:t>.</w:t>
      </w:r>
      <w:r w:rsidR="00B97A76">
        <w:rPr>
          <w:rStyle w:val="FootnoteReference"/>
          <w:sz w:val="24"/>
          <w:szCs w:val="24"/>
        </w:rPr>
        <w:footnoteReference w:id="4"/>
      </w:r>
    </w:p>
    <w:p w14:paraId="76C13913" w14:textId="3310949F" w:rsidR="00E352E4" w:rsidRDefault="00F77FCB" w:rsidP="00B97A76">
      <w:pPr>
        <w:spacing w:line="360" w:lineRule="auto"/>
        <w:ind w:firstLine="720"/>
        <w:rPr>
          <w:sz w:val="24"/>
          <w:szCs w:val="24"/>
        </w:rPr>
      </w:pPr>
      <w:r>
        <w:rPr>
          <w:sz w:val="24"/>
          <w:szCs w:val="24"/>
        </w:rPr>
        <w:lastRenderedPageBreak/>
        <w:t xml:space="preserve">Furthermore, </w:t>
      </w:r>
      <w:r w:rsidR="00C2351E" w:rsidRPr="00C2351E">
        <w:rPr>
          <w:i/>
          <w:iCs/>
          <w:sz w:val="24"/>
          <w:szCs w:val="24"/>
        </w:rPr>
        <w:t>A Bibliography of the English Printed Drama to Restoration</w:t>
      </w:r>
      <w:r w:rsidR="00C2351E">
        <w:rPr>
          <w:sz w:val="24"/>
          <w:szCs w:val="24"/>
        </w:rPr>
        <w:t xml:space="preserve"> records that other editions were printed, including one on June 10</w:t>
      </w:r>
      <w:r w:rsidR="000525C0" w:rsidRPr="000525C0">
        <w:rPr>
          <w:sz w:val="24"/>
          <w:szCs w:val="24"/>
          <w:vertAlign w:val="superscript"/>
        </w:rPr>
        <w:t>th</w:t>
      </w:r>
      <w:r w:rsidR="00C2351E">
        <w:rPr>
          <w:sz w:val="24"/>
          <w:szCs w:val="24"/>
        </w:rPr>
        <w:t>, 1612, and July 30</w:t>
      </w:r>
      <w:r w:rsidR="000525C0" w:rsidRPr="000525C0">
        <w:rPr>
          <w:sz w:val="24"/>
          <w:szCs w:val="24"/>
          <w:vertAlign w:val="superscript"/>
        </w:rPr>
        <w:t>th</w:t>
      </w:r>
      <w:r w:rsidR="00C2351E">
        <w:rPr>
          <w:sz w:val="24"/>
          <w:szCs w:val="24"/>
        </w:rPr>
        <w:t>, 1630—both by Walter Burre—and</w:t>
      </w:r>
      <w:r w:rsidR="004367D0">
        <w:rPr>
          <w:sz w:val="24"/>
          <w:szCs w:val="24"/>
        </w:rPr>
        <w:t xml:space="preserve"> an edition</w:t>
      </w:r>
      <w:r w:rsidR="00790663">
        <w:rPr>
          <w:sz w:val="24"/>
          <w:szCs w:val="24"/>
        </w:rPr>
        <w:t xml:space="preserve"> in 1640 printed by Richard Bishop.</w:t>
      </w:r>
      <w:r w:rsidR="000525C0">
        <w:rPr>
          <w:rStyle w:val="FootnoteReference"/>
          <w:sz w:val="24"/>
          <w:szCs w:val="24"/>
        </w:rPr>
        <w:footnoteReference w:id="5"/>
      </w:r>
      <w:r w:rsidR="00A151A0">
        <w:rPr>
          <w:sz w:val="24"/>
          <w:szCs w:val="24"/>
        </w:rPr>
        <w:t xml:space="preserve"> It is possible that </w:t>
      </w:r>
      <w:r w:rsidR="007C2AEA">
        <w:rPr>
          <w:sz w:val="24"/>
          <w:szCs w:val="24"/>
        </w:rPr>
        <w:t xml:space="preserve">since these editions were not in the register, they </w:t>
      </w:r>
      <w:r w:rsidR="009041E1">
        <w:rPr>
          <w:sz w:val="24"/>
          <w:szCs w:val="24"/>
        </w:rPr>
        <w:t>may not have been printed under a legal licence</w:t>
      </w:r>
      <w:r w:rsidR="00CF74BB">
        <w:rPr>
          <w:sz w:val="24"/>
          <w:szCs w:val="24"/>
        </w:rPr>
        <w:t>, or perhaps the information has been lost over time</w:t>
      </w:r>
      <w:r w:rsidR="001F4264">
        <w:rPr>
          <w:sz w:val="24"/>
          <w:szCs w:val="24"/>
        </w:rPr>
        <w:t>. H</w:t>
      </w:r>
      <w:r w:rsidR="00CF74BB">
        <w:rPr>
          <w:sz w:val="24"/>
          <w:szCs w:val="24"/>
        </w:rPr>
        <w:t>owever</w:t>
      </w:r>
      <w:r w:rsidR="001F4264">
        <w:rPr>
          <w:sz w:val="24"/>
          <w:szCs w:val="24"/>
        </w:rPr>
        <w:t>,</w:t>
      </w:r>
      <w:r w:rsidR="00CF74BB">
        <w:rPr>
          <w:sz w:val="24"/>
          <w:szCs w:val="24"/>
        </w:rPr>
        <w:t xml:space="preserve"> it is </w:t>
      </w:r>
      <w:r w:rsidR="001F4264">
        <w:rPr>
          <w:sz w:val="24"/>
          <w:szCs w:val="24"/>
        </w:rPr>
        <w:t>important</w:t>
      </w:r>
      <w:r w:rsidR="00CF74BB">
        <w:rPr>
          <w:sz w:val="24"/>
          <w:szCs w:val="24"/>
        </w:rPr>
        <w:t xml:space="preserve"> to note that, according </w:t>
      </w:r>
      <w:r w:rsidR="001F4264">
        <w:rPr>
          <w:sz w:val="24"/>
          <w:szCs w:val="24"/>
        </w:rPr>
        <w:t>to</w:t>
      </w:r>
      <w:r w:rsidR="00CF74BB">
        <w:rPr>
          <w:sz w:val="24"/>
          <w:szCs w:val="24"/>
        </w:rPr>
        <w:t xml:space="preserve"> </w:t>
      </w:r>
      <w:r w:rsidR="001F4264">
        <w:rPr>
          <w:sz w:val="24"/>
          <w:szCs w:val="24"/>
        </w:rPr>
        <w:t>W. W. Greg,</w:t>
      </w:r>
      <w:r w:rsidR="008B3A9D">
        <w:rPr>
          <w:sz w:val="24"/>
          <w:szCs w:val="24"/>
        </w:rPr>
        <w:t xml:space="preserve"> even if copies f</w:t>
      </w:r>
      <w:r w:rsidR="00F461C4">
        <w:rPr>
          <w:sz w:val="24"/>
          <w:szCs w:val="24"/>
        </w:rPr>
        <w:t>oun</w:t>
      </w:r>
      <w:r w:rsidR="008B3A9D">
        <w:rPr>
          <w:sz w:val="24"/>
          <w:szCs w:val="24"/>
        </w:rPr>
        <w:t xml:space="preserve">d their way into the register, it does not </w:t>
      </w:r>
      <w:r w:rsidR="006F39E4">
        <w:rPr>
          <w:sz w:val="24"/>
          <w:szCs w:val="24"/>
        </w:rPr>
        <w:t>necessarily</w:t>
      </w:r>
      <w:r w:rsidR="008B3A9D">
        <w:rPr>
          <w:sz w:val="24"/>
          <w:szCs w:val="24"/>
        </w:rPr>
        <w:t xml:space="preserve"> mean that they </w:t>
      </w:r>
      <w:r w:rsidR="006F39E4">
        <w:rPr>
          <w:sz w:val="24"/>
          <w:szCs w:val="24"/>
        </w:rPr>
        <w:t>“received less than the due measure of allowance</w:t>
      </w:r>
      <w:r w:rsidR="001E786A">
        <w:rPr>
          <w:sz w:val="24"/>
          <w:szCs w:val="24"/>
        </w:rPr>
        <w:t>,</w:t>
      </w:r>
      <w:r w:rsidR="006F39E4">
        <w:rPr>
          <w:sz w:val="24"/>
          <w:szCs w:val="24"/>
        </w:rPr>
        <w:t>”</w:t>
      </w:r>
      <w:r w:rsidR="00541B8B">
        <w:rPr>
          <w:sz w:val="24"/>
          <w:szCs w:val="24"/>
        </w:rPr>
        <w:t xml:space="preserve"> as not many have the information to state whether they </w:t>
      </w:r>
      <w:r w:rsidR="001E786A">
        <w:rPr>
          <w:sz w:val="24"/>
          <w:szCs w:val="24"/>
        </w:rPr>
        <w:t>had an entrance on behalf of the Stationers Company.</w:t>
      </w:r>
      <w:r w:rsidR="007D7D4B">
        <w:rPr>
          <w:rStyle w:val="FootnoteReference"/>
          <w:sz w:val="24"/>
          <w:szCs w:val="24"/>
        </w:rPr>
        <w:footnoteReference w:id="6"/>
      </w:r>
    </w:p>
    <w:p w14:paraId="06F3FDB7" w14:textId="58F9DA82" w:rsidR="009D5B8D" w:rsidRDefault="00F461C4" w:rsidP="00332F9F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ab/>
      </w:r>
      <w:r w:rsidR="00514AA9">
        <w:rPr>
          <w:sz w:val="24"/>
          <w:szCs w:val="24"/>
        </w:rPr>
        <w:t xml:space="preserve">The play was </w:t>
      </w:r>
      <w:r w:rsidR="00A80105">
        <w:rPr>
          <w:sz w:val="24"/>
          <w:szCs w:val="24"/>
        </w:rPr>
        <w:t>meant to be first performed at the Blackfriars</w:t>
      </w:r>
      <w:r w:rsidR="001515DF">
        <w:rPr>
          <w:sz w:val="24"/>
          <w:szCs w:val="24"/>
        </w:rPr>
        <w:t xml:space="preserve"> in 1610</w:t>
      </w:r>
      <w:r w:rsidR="000B36AC">
        <w:rPr>
          <w:sz w:val="24"/>
          <w:szCs w:val="24"/>
        </w:rPr>
        <w:t xml:space="preserve"> at</w:t>
      </w:r>
      <w:r w:rsidR="00805EEE">
        <w:rPr>
          <w:sz w:val="24"/>
          <w:szCs w:val="24"/>
        </w:rPr>
        <w:t xml:space="preserve"> </w:t>
      </w:r>
      <w:r w:rsidR="000D375D">
        <w:rPr>
          <w:sz w:val="24"/>
          <w:szCs w:val="24"/>
        </w:rPr>
        <w:t xml:space="preserve">a </w:t>
      </w:r>
      <w:r w:rsidR="007010C8">
        <w:rPr>
          <w:sz w:val="24"/>
          <w:szCs w:val="24"/>
        </w:rPr>
        <w:t>“former monastic refectory which had been leased by the King’s Men as an indoor playhouse since 1608</w:t>
      </w:r>
      <w:r w:rsidR="008B5BCD">
        <w:rPr>
          <w:sz w:val="24"/>
          <w:szCs w:val="24"/>
        </w:rPr>
        <w:t>,</w:t>
      </w:r>
      <w:r w:rsidR="007010C8">
        <w:rPr>
          <w:sz w:val="24"/>
          <w:szCs w:val="24"/>
        </w:rPr>
        <w:t>”</w:t>
      </w:r>
      <w:r w:rsidR="008B5BCD">
        <w:rPr>
          <w:sz w:val="24"/>
          <w:szCs w:val="24"/>
        </w:rPr>
        <w:t xml:space="preserve"> it is also said that </w:t>
      </w:r>
      <w:r w:rsidR="00805EEE">
        <w:rPr>
          <w:sz w:val="24"/>
          <w:szCs w:val="24"/>
        </w:rPr>
        <w:t xml:space="preserve">Jonson acquired </w:t>
      </w:r>
      <w:r w:rsidR="000B36AC">
        <w:rPr>
          <w:sz w:val="24"/>
          <w:szCs w:val="24"/>
        </w:rPr>
        <w:t>a house in Blackfriars in 1607</w:t>
      </w:r>
      <w:r w:rsidR="00805EEE">
        <w:rPr>
          <w:sz w:val="24"/>
          <w:szCs w:val="24"/>
        </w:rPr>
        <w:t>.</w:t>
      </w:r>
      <w:r w:rsidR="000B36AC">
        <w:rPr>
          <w:rStyle w:val="FootnoteReference"/>
          <w:sz w:val="24"/>
          <w:szCs w:val="24"/>
        </w:rPr>
        <w:footnoteReference w:id="7"/>
      </w:r>
      <w:r w:rsidR="00805EEE">
        <w:rPr>
          <w:sz w:val="24"/>
          <w:szCs w:val="24"/>
        </w:rPr>
        <w:t xml:space="preserve"> </w:t>
      </w:r>
      <w:r w:rsidR="001515DF">
        <w:rPr>
          <w:sz w:val="24"/>
          <w:szCs w:val="24"/>
        </w:rPr>
        <w:t xml:space="preserve">However, this never </w:t>
      </w:r>
      <w:r w:rsidR="0086040C">
        <w:rPr>
          <w:sz w:val="24"/>
          <w:szCs w:val="24"/>
        </w:rPr>
        <w:t xml:space="preserve">happened due to an epidemic of the plague, yet evidence suggests that the play still took place </w:t>
      </w:r>
      <w:r w:rsidR="00252935">
        <w:rPr>
          <w:sz w:val="24"/>
          <w:szCs w:val="24"/>
        </w:rPr>
        <w:t>on a tour in Oxford in September of the same year</w:t>
      </w:r>
      <w:r w:rsidR="00C777E3">
        <w:rPr>
          <w:sz w:val="24"/>
          <w:szCs w:val="24"/>
        </w:rPr>
        <w:t>.</w:t>
      </w:r>
      <w:r w:rsidR="00C777E3">
        <w:rPr>
          <w:rStyle w:val="FootnoteReference"/>
          <w:sz w:val="24"/>
          <w:szCs w:val="24"/>
        </w:rPr>
        <w:footnoteReference w:id="8"/>
      </w:r>
      <w:r w:rsidR="00340C24">
        <w:rPr>
          <w:sz w:val="24"/>
          <w:szCs w:val="24"/>
        </w:rPr>
        <w:t xml:space="preserve"> </w:t>
      </w:r>
      <w:r w:rsidR="0086040C">
        <w:rPr>
          <w:sz w:val="24"/>
          <w:szCs w:val="24"/>
        </w:rPr>
        <w:t xml:space="preserve">Ten actors in </w:t>
      </w:r>
      <w:r w:rsidR="00693151">
        <w:rPr>
          <w:sz w:val="24"/>
          <w:szCs w:val="24"/>
        </w:rPr>
        <w:t>King’s Men (who employed Jonson as a playwright and actor) played the male parts</w:t>
      </w:r>
      <w:r w:rsidR="00050BF2">
        <w:rPr>
          <w:sz w:val="24"/>
          <w:szCs w:val="24"/>
        </w:rPr>
        <w:t>,</w:t>
      </w:r>
      <w:r w:rsidR="00304382">
        <w:rPr>
          <w:sz w:val="24"/>
          <w:szCs w:val="24"/>
        </w:rPr>
        <w:t xml:space="preserve"> which Jonson listed as </w:t>
      </w:r>
      <w:r w:rsidR="00E819A8">
        <w:rPr>
          <w:sz w:val="24"/>
          <w:szCs w:val="24"/>
        </w:rPr>
        <w:t xml:space="preserve">the </w:t>
      </w:r>
      <w:r w:rsidR="00304382">
        <w:rPr>
          <w:sz w:val="24"/>
          <w:szCs w:val="24"/>
        </w:rPr>
        <w:t>“</w:t>
      </w:r>
      <w:r w:rsidR="00050BF2">
        <w:rPr>
          <w:sz w:val="24"/>
          <w:szCs w:val="24"/>
        </w:rPr>
        <w:t>principal Comedian</w:t>
      </w:r>
      <w:r w:rsidR="00E819A8">
        <w:rPr>
          <w:sz w:val="24"/>
          <w:szCs w:val="24"/>
        </w:rPr>
        <w:t>s.</w:t>
      </w:r>
      <w:r w:rsidR="00050BF2">
        <w:rPr>
          <w:sz w:val="24"/>
          <w:szCs w:val="24"/>
        </w:rPr>
        <w:t xml:space="preserve">” </w:t>
      </w:r>
      <w:r w:rsidR="00E819A8">
        <w:rPr>
          <w:sz w:val="24"/>
          <w:szCs w:val="24"/>
        </w:rPr>
        <w:t xml:space="preserve">Whose names are </w:t>
      </w:r>
      <w:r w:rsidR="001B7DE1">
        <w:rPr>
          <w:sz w:val="24"/>
          <w:szCs w:val="24"/>
        </w:rPr>
        <w:t>Richard Burbage as Face</w:t>
      </w:r>
      <w:r w:rsidR="00DD7C4D">
        <w:rPr>
          <w:sz w:val="24"/>
          <w:szCs w:val="24"/>
        </w:rPr>
        <w:t>;</w:t>
      </w:r>
      <w:r w:rsidR="001B7DE1">
        <w:rPr>
          <w:sz w:val="24"/>
          <w:szCs w:val="24"/>
        </w:rPr>
        <w:t xml:space="preserve"> </w:t>
      </w:r>
      <w:r w:rsidR="003422E2">
        <w:rPr>
          <w:sz w:val="24"/>
          <w:szCs w:val="24"/>
        </w:rPr>
        <w:t>John Lowin as Mammon</w:t>
      </w:r>
      <w:r w:rsidR="00DD7C4D">
        <w:rPr>
          <w:sz w:val="24"/>
          <w:szCs w:val="24"/>
        </w:rPr>
        <w:t>;</w:t>
      </w:r>
      <w:r w:rsidR="003422E2">
        <w:rPr>
          <w:sz w:val="24"/>
          <w:szCs w:val="24"/>
        </w:rPr>
        <w:t xml:space="preserve"> John Heminges as Subtle</w:t>
      </w:r>
      <w:r w:rsidR="00DD7C4D">
        <w:rPr>
          <w:sz w:val="24"/>
          <w:szCs w:val="24"/>
        </w:rPr>
        <w:t xml:space="preserve">; </w:t>
      </w:r>
      <w:r w:rsidR="002C2588">
        <w:rPr>
          <w:sz w:val="24"/>
          <w:szCs w:val="24"/>
        </w:rPr>
        <w:t>Henry Condel as Surl</w:t>
      </w:r>
      <w:r w:rsidR="00DD7C4D">
        <w:rPr>
          <w:sz w:val="24"/>
          <w:szCs w:val="24"/>
        </w:rPr>
        <w:t>y;</w:t>
      </w:r>
      <w:r w:rsidR="002C2588">
        <w:rPr>
          <w:sz w:val="24"/>
          <w:szCs w:val="24"/>
        </w:rPr>
        <w:t xml:space="preserve"> William Ostler as Lovewit</w:t>
      </w:r>
      <w:r w:rsidR="005716A0">
        <w:rPr>
          <w:sz w:val="24"/>
          <w:szCs w:val="24"/>
        </w:rPr>
        <w:t>;</w:t>
      </w:r>
      <w:r w:rsidR="002C2588">
        <w:rPr>
          <w:sz w:val="24"/>
          <w:szCs w:val="24"/>
        </w:rPr>
        <w:t xml:space="preserve"> </w:t>
      </w:r>
      <w:r w:rsidR="00DD7C4D">
        <w:rPr>
          <w:sz w:val="24"/>
          <w:szCs w:val="24"/>
        </w:rPr>
        <w:t>William</w:t>
      </w:r>
      <w:r w:rsidR="005716A0">
        <w:rPr>
          <w:sz w:val="24"/>
          <w:szCs w:val="24"/>
        </w:rPr>
        <w:t xml:space="preserve"> Edlestone as Kastril; Robert Arnub as Drugger;</w:t>
      </w:r>
      <w:r w:rsidR="00993685">
        <w:rPr>
          <w:sz w:val="24"/>
          <w:szCs w:val="24"/>
        </w:rPr>
        <w:t xml:space="preserve"> Nic</w:t>
      </w:r>
      <w:r w:rsidR="00D96FA0">
        <w:rPr>
          <w:sz w:val="24"/>
          <w:szCs w:val="24"/>
        </w:rPr>
        <w:t xml:space="preserve">holas Tooley as </w:t>
      </w:r>
      <w:r w:rsidR="004B788B">
        <w:rPr>
          <w:sz w:val="24"/>
          <w:szCs w:val="24"/>
        </w:rPr>
        <w:t>Tribulation</w:t>
      </w:r>
      <w:r w:rsidR="00D96FA0">
        <w:rPr>
          <w:sz w:val="24"/>
          <w:szCs w:val="24"/>
        </w:rPr>
        <w:t xml:space="preserve"> Wholesone; Alexander Cooke as Ananias; </w:t>
      </w:r>
      <w:r w:rsidR="004B788B">
        <w:rPr>
          <w:sz w:val="24"/>
          <w:szCs w:val="24"/>
        </w:rPr>
        <w:t>and John Underwood as Dapper</w:t>
      </w:r>
      <w:r w:rsidR="00C12916">
        <w:rPr>
          <w:sz w:val="24"/>
          <w:szCs w:val="24"/>
        </w:rPr>
        <w:t>. Unfortunately, the boy apprentice who played the female parts is unknown.</w:t>
      </w:r>
      <w:r w:rsidR="00C12916">
        <w:rPr>
          <w:rStyle w:val="FootnoteReference"/>
          <w:sz w:val="24"/>
          <w:szCs w:val="24"/>
        </w:rPr>
        <w:footnoteReference w:id="9"/>
      </w:r>
      <w:r w:rsidR="003A3EF5">
        <w:rPr>
          <w:sz w:val="24"/>
          <w:szCs w:val="24"/>
        </w:rPr>
        <w:t xml:space="preserve"> It is also </w:t>
      </w:r>
      <w:r w:rsidR="003B0BEC">
        <w:rPr>
          <w:sz w:val="24"/>
          <w:szCs w:val="24"/>
        </w:rPr>
        <w:t xml:space="preserve">believed that this was </w:t>
      </w:r>
      <w:r w:rsidR="00357F30">
        <w:rPr>
          <w:sz w:val="24"/>
          <w:szCs w:val="24"/>
        </w:rPr>
        <w:t>Jonson's only play</w:t>
      </w:r>
      <w:r w:rsidR="003B0BEC">
        <w:rPr>
          <w:sz w:val="24"/>
          <w:szCs w:val="24"/>
        </w:rPr>
        <w:t xml:space="preserve"> “to provide material for the ‘drolls’ </w:t>
      </w:r>
      <w:r w:rsidR="00385378">
        <w:rPr>
          <w:sz w:val="24"/>
          <w:szCs w:val="24"/>
        </w:rPr>
        <w:t xml:space="preserve">or farces made up from comic scenes,” which </w:t>
      </w:r>
      <w:r w:rsidR="00CB2187">
        <w:rPr>
          <w:sz w:val="24"/>
          <w:szCs w:val="24"/>
        </w:rPr>
        <w:t>wasn’t as common during this period.</w:t>
      </w:r>
      <w:r w:rsidR="00CB2187">
        <w:rPr>
          <w:rStyle w:val="FootnoteReference"/>
          <w:sz w:val="24"/>
          <w:szCs w:val="24"/>
        </w:rPr>
        <w:footnoteReference w:id="10"/>
      </w:r>
      <w:r w:rsidR="00CB2187">
        <w:rPr>
          <w:sz w:val="24"/>
          <w:szCs w:val="24"/>
        </w:rPr>
        <w:t xml:space="preserve"> Plays were often on bare stages, and dialect was the </w:t>
      </w:r>
      <w:r w:rsidR="00357F30">
        <w:rPr>
          <w:sz w:val="24"/>
          <w:szCs w:val="24"/>
        </w:rPr>
        <w:t>primary</w:t>
      </w:r>
      <w:r w:rsidR="00CB2187">
        <w:rPr>
          <w:sz w:val="24"/>
          <w:szCs w:val="24"/>
        </w:rPr>
        <w:t xml:space="preserve"> way for the audience to know what, where, and when scenes </w:t>
      </w:r>
      <w:r w:rsidR="00357F30">
        <w:rPr>
          <w:sz w:val="24"/>
          <w:szCs w:val="24"/>
        </w:rPr>
        <w:t>occurred</w:t>
      </w:r>
      <w:r w:rsidR="00CB2187">
        <w:rPr>
          <w:sz w:val="24"/>
          <w:szCs w:val="24"/>
        </w:rPr>
        <w:t xml:space="preserve">. </w:t>
      </w:r>
    </w:p>
    <w:p w14:paraId="11750E59" w14:textId="5B2144E8" w:rsidR="00410FD8" w:rsidRPr="00B36881" w:rsidRDefault="00410FD8" w:rsidP="00332F9F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lastRenderedPageBreak/>
        <w:tab/>
        <w:t xml:space="preserve">The author, Ben Jonson, lived </w:t>
      </w:r>
      <w:r w:rsidR="0040715D">
        <w:rPr>
          <w:sz w:val="24"/>
          <w:szCs w:val="24"/>
        </w:rPr>
        <w:t xml:space="preserve">from June 1572, the son of a Clergyman who died before his birth, until his death in </w:t>
      </w:r>
      <w:r w:rsidR="00A12597">
        <w:rPr>
          <w:sz w:val="24"/>
          <w:szCs w:val="24"/>
        </w:rPr>
        <w:t>August 1637</w:t>
      </w:r>
      <w:r w:rsidR="00811E11">
        <w:rPr>
          <w:sz w:val="24"/>
          <w:szCs w:val="24"/>
        </w:rPr>
        <w:t>,</w:t>
      </w:r>
      <w:r w:rsidR="005B5A4E">
        <w:rPr>
          <w:sz w:val="24"/>
          <w:szCs w:val="24"/>
        </w:rPr>
        <w:t xml:space="preserve"> and is</w:t>
      </w:r>
      <w:r w:rsidR="00A12597">
        <w:rPr>
          <w:sz w:val="24"/>
          <w:szCs w:val="24"/>
        </w:rPr>
        <w:t xml:space="preserve"> buried in an upright position in Westminster Abbey.</w:t>
      </w:r>
      <w:r w:rsidR="00A12597">
        <w:rPr>
          <w:rStyle w:val="FootnoteReference"/>
          <w:sz w:val="24"/>
          <w:szCs w:val="24"/>
        </w:rPr>
        <w:footnoteReference w:id="11"/>
      </w:r>
      <w:r w:rsidR="002E00F4">
        <w:rPr>
          <w:sz w:val="24"/>
          <w:szCs w:val="24"/>
        </w:rPr>
        <w:t xml:space="preserve"> </w:t>
      </w:r>
      <w:r w:rsidR="00D7281A">
        <w:rPr>
          <w:sz w:val="24"/>
          <w:szCs w:val="24"/>
        </w:rPr>
        <w:t xml:space="preserve">Jonson received a classical education </w:t>
      </w:r>
      <w:r w:rsidR="005B5A4E">
        <w:rPr>
          <w:sz w:val="24"/>
          <w:szCs w:val="24"/>
        </w:rPr>
        <w:t xml:space="preserve">at Westminster School under the guidance of William Camden. While he did not attend university, his education is reflected in his work as a poet and actor. </w:t>
      </w:r>
      <w:r w:rsidR="003F0553">
        <w:rPr>
          <w:sz w:val="24"/>
          <w:szCs w:val="24"/>
        </w:rPr>
        <w:t>He</w:t>
      </w:r>
      <w:r w:rsidR="005B5A4E">
        <w:rPr>
          <w:sz w:val="24"/>
          <w:szCs w:val="24"/>
        </w:rPr>
        <w:t xml:space="preserve"> became an actor in 1597 under the Earl of Pembroke’s company</w:t>
      </w:r>
      <w:r w:rsidR="001D5890">
        <w:rPr>
          <w:sz w:val="24"/>
          <w:szCs w:val="24"/>
        </w:rPr>
        <w:t xml:space="preserve"> and</w:t>
      </w:r>
      <w:r w:rsidR="005B5A4E">
        <w:rPr>
          <w:sz w:val="24"/>
          <w:szCs w:val="24"/>
        </w:rPr>
        <w:t xml:space="preserve"> became a playwright.</w:t>
      </w:r>
      <w:r w:rsidR="00D7715A">
        <w:rPr>
          <w:rStyle w:val="FootnoteReference"/>
          <w:sz w:val="24"/>
          <w:szCs w:val="24"/>
        </w:rPr>
        <w:footnoteReference w:id="12"/>
      </w:r>
      <w:r w:rsidR="0049448D">
        <w:rPr>
          <w:sz w:val="24"/>
          <w:szCs w:val="24"/>
        </w:rPr>
        <w:t xml:space="preserve"> During the </w:t>
      </w:r>
      <w:r w:rsidR="00B36881">
        <w:rPr>
          <w:sz w:val="24"/>
          <w:szCs w:val="24"/>
        </w:rPr>
        <w:t xml:space="preserve">creation of his play </w:t>
      </w:r>
      <w:r w:rsidR="00B36881">
        <w:rPr>
          <w:i/>
          <w:iCs/>
          <w:sz w:val="24"/>
          <w:szCs w:val="24"/>
        </w:rPr>
        <w:t>The Alchemist</w:t>
      </w:r>
      <w:r w:rsidR="00B36881">
        <w:rPr>
          <w:sz w:val="24"/>
          <w:szCs w:val="24"/>
        </w:rPr>
        <w:t xml:space="preserve">, he is said to have been “living under the </w:t>
      </w:r>
      <w:r w:rsidR="00A02F28">
        <w:rPr>
          <w:sz w:val="24"/>
          <w:szCs w:val="24"/>
        </w:rPr>
        <w:t xml:space="preserve">patronage of noblemen, firstly Sir Robert Townshend and the Lord </w:t>
      </w:r>
      <w:r w:rsidR="003F0553">
        <w:rPr>
          <w:sz w:val="24"/>
          <w:szCs w:val="24"/>
        </w:rPr>
        <w:t>Aubigny.”</w:t>
      </w:r>
      <w:r w:rsidR="003F0553">
        <w:rPr>
          <w:rStyle w:val="FootnoteReference"/>
          <w:sz w:val="24"/>
          <w:szCs w:val="24"/>
        </w:rPr>
        <w:footnoteReference w:id="13"/>
      </w:r>
      <w:r w:rsidR="0054216A">
        <w:rPr>
          <w:sz w:val="24"/>
          <w:szCs w:val="24"/>
        </w:rPr>
        <w:t xml:space="preserve"> </w:t>
      </w:r>
      <w:r w:rsidR="00680894">
        <w:rPr>
          <w:sz w:val="24"/>
          <w:szCs w:val="24"/>
        </w:rPr>
        <w:t xml:space="preserve">Jonson believed </w:t>
      </w:r>
      <w:r w:rsidR="0021594C">
        <w:rPr>
          <w:sz w:val="24"/>
          <w:szCs w:val="24"/>
        </w:rPr>
        <w:t>comedies were there to correct errors and vices and</w:t>
      </w:r>
      <w:r w:rsidR="006179E6">
        <w:rPr>
          <w:sz w:val="24"/>
          <w:szCs w:val="24"/>
        </w:rPr>
        <w:t xml:space="preserve"> educate the </w:t>
      </w:r>
      <w:r w:rsidR="00AC0B37">
        <w:rPr>
          <w:sz w:val="24"/>
          <w:szCs w:val="24"/>
        </w:rPr>
        <w:t xml:space="preserve">audience through </w:t>
      </w:r>
      <w:r w:rsidR="00C25FD1">
        <w:rPr>
          <w:sz w:val="24"/>
          <w:szCs w:val="24"/>
        </w:rPr>
        <w:t>“fair correctives</w:t>
      </w:r>
      <w:r w:rsidR="0040715D">
        <w:rPr>
          <w:sz w:val="24"/>
          <w:szCs w:val="24"/>
        </w:rPr>
        <w:t xml:space="preserve">.” </w:t>
      </w:r>
      <w:r w:rsidR="0021594C">
        <w:rPr>
          <w:sz w:val="24"/>
          <w:szCs w:val="24"/>
        </w:rPr>
        <w:t>To this end, it</w:t>
      </w:r>
      <w:r w:rsidR="00EF7EEB">
        <w:rPr>
          <w:sz w:val="24"/>
          <w:szCs w:val="24"/>
        </w:rPr>
        <w:t xml:space="preserve"> is </w:t>
      </w:r>
      <w:r w:rsidR="00467554">
        <w:rPr>
          <w:sz w:val="24"/>
          <w:szCs w:val="24"/>
        </w:rPr>
        <w:t>thought</w:t>
      </w:r>
      <w:r w:rsidR="00EF7EEB">
        <w:rPr>
          <w:sz w:val="24"/>
          <w:szCs w:val="24"/>
        </w:rPr>
        <w:t xml:space="preserve"> that the play was inspired by “superstition</w:t>
      </w:r>
      <w:r w:rsidR="00754A98">
        <w:rPr>
          <w:sz w:val="24"/>
          <w:szCs w:val="24"/>
        </w:rPr>
        <w:t>, [which] had an obvious relation to the gold fever</w:t>
      </w:r>
      <w:r w:rsidR="0021594C">
        <w:rPr>
          <w:sz w:val="24"/>
          <w:szCs w:val="24"/>
        </w:rPr>
        <w:t>,” where</w:t>
      </w:r>
      <w:r w:rsidR="00DC4B57">
        <w:rPr>
          <w:sz w:val="24"/>
          <w:szCs w:val="24"/>
        </w:rPr>
        <w:t xml:space="preserve"> he tries to provide examples of </w:t>
      </w:r>
      <w:r w:rsidR="00154EBE">
        <w:rPr>
          <w:sz w:val="24"/>
          <w:szCs w:val="24"/>
        </w:rPr>
        <w:t xml:space="preserve">the </w:t>
      </w:r>
      <w:r w:rsidR="00897782">
        <w:rPr>
          <w:sz w:val="24"/>
          <w:szCs w:val="24"/>
        </w:rPr>
        <w:t xml:space="preserve">inability to moderate </w:t>
      </w:r>
      <w:r w:rsidR="0021594C">
        <w:rPr>
          <w:sz w:val="24"/>
          <w:szCs w:val="24"/>
        </w:rPr>
        <w:t>one's</w:t>
      </w:r>
      <w:r w:rsidR="00897782">
        <w:rPr>
          <w:sz w:val="24"/>
          <w:szCs w:val="24"/>
        </w:rPr>
        <w:t xml:space="preserve"> desire for material wealth, which may be a reflection </w:t>
      </w:r>
      <w:r w:rsidR="00352618">
        <w:rPr>
          <w:sz w:val="24"/>
          <w:szCs w:val="24"/>
        </w:rPr>
        <w:t xml:space="preserve">that period as it is said that Queen Elizabeth allowed </w:t>
      </w:r>
      <w:r w:rsidR="00BB5C21">
        <w:rPr>
          <w:sz w:val="24"/>
          <w:szCs w:val="24"/>
        </w:rPr>
        <w:t>the experimentation of alchemy to create gold to fund her navy.</w:t>
      </w:r>
      <w:r w:rsidR="0083252B">
        <w:rPr>
          <w:rStyle w:val="FootnoteReference"/>
          <w:sz w:val="24"/>
          <w:szCs w:val="24"/>
        </w:rPr>
        <w:footnoteReference w:id="14"/>
      </w:r>
    </w:p>
    <w:p w14:paraId="1F485678" w14:textId="22C47F95" w:rsidR="004B21F4" w:rsidRDefault="00CA7B8E" w:rsidP="000F2E9F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ab/>
      </w:r>
      <w:r w:rsidR="009318CA">
        <w:rPr>
          <w:sz w:val="24"/>
          <w:szCs w:val="24"/>
        </w:rPr>
        <w:t>Walter Burre is believed to have had</w:t>
      </w:r>
      <w:r w:rsidR="00892C16">
        <w:rPr>
          <w:sz w:val="24"/>
          <w:szCs w:val="24"/>
        </w:rPr>
        <w:t xml:space="preserve"> a strong reputation as a</w:t>
      </w:r>
      <w:r w:rsidR="001308CF">
        <w:rPr>
          <w:sz w:val="24"/>
          <w:szCs w:val="24"/>
        </w:rPr>
        <w:t>n</w:t>
      </w:r>
      <w:r w:rsidR="00892C16">
        <w:rPr>
          <w:sz w:val="24"/>
          <w:szCs w:val="24"/>
        </w:rPr>
        <w:t xml:space="preserve"> </w:t>
      </w:r>
      <w:r w:rsidR="001308CF">
        <w:rPr>
          <w:sz w:val="24"/>
          <w:szCs w:val="24"/>
        </w:rPr>
        <w:t>Elizabethan and Jacobean drama publisher</w:t>
      </w:r>
      <w:r w:rsidR="0096168F">
        <w:rPr>
          <w:sz w:val="24"/>
          <w:szCs w:val="24"/>
        </w:rPr>
        <w:t>.</w:t>
      </w:r>
      <w:r w:rsidR="0096168F">
        <w:rPr>
          <w:rStyle w:val="FootnoteReference"/>
          <w:sz w:val="24"/>
          <w:szCs w:val="24"/>
        </w:rPr>
        <w:footnoteReference w:id="15"/>
      </w:r>
      <w:r w:rsidR="00525648">
        <w:rPr>
          <w:sz w:val="24"/>
          <w:szCs w:val="24"/>
        </w:rPr>
        <w:t xml:space="preserve"> </w:t>
      </w:r>
      <w:r w:rsidR="00A56D8D">
        <w:rPr>
          <w:sz w:val="24"/>
          <w:szCs w:val="24"/>
        </w:rPr>
        <w:t xml:space="preserve">As </w:t>
      </w:r>
      <w:r w:rsidR="00AB15D9">
        <w:rPr>
          <w:sz w:val="24"/>
          <w:szCs w:val="24"/>
        </w:rPr>
        <w:t>the son of a yeoman of South Mimms, Burre apprenticed to Richard Walkins, stationer of London, between June 4</w:t>
      </w:r>
      <w:r w:rsidR="00AB15D9" w:rsidRPr="00AB15D9">
        <w:rPr>
          <w:sz w:val="24"/>
          <w:szCs w:val="24"/>
          <w:vertAlign w:val="superscript"/>
        </w:rPr>
        <w:t>th</w:t>
      </w:r>
      <w:r w:rsidR="00AB15D9">
        <w:rPr>
          <w:sz w:val="24"/>
          <w:szCs w:val="24"/>
        </w:rPr>
        <w:t xml:space="preserve">, </w:t>
      </w:r>
      <w:r w:rsidR="00BB7C95">
        <w:rPr>
          <w:sz w:val="24"/>
          <w:szCs w:val="24"/>
        </w:rPr>
        <w:t>1587,</w:t>
      </w:r>
      <w:r w:rsidR="00AB15D9">
        <w:rPr>
          <w:sz w:val="24"/>
          <w:szCs w:val="24"/>
        </w:rPr>
        <w:t xml:space="preserve"> and June 25</w:t>
      </w:r>
      <w:r w:rsidR="00AB15D9" w:rsidRPr="00AB15D9">
        <w:rPr>
          <w:sz w:val="24"/>
          <w:szCs w:val="24"/>
          <w:vertAlign w:val="superscript"/>
        </w:rPr>
        <w:t>th</w:t>
      </w:r>
      <w:r w:rsidR="00AB15D9">
        <w:rPr>
          <w:sz w:val="24"/>
          <w:szCs w:val="24"/>
        </w:rPr>
        <w:t>, 1596. He became a bookseller between</w:t>
      </w:r>
      <w:r w:rsidR="00B65012">
        <w:rPr>
          <w:sz w:val="24"/>
          <w:szCs w:val="24"/>
        </w:rPr>
        <w:t xml:space="preserve"> 1597 and 1622</w:t>
      </w:r>
      <w:r w:rsidR="0094492A">
        <w:rPr>
          <w:sz w:val="24"/>
          <w:szCs w:val="24"/>
        </w:rPr>
        <w:t xml:space="preserve"> and owned a bookshop</w:t>
      </w:r>
      <w:r w:rsidR="00B65012">
        <w:rPr>
          <w:sz w:val="24"/>
          <w:szCs w:val="24"/>
        </w:rPr>
        <w:t xml:space="preserve"> </w:t>
      </w:r>
      <w:r w:rsidR="007D449A">
        <w:rPr>
          <w:sz w:val="24"/>
          <w:szCs w:val="24"/>
        </w:rPr>
        <w:t>in Flower-de-Luce in St. Paul’s Churchyard from 1597-160</w:t>
      </w:r>
      <w:r w:rsidR="0094492A">
        <w:rPr>
          <w:sz w:val="24"/>
          <w:szCs w:val="24"/>
        </w:rPr>
        <w:t>1</w:t>
      </w:r>
      <w:r w:rsidR="007D449A">
        <w:rPr>
          <w:sz w:val="24"/>
          <w:szCs w:val="24"/>
        </w:rPr>
        <w:t>.</w:t>
      </w:r>
      <w:r w:rsidR="0094492A">
        <w:rPr>
          <w:rStyle w:val="FootnoteReference"/>
          <w:sz w:val="24"/>
          <w:szCs w:val="24"/>
        </w:rPr>
        <w:footnoteReference w:id="16"/>
      </w:r>
      <w:r w:rsidR="007D449A">
        <w:rPr>
          <w:sz w:val="24"/>
          <w:szCs w:val="24"/>
        </w:rPr>
        <w:t xml:space="preserve"> He </w:t>
      </w:r>
      <w:r w:rsidR="00BB7C95">
        <w:rPr>
          <w:sz w:val="24"/>
          <w:szCs w:val="24"/>
        </w:rPr>
        <w:t xml:space="preserve">also occupied a bookshop under The Crane's sign between 1603 and 1621 and died a year </w:t>
      </w:r>
      <w:r w:rsidR="00A46767">
        <w:rPr>
          <w:sz w:val="24"/>
          <w:szCs w:val="24"/>
        </w:rPr>
        <w:t>later</w:t>
      </w:r>
      <w:r w:rsidR="00BB7C95">
        <w:rPr>
          <w:sz w:val="24"/>
          <w:szCs w:val="24"/>
        </w:rPr>
        <w:t xml:space="preserve"> </w:t>
      </w:r>
      <w:r w:rsidR="00A46767">
        <w:rPr>
          <w:sz w:val="24"/>
          <w:szCs w:val="24"/>
        </w:rPr>
        <w:t xml:space="preserve">on </w:t>
      </w:r>
      <w:r w:rsidR="00BB7C95">
        <w:rPr>
          <w:sz w:val="24"/>
          <w:szCs w:val="24"/>
        </w:rPr>
        <w:t>December 13</w:t>
      </w:r>
      <w:r w:rsidR="00BB7C95" w:rsidRPr="00BB7C95">
        <w:rPr>
          <w:sz w:val="24"/>
          <w:szCs w:val="24"/>
          <w:vertAlign w:val="superscript"/>
        </w:rPr>
        <w:t>th</w:t>
      </w:r>
      <w:r w:rsidR="00BB7C95">
        <w:rPr>
          <w:sz w:val="24"/>
          <w:szCs w:val="24"/>
        </w:rPr>
        <w:t>,</w:t>
      </w:r>
      <w:r w:rsidR="003B0665">
        <w:rPr>
          <w:sz w:val="24"/>
          <w:szCs w:val="24"/>
        </w:rPr>
        <w:t xml:space="preserve"> 1622</w:t>
      </w:r>
      <w:r w:rsidR="00291FAB">
        <w:rPr>
          <w:sz w:val="24"/>
          <w:szCs w:val="24"/>
        </w:rPr>
        <w:t xml:space="preserve">. The </w:t>
      </w:r>
      <w:r w:rsidR="003B0665">
        <w:rPr>
          <w:sz w:val="24"/>
          <w:szCs w:val="24"/>
        </w:rPr>
        <w:t>Crane</w:t>
      </w:r>
      <w:r w:rsidR="00291FAB">
        <w:rPr>
          <w:sz w:val="24"/>
          <w:szCs w:val="24"/>
        </w:rPr>
        <w:t xml:space="preserve"> was located in Paul Cross’s Churchyard but was initially occupied by Lucus Harrison between 1533 and </w:t>
      </w:r>
      <w:r w:rsidR="00A9137A">
        <w:rPr>
          <w:sz w:val="24"/>
          <w:szCs w:val="24"/>
        </w:rPr>
        <w:t>153</w:t>
      </w:r>
      <w:r w:rsidR="00291FAB">
        <w:rPr>
          <w:sz w:val="24"/>
          <w:szCs w:val="24"/>
        </w:rPr>
        <w:t xml:space="preserve">9. It changed hands multiple times before Burre, and during this time, it </w:t>
      </w:r>
      <w:r w:rsidR="00F96B2F">
        <w:rPr>
          <w:sz w:val="24"/>
          <w:szCs w:val="24"/>
        </w:rPr>
        <w:t xml:space="preserve">split into two frontages, one </w:t>
      </w:r>
      <w:r w:rsidR="00530D0D">
        <w:rPr>
          <w:sz w:val="24"/>
          <w:szCs w:val="24"/>
        </w:rPr>
        <w:t>of which was</w:t>
      </w:r>
      <w:r w:rsidR="00F96B2F">
        <w:rPr>
          <w:sz w:val="24"/>
          <w:szCs w:val="24"/>
        </w:rPr>
        <w:t xml:space="preserve"> </w:t>
      </w:r>
      <w:r w:rsidR="00F96B2F">
        <w:rPr>
          <w:sz w:val="24"/>
          <w:szCs w:val="24"/>
        </w:rPr>
        <w:lastRenderedPageBreak/>
        <w:t>named The Black Bear</w:t>
      </w:r>
      <w:r w:rsidR="0063242F">
        <w:rPr>
          <w:sz w:val="24"/>
          <w:szCs w:val="24"/>
        </w:rPr>
        <w:t>.</w:t>
      </w:r>
      <w:r w:rsidR="0063242F">
        <w:rPr>
          <w:rStyle w:val="FootnoteReference"/>
          <w:sz w:val="24"/>
          <w:szCs w:val="24"/>
        </w:rPr>
        <w:footnoteReference w:id="17"/>
      </w:r>
      <w:r w:rsidR="002E1D04">
        <w:rPr>
          <w:sz w:val="24"/>
          <w:szCs w:val="24"/>
        </w:rPr>
        <w:t xml:space="preserve"> </w:t>
      </w:r>
      <w:r w:rsidR="000F2E9F">
        <w:rPr>
          <w:sz w:val="24"/>
          <w:szCs w:val="24"/>
        </w:rPr>
        <w:t xml:space="preserve"> </w:t>
      </w:r>
      <w:r w:rsidR="001308CF">
        <w:rPr>
          <w:sz w:val="24"/>
          <w:szCs w:val="24"/>
        </w:rPr>
        <w:t xml:space="preserve">Overall, </w:t>
      </w:r>
      <w:r w:rsidR="00A71A54">
        <w:rPr>
          <w:sz w:val="24"/>
          <w:szCs w:val="24"/>
        </w:rPr>
        <w:t>it</w:t>
      </w:r>
      <w:r w:rsidR="002E1D04">
        <w:rPr>
          <w:sz w:val="24"/>
          <w:szCs w:val="24"/>
        </w:rPr>
        <w:t xml:space="preserve"> </w:t>
      </w:r>
      <w:r w:rsidR="00C30482">
        <w:rPr>
          <w:sz w:val="24"/>
          <w:szCs w:val="24"/>
        </w:rPr>
        <w:t xml:space="preserve">is said that Burre owned full or partial rights to </w:t>
      </w:r>
      <w:r w:rsidR="00C30482">
        <w:rPr>
          <w:i/>
          <w:iCs/>
          <w:sz w:val="24"/>
          <w:szCs w:val="24"/>
        </w:rPr>
        <w:t>The Alchemist</w:t>
      </w:r>
      <w:r w:rsidR="00463B43">
        <w:rPr>
          <w:i/>
          <w:iCs/>
          <w:sz w:val="24"/>
          <w:szCs w:val="24"/>
        </w:rPr>
        <w:t xml:space="preserve"> </w:t>
      </w:r>
      <w:r w:rsidR="00463B43" w:rsidRPr="00463B43">
        <w:rPr>
          <w:sz w:val="24"/>
          <w:szCs w:val="24"/>
        </w:rPr>
        <w:t xml:space="preserve">by </w:t>
      </w:r>
      <w:r w:rsidR="00937D08" w:rsidRPr="00463B43">
        <w:rPr>
          <w:sz w:val="24"/>
          <w:szCs w:val="24"/>
        </w:rPr>
        <w:t>January 1615</w:t>
      </w:r>
      <w:r w:rsidR="00937D08">
        <w:rPr>
          <w:sz w:val="24"/>
          <w:szCs w:val="24"/>
        </w:rPr>
        <w:t xml:space="preserve"> and</w:t>
      </w:r>
      <w:r w:rsidR="00E97166">
        <w:rPr>
          <w:sz w:val="24"/>
          <w:szCs w:val="24"/>
        </w:rPr>
        <w:t xml:space="preserve"> was interested in </w:t>
      </w:r>
      <w:r w:rsidR="00524A8F">
        <w:rPr>
          <w:sz w:val="24"/>
          <w:szCs w:val="24"/>
        </w:rPr>
        <w:t>Jonson’s proposed folio collection</w:t>
      </w:r>
      <w:r w:rsidR="00937D08">
        <w:rPr>
          <w:sz w:val="24"/>
          <w:szCs w:val="24"/>
        </w:rPr>
        <w:t>.</w:t>
      </w:r>
      <w:r w:rsidR="00937D08">
        <w:rPr>
          <w:rStyle w:val="FootnoteReference"/>
          <w:sz w:val="24"/>
          <w:szCs w:val="24"/>
        </w:rPr>
        <w:footnoteReference w:id="18"/>
      </w:r>
    </w:p>
    <w:p w14:paraId="4B0F780C" w14:textId="050DDBAE" w:rsidR="00DB0FB2" w:rsidRDefault="00162A78" w:rsidP="000F2E9F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ab/>
        <w:t>Another bookseller mentioned, John Stepneth</w:t>
      </w:r>
      <w:r w:rsidR="007F3DCE">
        <w:rPr>
          <w:sz w:val="24"/>
          <w:szCs w:val="24"/>
        </w:rPr>
        <w:t>, son of Frauncis Stepney of Hatfield, was in the trade between 1609 and 1612 in London,</w:t>
      </w:r>
      <w:r w:rsidR="009A0E2F">
        <w:rPr>
          <w:sz w:val="24"/>
          <w:szCs w:val="24"/>
        </w:rPr>
        <w:t xml:space="preserve"> </w:t>
      </w:r>
      <w:r w:rsidR="007F3DCE">
        <w:rPr>
          <w:sz w:val="24"/>
          <w:szCs w:val="24"/>
        </w:rPr>
        <w:t xml:space="preserve">also </w:t>
      </w:r>
      <w:r w:rsidR="009A0E2F">
        <w:rPr>
          <w:sz w:val="24"/>
          <w:szCs w:val="24"/>
        </w:rPr>
        <w:t>under the sign The Crane at the West End of St. Paul.</w:t>
      </w:r>
      <w:r w:rsidR="008D4162">
        <w:rPr>
          <w:sz w:val="24"/>
          <w:szCs w:val="24"/>
        </w:rPr>
        <w:t xml:space="preserve"> Yet before that</w:t>
      </w:r>
      <w:r w:rsidR="00DB0FB2">
        <w:rPr>
          <w:sz w:val="24"/>
          <w:szCs w:val="24"/>
        </w:rPr>
        <w:t>,</w:t>
      </w:r>
      <w:r w:rsidR="008D4162">
        <w:rPr>
          <w:sz w:val="24"/>
          <w:szCs w:val="24"/>
        </w:rPr>
        <w:t xml:space="preserve"> he was an apprentice to George Seton </w:t>
      </w:r>
      <w:r w:rsidR="006D570D">
        <w:rPr>
          <w:sz w:val="24"/>
          <w:szCs w:val="24"/>
        </w:rPr>
        <w:t>for eight years after the 25</w:t>
      </w:r>
      <w:r w:rsidR="006D570D" w:rsidRPr="006D570D">
        <w:rPr>
          <w:sz w:val="24"/>
          <w:szCs w:val="24"/>
          <w:vertAlign w:val="superscript"/>
        </w:rPr>
        <w:t>th</w:t>
      </w:r>
      <w:r w:rsidR="006D570D">
        <w:rPr>
          <w:sz w:val="24"/>
          <w:szCs w:val="24"/>
        </w:rPr>
        <w:t xml:space="preserve"> of March 1595.</w:t>
      </w:r>
      <w:r w:rsidR="006D570D">
        <w:rPr>
          <w:rStyle w:val="FootnoteReference"/>
          <w:sz w:val="24"/>
          <w:szCs w:val="24"/>
        </w:rPr>
        <w:footnoteReference w:id="19"/>
      </w:r>
    </w:p>
    <w:p w14:paraId="3E50BAD4" w14:textId="3B3319DC" w:rsidR="00625DD1" w:rsidRDefault="00DB0FB2" w:rsidP="00DB0FB2">
      <w:pPr>
        <w:spacing w:line="360" w:lineRule="auto"/>
        <w:ind w:firstLine="720"/>
        <w:rPr>
          <w:sz w:val="24"/>
          <w:szCs w:val="24"/>
        </w:rPr>
      </w:pPr>
      <w:r>
        <w:rPr>
          <w:sz w:val="24"/>
          <w:szCs w:val="24"/>
        </w:rPr>
        <w:t xml:space="preserve">As a printer, it is said that Thomas Snodham became one of the prolific printers of music during </w:t>
      </w:r>
      <w:r w:rsidRPr="007668C0">
        <w:rPr>
          <w:i/>
          <w:iCs/>
          <w:sz w:val="24"/>
          <w:szCs w:val="24"/>
        </w:rPr>
        <w:t>J</w:t>
      </w:r>
      <w:r>
        <w:rPr>
          <w:i/>
          <w:iCs/>
          <w:sz w:val="24"/>
          <w:szCs w:val="24"/>
        </w:rPr>
        <w:t>a</w:t>
      </w:r>
      <w:r w:rsidRPr="007668C0">
        <w:rPr>
          <w:i/>
          <w:iCs/>
          <w:sz w:val="24"/>
          <w:szCs w:val="24"/>
        </w:rPr>
        <w:t>cobean</w:t>
      </w:r>
      <w:r>
        <w:rPr>
          <w:sz w:val="24"/>
          <w:szCs w:val="24"/>
        </w:rPr>
        <w:t xml:space="preserve"> England.</w:t>
      </w:r>
      <w:r>
        <w:rPr>
          <w:rStyle w:val="FootnoteReference"/>
          <w:sz w:val="24"/>
          <w:szCs w:val="24"/>
        </w:rPr>
        <w:footnoteReference w:id="20"/>
      </w:r>
      <w:r>
        <w:rPr>
          <w:sz w:val="24"/>
          <w:szCs w:val="24"/>
        </w:rPr>
        <w:t xml:space="preserve"> According to </w:t>
      </w:r>
      <w:r w:rsidRPr="008D2E13">
        <w:rPr>
          <w:i/>
          <w:iCs/>
          <w:sz w:val="24"/>
          <w:szCs w:val="24"/>
        </w:rPr>
        <w:t>Records of the Court of the Stationers’ Company 1602-1640,</w:t>
      </w:r>
      <w:r>
        <w:rPr>
          <w:sz w:val="24"/>
          <w:szCs w:val="24"/>
        </w:rPr>
        <w:t xml:space="preserve"> he was one of the few to be granted the legal right to open two presses in 1615.</w:t>
      </w:r>
      <w:r>
        <w:rPr>
          <w:rStyle w:val="FootnoteReference"/>
          <w:sz w:val="24"/>
          <w:szCs w:val="24"/>
        </w:rPr>
        <w:footnoteReference w:id="21"/>
      </w:r>
      <w:r>
        <w:rPr>
          <w:sz w:val="24"/>
          <w:szCs w:val="24"/>
        </w:rPr>
        <w:t xml:space="preserve"> Snodham was a printer in London from 1603 until </w:t>
      </w:r>
      <w:r w:rsidR="0070789F">
        <w:rPr>
          <w:sz w:val="24"/>
          <w:szCs w:val="24"/>
        </w:rPr>
        <w:t>he died in 1625 when it is believed that he “died probably of the plague in the autumn.” Before then, he was an apprentice to Thomas East in London,</w:t>
      </w:r>
      <w:r>
        <w:rPr>
          <w:sz w:val="24"/>
          <w:szCs w:val="24"/>
        </w:rPr>
        <w:t xml:space="preserve"> whose copyrights he took over after his master died.</w:t>
      </w:r>
      <w:r>
        <w:rPr>
          <w:rStyle w:val="FootnoteReference"/>
          <w:sz w:val="24"/>
          <w:szCs w:val="24"/>
        </w:rPr>
        <w:footnoteReference w:id="22"/>
      </w:r>
    </w:p>
    <w:p w14:paraId="29C4A85B" w14:textId="1F429FCA" w:rsidR="00162A78" w:rsidRDefault="00625DD1" w:rsidP="00625DD1">
      <w:pPr>
        <w:spacing w:line="360" w:lineRule="auto"/>
        <w:ind w:firstLine="720"/>
        <w:rPr>
          <w:sz w:val="24"/>
          <w:szCs w:val="24"/>
        </w:rPr>
      </w:pPr>
      <w:r>
        <w:rPr>
          <w:sz w:val="24"/>
          <w:szCs w:val="24"/>
        </w:rPr>
        <w:t>William Stansby was a printer in London between 1597 and 1639 at Cross Keys in St. Paul’s Wharf. Stansby was the son of Richard Stansby of Exeter. He was apprenticed to John Windet, a stationer of London, for seven years, starting from Christmas 1590. After that, he was a freeman from 7 January 1597 and partnered with his former master until Windet died in 1615.</w:t>
      </w:r>
      <w:r>
        <w:rPr>
          <w:rStyle w:val="FootnoteReference"/>
          <w:sz w:val="24"/>
          <w:szCs w:val="24"/>
        </w:rPr>
        <w:footnoteReference w:id="23"/>
      </w:r>
      <w:r>
        <w:rPr>
          <w:sz w:val="24"/>
          <w:szCs w:val="24"/>
        </w:rPr>
        <w:t xml:space="preserve"> According to the entry, Stansby “never appears to have held any office in the Company, but he is frequently mentioned in the wills of other stationers”</w:t>
      </w:r>
      <w:r w:rsidR="0070789F">
        <w:rPr>
          <w:sz w:val="24"/>
          <w:szCs w:val="24"/>
        </w:rPr>
        <w:t>. He is</w:t>
      </w:r>
      <w:r>
        <w:rPr>
          <w:sz w:val="24"/>
          <w:szCs w:val="24"/>
        </w:rPr>
        <w:t xml:space="preserve"> said to have been “a man of considerable position in the trade,” which </w:t>
      </w:r>
      <w:r>
        <w:rPr>
          <w:sz w:val="24"/>
          <w:szCs w:val="24"/>
        </w:rPr>
        <w:lastRenderedPageBreak/>
        <w:t xml:space="preserve">seems </w:t>
      </w:r>
      <w:r w:rsidR="00D5506F">
        <w:rPr>
          <w:sz w:val="24"/>
          <w:szCs w:val="24"/>
        </w:rPr>
        <w:t xml:space="preserve">evident </w:t>
      </w:r>
      <w:r w:rsidR="000B498F">
        <w:rPr>
          <w:sz w:val="24"/>
          <w:szCs w:val="24"/>
        </w:rPr>
        <w:t>because</w:t>
      </w:r>
      <w:r w:rsidR="00D5506F">
        <w:rPr>
          <w:sz w:val="24"/>
          <w:szCs w:val="24"/>
        </w:rPr>
        <w:t xml:space="preserve"> he was transferred all the rights of Thomas Snodham by Snodhams widow on February 23rd,</w:t>
      </w:r>
      <w:r>
        <w:rPr>
          <w:sz w:val="24"/>
          <w:szCs w:val="24"/>
        </w:rPr>
        <w:t xml:space="preserve"> 1626. However, Stansby died between 1638 and the beginning of 1639, with his widow assigning his rights to George Bishop.</w:t>
      </w:r>
      <w:r>
        <w:rPr>
          <w:rStyle w:val="FootnoteReference"/>
          <w:sz w:val="24"/>
          <w:szCs w:val="24"/>
        </w:rPr>
        <w:footnoteReference w:id="24"/>
      </w:r>
    </w:p>
    <w:p w14:paraId="71FA50A8" w14:textId="71E749CB" w:rsidR="006D570D" w:rsidRPr="00BB7C95" w:rsidRDefault="006D570D" w:rsidP="000F2E9F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ab/>
      </w:r>
      <w:r w:rsidR="00625DD1">
        <w:rPr>
          <w:sz w:val="24"/>
          <w:szCs w:val="24"/>
        </w:rPr>
        <w:t xml:space="preserve">As the printer </w:t>
      </w:r>
      <w:r w:rsidR="00EE2D2D">
        <w:rPr>
          <w:sz w:val="24"/>
          <w:szCs w:val="24"/>
        </w:rPr>
        <w:t xml:space="preserve">of the 1640 edition of The Alchemist, Richard Bishop was located in St. </w:t>
      </w:r>
      <w:r w:rsidR="00872D8C">
        <w:rPr>
          <w:sz w:val="24"/>
          <w:szCs w:val="24"/>
        </w:rPr>
        <w:t>Paul's</w:t>
      </w:r>
      <w:r w:rsidR="00EE2D2D">
        <w:rPr>
          <w:sz w:val="24"/>
          <w:szCs w:val="24"/>
        </w:rPr>
        <w:t xml:space="preserve"> Wharf between 1631 and 1653. It is said that he “[t]ook up his freedom from March 29th, 1637,” when he</w:t>
      </w:r>
      <w:r w:rsidR="00A3310F">
        <w:rPr>
          <w:sz w:val="24"/>
          <w:szCs w:val="24"/>
        </w:rPr>
        <w:t xml:space="preserve"> bought the business of William Stansby for seven hundred pounds in 1634.</w:t>
      </w:r>
      <w:r w:rsidR="00A3310F">
        <w:rPr>
          <w:rStyle w:val="FootnoteReference"/>
          <w:sz w:val="24"/>
          <w:szCs w:val="24"/>
        </w:rPr>
        <w:footnoteReference w:id="25"/>
      </w:r>
    </w:p>
    <w:p w14:paraId="6B944BF4" w14:textId="097AE0CE" w:rsidR="00650396" w:rsidRDefault="00162A78" w:rsidP="00332F9F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ab/>
      </w:r>
    </w:p>
    <w:p w14:paraId="399B226F" w14:textId="60BD1A99" w:rsidR="00650396" w:rsidRPr="000B7408" w:rsidRDefault="00650396" w:rsidP="00332F9F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>WORD COUNT: 1,2</w:t>
      </w:r>
      <w:r w:rsidR="00720EED">
        <w:rPr>
          <w:sz w:val="24"/>
          <w:szCs w:val="24"/>
        </w:rPr>
        <w:t>5</w:t>
      </w:r>
      <w:r w:rsidR="00FC7E13">
        <w:rPr>
          <w:sz w:val="24"/>
          <w:szCs w:val="24"/>
        </w:rPr>
        <w:t>2</w:t>
      </w:r>
    </w:p>
    <w:p w14:paraId="297CE9E4" w14:textId="77777777" w:rsidR="00332F9F" w:rsidRPr="000B7408" w:rsidRDefault="00332F9F" w:rsidP="00332F9F">
      <w:pPr>
        <w:spacing w:line="360" w:lineRule="auto"/>
        <w:rPr>
          <w:sz w:val="24"/>
          <w:szCs w:val="24"/>
        </w:rPr>
      </w:pPr>
    </w:p>
    <w:p w14:paraId="10D2B2DA" w14:textId="4A22BB4C" w:rsidR="003F46F7" w:rsidRPr="003F46F7" w:rsidRDefault="00332F9F" w:rsidP="003F46F7">
      <w:pPr>
        <w:spacing w:line="360" w:lineRule="auto"/>
        <w:rPr>
          <w:sz w:val="24"/>
          <w:szCs w:val="24"/>
        </w:rPr>
      </w:pPr>
      <w:r w:rsidRPr="000B7408">
        <w:rPr>
          <w:sz w:val="24"/>
          <w:szCs w:val="24"/>
        </w:rPr>
        <w:t>Bibliography</w:t>
      </w:r>
    </w:p>
    <w:p w14:paraId="7E240CDD" w14:textId="317822EF" w:rsidR="003F46F7" w:rsidRPr="003F46F7" w:rsidRDefault="003F46F7" w:rsidP="003F46F7">
      <w:pPr>
        <w:pStyle w:val="FootnoteText"/>
        <w:spacing w:line="360" w:lineRule="auto"/>
        <w:rPr>
          <w:sz w:val="24"/>
          <w:szCs w:val="24"/>
        </w:rPr>
      </w:pPr>
      <w:r w:rsidRPr="003F46F7">
        <w:rPr>
          <w:sz w:val="24"/>
          <w:szCs w:val="24"/>
        </w:rPr>
        <w:t xml:space="preserve">Aldis, H. G., and others, </w:t>
      </w:r>
      <w:r w:rsidRPr="003F46F7">
        <w:rPr>
          <w:i/>
          <w:iCs/>
          <w:sz w:val="24"/>
          <w:szCs w:val="24"/>
        </w:rPr>
        <w:t xml:space="preserve">A Dictionary of Printers and Booksellers in England, Scotland and Ireland, and of Foreign Printers of English Books 1557-1640, </w:t>
      </w:r>
      <w:r w:rsidRPr="003F46F7">
        <w:rPr>
          <w:sz w:val="24"/>
          <w:szCs w:val="24"/>
        </w:rPr>
        <w:t>ed by R. B. McKerrow (London: The Bibliographical Society, 1968)</w:t>
      </w:r>
      <w:r>
        <w:rPr>
          <w:sz w:val="24"/>
          <w:szCs w:val="24"/>
        </w:rPr>
        <w:br/>
      </w:r>
    </w:p>
    <w:p w14:paraId="09328C46" w14:textId="77777777" w:rsidR="00E94708" w:rsidRDefault="003F46F7" w:rsidP="003F46F7">
      <w:pPr>
        <w:pStyle w:val="FootnoteText"/>
        <w:spacing w:line="360" w:lineRule="auto"/>
        <w:rPr>
          <w:sz w:val="24"/>
          <w:szCs w:val="24"/>
        </w:rPr>
      </w:pPr>
      <w:r w:rsidRPr="003F46F7">
        <w:rPr>
          <w:sz w:val="24"/>
          <w:szCs w:val="24"/>
        </w:rPr>
        <w:t xml:space="preserve">Arber, Edward, </w:t>
      </w:r>
      <w:r w:rsidRPr="003F46F7">
        <w:rPr>
          <w:i/>
          <w:iCs/>
          <w:sz w:val="24"/>
          <w:szCs w:val="24"/>
        </w:rPr>
        <w:t xml:space="preserve">A Transcript of the Registers of the Company of Stationers of London 1554 – 1640, </w:t>
      </w:r>
      <w:r w:rsidRPr="003F46F7">
        <w:rPr>
          <w:sz w:val="24"/>
          <w:szCs w:val="24"/>
        </w:rPr>
        <w:t>vol 3, (Gloucester: Gloucester Mass, 1967)</w:t>
      </w:r>
    </w:p>
    <w:p w14:paraId="62B68738" w14:textId="77777777" w:rsidR="00E94708" w:rsidRDefault="00E94708" w:rsidP="003F46F7">
      <w:pPr>
        <w:pStyle w:val="FootnoteText"/>
        <w:spacing w:line="360" w:lineRule="auto"/>
        <w:rPr>
          <w:sz w:val="24"/>
          <w:szCs w:val="24"/>
        </w:rPr>
      </w:pPr>
    </w:p>
    <w:p w14:paraId="480E78EA" w14:textId="42F86D9F" w:rsidR="003F46F7" w:rsidRPr="003F46F7" w:rsidRDefault="00E94708" w:rsidP="003F46F7">
      <w:pPr>
        <w:pStyle w:val="FootnoteText"/>
        <w:spacing w:line="360" w:lineRule="auto"/>
        <w:rPr>
          <w:sz w:val="24"/>
          <w:szCs w:val="24"/>
        </w:rPr>
      </w:pPr>
      <w:r w:rsidRPr="003F46F7">
        <w:rPr>
          <w:sz w:val="24"/>
          <w:szCs w:val="24"/>
        </w:rPr>
        <w:t xml:space="preserve">Arber, Edward, </w:t>
      </w:r>
      <w:r w:rsidRPr="003F46F7">
        <w:rPr>
          <w:i/>
          <w:iCs/>
          <w:sz w:val="24"/>
          <w:szCs w:val="24"/>
        </w:rPr>
        <w:t xml:space="preserve">A Transcript of the Registers of the Company of Stationers of London 1554 – 1640, </w:t>
      </w:r>
      <w:r w:rsidRPr="003F46F7">
        <w:rPr>
          <w:sz w:val="24"/>
          <w:szCs w:val="24"/>
        </w:rPr>
        <w:t xml:space="preserve">vol </w:t>
      </w:r>
      <w:r>
        <w:rPr>
          <w:sz w:val="24"/>
          <w:szCs w:val="24"/>
        </w:rPr>
        <w:t>4</w:t>
      </w:r>
      <w:r w:rsidRPr="003F46F7">
        <w:rPr>
          <w:sz w:val="24"/>
          <w:szCs w:val="24"/>
        </w:rPr>
        <w:t>, (Gloucester: Gloucester Mass, 1967)</w:t>
      </w:r>
      <w:r w:rsidR="003F46F7">
        <w:rPr>
          <w:sz w:val="24"/>
          <w:szCs w:val="24"/>
        </w:rPr>
        <w:br/>
      </w:r>
    </w:p>
    <w:p w14:paraId="6E4181F2" w14:textId="19DED20E" w:rsidR="003F46F7" w:rsidRPr="003F46F7" w:rsidRDefault="003F46F7" w:rsidP="003F46F7">
      <w:pPr>
        <w:pStyle w:val="FootnoteText"/>
        <w:spacing w:line="360" w:lineRule="auto"/>
        <w:rPr>
          <w:sz w:val="24"/>
          <w:szCs w:val="24"/>
        </w:rPr>
      </w:pPr>
      <w:r w:rsidRPr="003F46F7">
        <w:rPr>
          <w:sz w:val="24"/>
          <w:szCs w:val="24"/>
        </w:rPr>
        <w:t xml:space="preserve">Blayney, Peter W. M., </w:t>
      </w:r>
      <w:r w:rsidRPr="003F46F7">
        <w:rPr>
          <w:i/>
          <w:iCs/>
          <w:sz w:val="24"/>
          <w:szCs w:val="24"/>
        </w:rPr>
        <w:t xml:space="preserve">The Bookshops in Paul’s Cross Churchyard, </w:t>
      </w:r>
      <w:r w:rsidRPr="003F46F7">
        <w:rPr>
          <w:sz w:val="24"/>
          <w:szCs w:val="24"/>
        </w:rPr>
        <w:t>(London: Bibliographical Society, 1990)</w:t>
      </w:r>
      <w:r>
        <w:rPr>
          <w:sz w:val="24"/>
          <w:szCs w:val="24"/>
        </w:rPr>
        <w:br/>
      </w:r>
    </w:p>
    <w:p w14:paraId="6223120E" w14:textId="77777777" w:rsidR="003F46F7" w:rsidRPr="003F46F7" w:rsidRDefault="003F46F7" w:rsidP="003F46F7">
      <w:pPr>
        <w:pStyle w:val="FootnoteText"/>
        <w:spacing w:line="360" w:lineRule="auto"/>
        <w:rPr>
          <w:sz w:val="24"/>
          <w:szCs w:val="24"/>
        </w:rPr>
      </w:pPr>
      <w:r w:rsidRPr="003F46F7">
        <w:rPr>
          <w:sz w:val="24"/>
          <w:szCs w:val="24"/>
        </w:rPr>
        <w:t xml:space="preserve">Bracken, James K., “Books from William Stansby’s Printing House, and Jonson’s Folio of 1616”, </w:t>
      </w:r>
      <w:r w:rsidRPr="003F46F7">
        <w:rPr>
          <w:i/>
          <w:iCs/>
          <w:sz w:val="24"/>
          <w:szCs w:val="24"/>
        </w:rPr>
        <w:t xml:space="preserve">The Library, </w:t>
      </w:r>
      <w:r w:rsidRPr="003F46F7">
        <w:rPr>
          <w:sz w:val="24"/>
          <w:szCs w:val="24"/>
        </w:rPr>
        <w:t xml:space="preserve">6.1 (1988), 18-29 (p.20) &lt; </w:t>
      </w:r>
      <w:hyperlink r:id="rId7" w:history="1">
        <w:r w:rsidRPr="003F46F7">
          <w:rPr>
            <w:rStyle w:val="Hyperlink"/>
            <w:sz w:val="24"/>
            <w:szCs w:val="24"/>
          </w:rPr>
          <w:t>https://doi.org/10.1093/library/s6-X.1.18</w:t>
        </w:r>
      </w:hyperlink>
      <w:r w:rsidRPr="003F46F7">
        <w:rPr>
          <w:sz w:val="24"/>
          <w:szCs w:val="24"/>
        </w:rPr>
        <w:t>&gt;</w:t>
      </w:r>
    </w:p>
    <w:p w14:paraId="767887B6" w14:textId="142D2819" w:rsidR="003F46F7" w:rsidRPr="003F46F7" w:rsidRDefault="003F46F7" w:rsidP="003F46F7">
      <w:pPr>
        <w:pStyle w:val="FootnoteText"/>
        <w:spacing w:line="360" w:lineRule="auto"/>
        <w:rPr>
          <w:sz w:val="24"/>
          <w:szCs w:val="24"/>
        </w:rPr>
      </w:pPr>
      <w:r w:rsidRPr="003F46F7">
        <w:rPr>
          <w:sz w:val="24"/>
          <w:szCs w:val="24"/>
        </w:rPr>
        <w:lastRenderedPageBreak/>
        <w:t xml:space="preserve">Greg, W. W., </w:t>
      </w:r>
      <w:r w:rsidRPr="003F46F7">
        <w:rPr>
          <w:i/>
          <w:iCs/>
          <w:sz w:val="24"/>
          <w:szCs w:val="24"/>
        </w:rPr>
        <w:t xml:space="preserve">A Bibliography of the English Printed Drama to the Restoration, </w:t>
      </w:r>
      <w:r w:rsidRPr="003F46F7">
        <w:rPr>
          <w:sz w:val="24"/>
          <w:szCs w:val="24"/>
        </w:rPr>
        <w:t>(Oxford: The University Press, 1939)</w:t>
      </w:r>
      <w:r>
        <w:rPr>
          <w:sz w:val="24"/>
          <w:szCs w:val="24"/>
        </w:rPr>
        <w:br/>
      </w:r>
    </w:p>
    <w:p w14:paraId="08FB4F26" w14:textId="236805B9" w:rsidR="003F46F7" w:rsidRPr="003F46F7" w:rsidRDefault="003F46F7" w:rsidP="003F46F7">
      <w:pPr>
        <w:pStyle w:val="FootnoteText"/>
        <w:spacing w:line="360" w:lineRule="auto"/>
        <w:rPr>
          <w:sz w:val="24"/>
          <w:szCs w:val="24"/>
        </w:rPr>
      </w:pPr>
      <w:r w:rsidRPr="003F46F7">
        <w:rPr>
          <w:sz w:val="24"/>
          <w:szCs w:val="24"/>
        </w:rPr>
        <w:t xml:space="preserve">Greg, W. W., </w:t>
      </w:r>
      <w:r w:rsidRPr="003F46F7">
        <w:rPr>
          <w:i/>
          <w:iCs/>
          <w:sz w:val="24"/>
          <w:szCs w:val="24"/>
        </w:rPr>
        <w:t xml:space="preserve">Some Aspects and Problems of London Publishing between 1550 and 1650, </w:t>
      </w:r>
      <w:r w:rsidRPr="003F46F7">
        <w:rPr>
          <w:sz w:val="24"/>
          <w:szCs w:val="24"/>
        </w:rPr>
        <w:t>The Lyell Lectures, Oxford, Trinity Term, 1995 (Oxford: Clarendon Press, 1956)</w:t>
      </w:r>
      <w:r>
        <w:rPr>
          <w:sz w:val="24"/>
          <w:szCs w:val="24"/>
        </w:rPr>
        <w:br/>
      </w:r>
    </w:p>
    <w:p w14:paraId="2C182C5D" w14:textId="68B05E59" w:rsidR="003F46F7" w:rsidRPr="003F46F7" w:rsidRDefault="003F46F7" w:rsidP="003F46F7">
      <w:pPr>
        <w:pStyle w:val="FootnoteText"/>
        <w:spacing w:line="360" w:lineRule="auto"/>
        <w:rPr>
          <w:sz w:val="24"/>
          <w:szCs w:val="24"/>
        </w:rPr>
      </w:pPr>
      <w:r w:rsidRPr="003F46F7">
        <w:rPr>
          <w:sz w:val="24"/>
          <w:szCs w:val="24"/>
        </w:rPr>
        <w:t xml:space="preserve">Jackson, William A., </w:t>
      </w:r>
      <w:r w:rsidRPr="003F46F7">
        <w:rPr>
          <w:i/>
          <w:iCs/>
          <w:sz w:val="24"/>
          <w:szCs w:val="24"/>
        </w:rPr>
        <w:t>Record of the Courts of the Stationers’ Company 1602-1640</w:t>
      </w:r>
      <w:r w:rsidRPr="003F46F7">
        <w:rPr>
          <w:sz w:val="24"/>
          <w:szCs w:val="24"/>
        </w:rPr>
        <w:t>, (London: Bibliographic Society, 1957)</w:t>
      </w:r>
      <w:r>
        <w:rPr>
          <w:sz w:val="24"/>
          <w:szCs w:val="24"/>
        </w:rPr>
        <w:br/>
      </w:r>
    </w:p>
    <w:p w14:paraId="366AB12B" w14:textId="77777777" w:rsidR="003F46F7" w:rsidRPr="003F46F7" w:rsidRDefault="003F46F7" w:rsidP="003F46F7">
      <w:pPr>
        <w:pStyle w:val="FootnoteText"/>
        <w:spacing w:line="360" w:lineRule="auto"/>
        <w:rPr>
          <w:sz w:val="24"/>
          <w:szCs w:val="24"/>
        </w:rPr>
      </w:pPr>
      <w:r w:rsidRPr="003F46F7">
        <w:rPr>
          <w:sz w:val="24"/>
          <w:szCs w:val="24"/>
        </w:rPr>
        <w:t xml:space="preserve">Knights, L. C., </w:t>
      </w:r>
      <w:r w:rsidRPr="003F46F7">
        <w:rPr>
          <w:i/>
          <w:iCs/>
          <w:sz w:val="24"/>
          <w:szCs w:val="24"/>
        </w:rPr>
        <w:t xml:space="preserve">Drama &amp; Society in the Age of Jonson, </w:t>
      </w:r>
      <w:r w:rsidRPr="003F46F7">
        <w:rPr>
          <w:sz w:val="24"/>
          <w:szCs w:val="24"/>
        </w:rPr>
        <w:t>(London: Chatto &amp; Windus, 1962)</w:t>
      </w:r>
    </w:p>
    <w:p w14:paraId="361BA01B" w14:textId="51207BDC" w:rsidR="003F46F7" w:rsidRPr="003F46F7" w:rsidRDefault="003F46F7" w:rsidP="003F46F7">
      <w:pPr>
        <w:pStyle w:val="FootnoteText"/>
        <w:spacing w:line="360" w:lineRule="auto"/>
        <w:rPr>
          <w:sz w:val="24"/>
          <w:szCs w:val="24"/>
        </w:rPr>
      </w:pPr>
      <w:r w:rsidRPr="003F46F7">
        <w:rPr>
          <w:sz w:val="24"/>
          <w:szCs w:val="24"/>
        </w:rPr>
        <w:t xml:space="preserve">Mares, F. H., “Introduction”, in </w:t>
      </w:r>
      <w:r w:rsidRPr="003F46F7">
        <w:rPr>
          <w:i/>
          <w:iCs/>
          <w:sz w:val="24"/>
          <w:szCs w:val="24"/>
        </w:rPr>
        <w:t xml:space="preserve">The Alchemist </w:t>
      </w:r>
      <w:r w:rsidRPr="003F46F7">
        <w:rPr>
          <w:sz w:val="24"/>
          <w:szCs w:val="24"/>
        </w:rPr>
        <w:t>by Ben Jonson, ed by F. H. Mares (London: Methuen &amp; Co LTD, 1967)</w:t>
      </w:r>
      <w:r>
        <w:rPr>
          <w:sz w:val="24"/>
          <w:szCs w:val="24"/>
        </w:rPr>
        <w:br/>
      </w:r>
    </w:p>
    <w:p w14:paraId="19FB9757" w14:textId="77777777" w:rsidR="003F46F7" w:rsidRDefault="003F46F7" w:rsidP="003F46F7">
      <w:pPr>
        <w:spacing w:line="360" w:lineRule="auto"/>
        <w:rPr>
          <w:sz w:val="24"/>
          <w:szCs w:val="24"/>
        </w:rPr>
      </w:pPr>
      <w:r w:rsidRPr="003F46F7">
        <w:rPr>
          <w:sz w:val="24"/>
          <w:szCs w:val="24"/>
        </w:rPr>
        <w:t xml:space="preserve">Maus, Katherine Eisaman, “The Alchemist”, in </w:t>
      </w:r>
      <w:r w:rsidRPr="003F46F7">
        <w:rPr>
          <w:i/>
          <w:iCs/>
          <w:sz w:val="24"/>
          <w:szCs w:val="24"/>
        </w:rPr>
        <w:t xml:space="preserve">English Renaissance Drama: A Norton Anthology, </w:t>
      </w:r>
      <w:r w:rsidRPr="003F46F7">
        <w:rPr>
          <w:sz w:val="24"/>
          <w:szCs w:val="24"/>
        </w:rPr>
        <w:t>ed. by David Bevington and Eric Rasmussen (New York: W. W. Norton &amp; Company, Inc., 2002)</w:t>
      </w:r>
    </w:p>
    <w:p w14:paraId="2F26905F" w14:textId="13D54B4B" w:rsidR="003F46F7" w:rsidRPr="003F46F7" w:rsidRDefault="003F46F7" w:rsidP="003F46F7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br/>
      </w:r>
      <w:r w:rsidRPr="003F46F7">
        <w:rPr>
          <w:sz w:val="24"/>
          <w:szCs w:val="24"/>
        </w:rPr>
        <w:t xml:space="preserve">McEvoy, Sean, </w:t>
      </w:r>
      <w:r w:rsidRPr="003F46F7">
        <w:rPr>
          <w:i/>
          <w:iCs/>
          <w:sz w:val="24"/>
          <w:szCs w:val="24"/>
        </w:rPr>
        <w:t xml:space="preserve">Ben Jonson, Renaissance Dramatist, </w:t>
      </w:r>
      <w:r w:rsidRPr="003F46F7">
        <w:rPr>
          <w:sz w:val="24"/>
          <w:szCs w:val="24"/>
        </w:rPr>
        <w:t>(Edinburgh: Edinburgh University Press, 2008)</w:t>
      </w:r>
      <w:r>
        <w:rPr>
          <w:sz w:val="24"/>
          <w:szCs w:val="24"/>
        </w:rPr>
        <w:br/>
      </w:r>
    </w:p>
    <w:p w14:paraId="757D5A96" w14:textId="78B648F8" w:rsidR="003F46F7" w:rsidRPr="003F46F7" w:rsidRDefault="003F46F7" w:rsidP="003F46F7">
      <w:pPr>
        <w:pStyle w:val="FootnoteText"/>
        <w:spacing w:line="360" w:lineRule="auto"/>
        <w:rPr>
          <w:sz w:val="24"/>
          <w:szCs w:val="24"/>
        </w:rPr>
      </w:pPr>
      <w:r w:rsidRPr="003F46F7">
        <w:rPr>
          <w:sz w:val="24"/>
          <w:szCs w:val="24"/>
        </w:rPr>
        <w:t xml:space="preserve">Plomer, Henry R., </w:t>
      </w:r>
      <w:r w:rsidRPr="003F46F7">
        <w:rPr>
          <w:i/>
          <w:iCs/>
          <w:sz w:val="24"/>
          <w:szCs w:val="24"/>
        </w:rPr>
        <w:t xml:space="preserve">A Dictionary of Printers and Booksellers in England, Scotland and Ireland from 1641 to 1667, </w:t>
      </w:r>
      <w:r w:rsidRPr="003F46F7">
        <w:rPr>
          <w:sz w:val="24"/>
          <w:szCs w:val="24"/>
        </w:rPr>
        <w:t>(Oxford: The Bibliographical Society, 1968)</w:t>
      </w:r>
      <w:r>
        <w:rPr>
          <w:sz w:val="24"/>
          <w:szCs w:val="24"/>
        </w:rPr>
        <w:br/>
      </w:r>
    </w:p>
    <w:p w14:paraId="650910AB" w14:textId="77777777" w:rsidR="003F46F7" w:rsidRPr="003F46F7" w:rsidRDefault="003F46F7" w:rsidP="003F46F7">
      <w:pPr>
        <w:pStyle w:val="FootnoteText"/>
        <w:spacing w:line="360" w:lineRule="auto"/>
        <w:rPr>
          <w:sz w:val="24"/>
          <w:szCs w:val="24"/>
        </w:rPr>
      </w:pPr>
      <w:r w:rsidRPr="003F46F7">
        <w:rPr>
          <w:sz w:val="24"/>
          <w:szCs w:val="24"/>
        </w:rPr>
        <w:t>Sherman, William, “The Alchemist in The Cambridge Edition of the Works of Ben Jonson”,</w:t>
      </w:r>
      <w:r w:rsidRPr="003F46F7">
        <w:rPr>
          <w:i/>
          <w:iCs/>
          <w:sz w:val="24"/>
          <w:szCs w:val="24"/>
        </w:rPr>
        <w:t xml:space="preserve"> Cambridge University Press, </w:t>
      </w:r>
      <w:r w:rsidRPr="003F46F7">
        <w:rPr>
          <w:sz w:val="24"/>
          <w:szCs w:val="24"/>
        </w:rPr>
        <w:t xml:space="preserve">2012 &lt; </w:t>
      </w:r>
      <w:hyperlink r:id="rId8" w:history="1">
        <w:r w:rsidRPr="003F46F7">
          <w:rPr>
            <w:rStyle w:val="Hyperlink"/>
            <w:sz w:val="24"/>
            <w:szCs w:val="24"/>
          </w:rPr>
          <w:t>The Alchemist: Textual Essay | The Cambridge Works of Ben Jonson (universitypublishingonline.org)</w:t>
        </w:r>
      </w:hyperlink>
      <w:r w:rsidRPr="003F46F7">
        <w:rPr>
          <w:sz w:val="24"/>
          <w:szCs w:val="24"/>
        </w:rPr>
        <w:t>&gt; [accessed 19 September 2024]</w:t>
      </w:r>
    </w:p>
    <w:sectPr w:rsidR="003F46F7" w:rsidRPr="003F46F7">
      <w:headerReference w:type="default" r:id="rId9"/>
      <w:foot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0F3698B6" w14:textId="77777777" w:rsidR="00BE6C1E" w:rsidRDefault="00BE6C1E" w:rsidP="00332F9F">
      <w:pPr>
        <w:spacing w:after="0" w:line="240" w:lineRule="auto"/>
      </w:pPr>
      <w:r>
        <w:separator/>
      </w:r>
    </w:p>
  </w:endnote>
  <w:endnote w:type="continuationSeparator" w:id="0">
    <w:p w14:paraId="0EC010E3" w14:textId="77777777" w:rsidR="00BE6C1E" w:rsidRDefault="00BE6C1E" w:rsidP="00332F9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-4498841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CE1E73D" w14:textId="55A9FFAC" w:rsidR="00332F9F" w:rsidRDefault="00332F9F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6258323" w14:textId="77777777" w:rsidR="00332F9F" w:rsidRDefault="00332F9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0173E694" w14:textId="77777777" w:rsidR="00BE6C1E" w:rsidRDefault="00BE6C1E" w:rsidP="00332F9F">
      <w:pPr>
        <w:spacing w:after="0" w:line="240" w:lineRule="auto"/>
      </w:pPr>
      <w:r>
        <w:separator/>
      </w:r>
    </w:p>
  </w:footnote>
  <w:footnote w:type="continuationSeparator" w:id="0">
    <w:p w14:paraId="741AA201" w14:textId="77777777" w:rsidR="00BE6C1E" w:rsidRDefault="00BE6C1E" w:rsidP="00332F9F">
      <w:pPr>
        <w:spacing w:after="0" w:line="240" w:lineRule="auto"/>
      </w:pPr>
      <w:r>
        <w:continuationSeparator/>
      </w:r>
    </w:p>
  </w:footnote>
  <w:footnote w:id="1">
    <w:p w14:paraId="32F939E5" w14:textId="5B53E782" w:rsidR="00EF6FA7" w:rsidRPr="007B60DD" w:rsidRDefault="00EF6FA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F47888">
        <w:t>K</w:t>
      </w:r>
      <w:r w:rsidR="00FB4BA9">
        <w:t>atherine Eisaman Maus, “</w:t>
      </w:r>
      <w:r w:rsidR="007B60DD">
        <w:t xml:space="preserve">The Alchemist”, in </w:t>
      </w:r>
      <w:r w:rsidR="007B60DD">
        <w:rPr>
          <w:i/>
          <w:iCs/>
        </w:rPr>
        <w:t xml:space="preserve">English </w:t>
      </w:r>
      <w:r w:rsidR="00ED5CC1">
        <w:rPr>
          <w:i/>
          <w:iCs/>
        </w:rPr>
        <w:t>Renaissance</w:t>
      </w:r>
      <w:r w:rsidR="007B60DD">
        <w:rPr>
          <w:i/>
          <w:iCs/>
        </w:rPr>
        <w:t xml:space="preserve"> Drama: A Norton Anthology, </w:t>
      </w:r>
      <w:r w:rsidR="00057713">
        <w:t>ed</w:t>
      </w:r>
      <w:r w:rsidR="004B6AD2">
        <w:t>.</w:t>
      </w:r>
      <w:r w:rsidR="00057713">
        <w:t xml:space="preserve"> by </w:t>
      </w:r>
      <w:r w:rsidR="00A50101">
        <w:t>David Bevington and Eric Rasmussen (</w:t>
      </w:r>
      <w:r w:rsidR="0056370E">
        <w:t xml:space="preserve">New York: </w:t>
      </w:r>
      <w:r w:rsidR="00D75523">
        <w:t xml:space="preserve">W. W. Norton &amp; Company, Inc., </w:t>
      </w:r>
      <w:r w:rsidR="003D0FC6">
        <w:t>2002), p.958.</w:t>
      </w:r>
    </w:p>
  </w:footnote>
  <w:footnote w:id="2">
    <w:p w14:paraId="30D498CF" w14:textId="2FF5CB31" w:rsidR="00745643" w:rsidRDefault="00745643">
      <w:pPr>
        <w:pStyle w:val="FootnoteText"/>
      </w:pPr>
      <w:r>
        <w:rPr>
          <w:rStyle w:val="FootnoteReference"/>
        </w:rPr>
        <w:footnoteRef/>
      </w:r>
      <w:r>
        <w:t xml:space="preserve"> Edward Arber</w:t>
      </w:r>
      <w:r w:rsidRPr="00235E23">
        <w:t xml:space="preserve">, </w:t>
      </w:r>
      <w:r w:rsidRPr="00235E23">
        <w:rPr>
          <w:i/>
          <w:iCs/>
        </w:rPr>
        <w:t>A Transcript of the Registers of the Company of Stationers of London 1554 – 1640</w:t>
      </w:r>
      <w:r>
        <w:rPr>
          <w:i/>
          <w:iCs/>
        </w:rPr>
        <w:t xml:space="preserve">, </w:t>
      </w:r>
      <w:r w:rsidRPr="002E2A18">
        <w:t>vol</w:t>
      </w:r>
      <w:r>
        <w:t xml:space="preserve"> 3</w:t>
      </w:r>
      <w:r w:rsidRPr="002E2A18">
        <w:t>, (</w:t>
      </w:r>
      <w:r>
        <w:t>Gloucester: Gloucester Mass, 1967), p.</w:t>
      </w:r>
      <w:r w:rsidR="00186533">
        <w:t>201.</w:t>
      </w:r>
    </w:p>
  </w:footnote>
  <w:footnote w:id="3">
    <w:p w14:paraId="506A7216" w14:textId="39A19AB2" w:rsidR="00364F8C" w:rsidRDefault="00364F8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ED41F8">
        <w:t>Edward Arber</w:t>
      </w:r>
      <w:r w:rsidR="00ED41F8" w:rsidRPr="00235E23">
        <w:t xml:space="preserve">, </w:t>
      </w:r>
      <w:r w:rsidR="00ED41F8" w:rsidRPr="00235E23">
        <w:rPr>
          <w:i/>
          <w:iCs/>
        </w:rPr>
        <w:t>A Transcript of the Registers of the Company of Stationers of London 1554 – 1640</w:t>
      </w:r>
      <w:r w:rsidR="00ED41F8">
        <w:rPr>
          <w:i/>
          <w:iCs/>
        </w:rPr>
        <w:t xml:space="preserve">, </w:t>
      </w:r>
      <w:r w:rsidR="00ED41F8" w:rsidRPr="002E2A18">
        <w:t>vol</w:t>
      </w:r>
      <w:r w:rsidR="00ED41F8">
        <w:t xml:space="preserve"> 4</w:t>
      </w:r>
      <w:r w:rsidR="00ED41F8" w:rsidRPr="002E2A18">
        <w:t>, (</w:t>
      </w:r>
      <w:r w:rsidR="00ED41F8">
        <w:t>Gloucester: Gloucester Mass, 1967), p.238.</w:t>
      </w:r>
    </w:p>
  </w:footnote>
  <w:footnote w:id="4">
    <w:p w14:paraId="288EDCDD" w14:textId="77777777" w:rsidR="00B97A76" w:rsidRDefault="00B97A76" w:rsidP="00B97A76">
      <w:pPr>
        <w:pStyle w:val="FootnoteText"/>
      </w:pPr>
      <w:r>
        <w:rPr>
          <w:rStyle w:val="FootnoteReference"/>
        </w:rPr>
        <w:footnoteRef/>
      </w:r>
      <w:r>
        <w:t xml:space="preserve"> Edward Arber</w:t>
      </w:r>
      <w:r w:rsidRPr="00235E23">
        <w:t xml:space="preserve">, </w:t>
      </w:r>
      <w:r w:rsidRPr="00235E23">
        <w:rPr>
          <w:i/>
          <w:iCs/>
        </w:rPr>
        <w:t>A Transcript of the Registers of the Company of Stationers of London 1554 – 1640</w:t>
      </w:r>
      <w:r>
        <w:rPr>
          <w:i/>
          <w:iCs/>
        </w:rPr>
        <w:t xml:space="preserve">, </w:t>
      </w:r>
      <w:r w:rsidRPr="002E2A18">
        <w:t>vol</w:t>
      </w:r>
      <w:r>
        <w:t xml:space="preserve"> 4</w:t>
      </w:r>
      <w:r w:rsidRPr="002E2A18">
        <w:t>, (</w:t>
      </w:r>
      <w:r>
        <w:t>Gloucester: Gloucester Mass, 1967), p.342.</w:t>
      </w:r>
    </w:p>
  </w:footnote>
  <w:footnote w:id="5">
    <w:p w14:paraId="32E07282" w14:textId="2F8F3B85" w:rsidR="000525C0" w:rsidRPr="00AA2E17" w:rsidRDefault="000525C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AA2E17">
        <w:t xml:space="preserve">W. W. Greg, </w:t>
      </w:r>
      <w:r w:rsidR="00AA2E17">
        <w:rPr>
          <w:i/>
          <w:iCs/>
        </w:rPr>
        <w:t xml:space="preserve">A Bibliography of the English Printed Drama to the Restoration, </w:t>
      </w:r>
      <w:r w:rsidR="00FD66DC">
        <w:t>(Oxford: The University Press, 1939), pp.</w:t>
      </w:r>
      <w:r w:rsidR="00FD0AF9">
        <w:t>440-442.</w:t>
      </w:r>
    </w:p>
  </w:footnote>
  <w:footnote w:id="6">
    <w:p w14:paraId="5D54A758" w14:textId="3351AF5F" w:rsidR="007D7D4B" w:rsidRDefault="007D7D4B">
      <w:pPr>
        <w:pStyle w:val="FootnoteText"/>
      </w:pPr>
      <w:r>
        <w:rPr>
          <w:rStyle w:val="FootnoteReference"/>
        </w:rPr>
        <w:footnoteRef/>
      </w:r>
      <w:r>
        <w:t xml:space="preserve">  </w:t>
      </w:r>
      <w:r w:rsidR="00FB1DC9">
        <w:t xml:space="preserve">W. W. Greg, </w:t>
      </w:r>
      <w:r w:rsidR="00FB1DC9">
        <w:rPr>
          <w:i/>
          <w:iCs/>
        </w:rPr>
        <w:t xml:space="preserve">Some Aspects and Problems of London Publishing between 1550 and 1650, </w:t>
      </w:r>
      <w:r w:rsidR="00D40CC3">
        <w:t>The Lyell Lectures, Oxford, Trinity Term</w:t>
      </w:r>
      <w:r w:rsidR="00FC1834">
        <w:t>, 1995 (Oxford: Clarendon Press, 1956),</w:t>
      </w:r>
      <w:r>
        <w:t>p.41.</w:t>
      </w:r>
    </w:p>
  </w:footnote>
  <w:footnote w:id="7">
    <w:p w14:paraId="1BC22CCA" w14:textId="77777777" w:rsidR="000B36AC" w:rsidRDefault="000B36AC" w:rsidP="000B36AC">
      <w:pPr>
        <w:pStyle w:val="FootnoteText"/>
      </w:pPr>
      <w:r>
        <w:rPr>
          <w:rStyle w:val="FootnoteReference"/>
        </w:rPr>
        <w:footnoteRef/>
      </w:r>
      <w:r>
        <w:t xml:space="preserve"> Seab McEvoy, </w:t>
      </w:r>
      <w:r>
        <w:rPr>
          <w:i/>
          <w:iCs/>
        </w:rPr>
        <w:t xml:space="preserve">Ben Jonson, Renaissance Dramatist, </w:t>
      </w:r>
      <w:r>
        <w:t>(Edinburgh: Edinburgh University Press, 2008), p.96.</w:t>
      </w:r>
    </w:p>
  </w:footnote>
  <w:footnote w:id="8">
    <w:p w14:paraId="30F46291" w14:textId="145D3F77" w:rsidR="00C777E3" w:rsidRPr="007E7194" w:rsidRDefault="00C777E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0A64D3">
        <w:t>F. H. M</w:t>
      </w:r>
      <w:r w:rsidR="007E7194">
        <w:t>a</w:t>
      </w:r>
      <w:r w:rsidR="000A64D3">
        <w:t>res, “In</w:t>
      </w:r>
      <w:r w:rsidR="007E7194">
        <w:t xml:space="preserve">troduction”, in </w:t>
      </w:r>
      <w:r w:rsidR="007E7194">
        <w:rPr>
          <w:i/>
          <w:iCs/>
        </w:rPr>
        <w:t xml:space="preserve">The Alchemist </w:t>
      </w:r>
      <w:r w:rsidR="007E7194">
        <w:t>by Ben Jonson, ed by F. H. Mares (</w:t>
      </w:r>
      <w:r w:rsidR="001601CE">
        <w:t>London: Methuen &amp; Co LTD, 19</w:t>
      </w:r>
      <w:r w:rsidR="00340C24">
        <w:t>67), p.xvii.</w:t>
      </w:r>
      <w:r w:rsidR="007E7194">
        <w:t xml:space="preserve"> </w:t>
      </w:r>
    </w:p>
  </w:footnote>
  <w:footnote w:id="9">
    <w:p w14:paraId="4A01AAE3" w14:textId="045FB498" w:rsidR="00C12916" w:rsidRDefault="00C12916">
      <w:pPr>
        <w:pStyle w:val="FootnoteText"/>
      </w:pPr>
      <w:r>
        <w:rPr>
          <w:rStyle w:val="FootnoteReference"/>
        </w:rPr>
        <w:footnoteRef/>
      </w:r>
      <w:r>
        <w:t xml:space="preserve"> F. H. Mares, “Introduction”, in </w:t>
      </w:r>
      <w:r>
        <w:rPr>
          <w:i/>
          <w:iCs/>
        </w:rPr>
        <w:t xml:space="preserve">The Alchemist </w:t>
      </w:r>
      <w:r>
        <w:t>by Ben Jonson, ed by F. H. Mares (London: Methuen &amp; Co LTD, 1967), p</w:t>
      </w:r>
      <w:r w:rsidR="007F0D72">
        <w:t>p.lxii-lxiii.</w:t>
      </w:r>
      <w:r>
        <w:t xml:space="preserve"> </w:t>
      </w:r>
    </w:p>
  </w:footnote>
  <w:footnote w:id="10">
    <w:p w14:paraId="03EF2C28" w14:textId="33FA138D" w:rsidR="00CB2187" w:rsidRDefault="00CB218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rPr>
          <w:rStyle w:val="FootnoteReference"/>
        </w:rPr>
        <w:footnoteRef/>
      </w:r>
      <w:r>
        <w:t xml:space="preserve"> F. H. Mares, “Introduction”, in </w:t>
      </w:r>
      <w:r>
        <w:rPr>
          <w:i/>
          <w:iCs/>
        </w:rPr>
        <w:t xml:space="preserve">The Alchemist </w:t>
      </w:r>
      <w:r>
        <w:t>by Ben Jonson, ed by F. H. Mares (London: Methuen &amp; Co LTD, 1967), p.lxvi.</w:t>
      </w:r>
    </w:p>
  </w:footnote>
  <w:footnote w:id="11">
    <w:p w14:paraId="0EC2E685" w14:textId="1CD8F9F7" w:rsidR="00A12597" w:rsidRPr="00A52D04" w:rsidRDefault="00A1259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C74FC5">
        <w:t>Sea</w:t>
      </w:r>
      <w:r w:rsidR="00A46767">
        <w:t>n</w:t>
      </w:r>
      <w:r w:rsidR="00C74FC5">
        <w:t xml:space="preserve"> McEvoy, </w:t>
      </w:r>
      <w:r w:rsidR="00C74FC5">
        <w:rPr>
          <w:i/>
          <w:iCs/>
        </w:rPr>
        <w:t>Ben Jonson, Renaissance Dramatist</w:t>
      </w:r>
      <w:r w:rsidR="00A52D04">
        <w:rPr>
          <w:i/>
          <w:iCs/>
        </w:rPr>
        <w:t xml:space="preserve">, </w:t>
      </w:r>
      <w:r w:rsidR="00A52D04">
        <w:t xml:space="preserve">(Edinburgh: Edinburgh </w:t>
      </w:r>
      <w:r w:rsidR="004B1C60">
        <w:t>University Press, 2008), pp.3-6.</w:t>
      </w:r>
    </w:p>
  </w:footnote>
  <w:footnote w:id="12">
    <w:p w14:paraId="2578A447" w14:textId="3140E922" w:rsidR="00D7715A" w:rsidRDefault="00D7715A">
      <w:pPr>
        <w:pStyle w:val="FootnoteText"/>
      </w:pPr>
      <w:r>
        <w:rPr>
          <w:rStyle w:val="FootnoteReference"/>
        </w:rPr>
        <w:footnoteRef/>
      </w:r>
      <w:r>
        <w:t xml:space="preserve"> Sea</w:t>
      </w:r>
      <w:r w:rsidR="00A46767">
        <w:t>n</w:t>
      </w:r>
      <w:r>
        <w:t xml:space="preserve"> McEvoy, </w:t>
      </w:r>
      <w:r>
        <w:rPr>
          <w:i/>
          <w:iCs/>
        </w:rPr>
        <w:t xml:space="preserve">Ben Jonson, Renaissance Dramatist, </w:t>
      </w:r>
      <w:r>
        <w:t>(Edinburgh: Edinburgh University Press, 2008), p.</w:t>
      </w:r>
      <w:r w:rsidR="0049448D">
        <w:t>3.</w:t>
      </w:r>
    </w:p>
  </w:footnote>
  <w:footnote w:id="13">
    <w:p w14:paraId="706E4DD4" w14:textId="75A27ACC" w:rsidR="003F0553" w:rsidRDefault="003F0553">
      <w:pPr>
        <w:pStyle w:val="FootnoteText"/>
      </w:pPr>
      <w:r>
        <w:rPr>
          <w:rStyle w:val="FootnoteReference"/>
        </w:rPr>
        <w:footnoteRef/>
      </w:r>
      <w:r>
        <w:t xml:space="preserve"> Sea</w:t>
      </w:r>
      <w:r w:rsidR="00A46767">
        <w:t xml:space="preserve">n </w:t>
      </w:r>
      <w:r>
        <w:t xml:space="preserve">McEvoy, </w:t>
      </w:r>
      <w:r>
        <w:rPr>
          <w:i/>
          <w:iCs/>
        </w:rPr>
        <w:t xml:space="preserve">Ben Jonson, Renaissance Dramatist, </w:t>
      </w:r>
      <w:r>
        <w:t>(Edinburgh: Edinburgh University Press, 2008), p.4.</w:t>
      </w:r>
    </w:p>
  </w:footnote>
  <w:footnote w:id="14">
    <w:p w14:paraId="16849255" w14:textId="34610E1D" w:rsidR="0083252B" w:rsidRPr="009A20B2" w:rsidRDefault="0083252B">
      <w:pPr>
        <w:pStyle w:val="FootnoteText"/>
      </w:pPr>
      <w:r>
        <w:rPr>
          <w:rStyle w:val="FootnoteReference"/>
        </w:rPr>
        <w:footnoteRef/>
      </w:r>
      <w:r w:rsidR="009A20B2">
        <w:t xml:space="preserve">L. C. Knights, </w:t>
      </w:r>
      <w:r w:rsidR="009A20B2">
        <w:rPr>
          <w:i/>
          <w:iCs/>
        </w:rPr>
        <w:t xml:space="preserve">Drama &amp; Society in the Age of Jonson, </w:t>
      </w:r>
      <w:r w:rsidR="009A20B2">
        <w:t>(</w:t>
      </w:r>
      <w:r w:rsidR="009B752E">
        <w:t>London: Chatto &amp; Windus, 1962), p.124.</w:t>
      </w:r>
    </w:p>
  </w:footnote>
  <w:footnote w:id="15">
    <w:p w14:paraId="04556113" w14:textId="6410FB59" w:rsidR="0096168F" w:rsidRDefault="0096168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EF6062">
        <w:t>William Sherman</w:t>
      </w:r>
      <w:r w:rsidR="00EF6062" w:rsidRPr="008E3F93">
        <w:t>, “The Alchemist</w:t>
      </w:r>
      <w:r w:rsidR="00EF6062">
        <w:t xml:space="preserve"> in The Cambridge Edition of the Works of Ben Jonson</w:t>
      </w:r>
      <w:r w:rsidR="00EF6062" w:rsidRPr="008E3F93">
        <w:t>”,</w:t>
      </w:r>
      <w:r w:rsidR="00EF6062">
        <w:rPr>
          <w:i/>
          <w:iCs/>
        </w:rPr>
        <w:t xml:space="preserve"> </w:t>
      </w:r>
      <w:r w:rsidR="00EF6062" w:rsidRPr="008E3F93">
        <w:rPr>
          <w:i/>
          <w:iCs/>
        </w:rPr>
        <w:t>Cambridge University Press</w:t>
      </w:r>
      <w:r w:rsidR="00EF6062">
        <w:rPr>
          <w:i/>
          <w:iCs/>
        </w:rPr>
        <w:t xml:space="preserve">, </w:t>
      </w:r>
      <w:r w:rsidR="00EF6062">
        <w:t>2012 &lt;</w:t>
      </w:r>
      <w:r w:rsidR="00EF6062" w:rsidRPr="00AA0E1D">
        <w:rPr>
          <w:sz w:val="22"/>
          <w:szCs w:val="22"/>
        </w:rPr>
        <w:t xml:space="preserve"> </w:t>
      </w:r>
      <w:hyperlink r:id="rId1" w:history="1">
        <w:r w:rsidR="00EF6062" w:rsidRPr="00AA0E1D">
          <w:rPr>
            <w:rStyle w:val="Hyperlink"/>
          </w:rPr>
          <w:t>The Alchemist: Textual Essay | The Cambridge Works of Ben Jonson (universitypublishingonline.org)</w:t>
        </w:r>
      </w:hyperlink>
      <w:r w:rsidR="00EF6062">
        <w:t>&gt; [accessed 19 September 2024].</w:t>
      </w:r>
    </w:p>
  </w:footnote>
  <w:footnote w:id="16">
    <w:p w14:paraId="48735AA0" w14:textId="539534D3" w:rsidR="0094492A" w:rsidRDefault="0094492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276CE0">
        <w:t>H.</w:t>
      </w:r>
      <w:r w:rsidR="00EA59F7">
        <w:t xml:space="preserve"> </w:t>
      </w:r>
      <w:r w:rsidR="00276CE0">
        <w:t>G</w:t>
      </w:r>
      <w:r w:rsidR="00EA59F7">
        <w:t>.</w:t>
      </w:r>
      <w:r w:rsidR="00276CE0">
        <w:t xml:space="preserve"> Aldis and others, </w:t>
      </w:r>
      <w:r w:rsidR="00276CE0">
        <w:rPr>
          <w:i/>
          <w:iCs/>
        </w:rPr>
        <w:t xml:space="preserve">A Dictionary of Printers and Booksellers in England, Scotland and Ireland, and of Foreign Printers of English Books 1557-1640, </w:t>
      </w:r>
      <w:r w:rsidR="00276CE0">
        <w:t>ed by R. B. McKerrow (London: The Bibliographical Society, 1968), p.56.</w:t>
      </w:r>
    </w:p>
  </w:footnote>
  <w:footnote w:id="17">
    <w:p w14:paraId="55A98499" w14:textId="5F73D77E" w:rsidR="0063242F" w:rsidRPr="00A56FF6" w:rsidRDefault="0063242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AC6E37">
        <w:t xml:space="preserve">Peter W. M. Blayney, </w:t>
      </w:r>
      <w:r w:rsidR="00AC6E37">
        <w:rPr>
          <w:i/>
          <w:iCs/>
        </w:rPr>
        <w:t>The Bookshops in Paul’s Cross Churchyard</w:t>
      </w:r>
      <w:r w:rsidR="00A56FF6">
        <w:rPr>
          <w:i/>
          <w:iCs/>
        </w:rPr>
        <w:t xml:space="preserve">, </w:t>
      </w:r>
      <w:r w:rsidR="00A56FF6">
        <w:t xml:space="preserve">(London: Bibliographical Society, 1990), </w:t>
      </w:r>
      <w:r w:rsidR="00105F50">
        <w:t>pp. 26-</w:t>
      </w:r>
      <w:r w:rsidR="00A56FF6">
        <w:t>27.</w:t>
      </w:r>
    </w:p>
  </w:footnote>
  <w:footnote w:id="18">
    <w:p w14:paraId="4E14F087" w14:textId="6CCCE0ED" w:rsidR="00937D08" w:rsidRPr="007A642C" w:rsidRDefault="00937D0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172AEB">
        <w:t xml:space="preserve">James K Bracken, </w:t>
      </w:r>
      <w:r w:rsidR="008C4E69">
        <w:t xml:space="preserve">“Books from William Stansby’s Printing House, and Jonson’s Folio of 1616”, </w:t>
      </w:r>
      <w:r w:rsidR="00B47CE2">
        <w:rPr>
          <w:i/>
          <w:iCs/>
        </w:rPr>
        <w:t xml:space="preserve">The Library, </w:t>
      </w:r>
      <w:r w:rsidR="007A642C" w:rsidRPr="007A642C">
        <w:t>6.1</w:t>
      </w:r>
      <w:r w:rsidR="00FA5765">
        <w:t xml:space="preserve"> (1988), 18-29 (p.20)</w:t>
      </w:r>
      <w:r w:rsidR="004752AD">
        <w:t xml:space="preserve"> &lt;</w:t>
      </w:r>
      <w:r w:rsidR="004752AD" w:rsidRPr="004752AD">
        <w:rPr>
          <w:sz w:val="22"/>
          <w:szCs w:val="22"/>
        </w:rPr>
        <w:t xml:space="preserve"> </w:t>
      </w:r>
      <w:hyperlink r:id="rId2" w:history="1">
        <w:r w:rsidR="004752AD" w:rsidRPr="004752AD">
          <w:rPr>
            <w:rStyle w:val="Hyperlink"/>
          </w:rPr>
          <w:t>https://doi.org/10.1093/library/s6-X.1.18</w:t>
        </w:r>
      </w:hyperlink>
      <w:r w:rsidR="004752AD">
        <w:t>&gt;</w:t>
      </w:r>
      <w:r w:rsidR="00FD0AF9">
        <w:t>.</w:t>
      </w:r>
    </w:p>
  </w:footnote>
  <w:footnote w:id="19">
    <w:p w14:paraId="6F32AEAF" w14:textId="1667F3FB" w:rsidR="006D570D" w:rsidRDefault="006D570D">
      <w:pPr>
        <w:pStyle w:val="FootnoteText"/>
      </w:pPr>
      <w:r>
        <w:rPr>
          <w:rStyle w:val="FootnoteReference"/>
        </w:rPr>
        <w:footnoteRef/>
      </w:r>
      <w:r>
        <w:t xml:space="preserve"> H.</w:t>
      </w:r>
      <w:r w:rsidR="00EA59F7">
        <w:t xml:space="preserve"> </w:t>
      </w:r>
      <w:r>
        <w:t>G</w:t>
      </w:r>
      <w:r w:rsidR="00EA59F7">
        <w:t>.</w:t>
      </w:r>
      <w:r>
        <w:t xml:space="preserve"> Aldis and others, </w:t>
      </w:r>
      <w:r>
        <w:rPr>
          <w:i/>
          <w:iCs/>
        </w:rPr>
        <w:t xml:space="preserve">A Dictionary of Printers and Booksellers in England, Scotland and Ireland, and of Foreign Printers of English Books 1557-1640, </w:t>
      </w:r>
      <w:r>
        <w:t>ed by R. B. McKerrow (London: The Bibliographical Society, 1968), p.258.</w:t>
      </w:r>
    </w:p>
  </w:footnote>
  <w:footnote w:id="20">
    <w:p w14:paraId="705EE2BF" w14:textId="77777777" w:rsidR="00DB0FB2" w:rsidRPr="00D16E1C" w:rsidRDefault="00DB0FB2" w:rsidP="00DB0FB2">
      <w:pPr>
        <w:pStyle w:val="FootnoteText"/>
      </w:pPr>
      <w:r>
        <w:rPr>
          <w:rStyle w:val="FootnoteReference"/>
        </w:rPr>
        <w:footnoteRef/>
      </w:r>
      <w:r>
        <w:t xml:space="preserve"> William Sherman</w:t>
      </w:r>
      <w:r w:rsidRPr="008E3F93">
        <w:t>, “The Alchemist</w:t>
      </w:r>
      <w:r>
        <w:t xml:space="preserve"> in The Cambridge Edition of the Works of Ben Jonson</w:t>
      </w:r>
      <w:r w:rsidRPr="008E3F93">
        <w:t>”,</w:t>
      </w:r>
      <w:r>
        <w:rPr>
          <w:i/>
          <w:iCs/>
        </w:rPr>
        <w:t xml:space="preserve"> </w:t>
      </w:r>
      <w:r w:rsidRPr="008E3F93">
        <w:rPr>
          <w:i/>
          <w:iCs/>
        </w:rPr>
        <w:t>Cambridge University Press</w:t>
      </w:r>
      <w:r>
        <w:rPr>
          <w:i/>
          <w:iCs/>
        </w:rPr>
        <w:t xml:space="preserve">, </w:t>
      </w:r>
      <w:r>
        <w:t>2012 &lt;</w:t>
      </w:r>
      <w:r w:rsidRPr="00AA0E1D">
        <w:rPr>
          <w:sz w:val="22"/>
          <w:szCs w:val="22"/>
        </w:rPr>
        <w:t xml:space="preserve"> </w:t>
      </w:r>
      <w:hyperlink r:id="rId3" w:history="1">
        <w:r w:rsidRPr="00AA0E1D">
          <w:rPr>
            <w:rStyle w:val="Hyperlink"/>
          </w:rPr>
          <w:t>The Alchemist: Textual Essay | The Cambridge Works of Ben Jonson (universitypublishingonline.org)</w:t>
        </w:r>
      </w:hyperlink>
      <w:r>
        <w:t>&gt; [accessed 19 September 2024].</w:t>
      </w:r>
    </w:p>
  </w:footnote>
  <w:footnote w:id="21">
    <w:p w14:paraId="032DAF1A" w14:textId="77777777" w:rsidR="00DB0FB2" w:rsidRDefault="00DB0FB2" w:rsidP="00DB0FB2">
      <w:pPr>
        <w:pStyle w:val="FootnoteText"/>
      </w:pPr>
      <w:r>
        <w:rPr>
          <w:rStyle w:val="FootnoteReference"/>
        </w:rPr>
        <w:footnoteRef/>
      </w:r>
      <w:r>
        <w:t xml:space="preserve"> William A. Jackson, </w:t>
      </w:r>
      <w:r w:rsidRPr="00276CE0">
        <w:rPr>
          <w:i/>
          <w:iCs/>
        </w:rPr>
        <w:t>Record of the Courts of the Stationers’ Company 1602-1640</w:t>
      </w:r>
      <w:r>
        <w:t>, (London: Bibliographic Society, 1957), p.75.</w:t>
      </w:r>
    </w:p>
  </w:footnote>
  <w:footnote w:id="22">
    <w:p w14:paraId="0AA339B6" w14:textId="194069D3" w:rsidR="00DB0FB2" w:rsidRPr="00E5489A" w:rsidRDefault="00DB0FB2" w:rsidP="00DB0FB2">
      <w:pPr>
        <w:pStyle w:val="FootnoteText"/>
      </w:pPr>
      <w:r>
        <w:rPr>
          <w:rStyle w:val="FootnoteReference"/>
        </w:rPr>
        <w:footnoteRef/>
      </w:r>
      <w:r>
        <w:t xml:space="preserve"> H.</w:t>
      </w:r>
      <w:r w:rsidR="00EA59F7">
        <w:t xml:space="preserve"> </w:t>
      </w:r>
      <w:r>
        <w:t>G</w:t>
      </w:r>
      <w:r w:rsidR="00EA59F7">
        <w:t>.</w:t>
      </w:r>
      <w:r>
        <w:t xml:space="preserve"> Aldis and others, </w:t>
      </w:r>
      <w:r>
        <w:rPr>
          <w:i/>
          <w:iCs/>
        </w:rPr>
        <w:t xml:space="preserve">A Dictionary of Printers and Booksellers in England, Scotland and Ireland, and of Foreign Printers of English Books 1557-1640, </w:t>
      </w:r>
      <w:r>
        <w:t>ed by R. B. McKerrow (London: The Bibliographical Society, 1968), pp.250-251.</w:t>
      </w:r>
    </w:p>
  </w:footnote>
  <w:footnote w:id="23">
    <w:p w14:paraId="7F0A8F04" w14:textId="49601CC7" w:rsidR="00625DD1" w:rsidRDefault="00625DD1" w:rsidP="00625DD1">
      <w:pPr>
        <w:pStyle w:val="FootnoteText"/>
      </w:pPr>
      <w:r>
        <w:rPr>
          <w:rStyle w:val="FootnoteReference"/>
        </w:rPr>
        <w:footnoteRef/>
      </w:r>
      <w:r>
        <w:t xml:space="preserve"> H.</w:t>
      </w:r>
      <w:r w:rsidR="00EA59F7">
        <w:t xml:space="preserve"> </w:t>
      </w:r>
      <w:r>
        <w:t>G</w:t>
      </w:r>
      <w:r w:rsidR="00EA59F7">
        <w:t>.</w:t>
      </w:r>
      <w:r>
        <w:t xml:space="preserve"> Aldis and others, </w:t>
      </w:r>
      <w:r>
        <w:rPr>
          <w:i/>
          <w:iCs/>
        </w:rPr>
        <w:t xml:space="preserve">A Dictionary of Printers and Booksellers in England, Scotland and Ireland, and of Foreign Printers of English Books 1557-1640, </w:t>
      </w:r>
      <w:r>
        <w:t>ed by R. B. McKerrow (London: The Bibliographical Society, 1968), p.256.</w:t>
      </w:r>
    </w:p>
  </w:footnote>
  <w:footnote w:id="24">
    <w:p w14:paraId="531D77F9" w14:textId="77777777" w:rsidR="00625DD1" w:rsidRDefault="00625DD1" w:rsidP="00625DD1">
      <w:pPr>
        <w:pStyle w:val="FootnoteText"/>
      </w:pPr>
      <w:r>
        <w:rPr>
          <w:rStyle w:val="FootnoteReference"/>
        </w:rPr>
        <w:footnoteRef/>
      </w:r>
      <w:r>
        <w:t xml:space="preserve"> H.G Aldis and others, </w:t>
      </w:r>
      <w:r>
        <w:rPr>
          <w:i/>
          <w:iCs/>
        </w:rPr>
        <w:t xml:space="preserve">A Dictionary of Printers and Booksellers in England, Scotland and Ireland, and of Foreign Printers of English Books 1557-1640, </w:t>
      </w:r>
      <w:r>
        <w:t>ed by R. B. McKerrow (London: The Bibliographical Society, 1968), p.256.</w:t>
      </w:r>
    </w:p>
  </w:footnote>
  <w:footnote w:id="25">
    <w:p w14:paraId="30651588" w14:textId="78FB1F74" w:rsidR="00A3310F" w:rsidRPr="00ED5DF6" w:rsidRDefault="00A3310F">
      <w:pPr>
        <w:pStyle w:val="FootnoteText"/>
      </w:pPr>
      <w:r>
        <w:rPr>
          <w:rStyle w:val="FootnoteReference"/>
        </w:rPr>
        <w:footnoteRef/>
      </w:r>
      <w:r>
        <w:t xml:space="preserve"> Henry R. Plomer, </w:t>
      </w:r>
      <w:r>
        <w:rPr>
          <w:i/>
          <w:iCs/>
        </w:rPr>
        <w:t xml:space="preserve">A Dictionary of </w:t>
      </w:r>
      <w:r w:rsidR="00ED5DF6">
        <w:rPr>
          <w:i/>
          <w:iCs/>
        </w:rPr>
        <w:t xml:space="preserve">Printers and Booksellers in England, Scotland and Ireland from 1641 to 1667, </w:t>
      </w:r>
      <w:r w:rsidR="00ED5DF6">
        <w:t>(</w:t>
      </w:r>
      <w:r w:rsidR="008D494A">
        <w:t xml:space="preserve">Oxford: </w:t>
      </w:r>
      <w:r w:rsidR="00ED5DF6">
        <w:t>The Bibliographical Society</w:t>
      </w:r>
      <w:r w:rsidR="008D494A">
        <w:t>, 1968), p,23.</w:t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02084A0A" w14:textId="7F1D1209" w:rsidR="00332F9F" w:rsidRDefault="00332F9F">
    <w:pPr>
      <w:pStyle w:val="Header"/>
    </w:pPr>
    <w:r>
      <w:t>Lois Wilcox 2200825</w:t>
    </w:r>
    <w:r>
      <w:ptab w:relativeTo="margin" w:alignment="center" w:leader="none"/>
    </w:r>
    <w:r>
      <w:t>Error and Sweet Violence</w:t>
    </w:r>
    <w:r>
      <w:ptab w:relativeTo="margin" w:alignment="right" w:leader="none"/>
    </w:r>
    <w:r w:rsidR="003B59F2">
      <w:t>Wednesday</w:t>
    </w:r>
    <w:r>
      <w:t xml:space="preserve"> 2</w:t>
    </w:r>
    <w:r w:rsidR="003B59F2">
      <w:t>5</w:t>
    </w:r>
    <w:r w:rsidRPr="00332F9F">
      <w:rPr>
        <w:vertAlign w:val="superscript"/>
      </w:rPr>
      <w:t>th</w:t>
    </w:r>
    <w:r>
      <w:t xml:space="preserve"> September 2024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32F9F"/>
    <w:rsid w:val="00004456"/>
    <w:rsid w:val="00037B2C"/>
    <w:rsid w:val="00050BF2"/>
    <w:rsid w:val="000525C0"/>
    <w:rsid w:val="000573D4"/>
    <w:rsid w:val="00057547"/>
    <w:rsid w:val="00057713"/>
    <w:rsid w:val="000821E4"/>
    <w:rsid w:val="000847C2"/>
    <w:rsid w:val="00091E2D"/>
    <w:rsid w:val="000932D3"/>
    <w:rsid w:val="00097ED2"/>
    <w:rsid w:val="000A64D3"/>
    <w:rsid w:val="000B36AC"/>
    <w:rsid w:val="000B498F"/>
    <w:rsid w:val="000B7408"/>
    <w:rsid w:val="000D06E3"/>
    <w:rsid w:val="000D375D"/>
    <w:rsid w:val="000E435C"/>
    <w:rsid w:val="000F2E9F"/>
    <w:rsid w:val="000F4A4D"/>
    <w:rsid w:val="00105F50"/>
    <w:rsid w:val="0012328A"/>
    <w:rsid w:val="00126557"/>
    <w:rsid w:val="001308CF"/>
    <w:rsid w:val="001515DF"/>
    <w:rsid w:val="00154EBE"/>
    <w:rsid w:val="001572C8"/>
    <w:rsid w:val="001601CE"/>
    <w:rsid w:val="00162A78"/>
    <w:rsid w:val="00172AEB"/>
    <w:rsid w:val="00175D23"/>
    <w:rsid w:val="00186533"/>
    <w:rsid w:val="00190199"/>
    <w:rsid w:val="001B4509"/>
    <w:rsid w:val="001B4696"/>
    <w:rsid w:val="001B7DE1"/>
    <w:rsid w:val="001C0316"/>
    <w:rsid w:val="001D5890"/>
    <w:rsid w:val="001E351E"/>
    <w:rsid w:val="001E786A"/>
    <w:rsid w:val="001F197E"/>
    <w:rsid w:val="001F4264"/>
    <w:rsid w:val="0021594C"/>
    <w:rsid w:val="0021756B"/>
    <w:rsid w:val="0022339D"/>
    <w:rsid w:val="00224125"/>
    <w:rsid w:val="00235E23"/>
    <w:rsid w:val="0024185F"/>
    <w:rsid w:val="00245506"/>
    <w:rsid w:val="002515C3"/>
    <w:rsid w:val="00252935"/>
    <w:rsid w:val="00270944"/>
    <w:rsid w:val="00273D4E"/>
    <w:rsid w:val="00276CE0"/>
    <w:rsid w:val="002906E2"/>
    <w:rsid w:val="00291FAB"/>
    <w:rsid w:val="002A2966"/>
    <w:rsid w:val="002C2588"/>
    <w:rsid w:val="002E00F4"/>
    <w:rsid w:val="002E1D04"/>
    <w:rsid w:val="002E2A18"/>
    <w:rsid w:val="002F17C3"/>
    <w:rsid w:val="00302E95"/>
    <w:rsid w:val="00304382"/>
    <w:rsid w:val="00332F9F"/>
    <w:rsid w:val="00340C24"/>
    <w:rsid w:val="003422E2"/>
    <w:rsid w:val="00344460"/>
    <w:rsid w:val="00352618"/>
    <w:rsid w:val="00357F30"/>
    <w:rsid w:val="0036274B"/>
    <w:rsid w:val="00364F8C"/>
    <w:rsid w:val="00374409"/>
    <w:rsid w:val="0037598F"/>
    <w:rsid w:val="00377C9D"/>
    <w:rsid w:val="00384720"/>
    <w:rsid w:val="00385378"/>
    <w:rsid w:val="00393DBB"/>
    <w:rsid w:val="0039464F"/>
    <w:rsid w:val="003A29EA"/>
    <w:rsid w:val="003A3EF5"/>
    <w:rsid w:val="003B016E"/>
    <w:rsid w:val="003B0665"/>
    <w:rsid w:val="003B0BEC"/>
    <w:rsid w:val="003B4E99"/>
    <w:rsid w:val="003B59F2"/>
    <w:rsid w:val="003D0FC6"/>
    <w:rsid w:val="003F0553"/>
    <w:rsid w:val="003F2D75"/>
    <w:rsid w:val="003F46F7"/>
    <w:rsid w:val="0040715D"/>
    <w:rsid w:val="00410FD8"/>
    <w:rsid w:val="004367D0"/>
    <w:rsid w:val="00463B43"/>
    <w:rsid w:val="00467554"/>
    <w:rsid w:val="00470774"/>
    <w:rsid w:val="004752AD"/>
    <w:rsid w:val="0047656B"/>
    <w:rsid w:val="00485811"/>
    <w:rsid w:val="0049448D"/>
    <w:rsid w:val="00494824"/>
    <w:rsid w:val="00496FDA"/>
    <w:rsid w:val="004B1C60"/>
    <w:rsid w:val="004B21F4"/>
    <w:rsid w:val="004B6AD2"/>
    <w:rsid w:val="004B788B"/>
    <w:rsid w:val="004D43B5"/>
    <w:rsid w:val="004F58E7"/>
    <w:rsid w:val="004F7E2E"/>
    <w:rsid w:val="00513EDD"/>
    <w:rsid w:val="00514AA9"/>
    <w:rsid w:val="00523F50"/>
    <w:rsid w:val="00524A8F"/>
    <w:rsid w:val="00525648"/>
    <w:rsid w:val="00530D0D"/>
    <w:rsid w:val="00541B8B"/>
    <w:rsid w:val="0054216A"/>
    <w:rsid w:val="00555764"/>
    <w:rsid w:val="005559CF"/>
    <w:rsid w:val="00563247"/>
    <w:rsid w:val="0056370E"/>
    <w:rsid w:val="005716A0"/>
    <w:rsid w:val="00581A7C"/>
    <w:rsid w:val="005856DA"/>
    <w:rsid w:val="005A7AE6"/>
    <w:rsid w:val="005B2308"/>
    <w:rsid w:val="005B5A4E"/>
    <w:rsid w:val="005B64C2"/>
    <w:rsid w:val="005C66DB"/>
    <w:rsid w:val="006179E6"/>
    <w:rsid w:val="00625DD1"/>
    <w:rsid w:val="0063242F"/>
    <w:rsid w:val="00646A59"/>
    <w:rsid w:val="00650396"/>
    <w:rsid w:val="006544D2"/>
    <w:rsid w:val="0067402A"/>
    <w:rsid w:val="006755D7"/>
    <w:rsid w:val="00677047"/>
    <w:rsid w:val="00680894"/>
    <w:rsid w:val="00681C28"/>
    <w:rsid w:val="00693151"/>
    <w:rsid w:val="006A59F5"/>
    <w:rsid w:val="006B4DEB"/>
    <w:rsid w:val="006B7034"/>
    <w:rsid w:val="006C5FAC"/>
    <w:rsid w:val="006D570D"/>
    <w:rsid w:val="006D680B"/>
    <w:rsid w:val="006E04FA"/>
    <w:rsid w:val="006F026A"/>
    <w:rsid w:val="006F19AE"/>
    <w:rsid w:val="006F20D9"/>
    <w:rsid w:val="006F39E4"/>
    <w:rsid w:val="007010C8"/>
    <w:rsid w:val="0070789F"/>
    <w:rsid w:val="00711DC9"/>
    <w:rsid w:val="0071406F"/>
    <w:rsid w:val="00714CA8"/>
    <w:rsid w:val="00720EED"/>
    <w:rsid w:val="00723464"/>
    <w:rsid w:val="00730367"/>
    <w:rsid w:val="00745643"/>
    <w:rsid w:val="007532AF"/>
    <w:rsid w:val="0075357E"/>
    <w:rsid w:val="00754A98"/>
    <w:rsid w:val="0076392C"/>
    <w:rsid w:val="007668C0"/>
    <w:rsid w:val="0077067D"/>
    <w:rsid w:val="0077276C"/>
    <w:rsid w:val="0077672C"/>
    <w:rsid w:val="00790663"/>
    <w:rsid w:val="007A642C"/>
    <w:rsid w:val="007B21C9"/>
    <w:rsid w:val="007B60DD"/>
    <w:rsid w:val="007C120A"/>
    <w:rsid w:val="007C2AEA"/>
    <w:rsid w:val="007D449A"/>
    <w:rsid w:val="007D7D4B"/>
    <w:rsid w:val="007E20F9"/>
    <w:rsid w:val="007E7194"/>
    <w:rsid w:val="007F0D72"/>
    <w:rsid w:val="007F3DCE"/>
    <w:rsid w:val="007F5C7F"/>
    <w:rsid w:val="00804669"/>
    <w:rsid w:val="00805EEE"/>
    <w:rsid w:val="00811E11"/>
    <w:rsid w:val="0083252B"/>
    <w:rsid w:val="00833DA5"/>
    <w:rsid w:val="00836DDC"/>
    <w:rsid w:val="00843B71"/>
    <w:rsid w:val="00852440"/>
    <w:rsid w:val="0086040C"/>
    <w:rsid w:val="00872532"/>
    <w:rsid w:val="00872D8C"/>
    <w:rsid w:val="00882966"/>
    <w:rsid w:val="00892C16"/>
    <w:rsid w:val="0089486E"/>
    <w:rsid w:val="00896473"/>
    <w:rsid w:val="00897782"/>
    <w:rsid w:val="008A004D"/>
    <w:rsid w:val="008B3A9D"/>
    <w:rsid w:val="008B4659"/>
    <w:rsid w:val="008B5BCD"/>
    <w:rsid w:val="008C4E69"/>
    <w:rsid w:val="008D2084"/>
    <w:rsid w:val="008D2E13"/>
    <w:rsid w:val="008D3B7B"/>
    <w:rsid w:val="008D4162"/>
    <w:rsid w:val="008D494A"/>
    <w:rsid w:val="008D4AE3"/>
    <w:rsid w:val="008D5B82"/>
    <w:rsid w:val="008E3F93"/>
    <w:rsid w:val="008E70DA"/>
    <w:rsid w:val="009041E1"/>
    <w:rsid w:val="00916C33"/>
    <w:rsid w:val="009318CA"/>
    <w:rsid w:val="00937D08"/>
    <w:rsid w:val="0094492A"/>
    <w:rsid w:val="00944BB6"/>
    <w:rsid w:val="00950F3B"/>
    <w:rsid w:val="00954FBA"/>
    <w:rsid w:val="0096168F"/>
    <w:rsid w:val="00976CD9"/>
    <w:rsid w:val="00982F5F"/>
    <w:rsid w:val="00993685"/>
    <w:rsid w:val="009A0E2F"/>
    <w:rsid w:val="009A20B2"/>
    <w:rsid w:val="009A4F55"/>
    <w:rsid w:val="009B5518"/>
    <w:rsid w:val="009B72A2"/>
    <w:rsid w:val="009B752E"/>
    <w:rsid w:val="009D1066"/>
    <w:rsid w:val="009D5B8D"/>
    <w:rsid w:val="00A02F28"/>
    <w:rsid w:val="00A02FA5"/>
    <w:rsid w:val="00A12597"/>
    <w:rsid w:val="00A151A0"/>
    <w:rsid w:val="00A2428C"/>
    <w:rsid w:val="00A3310F"/>
    <w:rsid w:val="00A46767"/>
    <w:rsid w:val="00A50101"/>
    <w:rsid w:val="00A524D5"/>
    <w:rsid w:val="00A52D04"/>
    <w:rsid w:val="00A55631"/>
    <w:rsid w:val="00A56D8D"/>
    <w:rsid w:val="00A56FF6"/>
    <w:rsid w:val="00A65A76"/>
    <w:rsid w:val="00A712F1"/>
    <w:rsid w:val="00A71A54"/>
    <w:rsid w:val="00A80105"/>
    <w:rsid w:val="00A8656D"/>
    <w:rsid w:val="00A9137A"/>
    <w:rsid w:val="00AA0E1D"/>
    <w:rsid w:val="00AA2E17"/>
    <w:rsid w:val="00AA3C5F"/>
    <w:rsid w:val="00AB15D9"/>
    <w:rsid w:val="00AB456C"/>
    <w:rsid w:val="00AC0B37"/>
    <w:rsid w:val="00AC6E37"/>
    <w:rsid w:val="00AF423D"/>
    <w:rsid w:val="00B15A9B"/>
    <w:rsid w:val="00B22F1C"/>
    <w:rsid w:val="00B36881"/>
    <w:rsid w:val="00B47CE2"/>
    <w:rsid w:val="00B65012"/>
    <w:rsid w:val="00B80A99"/>
    <w:rsid w:val="00B825AC"/>
    <w:rsid w:val="00B83F4E"/>
    <w:rsid w:val="00B85B80"/>
    <w:rsid w:val="00B87F2C"/>
    <w:rsid w:val="00B9204B"/>
    <w:rsid w:val="00B97A76"/>
    <w:rsid w:val="00BA11F3"/>
    <w:rsid w:val="00BB57A3"/>
    <w:rsid w:val="00BB5C21"/>
    <w:rsid w:val="00BB7C95"/>
    <w:rsid w:val="00BD4071"/>
    <w:rsid w:val="00BE6C1E"/>
    <w:rsid w:val="00BF1B6B"/>
    <w:rsid w:val="00C12916"/>
    <w:rsid w:val="00C1453C"/>
    <w:rsid w:val="00C17EF9"/>
    <w:rsid w:val="00C2351E"/>
    <w:rsid w:val="00C25FD1"/>
    <w:rsid w:val="00C30482"/>
    <w:rsid w:val="00C46ED4"/>
    <w:rsid w:val="00C7027D"/>
    <w:rsid w:val="00C74FC5"/>
    <w:rsid w:val="00C777E3"/>
    <w:rsid w:val="00C77910"/>
    <w:rsid w:val="00C8279D"/>
    <w:rsid w:val="00C92C64"/>
    <w:rsid w:val="00C973E9"/>
    <w:rsid w:val="00CA695D"/>
    <w:rsid w:val="00CA7B8E"/>
    <w:rsid w:val="00CB2187"/>
    <w:rsid w:val="00CC2A13"/>
    <w:rsid w:val="00CC7D73"/>
    <w:rsid w:val="00CF256B"/>
    <w:rsid w:val="00CF29C3"/>
    <w:rsid w:val="00CF74BB"/>
    <w:rsid w:val="00D00678"/>
    <w:rsid w:val="00D14F5A"/>
    <w:rsid w:val="00D1667C"/>
    <w:rsid w:val="00D16E1C"/>
    <w:rsid w:val="00D2099B"/>
    <w:rsid w:val="00D30F0E"/>
    <w:rsid w:val="00D40CC3"/>
    <w:rsid w:val="00D42436"/>
    <w:rsid w:val="00D5506F"/>
    <w:rsid w:val="00D605A4"/>
    <w:rsid w:val="00D631F2"/>
    <w:rsid w:val="00D67597"/>
    <w:rsid w:val="00D7281A"/>
    <w:rsid w:val="00D75523"/>
    <w:rsid w:val="00D7715A"/>
    <w:rsid w:val="00D87230"/>
    <w:rsid w:val="00D96FA0"/>
    <w:rsid w:val="00DB0AC8"/>
    <w:rsid w:val="00DB0FB2"/>
    <w:rsid w:val="00DC4671"/>
    <w:rsid w:val="00DC4B57"/>
    <w:rsid w:val="00DC7368"/>
    <w:rsid w:val="00DC7417"/>
    <w:rsid w:val="00DD7C4D"/>
    <w:rsid w:val="00DE491C"/>
    <w:rsid w:val="00DE75AA"/>
    <w:rsid w:val="00DF3520"/>
    <w:rsid w:val="00E11E2A"/>
    <w:rsid w:val="00E2190A"/>
    <w:rsid w:val="00E3057F"/>
    <w:rsid w:val="00E33A0A"/>
    <w:rsid w:val="00E352E4"/>
    <w:rsid w:val="00E47726"/>
    <w:rsid w:val="00E5178B"/>
    <w:rsid w:val="00E5489A"/>
    <w:rsid w:val="00E55C67"/>
    <w:rsid w:val="00E60C18"/>
    <w:rsid w:val="00E819A8"/>
    <w:rsid w:val="00E86D48"/>
    <w:rsid w:val="00E94708"/>
    <w:rsid w:val="00E97038"/>
    <w:rsid w:val="00E97166"/>
    <w:rsid w:val="00E97650"/>
    <w:rsid w:val="00EA573E"/>
    <w:rsid w:val="00EA59F7"/>
    <w:rsid w:val="00EA5F7C"/>
    <w:rsid w:val="00EB387E"/>
    <w:rsid w:val="00EB44BF"/>
    <w:rsid w:val="00EB4BF0"/>
    <w:rsid w:val="00EC4582"/>
    <w:rsid w:val="00ED41F8"/>
    <w:rsid w:val="00ED4AF0"/>
    <w:rsid w:val="00ED5CC1"/>
    <w:rsid w:val="00ED5DF6"/>
    <w:rsid w:val="00EE2D2D"/>
    <w:rsid w:val="00EE2D3E"/>
    <w:rsid w:val="00EF6062"/>
    <w:rsid w:val="00EF6FA7"/>
    <w:rsid w:val="00EF7EEB"/>
    <w:rsid w:val="00F03E15"/>
    <w:rsid w:val="00F1260A"/>
    <w:rsid w:val="00F42286"/>
    <w:rsid w:val="00F43A05"/>
    <w:rsid w:val="00F461C4"/>
    <w:rsid w:val="00F47888"/>
    <w:rsid w:val="00F57942"/>
    <w:rsid w:val="00F77FCB"/>
    <w:rsid w:val="00F81B31"/>
    <w:rsid w:val="00F96B2F"/>
    <w:rsid w:val="00FA5765"/>
    <w:rsid w:val="00FB1DC9"/>
    <w:rsid w:val="00FB4BA9"/>
    <w:rsid w:val="00FC1834"/>
    <w:rsid w:val="00FC7E13"/>
    <w:rsid w:val="00FD0AF9"/>
    <w:rsid w:val="00FD66DC"/>
    <w:rsid w:val="00FE11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291DE82A"/>
  <w15:chartTrackingRefBased/>
  <w15:docId w15:val="{5BD03495-7B09-44BB-84AC-4BDDBEB500D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32F9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32F9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32F9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32F9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32F9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32F9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32F9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32F9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32F9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32F9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32F9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32F9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32F9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32F9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32F9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32F9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32F9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32F9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32F9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32F9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32F9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32F9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32F9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32F9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32F9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32F9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32F9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32F9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32F9F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332F9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32F9F"/>
  </w:style>
  <w:style w:type="paragraph" w:styleId="Footer">
    <w:name w:val="footer"/>
    <w:basedOn w:val="Normal"/>
    <w:link w:val="FooterChar"/>
    <w:uiPriority w:val="99"/>
    <w:unhideWhenUsed/>
    <w:rsid w:val="00332F9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32F9F"/>
  </w:style>
  <w:style w:type="paragraph" w:styleId="FootnoteText">
    <w:name w:val="footnote text"/>
    <w:basedOn w:val="Normal"/>
    <w:link w:val="FootnoteTextChar"/>
    <w:uiPriority w:val="99"/>
    <w:unhideWhenUsed/>
    <w:rsid w:val="00EF6FA7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rsid w:val="00EF6FA7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EF6FA7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AA0E1D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A0E1D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universitypublishingonline.org/cambridge/benjonson/k/essays/Alchemist_textual_essay/1/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doi.org/10.1093/library/s6-X.1.18" TargetMode="Externa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footnotes.xml.rels><?xml version="1.0" encoding="UTF-8" standalone="yes"?>
<Relationships xmlns="http://schemas.openxmlformats.org/package/2006/relationships"><Relationship Id="rId3" Type="http://schemas.openxmlformats.org/officeDocument/2006/relationships/hyperlink" Target="https://universitypublishingonline.org/cambridge/benjonson/k/essays/Alchemist_textual_essay/1/" TargetMode="External"/><Relationship Id="rId2" Type="http://schemas.openxmlformats.org/officeDocument/2006/relationships/hyperlink" Target="https://doi.org/10.1093/library/s6-X.1.18" TargetMode="External"/><Relationship Id="rId1" Type="http://schemas.openxmlformats.org/officeDocument/2006/relationships/hyperlink" Target="https://universitypublishingonline.org/cambridge/benjonson/k/essays/Alchemist_textual_essay/1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C7DA38E-6448-44BF-BA72-C585366058D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470</TotalTime>
  <Pages>6</Pages>
  <Words>1604</Words>
  <Characters>7975</Characters>
  <Application>Microsoft Office Word</Application>
  <DocSecurity>0</DocSecurity>
  <Lines>145</Lines>
  <Paragraphs>35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9544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Lois Wilcox</dc:creator>
  <cp:keywords/>
  <dc:description/>
  <cp:lastModifiedBy>Lois Wilcox</cp:lastModifiedBy>
  <cp:revision>358</cp:revision>
  <dcterms:created xsi:type="dcterms:W3CDTF">2024-09-17T15:22:00Z</dcterms:created>
  <dcterms:modified xsi:type="dcterms:W3CDTF">2024-09-25T17:47:00Z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7091ca03-c17b-4e17-9171-c23adfaf7321</vt:lpwstr>
  </property>
</Properties>
</file>