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E8E17" w14:textId="77777777" w:rsidR="00714239" w:rsidRDefault="00714239" w:rsidP="00714239">
      <w:pPr>
        <w:spacing w:before="100" w:beforeAutospacing="1" w:after="100" w:afterAutospacing="1" w:line="360" w:lineRule="auto"/>
        <w:jc w:val="center"/>
        <w:outlineLvl w:val="0"/>
        <w:rPr>
          <w:rFonts w:ascii="Algerian" w:eastAsia="Times New Roman" w:hAnsi="Algerian" w:cs="Times New Roman"/>
          <w:b/>
          <w:bCs/>
          <w:kern w:val="36"/>
          <w:sz w:val="48"/>
          <w:szCs w:val="48"/>
          <w:lang w:eastAsia="en-GB"/>
          <w14:ligatures w14:val="none"/>
        </w:rPr>
      </w:pPr>
    </w:p>
    <w:p w14:paraId="51E26E5D" w14:textId="4FE61D43" w:rsidR="00603115" w:rsidRPr="00714239" w:rsidRDefault="00603115" w:rsidP="00714239">
      <w:pPr>
        <w:spacing w:before="100" w:beforeAutospacing="1" w:after="100" w:afterAutospacing="1" w:line="360" w:lineRule="auto"/>
        <w:jc w:val="center"/>
        <w:outlineLvl w:val="0"/>
        <w:rPr>
          <w:rFonts w:ascii="Algerian" w:eastAsia="Times New Roman" w:hAnsi="Algerian" w:cs="Times New Roman"/>
          <w:b/>
          <w:bCs/>
          <w:kern w:val="36"/>
          <w:sz w:val="96"/>
          <w:szCs w:val="96"/>
          <w:lang w:eastAsia="en-GB"/>
          <w14:ligatures w14:val="none"/>
        </w:rPr>
      </w:pPr>
      <w:r w:rsidRPr="00714239">
        <w:rPr>
          <w:rFonts w:ascii="Algerian" w:eastAsia="Times New Roman" w:hAnsi="Algerian" w:cs="Times New Roman"/>
          <w:b/>
          <w:bCs/>
          <w:kern w:val="36"/>
          <w:sz w:val="96"/>
          <w:szCs w:val="96"/>
          <w:lang w:eastAsia="en-GB"/>
          <w14:ligatures w14:val="none"/>
        </w:rPr>
        <w:t>Does what God wills become good, or does God only will good things?</w:t>
      </w:r>
    </w:p>
    <w:p w14:paraId="76B0BF52" w14:textId="77777777" w:rsidR="00603115" w:rsidRDefault="00603115" w:rsidP="00603115">
      <w:pPr>
        <w:spacing w:line="360" w:lineRule="auto"/>
        <w:jc w:val="both"/>
      </w:pPr>
    </w:p>
    <w:p w14:paraId="75A8AF50" w14:textId="77777777" w:rsidR="00603115" w:rsidRDefault="00603115" w:rsidP="00603115">
      <w:pPr>
        <w:spacing w:line="360" w:lineRule="auto"/>
        <w:jc w:val="both"/>
      </w:pPr>
    </w:p>
    <w:p w14:paraId="5E592B67" w14:textId="77777777" w:rsidR="00AE0EEC" w:rsidRDefault="00AE0EEC" w:rsidP="00AE0EEC">
      <w:pPr>
        <w:spacing w:before="0" w:after="160" w:line="360" w:lineRule="auto"/>
      </w:pPr>
    </w:p>
    <w:p w14:paraId="7E97069B" w14:textId="32255C78" w:rsidR="00AE0EEC" w:rsidRDefault="00AE0EEC" w:rsidP="00AE0EEC">
      <w:pPr>
        <w:spacing w:before="0" w:after="160" w:line="360" w:lineRule="auto"/>
      </w:pPr>
      <w:r>
        <w:lastRenderedPageBreak/>
        <w:t>The connection between God and moral goodness has been a major question in Christian philosophy and ethics. A standard statement of this issue can be found in Plato's dialogue Euthyphro, where Socrates inquires whether something is good because of the will of the gods, or it is the will of the gods because it is good.</w:t>
      </w:r>
      <w:r>
        <w:rPr>
          <w:rStyle w:val="FootnoteReference"/>
        </w:rPr>
        <w:footnoteReference w:id="1"/>
      </w:r>
      <w:r>
        <w:t xml:space="preserve"> Even though this question was initially formulated within the framework of the ancient Greek religion, it turned out to be one of the most significant philosophical dilemmas for the monotheistic religions, and Christianity was not an exception. When </w:t>
      </w:r>
      <w:proofErr w:type="spellStart"/>
      <w:r>
        <w:t>generalised</w:t>
      </w:r>
      <w:proofErr w:type="spellEnd"/>
      <w:r>
        <w:t xml:space="preserve"> to the Christian frame of thought, the dilemma presents: Do morally good actions become morally good only because God commands them, or is it the case that God commands them because they are morally good actions? The significance of this question lies in its focus based on morality. When a good action is made good because God wills it so, then this makes morality seem dependent solely on the choice of God. </w:t>
      </w:r>
    </w:p>
    <w:p w14:paraId="02E568F7" w14:textId="77777777" w:rsidR="00AE0EEC" w:rsidRDefault="00AE0EEC" w:rsidP="00AE0EEC">
      <w:pPr>
        <w:spacing w:line="360" w:lineRule="auto"/>
        <w:jc w:val="both"/>
      </w:pPr>
      <w:r>
        <w:t>Christian theologians have tried to respond to this question in several ways. Other thinkers underline the power of God and believe that moral goodness is based on God's commandments. According to others, the moral good is based on the nature of God and not just in divine commands. In this essay, the dilemma that is brought out in Euthyphro by Plato will be discussed, and the Christian tradition will be addressed with its response to the dilemma. It shall be presented that though divine commands have a significant role in Christian morality, classical Christian philosophers like Augustine and Thomas Aquinas believe that God commands what is good since good is the image of the nature of God. This philosophical problem has its roots in Plato's Euthyphro. Here in this dialogue, Socrates asks Euthyphro to say whether it is pious because the gods love it or it is that the gods love it because it is pious.</w:t>
      </w:r>
      <w:r>
        <w:rPr>
          <w:rStyle w:val="FootnoteReference"/>
        </w:rPr>
        <w:footnoteReference w:id="2"/>
      </w:r>
    </w:p>
    <w:p w14:paraId="35F87A90" w14:textId="77777777" w:rsidR="00AE0EEC" w:rsidRDefault="00AE0EEC" w:rsidP="00AE0EEC">
      <w:pPr>
        <w:spacing w:line="360" w:lineRule="auto"/>
        <w:jc w:val="both"/>
      </w:pPr>
      <w:r>
        <w:t xml:space="preserve">When something is good because the gods like it, then good seems to be a matter of divine </w:t>
      </w:r>
      <w:proofErr w:type="spellStart"/>
      <w:r>
        <w:t>favour</w:t>
      </w:r>
      <w:proofErr w:type="spellEnd"/>
      <w:r>
        <w:t>. That is, the only reason why actions were morally good is that the deities select them. Conversely, the case when gods approve something based on its goodness, one has to conclude that moral good exists without gods.</w:t>
      </w:r>
      <w:r>
        <w:rPr>
          <w:rStyle w:val="FootnoteReference"/>
        </w:rPr>
        <w:footnoteReference w:id="3"/>
      </w:r>
      <w:r>
        <w:t xml:space="preserve"> The dilemma is especially significant when applied to Christian ethics since Christianity holds that God is the supreme origin of moral authority. The dilemma of Euthyphro, </w:t>
      </w:r>
      <w:r>
        <w:lastRenderedPageBreak/>
        <w:t xml:space="preserve">however, begs the question of whether moral commands are God-made or merely state them. In the case that moral goodness is situational, based on the will of God, morality may appear arbitrary. </w:t>
      </w:r>
    </w:p>
    <w:p w14:paraId="1882ADF3" w14:textId="77777777" w:rsidR="00AE0EEC" w:rsidRDefault="00AE0EEC" w:rsidP="00AE0EEC">
      <w:pPr>
        <w:spacing w:line="360" w:lineRule="auto"/>
        <w:jc w:val="both"/>
      </w:pPr>
      <w:r>
        <w:t>Thus, the relation between God and moral goodness, as has been attempted to be described by Christian theologians, has attempted to remain explanatory of both of these problems. Divine command theory is one of the possible solutions to this predicament. From this perspective, things are morally right since God orders them and morally wrong since God prohibits them.</w:t>
      </w:r>
      <w:r>
        <w:rPr>
          <w:rStyle w:val="FootnoteReference"/>
        </w:rPr>
        <w:footnoteReference w:id="4"/>
      </w:r>
      <w:r>
        <w:t xml:space="preserve"> Moral authority is hence a direct call of the will of God. Most biblical teachings confirm this view, showing that God bestows moral lessons upon human beings. Among the most evident examples are the Ten Commandments, as they are mentioned in the book of Exodus.</w:t>
      </w:r>
      <w:r>
        <w:rPr>
          <w:rStyle w:val="FootnoteReference"/>
        </w:rPr>
        <w:footnoteReference w:id="5"/>
      </w:r>
      <w:r>
        <w:t xml:space="preserve"> Prohibition against murder, stealing, lying, commandment about worship and respect for parents are some of these commandments. </w:t>
      </w:r>
    </w:p>
    <w:p w14:paraId="68580044" w14:textId="77777777" w:rsidR="00AE0EEC" w:rsidRDefault="00AE0EEC" w:rsidP="00AE0EEC">
      <w:pPr>
        <w:spacing w:line="360" w:lineRule="auto"/>
        <w:jc w:val="both"/>
      </w:pPr>
      <w:r>
        <w:t>In terms of divine command theory, such actions are morally wrong since God has commanded individuals not to do them. For example, the commandment, You shall not murder is interpreted to be a Godly law which defines the ethical ban against killing innocent human beings. In that connection, the rule has a moral authority which is simply a direct God-given authority.</w:t>
      </w:r>
      <w:r>
        <w:rPr>
          <w:rStyle w:val="FootnoteReference"/>
        </w:rPr>
        <w:footnoteReference w:id="6"/>
      </w:r>
      <w:r>
        <w:t xml:space="preserve"> As such, believers are supposed to take these commandments in accordance not only because they would enhance order within the society, but also because they are the expressed will of God. There are benefits to this method. First, it focuses on the sovereignty and power of God. In case God creates the universe, one should expect God to come up with moral law as well. To this opinion, moral rules are not designed by human societies but must be of a divine origin with absolute power. Secondly, divine command theory gives a straightforward explanation of moral obligation. </w:t>
      </w:r>
    </w:p>
    <w:p w14:paraId="130F2B5D" w14:textId="77777777" w:rsidR="00AE0EEC" w:rsidRDefault="00AE0EEC" w:rsidP="00AE0EEC">
      <w:pPr>
        <w:spacing w:line="360" w:lineRule="auto"/>
        <w:jc w:val="both"/>
      </w:pPr>
      <w:r>
        <w:t xml:space="preserve">Moreover, the theory contributes to the understanding that moral rules may be regarded as universally obligatory among believers. In case moral laws are created by God, they are not cultural norms but God's commandments and appreciate all individuals. Critics, however, claim that this theory poses philosophical issues. When it is in the goodwill of God that deeds become good, then morality is all a matter of choice. As far as one can guess, this would imply that nothing would be morally good, provided God orders us to do it. According to some philosophers, such an </w:t>
      </w:r>
      <w:r>
        <w:lastRenderedPageBreak/>
        <w:t>action would render morality random and insignificant.</w:t>
      </w:r>
      <w:r>
        <w:rPr>
          <w:rStyle w:val="FootnoteReference"/>
        </w:rPr>
        <w:footnoteReference w:id="7"/>
      </w:r>
      <w:r>
        <w:t xml:space="preserve"> Due to this challenge, most Christian intellectuals are of the view that the theory of divine command cannot adequately address the connection between God and moral goodness. As much as divine commands evidently contribute to Christian teachings on morality, they may not be sufficient on their own to help explain why some actions are either good or bad. </w:t>
      </w:r>
    </w:p>
    <w:p w14:paraId="47FF4F86" w14:textId="77777777" w:rsidR="00AE0EEC" w:rsidRDefault="00AE0EEC" w:rsidP="00AE0EEC">
      <w:pPr>
        <w:spacing w:line="360" w:lineRule="auto"/>
        <w:jc w:val="both"/>
      </w:pPr>
      <w:r>
        <w:t>Though God's commands are very important in Christianity, the Bible also highlights that God is naturally good. This concept is clear in the First Epistle of John, which says that “God is love”.</w:t>
      </w:r>
      <w:r>
        <w:rPr>
          <w:rStyle w:val="FootnoteReference"/>
        </w:rPr>
        <w:footnoteReference w:id="8"/>
      </w:r>
      <w:r>
        <w:t xml:space="preserve"> This assertion implies that goodness is not merely what God orders, but it is an intrinsic aspect of the character of God. That is to say that God does not arbitrarily choose what is good, but good is a component of God. Likewise, Jesus in the Gospel of Matthew states that God bestows good gifts to humanity, indicating that God is not doing things based on arbitrary power but guided by goodness.</w:t>
      </w:r>
      <w:r>
        <w:rPr>
          <w:rStyle w:val="FootnoteReference"/>
        </w:rPr>
        <w:footnoteReference w:id="9"/>
      </w:r>
      <w:r>
        <w:t xml:space="preserve"> This doctrine also introduces God as a loving and nurturing character who aims at the prosperity of human beings. These verses hence indicate that God commands demonstrate the nature of God and not a haphazard choice. Therefore, the actions that God commands are grounded in the character of the perfectly good God, which is why many Christian theologians believe that God commands such actions. That is, God does not come up with goodness but only conveys it through the commandments of God. </w:t>
      </w:r>
    </w:p>
    <w:p w14:paraId="289A9F1F" w14:textId="77777777" w:rsidR="00AE0EEC" w:rsidRDefault="00AE0EEC" w:rsidP="00AE0EEC">
      <w:pPr>
        <w:spacing w:line="360" w:lineRule="auto"/>
        <w:jc w:val="both"/>
      </w:pPr>
      <w:r>
        <w:t>Augustine of Hippo was one of the most influential Christian philosophers to address this problem. According to Augustine, God is the absolute good, which is commonly referred to as the summum bonum. To Augustine, everything good is derived from God.</w:t>
      </w:r>
      <w:r>
        <w:rPr>
          <w:rStyle w:val="FootnoteReference"/>
        </w:rPr>
        <w:footnoteReference w:id="10"/>
      </w:r>
      <w:r>
        <w:t xml:space="preserve"> According to Augustine, in his work On the Free Choice of the Will, moral good does not exist in isolation from God. But he also does not believe in the role of God arbitrarily determining what is good. Rather, Augustine states that goodness is a constituent of the nature of God.</w:t>
      </w:r>
      <w:r>
        <w:rPr>
          <w:rStyle w:val="FootnoteReference"/>
        </w:rPr>
        <w:footnoteReference w:id="11"/>
      </w:r>
      <w:r>
        <w:t xml:space="preserve"> Since God is good, the will of God cannot be opposed to goodness. It is because God does not just randomly determine what is good. Rather, God commands actions that are an expression of divine goodness and the order of morality </w:t>
      </w:r>
      <w:r>
        <w:lastRenderedPageBreak/>
        <w:t>emanating from the nature of God. This conception provides that God will and God's goodness are strictly interrelated and thus should be regarded as manifestations of God's goodness and not as separate and unpredictable decisions.</w:t>
      </w:r>
    </w:p>
    <w:p w14:paraId="4ED74120" w14:textId="77777777" w:rsidR="00AE0EEC" w:rsidRDefault="00AE0EEC" w:rsidP="00AE0EEC">
      <w:pPr>
        <w:spacing w:line="360" w:lineRule="auto"/>
        <w:jc w:val="both"/>
      </w:pPr>
      <w:r>
        <w:t>This perspective by Augustine is a valuable answer to the Euthyphro dilemma. It opines that goodness is not intrinsic to God, but does not champion the view that morality is limited to arbitrary commands either. In developing the idea of goodness based on the nature of God, Augustine provides a means to understand how the moral rules can be good and trustworthy. In this context, the commandments of God do not just dictate to people what is right to do without necessarily giving a reason for the commands. Thomas Aquinas further extended the thoughts of Augustine with his theory of natural law. Aquinas believed that there was a rational order in which God created the world. As human beings, people can engage in human reasoning to perceive something about this order.</w:t>
      </w:r>
      <w:r>
        <w:rPr>
          <w:rStyle w:val="FootnoteReference"/>
        </w:rPr>
        <w:footnoteReference w:id="12"/>
      </w:r>
      <w:r>
        <w:t xml:space="preserve"> Due to this rational ability, individuals can </w:t>
      </w:r>
      <w:proofErr w:type="spellStart"/>
      <w:r>
        <w:t>realise</w:t>
      </w:r>
      <w:proofErr w:type="spellEnd"/>
      <w:r>
        <w:t xml:space="preserve"> certain fundamental moral principles, including the maintenance of life, the pursuit of truth and harmonious existence in society. </w:t>
      </w:r>
    </w:p>
    <w:p w14:paraId="32EA52CD" w14:textId="77777777" w:rsidR="00AE0EEC" w:rsidRDefault="00AE0EEC" w:rsidP="00AE0EEC">
      <w:pPr>
        <w:spacing w:line="360" w:lineRule="auto"/>
        <w:jc w:val="both"/>
      </w:pPr>
      <w:r>
        <w:t xml:space="preserve">As Aquinas says, the highest moral law is good followed and evil shunned. There are moral good things that are innate to human beings, like safeguarding life and the search for truth. These are principles that are included in human nature, and hence they portray the order of creation. </w:t>
      </w:r>
      <w:r w:rsidRPr="006121BA">
        <w:t xml:space="preserve">Since God established this order, moral goodness is ultimately a product of God. Moral laws are not arbitrary commands. Instead, they mirror the rational </w:t>
      </w:r>
      <w:proofErr w:type="spellStart"/>
      <w:r>
        <w:t>organisation</w:t>
      </w:r>
      <w:proofErr w:type="spellEnd"/>
      <w:r>
        <w:t xml:space="preserve"> of the creation that was</w:t>
      </w:r>
      <w:r w:rsidRPr="006121BA">
        <w:t xml:space="preserve"> made by God. The example of the commandment </w:t>
      </w:r>
      <w:r>
        <w:t>"Do not kill" gives the moral rule of the value of human life, relief,</w:t>
      </w:r>
      <w:r w:rsidRPr="006121BA">
        <w:t xml:space="preserve"> and protection. Aquinas thus focuses on the argument that God commands in accordance with the rational order of the creation process and not arbitrarily creating a </w:t>
      </w:r>
      <w:r>
        <w:t>moral</w:t>
      </w:r>
      <w:r w:rsidRPr="006121BA">
        <w:t xml:space="preserve"> system.</w:t>
      </w:r>
      <w:r>
        <w:rPr>
          <w:rStyle w:val="FootnoteReference"/>
        </w:rPr>
        <w:footnoteReference w:id="13"/>
      </w:r>
      <w:r>
        <w:t xml:space="preserve"> The same philosophy is reflected in the works of C. S. Lewis, especially in Mere Christianity. Lewis believes the common awareness of the moral rules that Lewis refers to as the moral law exists in human beings.</w:t>
      </w:r>
      <w:r>
        <w:rPr>
          <w:rStyle w:val="FootnoteReference"/>
        </w:rPr>
        <w:footnoteReference w:id="14"/>
      </w:r>
      <w:r>
        <w:t xml:space="preserve"> He posits that individuals in various cultures can tend to identify identical concepts concerning muteness, veracity and equity. </w:t>
      </w:r>
    </w:p>
    <w:p w14:paraId="627744B5" w14:textId="77777777" w:rsidR="00AE0EEC" w:rsidRDefault="00AE0EEC" w:rsidP="00AE0EEC">
      <w:pPr>
        <w:spacing w:line="360" w:lineRule="auto"/>
        <w:jc w:val="both"/>
      </w:pPr>
      <w:r>
        <w:lastRenderedPageBreak/>
        <w:t>As Lewis notes, culture or social agreement can only explain this moral law. Despite the difference in cultures in various practices, there are universal moral expectations that recur in history. In the case of Lewis, it means that there is a moral lawgiver who created these moral principles. Lewis thus considers that since there is a universal moral sense, it is justifiable to also believe that ultimately morality owes its origin to God. However, he also underlines that moral rules represent a more profound moral truth underlined by the character of God instead of arbitrary rules.</w:t>
      </w:r>
      <w:r>
        <w:rPr>
          <w:rStyle w:val="FootnoteReference"/>
        </w:rPr>
        <w:footnoteReference w:id="15"/>
      </w:r>
      <w:r>
        <w:t xml:space="preserve"> The issue of whether things are good because God wants them to be or whether God wants them to be because they are good is one of the most significant discussions in Christian ethics. Initially introduced in Euthyphro, the dilemma brings out the conflict between the divine and the objectivity of moral values. The divine command theory highlights the authority of God but poses a danger of implying that morality is arbitrary. </w:t>
      </w:r>
    </w:p>
    <w:p w14:paraId="1493C37A" w14:textId="77777777" w:rsidR="00AE0EEC" w:rsidRDefault="00AE0EEC" w:rsidP="00AE0EEC">
      <w:pPr>
        <w:spacing w:line="360" w:lineRule="auto"/>
        <w:jc w:val="both"/>
      </w:pPr>
      <w:r>
        <w:t>Christian philosophers like Augustine and Aquinas provide an answer to this by asserting that moral goodness is rooted in God. According to this perspective, God has no arbitrary choice of the good things but orders actions that are good as divine. This is supported in biblical texts and other thinkers who came later, like C. S. Lewis.</w:t>
      </w:r>
    </w:p>
    <w:p w14:paraId="03BECC22" w14:textId="77777777" w:rsidR="00AE0EEC" w:rsidRDefault="00AE0EEC" w:rsidP="00AE0EEC">
      <w:pPr>
        <w:spacing w:line="360" w:lineRule="auto"/>
        <w:jc w:val="both"/>
      </w:pPr>
      <w:r w:rsidRPr="006F1854">
        <w:t>Th</w:t>
      </w:r>
      <w:r>
        <w:t>erefore</w:t>
      </w:r>
      <w:r w:rsidRPr="006F1854">
        <w:t>, according to Christian ethics, God wills the good since it is good and is already a part of God.</w:t>
      </w:r>
    </w:p>
    <w:p w14:paraId="634CD62F" w14:textId="77777777" w:rsidR="00AE0EEC" w:rsidRDefault="00AE0EEC" w:rsidP="00603115">
      <w:pPr>
        <w:pStyle w:val="Heading1"/>
        <w:rPr>
          <w:rFonts w:ascii="Times New Roman" w:hAnsi="Times New Roman" w:cs="Times New Roman"/>
          <w:b/>
          <w:bCs/>
          <w:color w:val="auto"/>
        </w:rPr>
      </w:pPr>
    </w:p>
    <w:p w14:paraId="43CF976F" w14:textId="77777777" w:rsidR="00AE0EEC" w:rsidRDefault="00AE0EEC" w:rsidP="00603115">
      <w:pPr>
        <w:pStyle w:val="Heading1"/>
        <w:rPr>
          <w:rFonts w:ascii="Times New Roman" w:hAnsi="Times New Roman" w:cs="Times New Roman"/>
          <w:b/>
          <w:bCs/>
          <w:color w:val="auto"/>
        </w:rPr>
      </w:pPr>
    </w:p>
    <w:p w14:paraId="688E307C" w14:textId="77777777" w:rsidR="00AE0EEC" w:rsidRDefault="00AE0EEC" w:rsidP="00603115">
      <w:pPr>
        <w:pStyle w:val="Heading1"/>
        <w:rPr>
          <w:rFonts w:ascii="Times New Roman" w:hAnsi="Times New Roman" w:cs="Times New Roman"/>
          <w:b/>
          <w:bCs/>
          <w:color w:val="auto"/>
        </w:rPr>
      </w:pPr>
      <w:r>
        <w:rPr>
          <w:rFonts w:ascii="Times New Roman" w:hAnsi="Times New Roman" w:cs="Times New Roman"/>
          <w:b/>
          <w:bCs/>
          <w:color w:val="auto"/>
        </w:rPr>
        <w:t xml:space="preserve">                                                                             </w:t>
      </w:r>
    </w:p>
    <w:p w14:paraId="06DDF8A2" w14:textId="77777777" w:rsidR="00AE0EEC" w:rsidRDefault="00AE0EEC" w:rsidP="00603115">
      <w:pPr>
        <w:pStyle w:val="Heading1"/>
        <w:rPr>
          <w:rFonts w:ascii="Times New Roman" w:hAnsi="Times New Roman" w:cs="Times New Roman"/>
          <w:b/>
          <w:bCs/>
          <w:color w:val="auto"/>
        </w:rPr>
      </w:pPr>
    </w:p>
    <w:p w14:paraId="206257A0" w14:textId="77777777" w:rsidR="00AE0EEC" w:rsidRDefault="00AE0EEC" w:rsidP="00603115">
      <w:pPr>
        <w:pStyle w:val="NormalWeb"/>
        <w:spacing w:before="0" w:beforeAutospacing="0" w:after="0" w:afterAutospacing="0" w:line="480" w:lineRule="auto"/>
        <w:ind w:left="720" w:hanging="720"/>
      </w:pPr>
    </w:p>
    <w:p w14:paraId="5DAF3E69" w14:textId="77777777" w:rsidR="00AE0EEC" w:rsidRDefault="00AE0EEC" w:rsidP="00603115">
      <w:pPr>
        <w:pStyle w:val="NormalWeb"/>
        <w:spacing w:before="0" w:beforeAutospacing="0" w:after="0" w:afterAutospacing="0" w:line="480" w:lineRule="auto"/>
        <w:ind w:left="720" w:hanging="720"/>
      </w:pPr>
    </w:p>
    <w:p w14:paraId="408577E1" w14:textId="3D53567D" w:rsidR="00AE0EEC" w:rsidRPr="00AE0EEC" w:rsidRDefault="00AE0EEC" w:rsidP="00603115">
      <w:pPr>
        <w:pStyle w:val="NormalWeb"/>
        <w:spacing w:before="0" w:beforeAutospacing="0" w:after="0" w:afterAutospacing="0" w:line="480" w:lineRule="auto"/>
        <w:ind w:left="720" w:hanging="720"/>
        <w:rPr>
          <w:b/>
          <w:bCs/>
          <w:sz w:val="36"/>
          <w:szCs w:val="36"/>
        </w:rPr>
      </w:pPr>
      <w:r w:rsidRPr="00AE0EEC">
        <w:rPr>
          <w:b/>
          <w:bCs/>
          <w:sz w:val="36"/>
          <w:szCs w:val="36"/>
        </w:rPr>
        <w:lastRenderedPageBreak/>
        <w:t xml:space="preserve">Bibliography </w:t>
      </w:r>
    </w:p>
    <w:p w14:paraId="1CCC2484" w14:textId="0C980F09" w:rsidR="00603115" w:rsidRDefault="00603115" w:rsidP="00603115">
      <w:pPr>
        <w:pStyle w:val="NormalWeb"/>
        <w:spacing w:before="0" w:beforeAutospacing="0" w:after="0" w:afterAutospacing="0" w:line="480" w:lineRule="auto"/>
        <w:ind w:left="720" w:hanging="720"/>
      </w:pPr>
      <w:r w:rsidRPr="00251CF0">
        <w:t xml:space="preserve">Aquinas, Saint Thomas. </w:t>
      </w:r>
      <w:r w:rsidRPr="00251CF0">
        <w:rPr>
          <w:i/>
          <w:iCs/>
        </w:rPr>
        <w:t xml:space="preserve">The summa </w:t>
      </w:r>
      <w:proofErr w:type="spellStart"/>
      <w:r w:rsidRPr="00251CF0">
        <w:rPr>
          <w:i/>
          <w:iCs/>
        </w:rPr>
        <w:t>theologica</w:t>
      </w:r>
      <w:proofErr w:type="spellEnd"/>
      <w:r>
        <w:t xml:space="preserve"> </w:t>
      </w:r>
      <w:r w:rsidRPr="00251CF0">
        <w:rPr>
          <w:i/>
          <w:iCs/>
        </w:rPr>
        <w:t xml:space="preserve">Complete edition </w:t>
      </w:r>
      <w:r>
        <w:t>(</w:t>
      </w:r>
      <w:r w:rsidRPr="00251CF0">
        <w:t>Catholic Way Publishing, 2014</w:t>
      </w:r>
      <w:r>
        <w:t>)</w:t>
      </w:r>
      <w:r w:rsidRPr="00251CF0">
        <w:t>.</w:t>
      </w:r>
    </w:p>
    <w:p w14:paraId="5EA1AD66" w14:textId="77777777" w:rsidR="00603115" w:rsidRDefault="00603115" w:rsidP="00603115">
      <w:pPr>
        <w:pStyle w:val="NormalWeb"/>
        <w:spacing w:before="0" w:beforeAutospacing="0" w:after="0" w:afterAutospacing="0" w:line="480" w:lineRule="auto"/>
        <w:ind w:left="720" w:hanging="720"/>
      </w:pPr>
      <w:r w:rsidRPr="002877ED">
        <w:t xml:space="preserve">Augustine, </w:t>
      </w:r>
      <w:r w:rsidRPr="002877ED">
        <w:rPr>
          <w:i/>
          <w:iCs/>
        </w:rPr>
        <w:t>On the Free Choice of the Will</w:t>
      </w:r>
      <w:r w:rsidRPr="002877ED">
        <w:t>, trans. by Thomas Williams (Indianapolis: Hackett Publishing, 1993)</w:t>
      </w:r>
    </w:p>
    <w:p w14:paraId="7B860CE6" w14:textId="77777777" w:rsidR="00603115" w:rsidRDefault="00603115" w:rsidP="00603115">
      <w:pPr>
        <w:pStyle w:val="NormalWeb"/>
        <w:spacing w:before="0" w:beforeAutospacing="0" w:after="0" w:afterAutospacing="0" w:line="480" w:lineRule="auto"/>
        <w:ind w:left="720" w:hanging="720"/>
      </w:pPr>
      <w:r w:rsidRPr="002877ED">
        <w:t xml:space="preserve">Davies, Brian, </w:t>
      </w:r>
      <w:r w:rsidRPr="002877ED">
        <w:rPr>
          <w:i/>
          <w:iCs/>
        </w:rPr>
        <w:t>The Thought of Thomas Aquinas</w:t>
      </w:r>
      <w:r w:rsidRPr="002877ED">
        <w:t xml:space="preserve"> (Oxford: Oxford University Press, 1992)</w:t>
      </w:r>
    </w:p>
    <w:p w14:paraId="60A9D481" w14:textId="77777777" w:rsidR="00603115" w:rsidRDefault="00603115" w:rsidP="00603115">
      <w:pPr>
        <w:pStyle w:val="NormalWeb"/>
        <w:spacing w:before="0" w:beforeAutospacing="0" w:after="0" w:afterAutospacing="0" w:line="480" w:lineRule="auto"/>
        <w:ind w:left="720" w:hanging="720"/>
      </w:pPr>
      <w:r w:rsidRPr="002877ED">
        <w:t xml:space="preserve">Evans, C. Stephen, </w:t>
      </w:r>
      <w:r w:rsidRPr="002877ED">
        <w:rPr>
          <w:i/>
          <w:iCs/>
        </w:rPr>
        <w:t>Philosophy of Religion: Thinking About Faith</w:t>
      </w:r>
      <w:r w:rsidRPr="002877ED">
        <w:t xml:space="preserve"> (Downers Grove: InterVarsity Press, 2009)</w:t>
      </w:r>
    </w:p>
    <w:p w14:paraId="6E4A49ED" w14:textId="77777777" w:rsidR="00603115" w:rsidRDefault="00603115" w:rsidP="00603115">
      <w:pPr>
        <w:pStyle w:val="NormalWeb"/>
        <w:spacing w:before="0" w:beforeAutospacing="0" w:after="0" w:afterAutospacing="0" w:line="480" w:lineRule="auto"/>
        <w:ind w:left="720" w:hanging="720"/>
      </w:pPr>
      <w:r w:rsidRPr="002877ED">
        <w:t xml:space="preserve">Geisler, Norman L., </w:t>
      </w:r>
      <w:r w:rsidRPr="002877ED">
        <w:rPr>
          <w:i/>
          <w:iCs/>
        </w:rPr>
        <w:t>Christian Ethics: Contemporary Issues and Options</w:t>
      </w:r>
      <w:r w:rsidRPr="002877ED">
        <w:t xml:space="preserve">, 2nd </w:t>
      </w:r>
      <w:proofErr w:type="spellStart"/>
      <w:r w:rsidRPr="002877ED">
        <w:t>edn</w:t>
      </w:r>
      <w:proofErr w:type="spellEnd"/>
      <w:r w:rsidRPr="002877ED">
        <w:t xml:space="preserve"> (Grand Rapids: Baker Academic, 2010)</w:t>
      </w:r>
    </w:p>
    <w:p w14:paraId="33030CF9" w14:textId="77777777" w:rsidR="00603115" w:rsidRDefault="00603115" w:rsidP="00603115">
      <w:pPr>
        <w:pStyle w:val="NormalWeb"/>
        <w:spacing w:before="0" w:beforeAutospacing="0" w:after="0" w:afterAutospacing="0" w:line="480" w:lineRule="auto"/>
        <w:ind w:left="720" w:hanging="720"/>
      </w:pPr>
      <w:r w:rsidRPr="002877ED">
        <w:t xml:space="preserve">Lewis, C. S., </w:t>
      </w:r>
      <w:r w:rsidRPr="002877ED">
        <w:rPr>
          <w:i/>
          <w:iCs/>
        </w:rPr>
        <w:t>Mere Christianity</w:t>
      </w:r>
      <w:r w:rsidRPr="002877ED">
        <w:t xml:space="preserve"> (London: HarperCollins, 2001)</w:t>
      </w:r>
    </w:p>
    <w:p w14:paraId="17157A4F" w14:textId="77777777" w:rsidR="00603115" w:rsidRDefault="00603115" w:rsidP="00603115">
      <w:pPr>
        <w:pStyle w:val="NormalWeb"/>
        <w:spacing w:before="0" w:beforeAutospacing="0" w:after="0" w:afterAutospacing="0" w:line="480" w:lineRule="auto"/>
        <w:ind w:left="720" w:hanging="720"/>
      </w:pPr>
      <w:r w:rsidRPr="002877ED">
        <w:t xml:space="preserve">Mackie, J. L., </w:t>
      </w:r>
      <w:r w:rsidRPr="002877ED">
        <w:rPr>
          <w:i/>
          <w:iCs/>
        </w:rPr>
        <w:t>Ethics: Inventing Right and Wrong</w:t>
      </w:r>
      <w:r w:rsidRPr="002877ED">
        <w:t xml:space="preserve"> (London: Penguin, 197)</w:t>
      </w:r>
    </w:p>
    <w:p w14:paraId="2E01F7FA" w14:textId="77777777" w:rsidR="00603115" w:rsidRDefault="00603115" w:rsidP="00603115">
      <w:pPr>
        <w:pStyle w:val="NormalWeb"/>
        <w:spacing w:before="0" w:beforeAutospacing="0" w:after="0" w:afterAutospacing="0" w:line="480" w:lineRule="auto"/>
        <w:ind w:left="720" w:hanging="720"/>
      </w:pPr>
      <w:r w:rsidRPr="002877ED">
        <w:t xml:space="preserve">Plato, </w:t>
      </w:r>
      <w:r w:rsidRPr="002877ED">
        <w:rPr>
          <w:i/>
          <w:iCs/>
        </w:rPr>
        <w:t>Euthyphro</w:t>
      </w:r>
      <w:r w:rsidRPr="002877ED">
        <w:t xml:space="preserve">, in </w:t>
      </w:r>
      <w:r w:rsidRPr="002877ED">
        <w:rPr>
          <w:i/>
          <w:iCs/>
        </w:rPr>
        <w:t>Five Dialogues</w:t>
      </w:r>
      <w:r w:rsidRPr="002877ED">
        <w:t>, trans. by G. M. A. Grube (Indianapolis: Hackett Publishing, 2002)</w:t>
      </w:r>
    </w:p>
    <w:p w14:paraId="1C92EC0B" w14:textId="77777777" w:rsidR="00603115" w:rsidRDefault="00603115" w:rsidP="00603115">
      <w:pPr>
        <w:pStyle w:val="NormalWeb"/>
        <w:spacing w:before="0" w:beforeAutospacing="0" w:after="0" w:afterAutospacing="0" w:line="480" w:lineRule="auto"/>
        <w:ind w:left="720" w:hanging="720"/>
      </w:pPr>
      <w:r w:rsidRPr="002877ED">
        <w:t xml:space="preserve">Quinn, Philip L., </w:t>
      </w:r>
      <w:r w:rsidRPr="002877ED">
        <w:rPr>
          <w:i/>
          <w:iCs/>
        </w:rPr>
        <w:t>Divine Commands and Moral Requirements</w:t>
      </w:r>
      <w:r w:rsidRPr="002877ED">
        <w:t xml:space="preserve"> (Oxford: Oxford University Press, 1978)</w:t>
      </w:r>
    </w:p>
    <w:p w14:paraId="4B761AA4" w14:textId="77777777" w:rsidR="00603115" w:rsidRDefault="00603115" w:rsidP="00603115">
      <w:pPr>
        <w:pStyle w:val="NormalWeb"/>
        <w:spacing w:before="0" w:beforeAutospacing="0" w:after="0" w:afterAutospacing="0" w:line="480" w:lineRule="auto"/>
        <w:ind w:left="720" w:hanging="720"/>
      </w:pPr>
      <w:r w:rsidRPr="002877ED">
        <w:t>The Holy Bible, English Standard Version (Wheaton: Crossway, 2016)</w:t>
      </w:r>
    </w:p>
    <w:p w14:paraId="0CE8EBB5" w14:textId="77777777" w:rsidR="00603115" w:rsidRDefault="00603115" w:rsidP="00603115">
      <w:pPr>
        <w:spacing w:before="100" w:beforeAutospacing="1" w:after="100" w:afterAutospacing="1" w:line="480" w:lineRule="auto"/>
        <w:rPr>
          <w:rFonts w:eastAsia="Times New Roman" w:cs="Times New Roman"/>
          <w:kern w:val="0"/>
          <w:lang w:eastAsia="en-GB"/>
          <w14:ligatures w14:val="none"/>
        </w:rPr>
      </w:pPr>
      <w:r w:rsidRPr="00B03400">
        <w:rPr>
          <w:rFonts w:eastAsia="Times New Roman" w:cs="Times New Roman"/>
          <w:kern w:val="0"/>
          <w:lang w:eastAsia="en-GB"/>
          <w14:ligatures w14:val="none"/>
        </w:rPr>
        <w:t>Wainwright, William J. </w:t>
      </w:r>
      <w:r w:rsidRPr="00B03400">
        <w:rPr>
          <w:rFonts w:eastAsia="Times New Roman" w:cs="Times New Roman"/>
          <w:i/>
          <w:iCs/>
          <w:kern w:val="0"/>
          <w:lang w:eastAsia="en-GB"/>
          <w14:ligatures w14:val="none"/>
        </w:rPr>
        <w:t>Religion and morality</w:t>
      </w:r>
      <w:r w:rsidRPr="00B03400">
        <w:rPr>
          <w:rFonts w:eastAsia="Times New Roman" w:cs="Times New Roman"/>
          <w:kern w:val="0"/>
          <w:lang w:eastAsia="en-GB"/>
          <w14:ligatures w14:val="none"/>
        </w:rPr>
        <w:t>. Routledge, 2017.</w:t>
      </w:r>
    </w:p>
    <w:p w14:paraId="5EA74855" w14:textId="77777777" w:rsidR="00603115" w:rsidRDefault="00603115" w:rsidP="00603115">
      <w:pPr>
        <w:spacing w:before="100" w:beforeAutospacing="1" w:after="100" w:afterAutospacing="1" w:line="480" w:lineRule="auto"/>
        <w:rPr>
          <w:rFonts w:eastAsia="Times New Roman" w:cs="Times New Roman"/>
          <w:kern w:val="0"/>
          <w:lang w:eastAsia="en-GB"/>
          <w14:ligatures w14:val="none"/>
        </w:rPr>
      </w:pPr>
    </w:p>
    <w:p w14:paraId="528ECCF4" w14:textId="77777777" w:rsidR="00603115" w:rsidRPr="00002F07" w:rsidRDefault="00603115" w:rsidP="00603115"/>
    <w:p w14:paraId="1A5A4413" w14:textId="77777777" w:rsidR="001D4E9E" w:rsidRDefault="001D4E9E"/>
    <w:sectPr w:rsidR="001D4E9E" w:rsidSect="006031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474C1" w14:textId="77777777" w:rsidR="00023326" w:rsidRDefault="00023326" w:rsidP="00603115">
      <w:pPr>
        <w:spacing w:before="0" w:after="0"/>
      </w:pPr>
      <w:r>
        <w:separator/>
      </w:r>
    </w:p>
  </w:endnote>
  <w:endnote w:type="continuationSeparator" w:id="0">
    <w:p w14:paraId="51FFB99A" w14:textId="77777777" w:rsidR="00023326" w:rsidRDefault="00023326" w:rsidP="00603115">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19AED" w14:textId="77777777" w:rsidR="00023326" w:rsidRDefault="00023326" w:rsidP="00603115">
      <w:pPr>
        <w:spacing w:before="0" w:after="0"/>
      </w:pPr>
      <w:r>
        <w:separator/>
      </w:r>
    </w:p>
  </w:footnote>
  <w:footnote w:type="continuationSeparator" w:id="0">
    <w:p w14:paraId="59D13EE4" w14:textId="77777777" w:rsidR="00023326" w:rsidRDefault="00023326" w:rsidP="00603115">
      <w:pPr>
        <w:spacing w:before="0" w:after="0"/>
      </w:pPr>
      <w:r>
        <w:continuationSeparator/>
      </w:r>
    </w:p>
  </w:footnote>
  <w:footnote w:id="1">
    <w:p w14:paraId="49A9D94A" w14:textId="77777777" w:rsidR="00AE0EEC" w:rsidRDefault="00AE0EEC" w:rsidP="00AE0EEC">
      <w:pPr>
        <w:pStyle w:val="FootnoteText"/>
      </w:pPr>
      <w:r>
        <w:rPr>
          <w:rStyle w:val="FootnoteReference"/>
        </w:rPr>
        <w:footnoteRef/>
      </w:r>
      <w:r>
        <w:t xml:space="preserve"> </w:t>
      </w:r>
      <w:r w:rsidRPr="003F2E12">
        <w:t>Plato, Euthyphro, trans. G. M. A. Grube (Indianapolis: Hackett Publishing, 2002).</w:t>
      </w:r>
    </w:p>
  </w:footnote>
  <w:footnote w:id="2">
    <w:p w14:paraId="1401DAC8" w14:textId="77777777" w:rsidR="00AE0EEC" w:rsidRDefault="00AE0EEC" w:rsidP="00AE0EEC">
      <w:pPr>
        <w:pStyle w:val="FootnoteText"/>
      </w:pPr>
      <w:r>
        <w:rPr>
          <w:rStyle w:val="FootnoteReference"/>
        </w:rPr>
        <w:footnoteRef/>
      </w:r>
      <w:r>
        <w:t xml:space="preserve"> </w:t>
      </w:r>
      <w:r w:rsidRPr="006A3901">
        <w:t>Plato, Euthyphro</w:t>
      </w:r>
    </w:p>
  </w:footnote>
  <w:footnote w:id="3">
    <w:p w14:paraId="2632D78A" w14:textId="77777777" w:rsidR="00AE0EEC" w:rsidRDefault="00AE0EEC" w:rsidP="00AE0EEC">
      <w:pPr>
        <w:pStyle w:val="FootnoteText"/>
      </w:pPr>
      <w:r>
        <w:rPr>
          <w:rStyle w:val="FootnoteReference"/>
        </w:rPr>
        <w:footnoteRef/>
      </w:r>
      <w:r>
        <w:t xml:space="preserve"> </w:t>
      </w:r>
      <w:r w:rsidRPr="00775775">
        <w:t>C. Stephen Evans, Philosophy of Religion: Thinking About Faith (Downers Grove: InterVarsity Press, 2009).</w:t>
      </w:r>
    </w:p>
  </w:footnote>
  <w:footnote w:id="4">
    <w:p w14:paraId="07839B68" w14:textId="77777777" w:rsidR="00AE0EEC" w:rsidRDefault="00AE0EEC" w:rsidP="00AE0EEC">
      <w:pPr>
        <w:pStyle w:val="FootnoteText"/>
      </w:pPr>
      <w:r>
        <w:rPr>
          <w:rStyle w:val="FootnoteReference"/>
        </w:rPr>
        <w:footnoteRef/>
      </w:r>
      <w:r>
        <w:t xml:space="preserve"> </w:t>
      </w:r>
      <w:r w:rsidRPr="00FF013A">
        <w:t>Philip L. Quinn, Divine Commands and Moral Requirements (Oxford: Oxford University Press, 1978).</w:t>
      </w:r>
    </w:p>
  </w:footnote>
  <w:footnote w:id="5">
    <w:p w14:paraId="5EEDA930" w14:textId="77777777" w:rsidR="00AE0EEC" w:rsidRDefault="00AE0EEC" w:rsidP="00AE0EEC">
      <w:pPr>
        <w:pStyle w:val="FootnoteText"/>
      </w:pPr>
      <w:r>
        <w:rPr>
          <w:rStyle w:val="FootnoteReference"/>
        </w:rPr>
        <w:footnoteRef/>
      </w:r>
      <w:r>
        <w:t xml:space="preserve"> </w:t>
      </w:r>
      <w:r w:rsidRPr="00C61E39">
        <w:t>Exodus 20:1–17.</w:t>
      </w:r>
    </w:p>
  </w:footnote>
  <w:footnote w:id="6">
    <w:p w14:paraId="5E80906B" w14:textId="77777777" w:rsidR="00AE0EEC" w:rsidRDefault="00AE0EEC" w:rsidP="00AE0EEC">
      <w:pPr>
        <w:pStyle w:val="FootnoteText"/>
      </w:pPr>
      <w:r>
        <w:rPr>
          <w:rStyle w:val="FootnoteReference"/>
        </w:rPr>
        <w:footnoteRef/>
      </w:r>
      <w:r>
        <w:t xml:space="preserve"> </w:t>
      </w:r>
      <w:r w:rsidRPr="0059796F">
        <w:t>Norman L. Geisler, Christian Ethics: Contemporary Issues and Options (Grand Rapids: Baker Academic, 2010).</w:t>
      </w:r>
    </w:p>
  </w:footnote>
  <w:footnote w:id="7">
    <w:p w14:paraId="05314DFD" w14:textId="77777777" w:rsidR="00AE0EEC" w:rsidRDefault="00AE0EEC" w:rsidP="00AE0EEC">
      <w:pPr>
        <w:pStyle w:val="FootnoteText"/>
      </w:pPr>
      <w:r>
        <w:rPr>
          <w:rStyle w:val="FootnoteReference"/>
        </w:rPr>
        <w:footnoteRef/>
      </w:r>
      <w:r>
        <w:t xml:space="preserve"> </w:t>
      </w:r>
      <w:r w:rsidRPr="00E16AB4">
        <w:t>J. L. Mackie, Ethics: Inventing Right and Wrong (London: Penguin, 1977).</w:t>
      </w:r>
    </w:p>
  </w:footnote>
  <w:footnote w:id="8">
    <w:p w14:paraId="4F8992B7" w14:textId="77777777" w:rsidR="00AE0EEC" w:rsidRDefault="00AE0EEC" w:rsidP="00AE0EEC">
      <w:pPr>
        <w:pStyle w:val="FootnoteText"/>
      </w:pPr>
      <w:r>
        <w:rPr>
          <w:rStyle w:val="FootnoteReference"/>
        </w:rPr>
        <w:footnoteRef/>
      </w:r>
      <w:r>
        <w:t xml:space="preserve"> </w:t>
      </w:r>
      <w:r w:rsidRPr="006F1725">
        <w:t>John 4:8.</w:t>
      </w:r>
    </w:p>
  </w:footnote>
  <w:footnote w:id="9">
    <w:p w14:paraId="6BCE4BF9" w14:textId="77777777" w:rsidR="00AE0EEC" w:rsidRDefault="00AE0EEC" w:rsidP="00AE0EEC">
      <w:pPr>
        <w:pStyle w:val="FootnoteText"/>
      </w:pPr>
      <w:r>
        <w:rPr>
          <w:rStyle w:val="FootnoteReference"/>
        </w:rPr>
        <w:footnoteRef/>
      </w:r>
      <w:r>
        <w:t xml:space="preserve"> </w:t>
      </w:r>
      <w:r w:rsidRPr="00A72D1C">
        <w:t>Matthew 7:11.</w:t>
      </w:r>
    </w:p>
  </w:footnote>
  <w:footnote w:id="10">
    <w:p w14:paraId="644572F6" w14:textId="77777777" w:rsidR="00AE0EEC" w:rsidRDefault="00AE0EEC" w:rsidP="00AE0EEC">
      <w:pPr>
        <w:pStyle w:val="FootnoteText"/>
      </w:pPr>
      <w:r>
        <w:rPr>
          <w:rStyle w:val="FootnoteReference"/>
        </w:rPr>
        <w:footnoteRef/>
      </w:r>
      <w:r>
        <w:t xml:space="preserve"> </w:t>
      </w:r>
      <w:r w:rsidRPr="008C793C">
        <w:t>Augustine, On the Free Choice of the Will, trans. Thomas Williams (Indianapolis: Hackett, 1993).</w:t>
      </w:r>
    </w:p>
  </w:footnote>
  <w:footnote w:id="11">
    <w:p w14:paraId="57582999" w14:textId="77777777" w:rsidR="00AE0EEC" w:rsidRDefault="00AE0EEC" w:rsidP="00AE0EEC">
      <w:pPr>
        <w:pStyle w:val="FootnoteText"/>
      </w:pPr>
      <w:r>
        <w:rPr>
          <w:rStyle w:val="FootnoteReference"/>
        </w:rPr>
        <w:footnoteRef/>
      </w:r>
      <w:r>
        <w:t xml:space="preserve"> </w:t>
      </w:r>
      <w:r w:rsidRPr="009A33F3">
        <w:t>Augustine, On the Free Choice of the Will.</w:t>
      </w:r>
    </w:p>
  </w:footnote>
  <w:footnote w:id="12">
    <w:p w14:paraId="6C40B170" w14:textId="77777777" w:rsidR="00AE0EEC" w:rsidRDefault="00AE0EEC" w:rsidP="00AE0EEC">
      <w:pPr>
        <w:pStyle w:val="FootnoteText"/>
      </w:pPr>
      <w:r>
        <w:rPr>
          <w:rStyle w:val="FootnoteReference"/>
        </w:rPr>
        <w:footnoteRef/>
      </w:r>
      <w:r>
        <w:t xml:space="preserve"> </w:t>
      </w:r>
      <w:r w:rsidRPr="006E2B9A">
        <w:t xml:space="preserve">Thomas Aquinas, Summa </w:t>
      </w:r>
      <w:proofErr w:type="spellStart"/>
      <w:r w:rsidRPr="006E2B9A">
        <w:t>Theologiae</w:t>
      </w:r>
      <w:proofErr w:type="spellEnd"/>
      <w:r w:rsidRPr="006E2B9A">
        <w:t>, I–II, Q90–94.</w:t>
      </w:r>
    </w:p>
  </w:footnote>
  <w:footnote w:id="13">
    <w:p w14:paraId="08E4143F" w14:textId="77777777" w:rsidR="00AE0EEC" w:rsidRDefault="00AE0EEC" w:rsidP="00AE0EEC">
      <w:pPr>
        <w:pStyle w:val="FootnoteText"/>
      </w:pPr>
      <w:r>
        <w:rPr>
          <w:rStyle w:val="FootnoteReference"/>
        </w:rPr>
        <w:footnoteRef/>
      </w:r>
      <w:r>
        <w:t xml:space="preserve"> </w:t>
      </w:r>
      <w:r w:rsidRPr="002E6A6F">
        <w:t>Brian Davies, The Thought of Thomas Aquinas (Oxford: Oxford University Press, 1992).</w:t>
      </w:r>
    </w:p>
  </w:footnote>
  <w:footnote w:id="14">
    <w:p w14:paraId="30E9606C" w14:textId="77777777" w:rsidR="00AE0EEC" w:rsidRDefault="00AE0EEC" w:rsidP="00AE0EEC">
      <w:pPr>
        <w:pStyle w:val="FootnoteText"/>
      </w:pPr>
      <w:r>
        <w:rPr>
          <w:rStyle w:val="FootnoteReference"/>
        </w:rPr>
        <w:footnoteRef/>
      </w:r>
      <w:r>
        <w:t xml:space="preserve"> </w:t>
      </w:r>
      <w:r w:rsidRPr="00C05A6B">
        <w:t>C. S. Lewis, Mere Christianity (London: HarperCollins, 2001).</w:t>
      </w:r>
    </w:p>
  </w:footnote>
  <w:footnote w:id="15">
    <w:p w14:paraId="0424D72B" w14:textId="77777777" w:rsidR="00AE0EEC" w:rsidRDefault="00AE0EEC" w:rsidP="00AE0EEC">
      <w:pPr>
        <w:pStyle w:val="FootnoteText"/>
      </w:pPr>
      <w:r>
        <w:rPr>
          <w:rStyle w:val="FootnoteReference"/>
        </w:rPr>
        <w:footnoteRef/>
      </w:r>
      <w:r>
        <w:t xml:space="preserve"> </w:t>
      </w:r>
      <w:r w:rsidRPr="00613B20">
        <w:t>William J. Wainwright, Religion and Morality (Aldershot: Ashgate, 2005).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115"/>
    <w:rsid w:val="00023326"/>
    <w:rsid w:val="0006715D"/>
    <w:rsid w:val="000A7A37"/>
    <w:rsid w:val="001D4E9E"/>
    <w:rsid w:val="00464D9C"/>
    <w:rsid w:val="005C3999"/>
    <w:rsid w:val="00603115"/>
    <w:rsid w:val="00714239"/>
    <w:rsid w:val="00AE0EEC"/>
    <w:rsid w:val="00DD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70996"/>
  <w15:chartTrackingRefBased/>
  <w15:docId w15:val="{965A3B07-DB08-4830-9632-0DA488712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115"/>
    <w:pPr>
      <w:spacing w:before="120" w:after="120" w:line="240" w:lineRule="auto"/>
    </w:pPr>
    <w:rPr>
      <w:rFonts w:ascii="Times New Roman" w:hAnsi="Times New Roman"/>
      <w:lang w:val="en-US"/>
    </w:rPr>
  </w:style>
  <w:style w:type="paragraph" w:styleId="Heading1">
    <w:name w:val="heading 1"/>
    <w:basedOn w:val="Normal"/>
    <w:next w:val="Normal"/>
    <w:link w:val="Heading1Char"/>
    <w:uiPriority w:val="9"/>
    <w:qFormat/>
    <w:rsid w:val="0060311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60311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603115"/>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603115"/>
    <w:pPr>
      <w:keepNext/>
      <w:keepLines/>
      <w:spacing w:before="80" w:after="40" w:line="278" w:lineRule="auto"/>
      <w:outlineLvl w:val="3"/>
    </w:pPr>
    <w:rPr>
      <w:rFonts w:asciiTheme="minorHAnsi" w:eastAsiaTheme="majorEastAsia" w:hAnsiTheme="minorHAnsi"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603115"/>
    <w:pPr>
      <w:keepNext/>
      <w:keepLines/>
      <w:spacing w:before="80" w:after="40" w:line="278" w:lineRule="auto"/>
      <w:outlineLvl w:val="4"/>
    </w:pPr>
    <w:rPr>
      <w:rFonts w:asciiTheme="minorHAnsi" w:eastAsiaTheme="majorEastAsia" w:hAnsiTheme="minorHAnsi"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603115"/>
    <w:pPr>
      <w:keepNext/>
      <w:keepLines/>
      <w:spacing w:before="40" w:after="0" w:line="278" w:lineRule="auto"/>
      <w:outlineLvl w:val="5"/>
    </w:pPr>
    <w:rPr>
      <w:rFonts w:asciiTheme="minorHAnsi" w:eastAsiaTheme="majorEastAsia" w:hAnsiTheme="minorHAnsi"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603115"/>
    <w:pPr>
      <w:keepNext/>
      <w:keepLines/>
      <w:spacing w:before="40" w:after="0" w:line="278" w:lineRule="auto"/>
      <w:outlineLvl w:val="6"/>
    </w:pPr>
    <w:rPr>
      <w:rFonts w:asciiTheme="minorHAnsi" w:eastAsiaTheme="majorEastAsia" w:hAnsiTheme="minorHAnsi"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603115"/>
    <w:pPr>
      <w:keepNext/>
      <w:keepLines/>
      <w:spacing w:before="0" w:after="0" w:line="278" w:lineRule="auto"/>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603115"/>
    <w:pPr>
      <w:keepNext/>
      <w:keepLines/>
      <w:spacing w:before="0" w:after="0" w:line="278" w:lineRule="auto"/>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115"/>
    <w:rPr>
      <w:rFonts w:eastAsiaTheme="majorEastAsia" w:cstheme="majorBidi"/>
      <w:color w:val="272727" w:themeColor="text1" w:themeTint="D8"/>
    </w:rPr>
  </w:style>
  <w:style w:type="paragraph" w:styleId="Title">
    <w:name w:val="Title"/>
    <w:basedOn w:val="Normal"/>
    <w:next w:val="Normal"/>
    <w:link w:val="TitleChar"/>
    <w:uiPriority w:val="10"/>
    <w:qFormat/>
    <w:rsid w:val="00603115"/>
    <w:pPr>
      <w:spacing w:before="0" w:after="8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03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115"/>
    <w:pPr>
      <w:numPr>
        <w:ilvl w:val="1"/>
      </w:numPr>
      <w:spacing w:before="0" w:after="160" w:line="278" w:lineRule="auto"/>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603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115"/>
    <w:pPr>
      <w:spacing w:before="160" w:after="160" w:line="278" w:lineRule="auto"/>
      <w:jc w:val="center"/>
    </w:pPr>
    <w:rPr>
      <w:rFonts w:asciiTheme="minorHAnsi" w:hAnsiTheme="minorHAnsi"/>
      <w:i/>
      <w:iCs/>
      <w:color w:val="404040" w:themeColor="text1" w:themeTint="BF"/>
      <w:lang w:val="en-GB"/>
    </w:rPr>
  </w:style>
  <w:style w:type="character" w:customStyle="1" w:styleId="QuoteChar">
    <w:name w:val="Quote Char"/>
    <w:basedOn w:val="DefaultParagraphFont"/>
    <w:link w:val="Quote"/>
    <w:uiPriority w:val="29"/>
    <w:rsid w:val="00603115"/>
    <w:rPr>
      <w:i/>
      <w:iCs/>
      <w:color w:val="404040" w:themeColor="text1" w:themeTint="BF"/>
    </w:rPr>
  </w:style>
  <w:style w:type="paragraph" w:styleId="ListParagraph">
    <w:name w:val="List Paragraph"/>
    <w:basedOn w:val="Normal"/>
    <w:uiPriority w:val="34"/>
    <w:qFormat/>
    <w:rsid w:val="00603115"/>
    <w:pPr>
      <w:spacing w:before="0" w:after="160" w:line="278" w:lineRule="auto"/>
      <w:ind w:left="720"/>
      <w:contextualSpacing/>
    </w:pPr>
    <w:rPr>
      <w:rFonts w:asciiTheme="minorHAnsi" w:hAnsiTheme="minorHAnsi"/>
      <w:lang w:val="en-GB"/>
    </w:rPr>
  </w:style>
  <w:style w:type="character" w:styleId="IntenseEmphasis">
    <w:name w:val="Intense Emphasis"/>
    <w:basedOn w:val="DefaultParagraphFont"/>
    <w:uiPriority w:val="21"/>
    <w:qFormat/>
    <w:rsid w:val="00603115"/>
    <w:rPr>
      <w:i/>
      <w:iCs/>
      <w:color w:val="0F4761" w:themeColor="accent1" w:themeShade="BF"/>
    </w:rPr>
  </w:style>
  <w:style w:type="paragraph" w:styleId="IntenseQuote">
    <w:name w:val="Intense Quote"/>
    <w:basedOn w:val="Normal"/>
    <w:next w:val="Normal"/>
    <w:link w:val="IntenseQuoteChar"/>
    <w:uiPriority w:val="30"/>
    <w:qFormat/>
    <w:rsid w:val="0060311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lang w:val="en-GB"/>
    </w:rPr>
  </w:style>
  <w:style w:type="character" w:customStyle="1" w:styleId="IntenseQuoteChar">
    <w:name w:val="Intense Quote Char"/>
    <w:basedOn w:val="DefaultParagraphFont"/>
    <w:link w:val="IntenseQuote"/>
    <w:uiPriority w:val="30"/>
    <w:rsid w:val="00603115"/>
    <w:rPr>
      <w:i/>
      <w:iCs/>
      <w:color w:val="0F4761" w:themeColor="accent1" w:themeShade="BF"/>
    </w:rPr>
  </w:style>
  <w:style w:type="character" w:styleId="IntenseReference">
    <w:name w:val="Intense Reference"/>
    <w:basedOn w:val="DefaultParagraphFont"/>
    <w:uiPriority w:val="32"/>
    <w:qFormat/>
    <w:rsid w:val="00603115"/>
    <w:rPr>
      <w:b/>
      <w:bCs/>
      <w:smallCaps/>
      <w:color w:val="0F4761" w:themeColor="accent1" w:themeShade="BF"/>
      <w:spacing w:val="5"/>
    </w:rPr>
  </w:style>
  <w:style w:type="paragraph" w:styleId="FootnoteText">
    <w:name w:val="footnote text"/>
    <w:basedOn w:val="Normal"/>
    <w:link w:val="FootnoteTextChar"/>
    <w:uiPriority w:val="99"/>
    <w:semiHidden/>
    <w:unhideWhenUsed/>
    <w:rsid w:val="00603115"/>
    <w:pPr>
      <w:spacing w:after="0"/>
    </w:pPr>
    <w:rPr>
      <w:sz w:val="20"/>
      <w:szCs w:val="20"/>
    </w:rPr>
  </w:style>
  <w:style w:type="character" w:customStyle="1" w:styleId="FootnoteTextChar">
    <w:name w:val="Footnote Text Char"/>
    <w:basedOn w:val="DefaultParagraphFont"/>
    <w:link w:val="FootnoteText"/>
    <w:uiPriority w:val="99"/>
    <w:semiHidden/>
    <w:rsid w:val="00603115"/>
    <w:rPr>
      <w:rFonts w:ascii="Times New Roman" w:hAnsi="Times New Roman"/>
      <w:sz w:val="20"/>
      <w:szCs w:val="20"/>
      <w:lang w:val="en-US"/>
    </w:rPr>
  </w:style>
  <w:style w:type="character" w:styleId="FootnoteReference">
    <w:name w:val="footnote reference"/>
    <w:basedOn w:val="DefaultParagraphFont"/>
    <w:uiPriority w:val="99"/>
    <w:semiHidden/>
    <w:unhideWhenUsed/>
    <w:rsid w:val="00603115"/>
    <w:rPr>
      <w:vertAlign w:val="superscript"/>
    </w:rPr>
  </w:style>
  <w:style w:type="paragraph" w:styleId="NormalWeb">
    <w:name w:val="Normal (Web)"/>
    <w:basedOn w:val="Normal"/>
    <w:uiPriority w:val="99"/>
    <w:unhideWhenUsed/>
    <w:rsid w:val="00603115"/>
    <w:pPr>
      <w:spacing w:before="100" w:beforeAutospacing="1" w:after="100" w:afterAutospacing="1"/>
    </w:pPr>
    <w:rPr>
      <w:rFonts w:eastAsia="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1799</Words>
  <Characters>10255</Characters>
  <Application>Microsoft Office Word</Application>
  <DocSecurity>0</DocSecurity>
  <Lines>85</Lines>
  <Paragraphs>24</Paragraphs>
  <ScaleCrop>false</ScaleCrop>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2</cp:revision>
  <dcterms:created xsi:type="dcterms:W3CDTF">2026-03-23T17:58:00Z</dcterms:created>
  <dcterms:modified xsi:type="dcterms:W3CDTF">2026-03-23T17:58:00Z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c85aa220-eb20-4f80-90b8-1e5c56b0489e</vt:lpwstr>
  </property>
</Properties>
</file>