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1378622"/>
        <w:docPartObj>
          <w:docPartGallery w:val="Cover Pages"/>
          <w:docPartUnique/>
        </w:docPartObj>
      </w:sdtPr>
      <w:sdtEndPr>
        <w:rPr>
          <w:b/>
          <w:bCs/>
        </w:rPr>
      </w:sdtEndPr>
      <w:sdtContent>
        <w:p w14:paraId="44DA46F6" w14:textId="1EB78D38" w:rsidR="00A00BF3" w:rsidRDefault="00A00BF3">
          <w:r>
            <w:rPr>
              <w:noProof/>
            </w:rPr>
            <mc:AlternateContent>
              <mc:Choice Requires="wpg">
                <w:drawing>
                  <wp:anchor distT="0" distB="0" distL="114300" distR="114300" simplePos="0" relativeHeight="251659264" behindDoc="1" locked="0" layoutInCell="1" allowOverlap="1" wp14:anchorId="04E12835" wp14:editId="4CD02EC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D5C85" w14:textId="300295D1" w:rsidR="00A00BF3" w:rsidRDefault="00A00BF3">
                                      <w:pPr>
                                        <w:pStyle w:val="NoSpacing"/>
                                        <w:rPr>
                                          <w:color w:val="FFFFFF" w:themeColor="background1"/>
                                          <w:sz w:val="32"/>
                                          <w:szCs w:val="32"/>
                                        </w:rPr>
                                      </w:pPr>
                                      <w:r>
                                        <w:rPr>
                                          <w:color w:val="FFFFFF" w:themeColor="background1"/>
                                          <w:sz w:val="32"/>
                                          <w:szCs w:val="32"/>
                                        </w:rPr>
                                        <w:t>Denyss Nagy</w:t>
                                      </w:r>
                                    </w:p>
                                  </w:sdtContent>
                                </w:sdt>
                                <w:p w14:paraId="00C336A2" w14:textId="46DE64B6" w:rsidR="00A00BF3" w:rsidRDefault="00A00BF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2117506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85AEAC" w14:textId="760C2B8A" w:rsidR="00A00BF3" w:rsidRDefault="00A00B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Principles of Professional Legal Practice</w:t>
                                      </w:r>
                                    </w:p>
                                  </w:sdtContent>
                                </w:sdt>
                                <w:sdt>
                                  <w:sdtPr>
                                    <w:rPr>
                                      <w:caps/>
                                      <w:color w:val="40404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8AE28A" w14:textId="013F799D" w:rsidR="00A00BF3" w:rsidRDefault="00A00BF3">
                                      <w:pPr>
                                        <w:pStyle w:val="NoSpacing"/>
                                        <w:spacing w:before="240"/>
                                        <w:rPr>
                                          <w:caps/>
                                          <w:color w:val="404040" w:themeColor="text2"/>
                                          <w:sz w:val="36"/>
                                          <w:szCs w:val="36"/>
                                        </w:rPr>
                                      </w:pPr>
                                      <w:r>
                                        <w:rPr>
                                          <w:caps/>
                                          <w:color w:val="404040" w:themeColor="text2"/>
                                          <w:sz w:val="36"/>
                                          <w:szCs w:val="36"/>
                                        </w:rPr>
                                        <w:t>Assignment 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E1283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99bc9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6ec038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D5C85" w14:textId="300295D1" w:rsidR="00A00BF3" w:rsidRDefault="00A00BF3">
                                <w:pPr>
                                  <w:pStyle w:val="NoSpacing"/>
                                  <w:rPr>
                                    <w:color w:val="FFFFFF" w:themeColor="background1"/>
                                    <w:sz w:val="32"/>
                                    <w:szCs w:val="32"/>
                                  </w:rPr>
                                </w:pPr>
                                <w:r>
                                  <w:rPr>
                                    <w:color w:val="FFFFFF" w:themeColor="background1"/>
                                    <w:sz w:val="32"/>
                                    <w:szCs w:val="32"/>
                                  </w:rPr>
                                  <w:t>Denyss Nagy</w:t>
                                </w:r>
                              </w:p>
                            </w:sdtContent>
                          </w:sdt>
                          <w:p w14:paraId="00C336A2" w14:textId="46DE64B6" w:rsidR="00A00BF3" w:rsidRDefault="00A00BF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2117506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85AEAC" w14:textId="760C2B8A" w:rsidR="00A00BF3" w:rsidRDefault="00A00B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Principles of Professional Legal Practice</w:t>
                                </w:r>
                              </w:p>
                            </w:sdtContent>
                          </w:sdt>
                          <w:sdt>
                            <w:sdtPr>
                              <w:rPr>
                                <w:caps/>
                                <w:color w:val="40404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8AE28A" w14:textId="013F799D" w:rsidR="00A00BF3" w:rsidRDefault="00A00BF3">
                                <w:pPr>
                                  <w:pStyle w:val="NoSpacing"/>
                                  <w:spacing w:before="240"/>
                                  <w:rPr>
                                    <w:caps/>
                                    <w:color w:val="404040" w:themeColor="text2"/>
                                    <w:sz w:val="36"/>
                                    <w:szCs w:val="36"/>
                                  </w:rPr>
                                </w:pPr>
                                <w:r>
                                  <w:rPr>
                                    <w:caps/>
                                    <w:color w:val="404040" w:themeColor="text2"/>
                                    <w:sz w:val="36"/>
                                    <w:szCs w:val="36"/>
                                  </w:rPr>
                                  <w:t>Assignment 2</w:t>
                                </w:r>
                              </w:p>
                            </w:sdtContent>
                          </w:sdt>
                        </w:txbxContent>
                      </v:textbox>
                    </v:shape>
                    <w10:wrap anchorx="page" anchory="page"/>
                  </v:group>
                </w:pict>
              </mc:Fallback>
            </mc:AlternateContent>
          </w:r>
        </w:p>
        <w:p w14:paraId="11C423D2" w14:textId="117932CC" w:rsidR="00A00BF3" w:rsidRDefault="00A00BF3">
          <w:pPr>
            <w:rPr>
              <w:rFonts w:ascii="Helvetica" w:hAnsi="Arial Unicode MS" w:cs="Arial Unicode MS"/>
              <w:b/>
              <w:bCs/>
              <w:color w:val="000000"/>
              <w:sz w:val="22"/>
              <w:szCs w:val="22"/>
              <w:lang w:eastAsia="en-GB"/>
            </w:rPr>
          </w:pPr>
          <w:r>
            <w:rPr>
              <w:b/>
              <w:bCs/>
            </w:rPr>
            <w:br w:type="page"/>
          </w:r>
        </w:p>
      </w:sdtContent>
    </w:sdt>
    <w:p w14:paraId="3D5D56C1" w14:textId="230BABA2" w:rsidR="00F3701B" w:rsidRDefault="00AA248F">
      <w:pPr>
        <w:pStyle w:val="Body"/>
        <w:spacing w:before="120" w:after="120"/>
        <w:rPr>
          <w:b/>
          <w:bCs/>
        </w:rPr>
      </w:pPr>
      <w:r>
        <w:rPr>
          <w:b/>
          <w:bCs/>
        </w:rPr>
        <w:lastRenderedPageBreak/>
        <w:t>Task 1</w:t>
      </w:r>
    </w:p>
    <w:p w14:paraId="40D60826" w14:textId="77777777" w:rsidR="00F3701B" w:rsidRDefault="00000000">
      <w:pPr>
        <w:pStyle w:val="Body"/>
        <w:spacing w:before="120" w:after="120"/>
      </w:pPr>
      <w:r>
        <w:t>The first meeting between the client and solicitor reveals the details about what the client needs consultation with the solicitor. However, the solicitor should also have some prior information about the client before taking the first meeting. This is necessary to ensure that the solicitor can take the client meeting because in some circumstances the solicitor should not even take the meeting with the client; for instance, in the event of conflict of interests or in the event of anti-money laundering regulations. The SRA Code of Conduct provides the important principles that are to be taken into account by the solicitor before agreeing to meet with the client.</w:t>
      </w:r>
      <w:r>
        <w:rPr>
          <w:rFonts w:ascii="Times New Roman" w:eastAsia="Times New Roman" w:hAnsi="Times New Roman" w:cs="Times New Roman"/>
          <w:vertAlign w:val="superscript"/>
        </w:rPr>
        <w:footnoteReference w:id="2"/>
      </w:r>
      <w:r>
        <w:t xml:space="preserve"> Apart from the general information about the client, including their names and the purpose for which they wish to meet the solicitor, there are other pieces of information required from the client. Two of the most important points of consideration are avoidance of conflict of interest and anti-money laundering regulations. The SRA Code of Conduct requires that the solicitor should avoid any potential for conflict of interest (</w:t>
      </w:r>
      <w:proofErr w:type="spellStart"/>
      <w:r>
        <w:rPr>
          <w:u w:color="000000"/>
          <w:lang w:val="fr-FR"/>
        </w:rPr>
        <w:t>paragraph</w:t>
      </w:r>
      <w:proofErr w:type="spellEnd"/>
      <w:r>
        <w:rPr>
          <w:u w:color="000000"/>
          <w:lang w:val="fr-FR"/>
        </w:rPr>
        <w:t xml:space="preserve"> 6.2</w:t>
      </w:r>
      <w:r>
        <w:t>)</w:t>
      </w:r>
      <w:r>
        <w:rPr>
          <w:u w:color="000000"/>
        </w:rPr>
        <w:t xml:space="preserve">. Thus, the background information about the client is needed to ensure that the potential client is not someone who would pose a potential conflict of interest with existing client because SRA Code of Conduct, regulation 6.5, provides that the solicitor should not act for a client in a </w:t>
      </w:r>
      <w:r>
        <w:rPr>
          <w:u w:color="000000"/>
          <w:shd w:val="clear" w:color="auto" w:fill="FFFFFF"/>
        </w:rPr>
        <w:t>matter where their interest is adverse to the interest of another current or former</w:t>
      </w:r>
      <w:r>
        <w:rPr>
          <w:rFonts w:hAnsi="Helvetica"/>
          <w:u w:color="000000"/>
          <w:shd w:val="clear" w:color="auto" w:fill="FFFFFF"/>
        </w:rPr>
        <w:t> </w:t>
      </w:r>
      <w:r>
        <w:rPr>
          <w:u w:color="000000"/>
          <w:shd w:val="clear" w:color="auto" w:fill="FFFFFF"/>
        </w:rPr>
        <w:t xml:space="preserve">client. The background information is also needed for ensuring that the client is not a vulnerable person because in that case the client will need </w:t>
      </w:r>
      <w:r>
        <w:t xml:space="preserve">support to be able to access the solicitor services. Principle 5 of the SRA Code of Conduct requires that the solicitor provides a proper standard of service to clients. Therefore, the solicitor should not take a client who will not be able to fund their case or need the support that the solicitor is not able to provide. Client background information is also needed to assess whether there is any issue with regard to anti-money laundering regulations. </w:t>
      </w:r>
    </w:p>
    <w:p w14:paraId="6E037211" w14:textId="44669B7B" w:rsidR="00F3701B" w:rsidRDefault="00AA248F">
      <w:pPr>
        <w:pStyle w:val="Body"/>
        <w:spacing w:before="120" w:after="120"/>
        <w:rPr>
          <w:b/>
          <w:bCs/>
        </w:rPr>
      </w:pPr>
      <w:r>
        <w:rPr>
          <w:b/>
          <w:bCs/>
        </w:rPr>
        <w:t>Task 2</w:t>
      </w:r>
    </w:p>
    <w:p w14:paraId="153BF555" w14:textId="77777777" w:rsidR="00F3701B" w:rsidRDefault="00000000">
      <w:pPr>
        <w:pStyle w:val="Body"/>
        <w:spacing w:before="120" w:after="120"/>
      </w:pPr>
      <w:r>
        <w:t>In this situation, the kind of meeting that the solicitor should take with the client is a meeting that does not involve a third party. This is in line with the Society of Trust and Estate Practitioners Code (</w:t>
      </w:r>
      <w:r>
        <w:rPr>
          <w:rFonts w:hAnsi="Helvetica"/>
        </w:rPr>
        <w:t>‘</w:t>
      </w:r>
      <w:r>
        <w:t>STEP code</w:t>
      </w:r>
      <w:r>
        <w:rPr>
          <w:rFonts w:hAnsi="Helvetica"/>
        </w:rPr>
        <w:t>’</w:t>
      </w:r>
      <w:r>
        <w:t>), which is applicable to cases that involve will preparation and will related aspects. In this case, the Client has clarified that they are seeking advice concerning a Contested Wills and Estate matter. A solitary meeting with the client will be preferred because this would allow the solicitor to get the client to speak openly with the solicitor. This would also be necessary for assessing the capacity of the client as well as ensuring that there is no potential for undue influence through the interference of a third party. In this case, the solicitor should also speak to the client about the expenses of the case and the likely outcomes that the client can expect from the case. This information should be shared with the client in the meeting so that the relevant options can be presented to them regarding the funding of the case.</w:t>
      </w:r>
    </w:p>
    <w:p w14:paraId="383F7ACC" w14:textId="3F7BA4DE" w:rsidR="00F3701B" w:rsidRDefault="00AA248F">
      <w:pPr>
        <w:pStyle w:val="Body"/>
        <w:spacing w:before="120" w:after="120"/>
        <w:rPr>
          <w:b/>
          <w:bCs/>
        </w:rPr>
      </w:pPr>
      <w:r>
        <w:rPr>
          <w:b/>
          <w:bCs/>
        </w:rPr>
        <w:t>Task 3</w:t>
      </w:r>
    </w:p>
    <w:p w14:paraId="7656B16F" w14:textId="77777777" w:rsidR="00F3701B" w:rsidRDefault="00000000">
      <w:pPr>
        <w:pStyle w:val="Body"/>
        <w:spacing w:before="120" w:after="120"/>
      </w:pPr>
      <w:r>
        <w:t xml:space="preserve">The letter to the client contains the options about the funding options available to the client in this case along with the benefits of the methods so that the client can choose from amongst the different options. These options available to the client are: deferred payment plan (DPP), Conditional Fee Agreement (CFA), Damages Based Agreement (DBA), and litigation funding. The DPP option can be particularly useful in the case of probate or trust issues where the client may not have ready funds at the start of the process but may have funds when the proceeds are </w:t>
      </w:r>
      <w:proofErr w:type="spellStart"/>
      <w:r>
        <w:t>realised</w:t>
      </w:r>
      <w:proofErr w:type="spellEnd"/>
      <w:r>
        <w:t xml:space="preserve"> or the outcomes achieved. Thus, the benefits of the DPP are that the client who does not have ready funds can still have access to services and pay to the solicitor when the funds are </w:t>
      </w:r>
      <w:proofErr w:type="spellStart"/>
      <w:r>
        <w:t>realised</w:t>
      </w:r>
      <w:proofErr w:type="spellEnd"/>
      <w:r>
        <w:t>. The option of CFA can allow the client to have the advantage of a method where the solicitor does not charge him any fee or charges him a reduced fee if the case is not successful. The solicitor will still have the benefit of a fee if the client</w:t>
      </w:r>
      <w:r>
        <w:rPr>
          <w:rFonts w:hAnsi="Helvetica"/>
        </w:rPr>
        <w:t>’</w:t>
      </w:r>
      <w:r>
        <w:t>s case is successful.</w:t>
      </w:r>
      <w:r>
        <w:rPr>
          <w:rFonts w:ascii="Times New Roman" w:eastAsia="Times New Roman" w:hAnsi="Times New Roman" w:cs="Times New Roman"/>
          <w:vertAlign w:val="superscript"/>
        </w:rPr>
        <w:footnoteReference w:id="3"/>
      </w:r>
      <w:r>
        <w:t xml:space="preserve"> Thus, the client is required to pay the solicitor only when the case is successful otherwise not. The option of DBA is also similar to CFA in the sense that the client does not have to pay any fee to the solicitor unless the case is successful. However, it is different in the sense that in this case, the solicitor and the client agree on the percentage of the damages to be taken if the outcomes are positive for the </w:t>
      </w:r>
      <w:r>
        <w:lastRenderedPageBreak/>
        <w:t>client. In this funding option, the client does not pay the fee but takes a percentage of the money outcomes.</w:t>
      </w:r>
      <w:r>
        <w:rPr>
          <w:rFonts w:ascii="Times New Roman" w:eastAsia="Times New Roman" w:hAnsi="Times New Roman" w:cs="Times New Roman"/>
          <w:vertAlign w:val="superscript"/>
        </w:rPr>
        <w:footnoteReference w:id="4"/>
      </w:r>
      <w:r>
        <w:t xml:space="preserve"> Finally, l</w:t>
      </w:r>
      <w:proofErr w:type="spellStart"/>
      <w:r>
        <w:rPr>
          <w:lang w:val="de-DE"/>
        </w:rPr>
        <w:t>itigation</w:t>
      </w:r>
      <w:proofErr w:type="spellEnd"/>
      <w:r>
        <w:rPr>
          <w:lang w:val="de-DE"/>
        </w:rPr>
        <w:t xml:space="preserve"> </w:t>
      </w:r>
      <w:proofErr w:type="spellStart"/>
      <w:r>
        <w:rPr>
          <w:lang w:val="de-DE"/>
        </w:rPr>
        <w:t>funding</w:t>
      </w:r>
      <w:proofErr w:type="spellEnd"/>
      <w:r>
        <w:t xml:space="preserve"> is an option that is available to the client in this case because this option allows the client to not have to pay immediately to the solicitor from his own funds but rather have a professional investor </w:t>
      </w:r>
      <w:proofErr w:type="spellStart"/>
      <w:r>
        <w:rPr>
          <w:lang w:val="de-DE"/>
        </w:rPr>
        <w:t>fund</w:t>
      </w:r>
      <w:proofErr w:type="spellEnd"/>
      <w:r>
        <w:rPr>
          <w:lang w:val="de-DE"/>
        </w:rPr>
        <w:t xml:space="preserve"> </w:t>
      </w:r>
      <w:r>
        <w:t>the costs of litigation.</w:t>
      </w:r>
      <w:r>
        <w:rPr>
          <w:rFonts w:ascii="Times New Roman" w:eastAsia="Times New Roman" w:hAnsi="Times New Roman" w:cs="Times New Roman"/>
          <w:vertAlign w:val="superscript"/>
        </w:rPr>
        <w:footnoteReference w:id="5"/>
      </w:r>
      <w:r>
        <w:t xml:space="preserve"> The investor has the option of a share in the proceeds if the outcome for the client is positive in the case. This option also applies in cases where the outcomes are in the nature of damages or some other money outcomes. Therefore, this option can be applied in this case since the case involves an estate related matter. The client has a benefit in taking this option because the obligation to pay the investor arises only if the client has a money outcome. On the other hand, if the client does not have a money outcome, then the client does not have any obligation to pay to the investor.</w:t>
      </w:r>
    </w:p>
    <w:p w14:paraId="76E1DA8B" w14:textId="77777777" w:rsidR="00F3701B" w:rsidRDefault="00F3701B">
      <w:pPr>
        <w:pStyle w:val="Body"/>
        <w:spacing w:before="120" w:after="120"/>
      </w:pPr>
    </w:p>
    <w:p w14:paraId="7A76F567" w14:textId="77777777" w:rsidR="00AA248F" w:rsidRDefault="00AA248F">
      <w:pPr>
        <w:pStyle w:val="Body"/>
        <w:spacing w:before="120" w:after="120"/>
        <w:rPr>
          <w:b/>
          <w:bCs/>
        </w:rPr>
      </w:pPr>
    </w:p>
    <w:p w14:paraId="731A8B6B" w14:textId="77777777" w:rsidR="00AA248F" w:rsidRDefault="00AA248F">
      <w:pPr>
        <w:pStyle w:val="Body"/>
        <w:spacing w:before="120" w:after="120"/>
        <w:rPr>
          <w:b/>
          <w:bCs/>
        </w:rPr>
      </w:pPr>
    </w:p>
    <w:p w14:paraId="70348069" w14:textId="77777777" w:rsidR="00AA248F" w:rsidRDefault="00AA248F">
      <w:pPr>
        <w:pStyle w:val="Body"/>
        <w:spacing w:before="120" w:after="120"/>
        <w:rPr>
          <w:b/>
          <w:bCs/>
        </w:rPr>
      </w:pPr>
    </w:p>
    <w:p w14:paraId="1131366E" w14:textId="77777777" w:rsidR="00AA248F" w:rsidRDefault="00AA248F">
      <w:pPr>
        <w:pStyle w:val="Body"/>
        <w:spacing w:before="120" w:after="120"/>
        <w:rPr>
          <w:b/>
          <w:bCs/>
        </w:rPr>
      </w:pPr>
    </w:p>
    <w:p w14:paraId="6727BF62" w14:textId="77777777" w:rsidR="00AA248F" w:rsidRDefault="00AA248F">
      <w:pPr>
        <w:pStyle w:val="Body"/>
        <w:spacing w:before="120" w:after="120"/>
        <w:rPr>
          <w:b/>
          <w:bCs/>
        </w:rPr>
      </w:pPr>
    </w:p>
    <w:p w14:paraId="674C9BEE" w14:textId="77777777" w:rsidR="00AA248F" w:rsidRDefault="00AA248F">
      <w:pPr>
        <w:pStyle w:val="Body"/>
        <w:spacing w:before="120" w:after="120"/>
        <w:rPr>
          <w:b/>
          <w:bCs/>
        </w:rPr>
      </w:pPr>
    </w:p>
    <w:p w14:paraId="7EE1F743" w14:textId="77777777" w:rsidR="00AA248F" w:rsidRDefault="00AA248F">
      <w:pPr>
        <w:pStyle w:val="Body"/>
        <w:spacing w:before="120" w:after="120"/>
        <w:rPr>
          <w:b/>
          <w:bCs/>
        </w:rPr>
      </w:pPr>
    </w:p>
    <w:p w14:paraId="17162190" w14:textId="77777777" w:rsidR="00AA248F" w:rsidRDefault="00AA248F">
      <w:pPr>
        <w:pStyle w:val="Body"/>
        <w:spacing w:before="120" w:after="120"/>
        <w:rPr>
          <w:b/>
          <w:bCs/>
        </w:rPr>
      </w:pPr>
    </w:p>
    <w:p w14:paraId="26F93C1C" w14:textId="77777777" w:rsidR="00AA248F" w:rsidRDefault="00AA248F">
      <w:pPr>
        <w:pStyle w:val="Body"/>
        <w:spacing w:before="120" w:after="120"/>
        <w:rPr>
          <w:b/>
          <w:bCs/>
        </w:rPr>
      </w:pPr>
    </w:p>
    <w:p w14:paraId="56FA1D26" w14:textId="77777777" w:rsidR="00AA248F" w:rsidRDefault="00AA248F">
      <w:pPr>
        <w:pStyle w:val="Body"/>
        <w:spacing w:before="120" w:after="120"/>
        <w:rPr>
          <w:b/>
          <w:bCs/>
        </w:rPr>
      </w:pPr>
    </w:p>
    <w:p w14:paraId="4816DB0D" w14:textId="77777777" w:rsidR="00AA248F" w:rsidRDefault="00AA248F">
      <w:pPr>
        <w:pStyle w:val="Body"/>
        <w:spacing w:before="120" w:after="120"/>
        <w:rPr>
          <w:b/>
          <w:bCs/>
        </w:rPr>
      </w:pPr>
    </w:p>
    <w:p w14:paraId="7FE45B0F" w14:textId="77777777" w:rsidR="00AA248F" w:rsidRDefault="00AA248F">
      <w:pPr>
        <w:pStyle w:val="Body"/>
        <w:spacing w:before="120" w:after="120"/>
        <w:rPr>
          <w:b/>
          <w:bCs/>
        </w:rPr>
      </w:pPr>
    </w:p>
    <w:p w14:paraId="19BACC09" w14:textId="77777777" w:rsidR="00AA248F" w:rsidRDefault="00AA248F">
      <w:pPr>
        <w:pStyle w:val="Body"/>
        <w:spacing w:before="120" w:after="120"/>
        <w:rPr>
          <w:b/>
          <w:bCs/>
        </w:rPr>
      </w:pPr>
    </w:p>
    <w:p w14:paraId="571DE45E" w14:textId="77777777" w:rsidR="00AA248F" w:rsidRDefault="00AA248F">
      <w:pPr>
        <w:pStyle w:val="Body"/>
        <w:spacing w:before="120" w:after="120"/>
        <w:rPr>
          <w:b/>
          <w:bCs/>
        </w:rPr>
      </w:pPr>
    </w:p>
    <w:p w14:paraId="061C5FC7" w14:textId="77777777" w:rsidR="00AA248F" w:rsidRDefault="00AA248F">
      <w:pPr>
        <w:pStyle w:val="Body"/>
        <w:spacing w:before="120" w:after="120"/>
        <w:rPr>
          <w:b/>
          <w:bCs/>
        </w:rPr>
      </w:pPr>
    </w:p>
    <w:p w14:paraId="6873C2DB" w14:textId="77777777" w:rsidR="00AA248F" w:rsidRDefault="00AA248F">
      <w:pPr>
        <w:pStyle w:val="Body"/>
        <w:spacing w:before="120" w:after="120"/>
        <w:rPr>
          <w:b/>
          <w:bCs/>
        </w:rPr>
      </w:pPr>
    </w:p>
    <w:p w14:paraId="7EEC89C4" w14:textId="77777777" w:rsidR="00AA248F" w:rsidRDefault="00AA248F">
      <w:pPr>
        <w:pStyle w:val="Body"/>
        <w:spacing w:before="120" w:after="120"/>
        <w:rPr>
          <w:b/>
          <w:bCs/>
        </w:rPr>
      </w:pPr>
    </w:p>
    <w:p w14:paraId="44A26E14" w14:textId="77777777" w:rsidR="00AA248F" w:rsidRDefault="00AA248F">
      <w:pPr>
        <w:pStyle w:val="Body"/>
        <w:spacing w:before="120" w:after="120"/>
        <w:rPr>
          <w:b/>
          <w:bCs/>
        </w:rPr>
      </w:pPr>
    </w:p>
    <w:p w14:paraId="2AC4309D" w14:textId="77777777" w:rsidR="00AA248F" w:rsidRDefault="00AA248F">
      <w:pPr>
        <w:pStyle w:val="Body"/>
        <w:spacing w:before="120" w:after="120"/>
        <w:rPr>
          <w:b/>
          <w:bCs/>
        </w:rPr>
      </w:pPr>
    </w:p>
    <w:p w14:paraId="13EC0EED" w14:textId="77777777" w:rsidR="00AA248F" w:rsidRDefault="00AA248F">
      <w:pPr>
        <w:pStyle w:val="Body"/>
        <w:spacing w:before="120" w:after="120"/>
        <w:rPr>
          <w:b/>
          <w:bCs/>
        </w:rPr>
      </w:pPr>
    </w:p>
    <w:p w14:paraId="04A84219" w14:textId="77777777" w:rsidR="00AA248F" w:rsidRDefault="00AA248F">
      <w:pPr>
        <w:pStyle w:val="Body"/>
        <w:spacing w:before="120" w:after="120"/>
        <w:rPr>
          <w:b/>
          <w:bCs/>
        </w:rPr>
      </w:pPr>
    </w:p>
    <w:p w14:paraId="00A3D2B4" w14:textId="77777777" w:rsidR="00AA248F" w:rsidRDefault="00AA248F">
      <w:pPr>
        <w:pStyle w:val="Body"/>
        <w:spacing w:before="120" w:after="120"/>
        <w:rPr>
          <w:b/>
          <w:bCs/>
        </w:rPr>
      </w:pPr>
    </w:p>
    <w:p w14:paraId="7A59B062" w14:textId="77777777" w:rsidR="00AA248F" w:rsidRDefault="00AA248F">
      <w:pPr>
        <w:pStyle w:val="Body"/>
        <w:spacing w:before="120" w:after="120"/>
        <w:rPr>
          <w:b/>
          <w:bCs/>
        </w:rPr>
      </w:pPr>
    </w:p>
    <w:p w14:paraId="2540BE20" w14:textId="77777777" w:rsidR="00AA248F" w:rsidRDefault="00AA248F">
      <w:pPr>
        <w:pStyle w:val="Body"/>
        <w:spacing w:before="120" w:after="120"/>
        <w:rPr>
          <w:b/>
          <w:bCs/>
        </w:rPr>
      </w:pPr>
    </w:p>
    <w:p w14:paraId="58441DE6" w14:textId="77777777" w:rsidR="00AA248F" w:rsidRDefault="00AA248F">
      <w:pPr>
        <w:pStyle w:val="Body"/>
        <w:spacing w:before="120" w:after="120"/>
        <w:rPr>
          <w:b/>
          <w:bCs/>
        </w:rPr>
      </w:pPr>
    </w:p>
    <w:p w14:paraId="3E18E520" w14:textId="77777777" w:rsidR="00AA248F" w:rsidRDefault="00AA248F">
      <w:pPr>
        <w:pStyle w:val="Body"/>
        <w:spacing w:before="120" w:after="120"/>
        <w:rPr>
          <w:b/>
          <w:bCs/>
        </w:rPr>
      </w:pPr>
    </w:p>
    <w:p w14:paraId="0ED2EBB0" w14:textId="77777777" w:rsidR="00AA248F" w:rsidRDefault="00AA248F">
      <w:pPr>
        <w:pStyle w:val="Body"/>
        <w:spacing w:before="120" w:after="120"/>
        <w:rPr>
          <w:b/>
          <w:bCs/>
        </w:rPr>
      </w:pPr>
    </w:p>
    <w:p w14:paraId="75767B76" w14:textId="40DAB4AD" w:rsidR="00AA248F" w:rsidRDefault="00AA248F">
      <w:pPr>
        <w:pStyle w:val="Body"/>
        <w:spacing w:before="120" w:after="120"/>
        <w:rPr>
          <w:rFonts w:ascii="Times New Roman" w:hAnsi="Times New Roman" w:cs="Times New Roman"/>
          <w:sz w:val="48"/>
          <w:szCs w:val="48"/>
        </w:rPr>
      </w:pPr>
      <w:r w:rsidRPr="00AA248F">
        <w:rPr>
          <w:rFonts w:ascii="Times New Roman" w:hAnsi="Times New Roman" w:cs="Times New Roman"/>
          <w:sz w:val="48"/>
          <w:szCs w:val="48"/>
        </w:rPr>
        <w:lastRenderedPageBreak/>
        <w:t>References</w:t>
      </w:r>
    </w:p>
    <w:p w14:paraId="518A0400" w14:textId="3B15F085" w:rsidR="00F3701B" w:rsidRDefault="00F3701B">
      <w:pPr>
        <w:pStyle w:val="Body"/>
        <w:spacing w:before="120" w:after="120"/>
        <w:rPr>
          <w:b/>
          <w:bCs/>
        </w:rPr>
      </w:pPr>
    </w:p>
    <w:p w14:paraId="36C8576E" w14:textId="77777777" w:rsidR="00F3701B" w:rsidRDefault="00000000">
      <w:pPr>
        <w:pStyle w:val="Footnote"/>
      </w:pPr>
      <w:r>
        <w:rPr>
          <w:rFonts w:eastAsia="Arial Unicode MS" w:hAnsi="Arial Unicode MS" w:cs="Arial Unicode MS"/>
        </w:rPr>
        <w:t>Cunningham</w:t>
      </w:r>
      <w:r>
        <w:rPr>
          <w:rFonts w:eastAsia="Arial Unicode MS" w:hAnsi="Arial Unicode MS" w:cs="Arial Unicode MS"/>
          <w:lang w:val="en-US"/>
        </w:rPr>
        <w:t xml:space="preserve"> CD</w:t>
      </w:r>
      <w:r>
        <w:rPr>
          <w:rFonts w:eastAsia="Arial Unicode MS" w:hAnsi="Arial Unicode MS" w:cs="Arial Unicode MS"/>
        </w:rPr>
        <w:t xml:space="preserve">, </w:t>
      </w:r>
      <w:r>
        <w:rPr>
          <w:rFonts w:ascii="Arial Unicode MS" w:eastAsia="Arial Unicode MS" w:cs="Arial Unicode MS"/>
          <w:lang w:val="en-US"/>
        </w:rPr>
        <w:t>‘</w:t>
      </w:r>
      <w:r>
        <w:rPr>
          <w:rFonts w:eastAsia="Arial Unicode MS" w:hAnsi="Arial Unicode MS" w:cs="Arial Unicode MS"/>
          <w:lang w:val="en-US"/>
        </w:rPr>
        <w:t>What do clients want from their lawyers</w:t>
      </w:r>
      <w:r>
        <w:rPr>
          <w:rFonts w:ascii="Arial Unicode MS" w:eastAsia="Arial Unicode MS" w:cs="Arial Unicode MS"/>
          <w:lang w:val="en-US"/>
        </w:rPr>
        <w:t>’</w:t>
      </w:r>
      <w:r>
        <w:rPr>
          <w:rFonts w:ascii="Arial Unicode MS" w:eastAsia="Arial Unicode MS" w:cs="Arial Unicode MS"/>
          <w:lang w:val="en-US"/>
        </w:rPr>
        <w:t xml:space="preserve"> </w:t>
      </w:r>
      <w:r>
        <w:rPr>
          <w:rFonts w:eastAsia="Arial Unicode MS" w:hAnsi="Arial Unicode MS" w:cs="Arial Unicode MS"/>
          <w:lang w:val="en-US"/>
        </w:rPr>
        <w:t>(2013)</w:t>
      </w:r>
      <w:r>
        <w:rPr>
          <w:rFonts w:eastAsia="Arial Unicode MS" w:hAnsi="Arial Unicode MS" w:cs="Arial Unicode MS"/>
        </w:rPr>
        <w:t xml:space="preserve"> J. Disp. </w:t>
      </w:r>
      <w:proofErr w:type="spellStart"/>
      <w:r>
        <w:rPr>
          <w:rFonts w:eastAsia="Arial Unicode MS" w:hAnsi="Arial Unicode MS" w:cs="Arial Unicode MS"/>
        </w:rPr>
        <w:t>Resol</w:t>
      </w:r>
      <w:proofErr w:type="spellEnd"/>
      <w:r>
        <w:rPr>
          <w:rFonts w:eastAsia="Arial Unicode MS" w:hAnsi="Arial Unicode MS" w:cs="Arial Unicode MS"/>
        </w:rPr>
        <w:t>. 143.</w:t>
      </w:r>
    </w:p>
    <w:p w14:paraId="3ECEF239" w14:textId="77777777" w:rsidR="00F3701B" w:rsidRDefault="00000000">
      <w:pPr>
        <w:pStyle w:val="Footnote"/>
      </w:pPr>
      <w:r>
        <w:rPr>
          <w:rFonts w:eastAsia="Arial Unicode MS" w:hAnsi="Arial Unicode MS" w:cs="Arial Unicode MS"/>
        </w:rPr>
        <w:t>Turner</w:t>
      </w:r>
      <w:r>
        <w:rPr>
          <w:rFonts w:eastAsia="Arial Unicode MS" w:hAnsi="Arial Unicode MS" w:cs="Arial Unicode MS"/>
          <w:lang w:val="en-US"/>
        </w:rPr>
        <w:t xml:space="preserve"> F</w:t>
      </w:r>
      <w:r>
        <w:rPr>
          <w:rFonts w:eastAsia="Arial Unicode MS" w:hAnsi="Arial Unicode MS" w:cs="Arial Unicode MS"/>
        </w:rPr>
        <w:t xml:space="preserve">, </w:t>
      </w:r>
      <w:r>
        <w:rPr>
          <w:rFonts w:ascii="Arial Unicode MS" w:eastAsia="Arial Unicode MS" w:cs="Arial Unicode MS"/>
          <w:lang w:val="en-US"/>
        </w:rPr>
        <w:t>‘</w:t>
      </w:r>
      <w:r>
        <w:rPr>
          <w:rFonts w:eastAsia="Arial Unicode MS" w:hAnsi="Arial Unicode MS" w:cs="Arial Unicode MS"/>
          <w:lang w:val="en-US"/>
        </w:rPr>
        <w:t>Options for transferring litigation risk</w:t>
      </w:r>
      <w:r>
        <w:rPr>
          <w:rFonts w:ascii="Arial Unicode MS" w:eastAsia="Arial Unicode MS" w:cs="Arial Unicode MS"/>
          <w:lang w:val="en-US"/>
        </w:rPr>
        <w:t>’</w:t>
      </w:r>
      <w:r>
        <w:rPr>
          <w:rFonts w:ascii="Arial Unicode MS" w:eastAsia="Arial Unicode MS" w:cs="Arial Unicode MS"/>
          <w:lang w:val="en-US"/>
        </w:rPr>
        <w:t xml:space="preserve"> </w:t>
      </w:r>
      <w:r>
        <w:rPr>
          <w:rFonts w:eastAsia="Arial Unicode MS" w:hAnsi="Arial Unicode MS" w:cs="Arial Unicode MS"/>
          <w:lang w:val="en-US"/>
        </w:rPr>
        <w:t>() Journal of the British Insurance Lawyers Association 66.</w:t>
      </w:r>
    </w:p>
    <w:sectPr w:rsidR="00F3701B" w:rsidSect="00A00BF3">
      <w:footerReference w:type="default" r:id="rId6"/>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970E4" w14:textId="77777777" w:rsidR="00637776" w:rsidRDefault="00637776">
      <w:r>
        <w:separator/>
      </w:r>
    </w:p>
  </w:endnote>
  <w:endnote w:type="continuationSeparator" w:id="0">
    <w:p w14:paraId="5182A319" w14:textId="77777777" w:rsidR="00637776" w:rsidRDefault="00637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862936"/>
      <w:docPartObj>
        <w:docPartGallery w:val="Page Numbers (Bottom of Page)"/>
        <w:docPartUnique/>
      </w:docPartObj>
    </w:sdtPr>
    <w:sdtEndPr>
      <w:rPr>
        <w:noProof/>
      </w:rPr>
    </w:sdtEndPr>
    <w:sdtContent>
      <w:p w14:paraId="097A2A5C" w14:textId="588561D9" w:rsidR="00AA248F" w:rsidRDefault="00AA24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C9756C" w14:textId="77777777" w:rsidR="00F3701B" w:rsidRDefault="00F3701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86B2C" w14:textId="77777777" w:rsidR="00637776" w:rsidRDefault="00637776">
      <w:r>
        <w:separator/>
      </w:r>
    </w:p>
  </w:footnote>
  <w:footnote w:type="continuationSeparator" w:id="0">
    <w:p w14:paraId="16644961" w14:textId="77777777" w:rsidR="00637776" w:rsidRDefault="00637776">
      <w:r>
        <w:continuationSeparator/>
      </w:r>
    </w:p>
  </w:footnote>
  <w:footnote w:type="continuationNotice" w:id="1">
    <w:p w14:paraId="1782B988" w14:textId="77777777" w:rsidR="00637776" w:rsidRDefault="00637776"/>
  </w:footnote>
  <w:footnote w:id="2">
    <w:p w14:paraId="5E1DDC55" w14:textId="77777777" w:rsidR="00F3701B" w:rsidRDefault="00000000">
      <w:pPr>
        <w:pStyle w:val="Footnote"/>
      </w:pPr>
      <w:r>
        <w:rPr>
          <w:vertAlign w:val="superscript"/>
        </w:rPr>
        <w:footnoteRef/>
      </w:r>
      <w:r>
        <w:rPr>
          <w:rFonts w:eastAsia="Arial Unicode MS" w:hAnsi="Arial Unicode MS" w:cs="Arial Unicode MS"/>
        </w:rPr>
        <w:t xml:space="preserve"> Clark D Cunningham, </w:t>
      </w:r>
      <w:r>
        <w:rPr>
          <w:rFonts w:ascii="Arial Unicode MS" w:eastAsia="Arial Unicode MS" w:cs="Arial Unicode MS"/>
          <w:lang w:val="en-US"/>
        </w:rPr>
        <w:t>‘</w:t>
      </w:r>
      <w:r>
        <w:rPr>
          <w:rFonts w:eastAsia="Arial Unicode MS" w:hAnsi="Arial Unicode MS" w:cs="Arial Unicode MS"/>
          <w:lang w:val="en-US"/>
        </w:rPr>
        <w:t>What do clients want from their lawyers</w:t>
      </w:r>
      <w:r>
        <w:rPr>
          <w:rFonts w:ascii="Arial Unicode MS" w:eastAsia="Arial Unicode MS" w:cs="Arial Unicode MS"/>
          <w:lang w:val="en-US"/>
        </w:rPr>
        <w:t>’</w:t>
      </w:r>
      <w:r>
        <w:rPr>
          <w:rFonts w:ascii="Arial Unicode MS" w:eastAsia="Arial Unicode MS" w:cs="Arial Unicode MS"/>
          <w:lang w:val="en-US"/>
        </w:rPr>
        <w:t xml:space="preserve"> </w:t>
      </w:r>
      <w:r>
        <w:rPr>
          <w:rFonts w:eastAsia="Arial Unicode MS" w:hAnsi="Arial Unicode MS" w:cs="Arial Unicode MS"/>
          <w:lang w:val="en-US"/>
        </w:rPr>
        <w:t>(2013)</w:t>
      </w:r>
      <w:r>
        <w:rPr>
          <w:rFonts w:eastAsia="Arial Unicode MS" w:hAnsi="Arial Unicode MS" w:cs="Arial Unicode MS"/>
        </w:rPr>
        <w:t xml:space="preserve"> J. Disp. </w:t>
      </w:r>
      <w:proofErr w:type="spellStart"/>
      <w:r>
        <w:rPr>
          <w:rFonts w:eastAsia="Arial Unicode MS" w:hAnsi="Arial Unicode MS" w:cs="Arial Unicode MS"/>
        </w:rPr>
        <w:t>Resol</w:t>
      </w:r>
      <w:proofErr w:type="spellEnd"/>
      <w:r>
        <w:rPr>
          <w:rFonts w:eastAsia="Arial Unicode MS" w:hAnsi="Arial Unicode MS" w:cs="Arial Unicode MS"/>
        </w:rPr>
        <w:t>. 143.</w:t>
      </w:r>
    </w:p>
  </w:footnote>
  <w:footnote w:id="3">
    <w:p w14:paraId="3A9A9EF7" w14:textId="77777777" w:rsidR="00F3701B" w:rsidRDefault="00000000">
      <w:pPr>
        <w:pStyle w:val="Footnote"/>
      </w:pPr>
      <w:r>
        <w:rPr>
          <w:vertAlign w:val="superscript"/>
        </w:rPr>
        <w:footnoteRef/>
      </w:r>
      <w:r>
        <w:rPr>
          <w:rFonts w:eastAsia="Arial Unicode MS" w:hAnsi="Arial Unicode MS" w:cs="Arial Unicode MS"/>
        </w:rPr>
        <w:t xml:space="preserve"> Fallon Turner, </w:t>
      </w:r>
      <w:r>
        <w:rPr>
          <w:rFonts w:ascii="Arial Unicode MS" w:eastAsia="Arial Unicode MS" w:cs="Arial Unicode MS"/>
          <w:lang w:val="en-US"/>
        </w:rPr>
        <w:t>‘</w:t>
      </w:r>
      <w:r>
        <w:rPr>
          <w:rFonts w:eastAsia="Arial Unicode MS" w:hAnsi="Arial Unicode MS" w:cs="Arial Unicode MS"/>
          <w:lang w:val="en-US"/>
        </w:rPr>
        <w:t>Options for transferring litigation risk</w:t>
      </w:r>
      <w:r>
        <w:rPr>
          <w:rFonts w:ascii="Arial Unicode MS" w:eastAsia="Arial Unicode MS" w:cs="Arial Unicode MS"/>
          <w:lang w:val="en-US"/>
        </w:rPr>
        <w:t>’</w:t>
      </w:r>
      <w:r>
        <w:rPr>
          <w:rFonts w:ascii="Arial Unicode MS" w:eastAsia="Arial Unicode MS" w:cs="Arial Unicode MS"/>
          <w:lang w:val="en-US"/>
        </w:rPr>
        <w:t xml:space="preserve"> </w:t>
      </w:r>
      <w:r>
        <w:rPr>
          <w:rFonts w:eastAsia="Arial Unicode MS" w:hAnsi="Arial Unicode MS" w:cs="Arial Unicode MS"/>
          <w:lang w:val="en-US"/>
        </w:rPr>
        <w:t>() Journal of the British Insurance Lawyers Association 66.</w:t>
      </w:r>
    </w:p>
  </w:footnote>
  <w:footnote w:id="4">
    <w:p w14:paraId="58D14DC2" w14:textId="77777777" w:rsidR="00F3701B" w:rsidRDefault="00000000">
      <w:pPr>
        <w:pStyle w:val="Footnote"/>
      </w:pPr>
      <w:r>
        <w:rPr>
          <w:vertAlign w:val="superscript"/>
        </w:rPr>
        <w:footnoteRef/>
      </w:r>
      <w:r>
        <w:rPr>
          <w:rFonts w:eastAsia="Arial Unicode MS" w:hAnsi="Arial Unicode MS" w:cs="Arial Unicode MS"/>
        </w:rPr>
        <w:t xml:space="preserve"> </w:t>
      </w:r>
      <w:r>
        <w:rPr>
          <w:rFonts w:eastAsia="Arial Unicode MS" w:hAnsi="Arial Unicode MS" w:cs="Arial Unicode MS"/>
          <w:lang w:val="en-US"/>
        </w:rPr>
        <w:t>Ibid.</w:t>
      </w:r>
    </w:p>
  </w:footnote>
  <w:footnote w:id="5">
    <w:p w14:paraId="70A0F81F" w14:textId="77777777" w:rsidR="00F3701B" w:rsidRDefault="00000000">
      <w:pPr>
        <w:pStyle w:val="Footnote"/>
      </w:pPr>
      <w:r>
        <w:rPr>
          <w:vertAlign w:val="superscript"/>
        </w:rPr>
        <w:footnoteRef/>
      </w:r>
      <w:r>
        <w:rPr>
          <w:rFonts w:eastAsia="Arial Unicode MS" w:hAnsi="Arial Unicode MS" w:cs="Arial Unicode MS"/>
        </w:rPr>
        <w:t xml:space="preserve"> </w:t>
      </w:r>
      <w:r>
        <w:rPr>
          <w:rFonts w:eastAsia="Arial Unicode MS" w:hAnsi="Arial Unicode MS" w:cs="Arial Unicode MS"/>
          <w:lang w:val="en-US"/>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01B"/>
    <w:rsid w:val="005B4560"/>
    <w:rsid w:val="00637776"/>
    <w:rsid w:val="00A00BF3"/>
    <w:rsid w:val="00AA248F"/>
    <w:rsid w:val="00F37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180F2"/>
  <w15:docId w15:val="{6716D46E-A7CB-4DB7-B083-936FBF06C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w:hAnsi="Arial Unicode MS" w:cs="Arial Unicode MS"/>
      <w:color w:val="000000"/>
      <w:sz w:val="22"/>
      <w:szCs w:val="22"/>
      <w:lang w:val="en-US"/>
    </w:rPr>
  </w:style>
  <w:style w:type="paragraph" w:customStyle="1" w:styleId="Footnote">
    <w:name w:val="Footnote"/>
    <w:rPr>
      <w:rFonts w:ascii="Helvetica" w:eastAsia="Helvetica" w:hAnsi="Helvetica" w:cs="Helvetica"/>
      <w:color w:val="000000"/>
      <w:sz w:val="22"/>
      <w:szCs w:val="22"/>
    </w:rPr>
  </w:style>
  <w:style w:type="paragraph" w:styleId="Header">
    <w:name w:val="header"/>
    <w:basedOn w:val="Normal"/>
    <w:link w:val="HeaderChar"/>
    <w:uiPriority w:val="99"/>
    <w:unhideWhenUsed/>
    <w:rsid w:val="00AA248F"/>
    <w:pPr>
      <w:tabs>
        <w:tab w:val="center" w:pos="4513"/>
        <w:tab w:val="right" w:pos="9026"/>
      </w:tabs>
    </w:pPr>
  </w:style>
  <w:style w:type="character" w:customStyle="1" w:styleId="HeaderChar">
    <w:name w:val="Header Char"/>
    <w:basedOn w:val="DefaultParagraphFont"/>
    <w:link w:val="Header"/>
    <w:uiPriority w:val="99"/>
    <w:rsid w:val="00AA248F"/>
    <w:rPr>
      <w:sz w:val="24"/>
      <w:szCs w:val="24"/>
      <w:lang w:val="en-US" w:eastAsia="en-US"/>
    </w:rPr>
  </w:style>
  <w:style w:type="paragraph" w:styleId="Footer">
    <w:name w:val="footer"/>
    <w:basedOn w:val="Normal"/>
    <w:link w:val="FooterChar"/>
    <w:uiPriority w:val="99"/>
    <w:unhideWhenUsed/>
    <w:rsid w:val="00AA248F"/>
    <w:pPr>
      <w:tabs>
        <w:tab w:val="center" w:pos="4513"/>
        <w:tab w:val="right" w:pos="9026"/>
      </w:tabs>
    </w:pPr>
  </w:style>
  <w:style w:type="character" w:customStyle="1" w:styleId="FooterChar">
    <w:name w:val="Footer Char"/>
    <w:basedOn w:val="DefaultParagraphFont"/>
    <w:link w:val="Footer"/>
    <w:uiPriority w:val="99"/>
    <w:rsid w:val="00AA248F"/>
    <w:rPr>
      <w:sz w:val="24"/>
      <w:szCs w:val="24"/>
      <w:lang w:val="en-US" w:eastAsia="en-US"/>
    </w:rPr>
  </w:style>
  <w:style w:type="paragraph" w:styleId="NoSpacing">
    <w:name w:val="No Spacing"/>
    <w:link w:val="NoSpacingChar"/>
    <w:uiPriority w:val="1"/>
    <w:qFormat/>
    <w:rsid w:val="00A00BF3"/>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A00BF3"/>
    <w:rPr>
      <w:rFonts w:asciiTheme="minorHAnsi" w:eastAsiaTheme="minorEastAsia" w:hAnsiTheme="minorHAnsi" w:cstheme="minorBidi"/>
      <w:sz w:val="22"/>
      <w:szCs w:val="2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1010</Words>
  <Characters>4830</Characters>
  <Application>Microsoft Office Word</Application>
  <DocSecurity>0</DocSecurity>
  <Lines>66</Lines>
  <Paragraphs>10</Paragraphs>
  <ScaleCrop>false</ScaleCrop>
  <Company>2117506</Company>
  <LinksUpToDate>false</LinksUpToDate>
  <CharactersWithSpaces>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Professional Legal Practice</dc:title>
  <dc:subject>Assignment 2</dc:subject>
  <dc:creator>Denyss Nagy</dc:creator>
  <cp:lastModifiedBy>Denyss Nagy (2117506)</cp:lastModifiedBy>
  <cp:revision>2</cp:revision>
  <dcterms:created xsi:type="dcterms:W3CDTF">2023-01-13T21:06:00Z</dcterms:created>
  <dcterms:modified xsi:type="dcterms:W3CDTF">2023-01-13T21:06:00Z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662d0461891a3ab5bf7c5c303ec68baf1e2945a80dc0816d18c73b805b825f32</vt:lpwstr>
  </property>
</Properties>
</file>