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58EBD" w14:textId="24C05126" w:rsidR="0068678D" w:rsidRDefault="0068678D" w:rsidP="00A45D5D">
      <w:pPr>
        <w:spacing w:line="480" w:lineRule="auto"/>
      </w:pPr>
      <w:r>
        <w:t>Character Dossier: Eumenes II</w:t>
      </w:r>
    </w:p>
    <w:p w14:paraId="6D51ED4A" w14:textId="34FA8318" w:rsidR="00794227" w:rsidRDefault="00794227" w:rsidP="00A45D5D">
      <w:pPr>
        <w:spacing w:line="480" w:lineRule="auto"/>
      </w:pPr>
      <w:r>
        <w:t>I am</w:t>
      </w:r>
      <w:r w:rsidR="0006149A">
        <w:t xml:space="preserve"> basing my character on</w:t>
      </w:r>
      <w:r>
        <w:t xml:space="preserve"> </w:t>
      </w:r>
      <w:bookmarkStart w:id="0" w:name="_Hlk505769622"/>
      <w:r w:rsidR="00BB021F">
        <w:t xml:space="preserve">Eumenes II </w:t>
      </w:r>
      <w:bookmarkEnd w:id="0"/>
      <w:r w:rsidR="00BB021F">
        <w:t>(also called Sotar)</w:t>
      </w:r>
      <w:r>
        <w:t xml:space="preserve">, son of </w:t>
      </w:r>
      <w:r w:rsidR="00BB021F">
        <w:t>At</w:t>
      </w:r>
      <w:r w:rsidR="0001351F">
        <w:t>t</w:t>
      </w:r>
      <w:r w:rsidR="00BB021F">
        <w:t>alus I</w:t>
      </w:r>
      <w:r>
        <w:t xml:space="preserve">, living in the city state of Pergamon, set </w:t>
      </w:r>
      <w:r w:rsidR="00BB021F">
        <w:t>just outside the</w:t>
      </w:r>
      <w:r>
        <w:t xml:space="preserve"> edge of the Seleucid </w:t>
      </w:r>
      <w:r w:rsidR="00BB021F">
        <w:t>E</w:t>
      </w:r>
      <w:r>
        <w:t>mpire</w:t>
      </w:r>
      <w:r w:rsidR="0025103D">
        <w:t xml:space="preserve"> near to the coast</w:t>
      </w:r>
      <w:r>
        <w:t xml:space="preserve"> (an area which was to later become Turkey). It is </w:t>
      </w:r>
      <w:r w:rsidR="0025103D">
        <w:t>225BC,</w:t>
      </w:r>
      <w:r>
        <w:t xml:space="preserve"> I am a part of the Pergamese royal family </w:t>
      </w:r>
      <w:r w:rsidR="00706664">
        <w:t>as</w:t>
      </w:r>
      <w:r w:rsidR="00BB021F">
        <w:t xml:space="preserve"> </w:t>
      </w:r>
      <w:r w:rsidR="0025103D">
        <w:t xml:space="preserve">the </w:t>
      </w:r>
      <w:r w:rsidR="00BB021F">
        <w:t>eldest son (of 4)</w:t>
      </w:r>
      <w:r w:rsidR="0025103D">
        <w:t>, of A</w:t>
      </w:r>
      <w:r w:rsidR="0001351F">
        <w:t>t</w:t>
      </w:r>
      <w:r w:rsidR="0025103D">
        <w:t>talus I</w:t>
      </w:r>
      <w:r w:rsidR="0068678D">
        <w:t xml:space="preserve"> and </w:t>
      </w:r>
      <w:r w:rsidR="00DD622E" w:rsidRPr="00DD622E">
        <w:t>Apollonis</w:t>
      </w:r>
      <w:r w:rsidR="0025103D">
        <w:t xml:space="preserve"> and my primary role in the government of this area is to command the military to help stop the Seleucids from attacking us. My brother, At</w:t>
      </w:r>
      <w:r w:rsidR="0001351F">
        <w:t>t</w:t>
      </w:r>
      <w:r w:rsidR="0025103D">
        <w:t>alus II, works together well with me</w:t>
      </w:r>
      <w:r w:rsidR="00237A5E">
        <w:rPr>
          <w:rStyle w:val="FootnoteReference"/>
        </w:rPr>
        <w:footnoteReference w:id="1"/>
      </w:r>
      <w:r w:rsidR="00991F52">
        <w:t xml:space="preserve"> working as a diplomatic negotiator to help deal with the vulnerability of our position. </w:t>
      </w:r>
    </w:p>
    <w:p w14:paraId="3DA662B1" w14:textId="294004FD" w:rsidR="00736E86" w:rsidRDefault="00736E86" w:rsidP="00A45D5D">
      <w:pPr>
        <w:spacing w:line="480" w:lineRule="auto"/>
      </w:pPr>
      <w:r>
        <w:t xml:space="preserve">In 225 BC Pergamon is in a dangerous but </w:t>
      </w:r>
      <w:r w:rsidR="0006149A">
        <w:t xml:space="preserve">nonetheless </w:t>
      </w:r>
      <w:r>
        <w:t>slightly powerful position</w:t>
      </w:r>
      <w:r w:rsidR="00DE2670">
        <w:t>,</w:t>
      </w:r>
      <w:r>
        <w:t xml:space="preserve"> the immediate threat to us comes from a potential invasion force under Seleucus III,</w:t>
      </w:r>
      <w:r w:rsidR="0033790E">
        <w:rPr>
          <w:rStyle w:val="FootnoteReference"/>
        </w:rPr>
        <w:footnoteReference w:id="2"/>
      </w:r>
      <w:r>
        <w:t xml:space="preserve"> who </w:t>
      </w:r>
      <w:r w:rsidR="00C10C53" w:rsidRPr="00C10C53">
        <w:t>may wish to</w:t>
      </w:r>
      <w:r>
        <w:t xml:space="preserve"> subjugate Pergamon for breaking away from the Seleucid Empire some </w:t>
      </w:r>
      <w:r w:rsidR="0068678D">
        <w:t>twenty</w:t>
      </w:r>
      <w:r>
        <w:t xml:space="preserve"> years earlier</w:t>
      </w:r>
      <w:r w:rsidR="0006149A">
        <w:t>.</w:t>
      </w:r>
      <w:r w:rsidR="00706664">
        <w:rPr>
          <w:rStyle w:val="FootnoteReference"/>
        </w:rPr>
        <w:footnoteReference w:id="3"/>
      </w:r>
      <w:r w:rsidR="0006149A">
        <w:t xml:space="preserve"> </w:t>
      </w:r>
      <w:r w:rsidR="00C10C53">
        <w:t>O</w:t>
      </w:r>
      <w:r>
        <w:t xml:space="preserve">ur rich and fertile farmlands </w:t>
      </w:r>
      <w:r w:rsidR="00C10C53">
        <w:t xml:space="preserve">would be useful to another culture, especially </w:t>
      </w:r>
      <w:r>
        <w:t>due to multiple rivers flowing through the region</w:t>
      </w:r>
      <w:r w:rsidR="00C10C53">
        <w:t>,</w:t>
      </w:r>
      <w:r w:rsidR="00992AA7">
        <w:rPr>
          <w:rStyle w:val="FootnoteReference"/>
        </w:rPr>
        <w:footnoteReference w:id="4"/>
      </w:r>
      <w:r w:rsidR="00C10C53">
        <w:t xml:space="preserve"> as would </w:t>
      </w:r>
      <w:r w:rsidR="0001351F">
        <w:t>the royal treasury of former Macedonian King Lysimachus</w:t>
      </w:r>
      <w:r>
        <w:t>.</w:t>
      </w:r>
      <w:r w:rsidR="0001351F">
        <w:rPr>
          <w:rStyle w:val="FootnoteReference"/>
        </w:rPr>
        <w:footnoteReference w:id="5"/>
      </w:r>
      <w:r>
        <w:t xml:space="preserve"> Thus, </w:t>
      </w:r>
      <w:r w:rsidR="000017DB">
        <w:t xml:space="preserve">our </w:t>
      </w:r>
      <w:r>
        <w:t xml:space="preserve">immediate aim is to </w:t>
      </w:r>
      <w:r w:rsidR="00C10C53" w:rsidRPr="00101D68">
        <w:t>secure</w:t>
      </w:r>
      <w:r>
        <w:t xml:space="preserve"> the alliance of the various Greek Poleis to bolster our military capability and secure the river </w:t>
      </w:r>
      <w:r w:rsidRPr="00101D68">
        <w:t xml:space="preserve">crossings </w:t>
      </w:r>
      <w:r w:rsidR="00101D68" w:rsidRPr="00101D68">
        <w:t>to provide a safe area to inhabit and rule</w:t>
      </w:r>
      <w:r w:rsidRPr="00101D68">
        <w:t>.</w:t>
      </w:r>
      <w:r w:rsidR="004A1743" w:rsidRPr="00101D68">
        <w:rPr>
          <w:rStyle w:val="FootnoteReference"/>
        </w:rPr>
        <w:footnoteReference w:id="6"/>
      </w:r>
      <w:r>
        <w:t xml:space="preserve"> Also, there is another immediate threat to us posed by the Macedonian Antigonids</w:t>
      </w:r>
      <w:r w:rsidR="000017DB">
        <w:t xml:space="preserve"> w</w:t>
      </w:r>
      <w:r>
        <w:t>ho want to take our land</w:t>
      </w:r>
      <w:r w:rsidR="0068678D">
        <w:t>,</w:t>
      </w:r>
      <w:r w:rsidR="00B15E93">
        <w:rPr>
          <w:rStyle w:val="FootnoteReference"/>
        </w:rPr>
        <w:footnoteReference w:id="7"/>
      </w:r>
      <w:r>
        <w:t xml:space="preserve"> since it is by rights theirs</w:t>
      </w:r>
      <w:r w:rsidR="00237A5E">
        <w:rPr>
          <w:rStyle w:val="FootnoteReference"/>
        </w:rPr>
        <w:footnoteReference w:id="8"/>
      </w:r>
      <w:r>
        <w:t xml:space="preserve"> (because of Alexander and the secession)</w:t>
      </w:r>
      <w:r w:rsidR="000017DB">
        <w:t>.</w:t>
      </w:r>
      <w:r>
        <w:t xml:space="preserve"> Therefore</w:t>
      </w:r>
      <w:r w:rsidR="000017DB">
        <w:t>,</w:t>
      </w:r>
      <w:r>
        <w:t xml:space="preserve"> </w:t>
      </w:r>
      <w:r w:rsidR="000017DB">
        <w:t xml:space="preserve">our strategy is </w:t>
      </w:r>
      <w:r>
        <w:t xml:space="preserve">to prevent them from potentially crossing the Hellespont by having as strong a navy as we possibly can. To </w:t>
      </w:r>
      <w:r w:rsidR="000017DB">
        <w:t xml:space="preserve">achieve </w:t>
      </w:r>
      <w:r>
        <w:t>this</w:t>
      </w:r>
      <w:r w:rsidR="0068678D">
        <w:t>,</w:t>
      </w:r>
      <w:r>
        <w:t xml:space="preserve"> a potential alliance of necessity with the Ptolemaic empire and its satrapies such as Cilicia will be attempted.</w:t>
      </w:r>
      <w:r w:rsidR="00255E85">
        <w:rPr>
          <w:rStyle w:val="FootnoteReference"/>
        </w:rPr>
        <w:footnoteReference w:id="9"/>
      </w:r>
      <w:r>
        <w:t xml:space="preserve"> Should this succeed we should have a navy strong enough to harass the Macedonians </w:t>
      </w:r>
      <w:r w:rsidR="000017DB">
        <w:t>a</w:t>
      </w:r>
      <w:r>
        <w:t>nd prevent them from invading us</w:t>
      </w:r>
      <w:r w:rsidR="000017DB">
        <w:t xml:space="preserve">. Moreover, </w:t>
      </w:r>
      <w:r>
        <w:t xml:space="preserve">by doing this we should also appease </w:t>
      </w:r>
      <w:r>
        <w:lastRenderedPageBreak/>
        <w:t>the Romans</w:t>
      </w:r>
      <w:r w:rsidR="005B6620">
        <w:t>, in a way much like the real Eumenes II did</w:t>
      </w:r>
      <w:r w:rsidR="00101D68">
        <w:t>,</w:t>
      </w:r>
      <w:r w:rsidR="00C95C87">
        <w:t xml:space="preserve"> by helping them deal with the</w:t>
      </w:r>
      <w:r w:rsidR="009E2C07">
        <w:t xml:space="preserve"> Macedonians</w:t>
      </w:r>
      <w:r>
        <w:t>.</w:t>
      </w:r>
      <w:r w:rsidR="005B6620">
        <w:rPr>
          <w:rStyle w:val="FootnoteReference"/>
        </w:rPr>
        <w:footnoteReference w:id="10"/>
      </w:r>
      <w:r>
        <w:t xml:space="preserve"> </w:t>
      </w:r>
      <w:r w:rsidR="00101D68">
        <w:t>Alt</w:t>
      </w:r>
      <w:r w:rsidR="005B6620">
        <w:t xml:space="preserve">hough Rome is not necessarily </w:t>
      </w:r>
      <w:r w:rsidR="00914F9C">
        <w:t>allied with us immediately and there is no guarantee that they will help, I aim to base my actions on the real life Eumenes II by parlaying with them and securing their help.</w:t>
      </w:r>
      <w:r w:rsidR="00914F9C">
        <w:rPr>
          <w:rStyle w:val="FootnoteReference"/>
        </w:rPr>
        <w:footnoteReference w:id="11"/>
      </w:r>
    </w:p>
    <w:p w14:paraId="30DB0CC2" w14:textId="6C29AEA4" w:rsidR="00724FB4" w:rsidRDefault="00724FB4" w:rsidP="00A45D5D">
      <w:pPr>
        <w:spacing w:line="480" w:lineRule="auto"/>
      </w:pPr>
      <w:r>
        <w:t>The main objective of the experiential element of this engagement is for the Pergamese to survive</w:t>
      </w:r>
      <w:r w:rsidR="00101D68">
        <w:t xml:space="preserve">, at least until help can be sought, or </w:t>
      </w:r>
      <w:r w:rsidR="0054259B">
        <w:t>bought</w:t>
      </w:r>
      <w:r w:rsidR="00101D68">
        <w:t xml:space="preserve"> as we are a wealthy </w:t>
      </w:r>
      <w:r w:rsidR="0054259B">
        <w:t>polis</w:t>
      </w:r>
      <w:r w:rsidR="00B950DF">
        <w:t>.</w:t>
      </w:r>
      <w:r w:rsidR="00390062">
        <w:rPr>
          <w:rStyle w:val="FootnoteReference"/>
        </w:rPr>
        <w:footnoteReference w:id="12"/>
      </w:r>
      <w:r>
        <w:t xml:space="preserve"> To achieve this</w:t>
      </w:r>
      <w:r w:rsidR="000017DB">
        <w:t>,</w:t>
      </w:r>
      <w:r>
        <w:t xml:space="preserve"> the character’s roles need to cover the primary requirements for success whilst keeping as closely as possible to the factual evidence available.</w:t>
      </w:r>
    </w:p>
    <w:p w14:paraId="09B1BD38" w14:textId="65E251D1" w:rsidR="0010728D" w:rsidRDefault="004162F4" w:rsidP="00A45D5D">
      <w:pPr>
        <w:spacing w:line="480" w:lineRule="auto"/>
      </w:pPr>
      <w:r>
        <w:t xml:space="preserve">As a Pergamese royal family member, </w:t>
      </w:r>
      <w:r w:rsidR="00B950DF">
        <w:t>I aim to stick to the real life character of Eumenes II</w:t>
      </w:r>
      <w:r w:rsidR="0054259B">
        <w:t>,</w:t>
      </w:r>
      <w:r w:rsidR="00CC601D">
        <w:t xml:space="preserve"> however it should be noted that the real Eumenes was not yet born at this time, but for the benefit of this experience we will act as if he was</w:t>
      </w:r>
      <w:r>
        <w:t xml:space="preserve">. </w:t>
      </w:r>
      <w:r w:rsidR="007319E2">
        <w:t xml:space="preserve">Therefore, during the </w:t>
      </w:r>
      <w:r w:rsidR="00991F52">
        <w:t>process of developing this character</w:t>
      </w:r>
      <w:r w:rsidR="007319E2">
        <w:t>, I aim to essentially follow the footsteps of Eumenes’ father Attalus, who aided Rome in their war against Macedon by using naval blockades, subjugated the Galatians</w:t>
      </w:r>
      <w:r w:rsidR="00C965EF">
        <w:t xml:space="preserve"> and used diplomacy to secure the help of Greco poleis along the Anatolian coastline.</w:t>
      </w:r>
      <w:r w:rsidR="00DC2DBC">
        <w:rPr>
          <w:rStyle w:val="FootnoteReference"/>
        </w:rPr>
        <w:footnoteReference w:id="13"/>
      </w:r>
    </w:p>
    <w:p w14:paraId="74036769" w14:textId="77777777" w:rsidR="00F05BA4" w:rsidRDefault="00F05BA4" w:rsidP="00A45D5D">
      <w:pPr>
        <w:spacing w:line="480" w:lineRule="auto"/>
      </w:pPr>
    </w:p>
    <w:p w14:paraId="2EB003B4" w14:textId="6D8C152B" w:rsidR="00DD622E" w:rsidRDefault="00C707BE" w:rsidP="00A45D5D">
      <w:pPr>
        <w:spacing w:line="480" w:lineRule="auto"/>
      </w:pPr>
      <w:r>
        <w:t xml:space="preserve">Eumenes II </w:t>
      </w:r>
      <w:r w:rsidR="00F05BA4">
        <w:t>i</w:t>
      </w:r>
      <w:r>
        <w:t>s extremely ambitious and a keen expansionist.</w:t>
      </w:r>
      <w:r w:rsidR="00390062">
        <w:rPr>
          <w:rStyle w:val="FootnoteReference"/>
        </w:rPr>
        <w:footnoteReference w:id="14"/>
      </w:r>
      <w:r w:rsidR="00BF1A2B">
        <w:t xml:space="preserve"> Therefore his personality and beliefs</w:t>
      </w:r>
      <w:r w:rsidR="009D0CB6">
        <w:t xml:space="preserve"> will mainly revolve around the notion of living up the name ‘Soter’ by saving true Greek culture against Seleucid and Macedonian imperialism</w:t>
      </w:r>
      <w:r w:rsidR="00957681">
        <w:t xml:space="preserve"> and he will be respected as such</w:t>
      </w:r>
      <w:r w:rsidR="009D0CB6">
        <w:t xml:space="preserve">. The Attalid dynasty itself was known to be fairly popular amongst the people, as the Attalid Dynasty is admired for being </w:t>
      </w:r>
      <w:r w:rsidR="00853A60">
        <w:t xml:space="preserve">a </w:t>
      </w:r>
      <w:r w:rsidR="002D72BC">
        <w:t>virtuous</w:t>
      </w:r>
      <w:r w:rsidR="00853A60">
        <w:t xml:space="preserve"> and wise family.</w:t>
      </w:r>
      <w:r w:rsidR="003725CA">
        <w:rPr>
          <w:rStyle w:val="FootnoteReference"/>
        </w:rPr>
        <w:footnoteReference w:id="15"/>
      </w:r>
      <w:r w:rsidR="00853A60">
        <w:t xml:space="preserve"> Although as a large core of the Pergamese army consisted of Gallic mercenaries there may be trouble in this area,</w:t>
      </w:r>
      <w:r w:rsidR="003725CA">
        <w:rPr>
          <w:rStyle w:val="FootnoteReference"/>
        </w:rPr>
        <w:footnoteReference w:id="16"/>
      </w:r>
      <w:r w:rsidR="00853A60">
        <w:t xml:space="preserve"> if I can</w:t>
      </w:r>
      <w:r w:rsidR="005E29D4">
        <w:t>no</w:t>
      </w:r>
      <w:r w:rsidR="00853A60">
        <w:t>t pay them or they a</w:t>
      </w:r>
      <w:bookmarkStart w:id="1" w:name="_GoBack"/>
      <w:bookmarkEnd w:id="1"/>
      <w:r w:rsidR="00853A60">
        <w:t xml:space="preserve">re difficult to manage </w:t>
      </w:r>
      <w:r w:rsidR="00853A60">
        <w:lastRenderedPageBreak/>
        <w:t>logistically then they may revolt</w:t>
      </w:r>
      <w:r w:rsidR="005E29D4">
        <w:t>,</w:t>
      </w:r>
      <w:r w:rsidR="00853A60">
        <w:t xml:space="preserve"> so I need to act cautiously with finances.</w:t>
      </w:r>
      <w:r w:rsidR="001F2632">
        <w:t xml:space="preserve"> Eumenes is known for having mostly decent relations with the various other Greek Poleis along the Anatolian coastline, whom view him as a protector because of this. Also because of this it may be possible to harbour good relations with other factions like Bithynia and Pontus in an anti-Seleucid league. </w:t>
      </w:r>
      <w:r w:rsidR="00957681">
        <w:t>Because my father Attalus I had early dealings with Rome to ally against Macedon it will mean that I too will be able to have good relations with Rome.</w:t>
      </w:r>
      <w:r w:rsidR="00992AA7">
        <w:rPr>
          <w:rStyle w:val="FootnoteReference"/>
        </w:rPr>
        <w:footnoteReference w:id="17"/>
      </w:r>
    </w:p>
    <w:p w14:paraId="50CFFF8B" w14:textId="303A5ACF" w:rsidR="00C707BE" w:rsidRDefault="00DD622E" w:rsidP="00A45D5D">
      <w:pPr>
        <w:spacing w:line="480" w:lineRule="auto"/>
      </w:pPr>
      <w:r>
        <w:t>Also b</w:t>
      </w:r>
      <w:r w:rsidR="00C707BE">
        <w:t xml:space="preserve">ecause of his ardent support of Rome, </w:t>
      </w:r>
      <w:r w:rsidR="00B950DF">
        <w:t xml:space="preserve">Eumenes </w:t>
      </w:r>
      <w:r w:rsidR="00F05BA4">
        <w:t>i</w:t>
      </w:r>
      <w:r w:rsidR="00C707BE">
        <w:t>s gifted the lands of</w:t>
      </w:r>
      <w:r w:rsidR="00C707BE" w:rsidRPr="00AA4469">
        <w:t>f Phrygia, Lydia, Pisidia, Pamphylia, and parts of Lycia</w:t>
      </w:r>
      <w:r w:rsidR="00C707BE">
        <w:t>.</w:t>
      </w:r>
      <w:r>
        <w:rPr>
          <w:rStyle w:val="FootnoteReference"/>
        </w:rPr>
        <w:footnoteReference w:id="18"/>
      </w:r>
      <w:r w:rsidR="00C707BE">
        <w:t xml:space="preserve"> Thus, because of this I will </w:t>
      </w:r>
      <w:r w:rsidR="00FF6286">
        <w:t xml:space="preserve">endeavour </w:t>
      </w:r>
      <w:r w:rsidR="00C707BE">
        <w:t xml:space="preserve">to support the Romans in any way I can and will ask for help </w:t>
      </w:r>
      <w:r w:rsidR="002D6666">
        <w:t>from them as well as</w:t>
      </w:r>
      <w:r w:rsidR="0054259B">
        <w:t xml:space="preserve"> Ptolemy using diplomatic negotiations </w:t>
      </w:r>
      <w:r w:rsidR="00C707BE">
        <w:t>financing and trade as well as access to military technology and mercenaries. This will prove eas</w:t>
      </w:r>
      <w:r w:rsidR="00FF6286">
        <w:t xml:space="preserve">ier </w:t>
      </w:r>
      <w:r w:rsidR="00C707BE">
        <w:t>if we have control of the seas around Greece</w:t>
      </w:r>
      <w:r w:rsidR="002D6666">
        <w:t>, if the support of Cilicia and Ptolemy is available to help build our navy</w:t>
      </w:r>
      <w:r w:rsidR="00C707BE">
        <w:t>.</w:t>
      </w:r>
    </w:p>
    <w:p w14:paraId="5B1E63B4" w14:textId="1A787B51" w:rsidR="009377EB" w:rsidRPr="00C554A3" w:rsidRDefault="005E29D4" w:rsidP="00A45D5D">
      <w:pPr>
        <w:spacing w:line="480" w:lineRule="auto"/>
      </w:pPr>
      <w:r>
        <w:t>A potential</w:t>
      </w:r>
      <w:r w:rsidR="00C707BE">
        <w:t xml:space="preserve"> problem with this character is that the only real sources on him are</w:t>
      </w:r>
      <w:r w:rsidR="00736E86">
        <w:t>,</w:t>
      </w:r>
      <w:r w:rsidR="00C707BE">
        <w:t xml:space="preserve"> for the most part</w:t>
      </w:r>
      <w:r w:rsidR="00736E86">
        <w:t>,</w:t>
      </w:r>
      <w:r w:rsidR="00C707BE">
        <w:t xml:space="preserve"> pro-Roman such as </w:t>
      </w:r>
      <w:r w:rsidR="00736E86">
        <w:t xml:space="preserve">is seen in </w:t>
      </w:r>
      <w:r w:rsidR="00C707BE">
        <w:t>Polybius</w:t>
      </w:r>
      <w:r w:rsidR="00EE56B2">
        <w:rPr>
          <w:rStyle w:val="FootnoteReference"/>
        </w:rPr>
        <w:footnoteReference w:id="19"/>
      </w:r>
      <w:r w:rsidR="00C707BE">
        <w:t xml:space="preserve"> because of this though</w:t>
      </w:r>
      <w:r w:rsidR="00736E86">
        <w:t>,</w:t>
      </w:r>
      <w:r w:rsidR="00C707BE">
        <w:t xml:space="preserve"> it gives some leeway as to my actions</w:t>
      </w:r>
      <w:r w:rsidR="00B436FD">
        <w:t>, since the sources for Eumenes are limited and I can realistically draw easily from other periods of Hellenic history</w:t>
      </w:r>
      <w:r w:rsidR="00C707BE">
        <w:t>.</w:t>
      </w:r>
    </w:p>
    <w:p w14:paraId="2907B1DD" w14:textId="4EA4E003" w:rsidR="005778CD" w:rsidRDefault="00026EF5" w:rsidP="00A45D5D">
      <w:pPr>
        <w:spacing w:line="480" w:lineRule="auto"/>
      </w:pPr>
      <w:r>
        <w:t>As I am in</w:t>
      </w:r>
      <w:r w:rsidR="00FB0BE2">
        <w:t xml:space="preserve"> control</w:t>
      </w:r>
      <w:r>
        <w:t xml:space="preserve"> </w:t>
      </w:r>
      <w:r w:rsidR="00BF231A">
        <w:t xml:space="preserve">of </w:t>
      </w:r>
      <w:r>
        <w:t xml:space="preserve">the military forces, my main responsibility will be </w:t>
      </w:r>
      <w:r w:rsidR="00FB0BE2">
        <w:t>initially to protect Pergamon itself from foreign invasion</w:t>
      </w:r>
      <w:r w:rsidR="003725CA">
        <w:t xml:space="preserve"> and eventually expand into Asia Minor</w:t>
      </w:r>
      <w:r w:rsidR="00EA7F21">
        <w:t>. Thus, I will consolidate Pergamon’s position and take a fairly defensive stance initially until we can get a strong enough army</w:t>
      </w:r>
      <w:r w:rsidR="00B436FD">
        <w:t>, with logistical and financial support,</w:t>
      </w:r>
      <w:r w:rsidR="00EA7F21">
        <w:t xml:space="preserve"> to go on the offensive in Asia Minor.</w:t>
      </w:r>
      <w:r w:rsidR="00FB0BE2">
        <w:t xml:space="preserve"> </w:t>
      </w:r>
    </w:p>
    <w:p w14:paraId="4DF7F3C2" w14:textId="2A7930A3" w:rsidR="00E04B77" w:rsidRDefault="00E04B77" w:rsidP="00A45D5D">
      <w:pPr>
        <w:spacing w:line="480" w:lineRule="auto"/>
      </w:pPr>
      <w:r>
        <w:t>The Pergamese army itself</w:t>
      </w:r>
      <w:r w:rsidR="007975C1">
        <w:t xml:space="preserve"> had a small core of well trained and devastating cavalry,</w:t>
      </w:r>
      <w:r w:rsidR="00766BDD">
        <w:rPr>
          <w:rStyle w:val="FootnoteReference"/>
        </w:rPr>
        <w:footnoteReference w:id="20"/>
      </w:r>
      <w:r w:rsidR="007975C1">
        <w:t xml:space="preserve"> trained in a way similar to Alexander’s companion cavalry</w:t>
      </w:r>
      <w:r w:rsidR="0042422C">
        <w:t>.</w:t>
      </w:r>
      <w:r w:rsidR="007975C1">
        <w:t xml:space="preserve"> with the remainder being mercenaries or lightly </w:t>
      </w:r>
      <w:r w:rsidR="007975C1">
        <w:lastRenderedPageBreak/>
        <w:t>armed troops and hoplites from our protectorates</w:t>
      </w:r>
      <w:r w:rsidR="00EE56B2">
        <w:rPr>
          <w:rStyle w:val="FootnoteReference"/>
        </w:rPr>
        <w:footnoteReference w:id="21"/>
      </w:r>
      <w:r w:rsidR="0026410F">
        <w:t xml:space="preserve">, as well as specialist </w:t>
      </w:r>
      <w:r w:rsidR="004F1EA4">
        <w:t>archers from Crete</w:t>
      </w:r>
      <w:r w:rsidR="004F1EA4">
        <w:rPr>
          <w:rStyle w:val="FootnoteReference"/>
        </w:rPr>
        <w:footnoteReference w:id="22"/>
      </w:r>
      <w:r w:rsidR="007975C1">
        <w:t>. In battle I aim to fix the enemy centre with hoplites and mercenaries, then defeat the enemy’s cavalry with our heavy cavalry. Then ‘hammer and anvil’ the centre with the remainder of the cavalry</w:t>
      </w:r>
      <w:r w:rsidR="003725CA">
        <w:t>.</w:t>
      </w:r>
    </w:p>
    <w:p w14:paraId="579C8896" w14:textId="77777777" w:rsidR="008A6C99" w:rsidRDefault="008A6C99"/>
    <w:p w14:paraId="0B7BAF1A" w14:textId="77777777" w:rsidR="008A6C99" w:rsidRDefault="008A6C99"/>
    <w:p w14:paraId="4B7B9564" w14:textId="77777777" w:rsidR="008A6C99" w:rsidRDefault="008A6C99"/>
    <w:p w14:paraId="40C68C43" w14:textId="77777777" w:rsidR="008A6C99" w:rsidRDefault="008A6C99"/>
    <w:p w14:paraId="3B20D18B" w14:textId="77777777" w:rsidR="008A6C99" w:rsidRDefault="008A6C99"/>
    <w:p w14:paraId="09A021EC" w14:textId="77777777" w:rsidR="008A6C99" w:rsidRDefault="008A6C99"/>
    <w:p w14:paraId="03A984FC" w14:textId="77777777" w:rsidR="008A6C99" w:rsidRDefault="008A6C99"/>
    <w:p w14:paraId="3199B33E" w14:textId="5F420AE9" w:rsidR="00D47E1B" w:rsidRDefault="00A05176">
      <w:r>
        <w:t>Bibliography:</w:t>
      </w:r>
    </w:p>
    <w:p w14:paraId="5E37402E" w14:textId="6CF92DB4" w:rsidR="00092F86" w:rsidRDefault="00092F86">
      <w:r>
        <w:t>Ancient sources:</w:t>
      </w:r>
    </w:p>
    <w:p w14:paraId="2E5B44CF" w14:textId="6E5E1F65" w:rsidR="00092F86" w:rsidRDefault="00092F86">
      <w:r>
        <w:t xml:space="preserve">Appian. </w:t>
      </w:r>
      <w:r w:rsidRPr="00092F86">
        <w:rPr>
          <w:i/>
        </w:rPr>
        <w:t>Syriaca.</w:t>
      </w:r>
      <w:r>
        <w:t xml:space="preserve"> H. White</w:t>
      </w:r>
      <w:r w:rsidR="00B24B46">
        <w:t xml:space="preserve"> (trans)</w:t>
      </w:r>
      <w:r>
        <w:t>. 1899. New York. The Macmillan Company</w:t>
      </w:r>
    </w:p>
    <w:p w14:paraId="37925B94" w14:textId="64BD7DFF" w:rsidR="00092F86" w:rsidRDefault="00B24B46">
      <w:r>
        <w:t xml:space="preserve">Polybius. </w:t>
      </w:r>
      <w:r>
        <w:rPr>
          <w:i/>
        </w:rPr>
        <w:t xml:space="preserve">The Histories. </w:t>
      </w:r>
      <w:r>
        <w:t>W.R. Paton</w:t>
      </w:r>
      <w:r>
        <w:rPr>
          <w:i/>
        </w:rPr>
        <w:t xml:space="preserve"> </w:t>
      </w:r>
      <w:r>
        <w:t>(trans). 1922. Harvard: Harvard University Press</w:t>
      </w:r>
    </w:p>
    <w:p w14:paraId="549783E4" w14:textId="5AB8A8D4" w:rsidR="00B24B46" w:rsidRDefault="00B24B46">
      <w:r>
        <w:t xml:space="preserve">Strabo. </w:t>
      </w:r>
      <w:r>
        <w:rPr>
          <w:i/>
        </w:rPr>
        <w:t xml:space="preserve">Geographica. </w:t>
      </w:r>
      <w:r w:rsidR="006B7158">
        <w:t>H.L. Jones. (trans). 1917. Harvard: Harvard University Press</w:t>
      </w:r>
    </w:p>
    <w:p w14:paraId="7931ADBF" w14:textId="66B3DFA7" w:rsidR="004F1EA4" w:rsidRDefault="009A4542">
      <w:r>
        <w:t>Modern Scholarship:</w:t>
      </w:r>
    </w:p>
    <w:p w14:paraId="7C712829" w14:textId="1564D28E" w:rsidR="004F1EA4" w:rsidRDefault="004F1EA4" w:rsidP="004F1EA4">
      <w:r>
        <w:t xml:space="preserve">Allen. R.E. 1983. </w:t>
      </w:r>
      <w:r>
        <w:rPr>
          <w:i/>
        </w:rPr>
        <w:t xml:space="preserve">The Attalid Dynasty. A Constitutional History. </w:t>
      </w:r>
      <w:r>
        <w:t>Oxford: Clarendon Press.</w:t>
      </w:r>
    </w:p>
    <w:p w14:paraId="57EE4A28" w14:textId="685BF2A9" w:rsidR="00B15E93" w:rsidRPr="00766BDD" w:rsidRDefault="00B15E93" w:rsidP="004F1EA4">
      <w:r>
        <w:t xml:space="preserve">Berthold. R.M. </w:t>
      </w:r>
      <w:r w:rsidRPr="00B15E93">
        <w:t>Lade</w:t>
      </w:r>
      <w:r>
        <w:t>.</w:t>
      </w:r>
      <w:r w:rsidRPr="00B15E93">
        <w:t xml:space="preserve"> </w:t>
      </w:r>
      <w:r w:rsidRPr="00B15E93">
        <w:rPr>
          <w:i/>
        </w:rPr>
        <w:t>Pergamum and Chios: Operations of Philip V in the Aegean</w:t>
      </w:r>
      <w:r>
        <w:rPr>
          <w:i/>
        </w:rPr>
        <w:t xml:space="preserve">. </w:t>
      </w:r>
      <w:r w:rsidR="00766BDD">
        <w:t>Berlin: Historia</w:t>
      </w:r>
      <w:r w:rsidR="00766BDD" w:rsidRPr="00766BDD">
        <w:t xml:space="preserve"> Zeitschrift für Alte Geschichte</w:t>
      </w:r>
      <w:r w:rsidR="00766BDD">
        <w:t>.</w:t>
      </w:r>
    </w:p>
    <w:p w14:paraId="4A15692B" w14:textId="48CDB00B" w:rsidR="00B15E93" w:rsidRPr="00B15E93" w:rsidRDefault="00B15E93" w:rsidP="004F1EA4">
      <w:r>
        <w:t xml:space="preserve">Boardman. J. 1992. </w:t>
      </w:r>
      <w:r>
        <w:rPr>
          <w:i/>
        </w:rPr>
        <w:t xml:space="preserve">The Oxford History of the Classical World. </w:t>
      </w:r>
      <w:r>
        <w:t>Oxford: Oxford University Press.</w:t>
      </w:r>
    </w:p>
    <w:p w14:paraId="1C1EB9D6" w14:textId="61876E13" w:rsidR="004F1EA4" w:rsidRDefault="004F1EA4" w:rsidP="004F1EA4">
      <w:r>
        <w:t xml:space="preserve">Erksine. A. 2009. </w:t>
      </w:r>
      <w:r>
        <w:rPr>
          <w:i/>
        </w:rPr>
        <w:t xml:space="preserve">A companion to the Hellenistic World. </w:t>
      </w:r>
      <w:r>
        <w:t>Oxford: Blackwell Publishing.</w:t>
      </w:r>
    </w:p>
    <w:p w14:paraId="2396C37E" w14:textId="2340DEFA" w:rsidR="00766BDD" w:rsidRPr="00766BDD" w:rsidRDefault="00766BDD" w:rsidP="004F1EA4">
      <w:r>
        <w:t xml:space="preserve">Evans. R. 2012. </w:t>
      </w:r>
      <w:r w:rsidRPr="00766BDD">
        <w:rPr>
          <w:i/>
        </w:rPr>
        <w:t>A history of Pergamum: beyond Hellenistic kingship</w:t>
      </w:r>
      <w:r>
        <w:t>. London: Bloomsbury.</w:t>
      </w:r>
    </w:p>
    <w:p w14:paraId="61CC13D7" w14:textId="77777777" w:rsidR="004F1EA4" w:rsidRDefault="004F1EA4" w:rsidP="004F1EA4">
      <w:r>
        <w:t xml:space="preserve">Hansen. E. V. 1947. </w:t>
      </w:r>
      <w:r>
        <w:rPr>
          <w:i/>
        </w:rPr>
        <w:t xml:space="preserve">The Attalids of Pergamon. </w:t>
      </w:r>
      <w:r>
        <w:t>New York: Cornell University Press.</w:t>
      </w:r>
    </w:p>
    <w:p w14:paraId="6D221BC9" w14:textId="5BB4370E" w:rsidR="004F1EA4" w:rsidRDefault="004F1EA4" w:rsidP="004F1EA4">
      <w:r>
        <w:t xml:space="preserve">Head. D. 1982. </w:t>
      </w:r>
      <w:r>
        <w:rPr>
          <w:i/>
        </w:rPr>
        <w:t xml:space="preserve">Armies of the Macedonian and Punic Wars 359 BC to 146 BC. </w:t>
      </w:r>
      <w:r>
        <w:t>London: Wargames Research group</w:t>
      </w:r>
    </w:p>
    <w:p w14:paraId="2BB0FC50" w14:textId="168E5629" w:rsidR="00992AA7" w:rsidRPr="00992AA7" w:rsidRDefault="00992AA7" w:rsidP="004F1EA4">
      <w:r>
        <w:t xml:space="preserve">Thonemann. P. 2013. </w:t>
      </w:r>
      <w:r w:rsidRPr="00992AA7">
        <w:rPr>
          <w:i/>
        </w:rPr>
        <w:t>Attalid Asia Minor: Money, International Relations, and the State</w:t>
      </w:r>
      <w:r>
        <w:rPr>
          <w:i/>
        </w:rPr>
        <w:t xml:space="preserve">. </w:t>
      </w:r>
      <w:r>
        <w:t>Oxford. University Press.</w:t>
      </w:r>
    </w:p>
    <w:p w14:paraId="5F4530E2" w14:textId="77777777" w:rsidR="004F1EA4" w:rsidRPr="00B24B46" w:rsidRDefault="004F1EA4"/>
    <w:sectPr w:rsidR="004F1EA4" w:rsidRPr="00B24B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451DE5" w14:textId="77777777" w:rsidR="00322B58" w:rsidRDefault="00322B58" w:rsidP="00322B58">
      <w:pPr>
        <w:spacing w:after="0" w:line="240" w:lineRule="auto"/>
      </w:pPr>
      <w:r>
        <w:separator/>
      </w:r>
    </w:p>
  </w:endnote>
  <w:endnote w:type="continuationSeparator" w:id="0">
    <w:p w14:paraId="09D4CCAE" w14:textId="77777777" w:rsidR="00322B58" w:rsidRDefault="00322B58" w:rsidP="00322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E09F5" w14:textId="77777777" w:rsidR="00322B58" w:rsidRDefault="00322B58" w:rsidP="00322B58">
      <w:pPr>
        <w:spacing w:after="0" w:line="240" w:lineRule="auto"/>
      </w:pPr>
      <w:r>
        <w:separator/>
      </w:r>
    </w:p>
  </w:footnote>
  <w:footnote w:type="continuationSeparator" w:id="0">
    <w:p w14:paraId="6F189D89" w14:textId="77777777" w:rsidR="00322B58" w:rsidRDefault="00322B58" w:rsidP="00322B58">
      <w:pPr>
        <w:spacing w:after="0" w:line="240" w:lineRule="auto"/>
      </w:pPr>
      <w:r>
        <w:continuationSeparator/>
      </w:r>
    </w:p>
  </w:footnote>
  <w:footnote w:id="1">
    <w:p w14:paraId="16253392" w14:textId="4468959E" w:rsidR="00237A5E" w:rsidRPr="00237A5E" w:rsidRDefault="00237A5E">
      <w:pPr>
        <w:pStyle w:val="FootnoteText"/>
      </w:pPr>
      <w:r>
        <w:rPr>
          <w:rStyle w:val="FootnoteReference"/>
        </w:rPr>
        <w:footnoteRef/>
      </w:r>
      <w:r>
        <w:t xml:space="preserve"> Poly. </w:t>
      </w:r>
      <w:r>
        <w:rPr>
          <w:i/>
        </w:rPr>
        <w:t xml:space="preserve">Hist. </w:t>
      </w:r>
      <w:r>
        <w:t>XXII. 22</w:t>
      </w:r>
    </w:p>
  </w:footnote>
  <w:footnote w:id="2">
    <w:p w14:paraId="77B64622" w14:textId="54B11901" w:rsidR="0033790E" w:rsidRDefault="0033790E">
      <w:pPr>
        <w:pStyle w:val="FootnoteText"/>
      </w:pPr>
      <w:r>
        <w:rPr>
          <w:rStyle w:val="FootnoteReference"/>
        </w:rPr>
        <w:footnoteRef/>
      </w:r>
      <w:r>
        <w:t xml:space="preserve"> </w:t>
      </w:r>
      <w:r w:rsidR="00A05176">
        <w:t>Hansen 1947. 41</w:t>
      </w:r>
    </w:p>
  </w:footnote>
  <w:footnote w:id="3">
    <w:p w14:paraId="54541CD6" w14:textId="47732B75" w:rsidR="00706664" w:rsidRDefault="00706664">
      <w:pPr>
        <w:pStyle w:val="FootnoteText"/>
      </w:pPr>
      <w:r>
        <w:rPr>
          <w:rStyle w:val="FootnoteReference"/>
        </w:rPr>
        <w:footnoteRef/>
      </w:r>
      <w:r>
        <w:t xml:space="preserve"> </w:t>
      </w:r>
      <w:r w:rsidR="009A4542">
        <w:t>Boardman. 1992. 318</w:t>
      </w:r>
    </w:p>
  </w:footnote>
  <w:footnote w:id="4">
    <w:p w14:paraId="61177F70" w14:textId="764BF99F" w:rsidR="00992AA7" w:rsidRDefault="00992AA7">
      <w:pPr>
        <w:pStyle w:val="FootnoteText"/>
      </w:pPr>
      <w:r>
        <w:rPr>
          <w:rStyle w:val="FootnoteReference"/>
        </w:rPr>
        <w:footnoteRef/>
      </w:r>
      <w:r>
        <w:t xml:space="preserve"> Thonemann. 2013. 126</w:t>
      </w:r>
    </w:p>
  </w:footnote>
  <w:footnote w:id="5">
    <w:p w14:paraId="4546F035" w14:textId="14322F66" w:rsidR="0001351F" w:rsidRDefault="0001351F">
      <w:pPr>
        <w:pStyle w:val="FootnoteText"/>
      </w:pPr>
      <w:r>
        <w:rPr>
          <w:rStyle w:val="FootnoteReference"/>
        </w:rPr>
        <w:footnoteRef/>
      </w:r>
      <w:r>
        <w:t xml:space="preserve"> Allen 198</w:t>
      </w:r>
      <w:r w:rsidR="005B6620">
        <w:t>3.</w:t>
      </w:r>
      <w:r>
        <w:t xml:space="preserve"> 14</w:t>
      </w:r>
    </w:p>
  </w:footnote>
  <w:footnote w:id="6">
    <w:p w14:paraId="0BDE20C1" w14:textId="59A75CE1" w:rsidR="004A1743" w:rsidRDefault="004A1743">
      <w:pPr>
        <w:pStyle w:val="FootnoteText"/>
      </w:pPr>
      <w:r>
        <w:rPr>
          <w:rStyle w:val="FootnoteReference"/>
        </w:rPr>
        <w:footnoteRef/>
      </w:r>
      <w:r>
        <w:t xml:space="preserve"> </w:t>
      </w:r>
      <w:r w:rsidR="00DC2DBC">
        <w:t xml:space="preserve">Stra. </w:t>
      </w:r>
      <w:r w:rsidR="00DC2DBC" w:rsidRPr="00EE56B2">
        <w:rPr>
          <w:i/>
        </w:rPr>
        <w:t>Geog.</w:t>
      </w:r>
      <w:r w:rsidR="00EE56B2">
        <w:t xml:space="preserve"> 13.4</w:t>
      </w:r>
    </w:p>
  </w:footnote>
  <w:footnote w:id="7">
    <w:p w14:paraId="521ABC86" w14:textId="71DBB969" w:rsidR="00B15E93" w:rsidRDefault="00B15E93">
      <w:pPr>
        <w:pStyle w:val="FootnoteText"/>
      </w:pPr>
      <w:r>
        <w:rPr>
          <w:rStyle w:val="FootnoteReference"/>
        </w:rPr>
        <w:footnoteRef/>
      </w:r>
      <w:r>
        <w:t xml:space="preserve"> Berthold. 1975.150</w:t>
      </w:r>
    </w:p>
  </w:footnote>
  <w:footnote w:id="8">
    <w:p w14:paraId="79A5A7C9" w14:textId="7B4B3D48" w:rsidR="00237A5E" w:rsidRDefault="00237A5E">
      <w:pPr>
        <w:pStyle w:val="FootnoteText"/>
      </w:pPr>
      <w:r>
        <w:rPr>
          <w:rStyle w:val="FootnoteReference"/>
        </w:rPr>
        <w:footnoteRef/>
      </w:r>
      <w:r>
        <w:t xml:space="preserve"> Erksine 2009. </w:t>
      </w:r>
      <w:r w:rsidR="00E34669">
        <w:t>164</w:t>
      </w:r>
    </w:p>
  </w:footnote>
  <w:footnote w:id="9">
    <w:p w14:paraId="068D5095" w14:textId="1AFC6B6F" w:rsidR="00255E85" w:rsidRDefault="00255E85">
      <w:pPr>
        <w:pStyle w:val="FootnoteText"/>
      </w:pPr>
      <w:r>
        <w:rPr>
          <w:rStyle w:val="FootnoteReference"/>
        </w:rPr>
        <w:footnoteRef/>
      </w:r>
      <w:r>
        <w:t xml:space="preserve"> Hansen. 1947. 52</w:t>
      </w:r>
    </w:p>
  </w:footnote>
  <w:footnote w:id="10">
    <w:p w14:paraId="79EB9E6C" w14:textId="790DF347" w:rsidR="005B6620" w:rsidRDefault="005B6620">
      <w:pPr>
        <w:pStyle w:val="FootnoteText"/>
      </w:pPr>
      <w:r>
        <w:rPr>
          <w:rStyle w:val="FootnoteReference"/>
        </w:rPr>
        <w:footnoteRef/>
      </w:r>
      <w:r>
        <w:t xml:space="preserve"> Hansen 1947. 67</w:t>
      </w:r>
    </w:p>
  </w:footnote>
  <w:footnote w:id="11">
    <w:p w14:paraId="55BBFC35" w14:textId="12C1D1C9" w:rsidR="00914F9C" w:rsidRDefault="00914F9C">
      <w:pPr>
        <w:pStyle w:val="FootnoteText"/>
      </w:pPr>
      <w:r>
        <w:rPr>
          <w:rStyle w:val="FootnoteReference"/>
        </w:rPr>
        <w:footnoteRef/>
      </w:r>
      <w:r>
        <w:t xml:space="preserve"> Erksine 2009. 146</w:t>
      </w:r>
    </w:p>
  </w:footnote>
  <w:footnote w:id="12">
    <w:p w14:paraId="2001CA3C" w14:textId="1AF4001E" w:rsidR="00390062" w:rsidRDefault="00390062">
      <w:pPr>
        <w:pStyle w:val="FootnoteText"/>
      </w:pPr>
      <w:r>
        <w:rPr>
          <w:rStyle w:val="FootnoteReference"/>
        </w:rPr>
        <w:footnoteRef/>
      </w:r>
      <w:r>
        <w:t xml:space="preserve"> </w:t>
      </w:r>
      <w:r w:rsidRPr="00390062">
        <w:t xml:space="preserve">Poly, </w:t>
      </w:r>
      <w:r w:rsidRPr="00390062">
        <w:rPr>
          <w:i/>
        </w:rPr>
        <w:t>Hist</w:t>
      </w:r>
      <w:r w:rsidRPr="00390062">
        <w:t>, XVIII. 19–27.</w:t>
      </w:r>
    </w:p>
  </w:footnote>
  <w:footnote w:id="13">
    <w:p w14:paraId="7948426F" w14:textId="7FACBCFB" w:rsidR="00DC2DBC" w:rsidRDefault="00DC2DBC">
      <w:pPr>
        <w:pStyle w:val="FootnoteText"/>
      </w:pPr>
      <w:r>
        <w:rPr>
          <w:rStyle w:val="FootnoteReference"/>
        </w:rPr>
        <w:footnoteRef/>
      </w:r>
      <w:r>
        <w:t xml:space="preserve"> </w:t>
      </w:r>
      <w:r w:rsidR="00EE56B2">
        <w:t xml:space="preserve">Stra. </w:t>
      </w:r>
      <w:r w:rsidR="00EE56B2" w:rsidRPr="00EE56B2">
        <w:rPr>
          <w:i/>
        </w:rPr>
        <w:t>Geog.</w:t>
      </w:r>
      <w:r w:rsidR="00EE56B2">
        <w:t xml:space="preserve"> 13.4</w:t>
      </w:r>
    </w:p>
  </w:footnote>
  <w:footnote w:id="14">
    <w:p w14:paraId="000E7736" w14:textId="6186521F" w:rsidR="00390062" w:rsidRPr="00E92735" w:rsidRDefault="00390062">
      <w:pPr>
        <w:pStyle w:val="FootnoteText"/>
      </w:pPr>
      <w:r>
        <w:rPr>
          <w:rStyle w:val="FootnoteReference"/>
        </w:rPr>
        <w:footnoteRef/>
      </w:r>
      <w:r>
        <w:t xml:space="preserve"> Poly. </w:t>
      </w:r>
      <w:r>
        <w:rPr>
          <w:i/>
        </w:rPr>
        <w:t xml:space="preserve">Hist. </w:t>
      </w:r>
      <w:r w:rsidR="00E92735">
        <w:t>XXX</w:t>
      </w:r>
      <w:r w:rsidR="00DC2DBC">
        <w:t>II. 22</w:t>
      </w:r>
    </w:p>
  </w:footnote>
  <w:footnote w:id="15">
    <w:p w14:paraId="4196610C" w14:textId="2DCD744B" w:rsidR="003725CA" w:rsidRPr="003725CA" w:rsidRDefault="003725CA">
      <w:pPr>
        <w:pStyle w:val="FootnoteText"/>
      </w:pPr>
      <w:r>
        <w:rPr>
          <w:rStyle w:val="FootnoteReference"/>
        </w:rPr>
        <w:footnoteRef/>
      </w:r>
      <w:r>
        <w:t xml:space="preserve"> Poly. </w:t>
      </w:r>
      <w:r>
        <w:rPr>
          <w:i/>
        </w:rPr>
        <w:t xml:space="preserve">Hist. </w:t>
      </w:r>
      <w:r w:rsidR="00DD622E">
        <w:t>XXII. 22</w:t>
      </w:r>
    </w:p>
  </w:footnote>
  <w:footnote w:id="16">
    <w:p w14:paraId="4844A79A" w14:textId="48074932" w:rsidR="003725CA" w:rsidRDefault="003725CA">
      <w:pPr>
        <w:pStyle w:val="FootnoteText"/>
      </w:pPr>
      <w:r>
        <w:rPr>
          <w:rStyle w:val="FootnoteReference"/>
        </w:rPr>
        <w:footnoteRef/>
      </w:r>
      <w:r>
        <w:t xml:space="preserve"> Head. 1982. 26</w:t>
      </w:r>
    </w:p>
  </w:footnote>
  <w:footnote w:id="17">
    <w:p w14:paraId="32150E41" w14:textId="0952B44A" w:rsidR="00992AA7" w:rsidRDefault="00992AA7">
      <w:pPr>
        <w:pStyle w:val="FootnoteText"/>
      </w:pPr>
      <w:r>
        <w:rPr>
          <w:rStyle w:val="FootnoteReference"/>
        </w:rPr>
        <w:footnoteRef/>
      </w:r>
      <w:r>
        <w:t xml:space="preserve"> Thonemann. 2013. 141</w:t>
      </w:r>
    </w:p>
  </w:footnote>
  <w:footnote w:id="18">
    <w:p w14:paraId="2A2BEE9B" w14:textId="72C23CC0" w:rsidR="00DD622E" w:rsidRPr="00DD622E" w:rsidRDefault="00DD622E">
      <w:pPr>
        <w:pStyle w:val="FootnoteText"/>
      </w:pPr>
      <w:r>
        <w:rPr>
          <w:rStyle w:val="FootnoteReference"/>
        </w:rPr>
        <w:footnoteRef/>
      </w:r>
      <w:r>
        <w:t xml:space="preserve"> App. </w:t>
      </w:r>
      <w:r>
        <w:rPr>
          <w:i/>
        </w:rPr>
        <w:t xml:space="preserve">Syr. </w:t>
      </w:r>
      <w:r>
        <w:t>39</w:t>
      </w:r>
    </w:p>
  </w:footnote>
  <w:footnote w:id="19">
    <w:p w14:paraId="3D8FA17A" w14:textId="6596E9B5" w:rsidR="00EE56B2" w:rsidRPr="00EE56B2" w:rsidRDefault="00EE56B2">
      <w:pPr>
        <w:pStyle w:val="FootnoteText"/>
      </w:pPr>
      <w:r>
        <w:rPr>
          <w:rStyle w:val="FootnoteReference"/>
        </w:rPr>
        <w:footnoteRef/>
      </w:r>
      <w:r>
        <w:t xml:space="preserve"> Poly. </w:t>
      </w:r>
      <w:r>
        <w:rPr>
          <w:i/>
        </w:rPr>
        <w:t xml:space="preserve">Hist. </w:t>
      </w:r>
      <w:r>
        <w:t>XX. 22</w:t>
      </w:r>
    </w:p>
  </w:footnote>
  <w:footnote w:id="20">
    <w:p w14:paraId="064B9EA2" w14:textId="045C3C71" w:rsidR="00766BDD" w:rsidRDefault="00766BDD">
      <w:pPr>
        <w:pStyle w:val="FootnoteText"/>
      </w:pPr>
      <w:r>
        <w:rPr>
          <w:rStyle w:val="FootnoteReference"/>
        </w:rPr>
        <w:footnoteRef/>
      </w:r>
      <w:r>
        <w:t xml:space="preserve"> Evans. 2012. 15</w:t>
      </w:r>
    </w:p>
  </w:footnote>
  <w:footnote w:id="21">
    <w:p w14:paraId="6F14FCE0" w14:textId="3C951D59" w:rsidR="00EE56B2" w:rsidRPr="00A66A0D" w:rsidRDefault="00EE56B2">
      <w:pPr>
        <w:pStyle w:val="FootnoteText"/>
        <w:rPr>
          <w:i/>
        </w:rPr>
      </w:pPr>
      <w:r>
        <w:rPr>
          <w:rStyle w:val="FootnoteReference"/>
        </w:rPr>
        <w:footnoteRef/>
      </w:r>
      <w:r>
        <w:t xml:space="preserve"> Stra. </w:t>
      </w:r>
      <w:r>
        <w:rPr>
          <w:i/>
        </w:rPr>
        <w:t xml:space="preserve">Geog. </w:t>
      </w:r>
      <w:r>
        <w:t>13.4</w:t>
      </w:r>
      <w:r w:rsidR="00A66A0D">
        <w:rPr>
          <w:i/>
        </w:rPr>
        <w:t xml:space="preserve">The </w:t>
      </w:r>
    </w:p>
  </w:footnote>
  <w:footnote w:id="22">
    <w:p w14:paraId="5B22236A" w14:textId="6E571C7E" w:rsidR="004F1EA4" w:rsidRDefault="004F1EA4">
      <w:pPr>
        <w:pStyle w:val="FootnoteText"/>
      </w:pPr>
      <w:r>
        <w:rPr>
          <w:rStyle w:val="FootnoteReference"/>
        </w:rPr>
        <w:footnoteRef/>
      </w:r>
      <w:r>
        <w:t xml:space="preserve"> Head. 1982. 26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F4"/>
    <w:rsid w:val="000017DB"/>
    <w:rsid w:val="00002265"/>
    <w:rsid w:val="0001351F"/>
    <w:rsid w:val="00026EF5"/>
    <w:rsid w:val="0006149A"/>
    <w:rsid w:val="00092F86"/>
    <w:rsid w:val="000A3E44"/>
    <w:rsid w:val="000C6B79"/>
    <w:rsid w:val="000D1191"/>
    <w:rsid w:val="00101D68"/>
    <w:rsid w:val="0010728D"/>
    <w:rsid w:val="00195AE6"/>
    <w:rsid w:val="001F2632"/>
    <w:rsid w:val="00237A5E"/>
    <w:rsid w:val="0025103D"/>
    <w:rsid w:val="00255E85"/>
    <w:rsid w:val="0026410F"/>
    <w:rsid w:val="002677DB"/>
    <w:rsid w:val="002B7111"/>
    <w:rsid w:val="002D6666"/>
    <w:rsid w:val="002D72BC"/>
    <w:rsid w:val="002E3617"/>
    <w:rsid w:val="002F1DDC"/>
    <w:rsid w:val="00321255"/>
    <w:rsid w:val="00322B58"/>
    <w:rsid w:val="0033790E"/>
    <w:rsid w:val="003725CA"/>
    <w:rsid w:val="00390062"/>
    <w:rsid w:val="00395725"/>
    <w:rsid w:val="003D1463"/>
    <w:rsid w:val="003E520E"/>
    <w:rsid w:val="00410E43"/>
    <w:rsid w:val="004162F4"/>
    <w:rsid w:val="0042422C"/>
    <w:rsid w:val="00427B45"/>
    <w:rsid w:val="00436E23"/>
    <w:rsid w:val="004A1743"/>
    <w:rsid w:val="004A225B"/>
    <w:rsid w:val="004A306B"/>
    <w:rsid w:val="004A4E5E"/>
    <w:rsid w:val="004B15C2"/>
    <w:rsid w:val="004D1951"/>
    <w:rsid w:val="004F1EA4"/>
    <w:rsid w:val="0054259B"/>
    <w:rsid w:val="005778CD"/>
    <w:rsid w:val="00595A49"/>
    <w:rsid w:val="005B6620"/>
    <w:rsid w:val="005E29D4"/>
    <w:rsid w:val="006777F9"/>
    <w:rsid w:val="0068678D"/>
    <w:rsid w:val="006B7158"/>
    <w:rsid w:val="00706664"/>
    <w:rsid w:val="00724FB4"/>
    <w:rsid w:val="007319E2"/>
    <w:rsid w:val="00736E86"/>
    <w:rsid w:val="00747219"/>
    <w:rsid w:val="00766BDD"/>
    <w:rsid w:val="0078095C"/>
    <w:rsid w:val="00794227"/>
    <w:rsid w:val="007975C1"/>
    <w:rsid w:val="007B7ECC"/>
    <w:rsid w:val="00853A60"/>
    <w:rsid w:val="00863632"/>
    <w:rsid w:val="008A6C99"/>
    <w:rsid w:val="00914F9C"/>
    <w:rsid w:val="009377EB"/>
    <w:rsid w:val="00957681"/>
    <w:rsid w:val="00991F52"/>
    <w:rsid w:val="00992AA7"/>
    <w:rsid w:val="009A4542"/>
    <w:rsid w:val="009D0CB6"/>
    <w:rsid w:val="009E2C07"/>
    <w:rsid w:val="00A05176"/>
    <w:rsid w:val="00A350D2"/>
    <w:rsid w:val="00A45D5D"/>
    <w:rsid w:val="00A66A0D"/>
    <w:rsid w:val="00A91E3A"/>
    <w:rsid w:val="00AA0532"/>
    <w:rsid w:val="00AA4469"/>
    <w:rsid w:val="00B15E93"/>
    <w:rsid w:val="00B24B46"/>
    <w:rsid w:val="00B436FD"/>
    <w:rsid w:val="00B950DF"/>
    <w:rsid w:val="00B957B8"/>
    <w:rsid w:val="00BB021F"/>
    <w:rsid w:val="00BF1A2B"/>
    <w:rsid w:val="00BF231A"/>
    <w:rsid w:val="00BF37A1"/>
    <w:rsid w:val="00C10C53"/>
    <w:rsid w:val="00C554A3"/>
    <w:rsid w:val="00C707BE"/>
    <w:rsid w:val="00C95C87"/>
    <w:rsid w:val="00C965EF"/>
    <w:rsid w:val="00CC601D"/>
    <w:rsid w:val="00CE4351"/>
    <w:rsid w:val="00D47E1B"/>
    <w:rsid w:val="00DC2DBC"/>
    <w:rsid w:val="00DD622E"/>
    <w:rsid w:val="00DE2670"/>
    <w:rsid w:val="00E04B77"/>
    <w:rsid w:val="00E2274E"/>
    <w:rsid w:val="00E34669"/>
    <w:rsid w:val="00E61551"/>
    <w:rsid w:val="00E92735"/>
    <w:rsid w:val="00EA7F21"/>
    <w:rsid w:val="00EB21A4"/>
    <w:rsid w:val="00EE069C"/>
    <w:rsid w:val="00EE56B2"/>
    <w:rsid w:val="00F00613"/>
    <w:rsid w:val="00F02A1D"/>
    <w:rsid w:val="00F05BA4"/>
    <w:rsid w:val="00F231B3"/>
    <w:rsid w:val="00FB0BE2"/>
    <w:rsid w:val="00FF6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B1A6E3"/>
  <w15:chartTrackingRefBased/>
  <w15:docId w15:val="{F6943107-DEA0-4130-9277-01943739B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707BE"/>
    <w:rPr>
      <w:sz w:val="16"/>
      <w:szCs w:val="16"/>
    </w:rPr>
  </w:style>
  <w:style w:type="paragraph" w:styleId="CommentText">
    <w:name w:val="annotation text"/>
    <w:basedOn w:val="Normal"/>
    <w:link w:val="CommentTextChar"/>
    <w:uiPriority w:val="99"/>
    <w:semiHidden/>
    <w:unhideWhenUsed/>
    <w:rsid w:val="00C707BE"/>
    <w:pPr>
      <w:spacing w:line="240" w:lineRule="auto"/>
    </w:pPr>
    <w:rPr>
      <w:sz w:val="20"/>
      <w:szCs w:val="20"/>
    </w:rPr>
  </w:style>
  <w:style w:type="character" w:customStyle="1" w:styleId="CommentTextChar">
    <w:name w:val="Comment Text Char"/>
    <w:basedOn w:val="DefaultParagraphFont"/>
    <w:link w:val="CommentText"/>
    <w:uiPriority w:val="99"/>
    <w:semiHidden/>
    <w:rsid w:val="00C707BE"/>
    <w:rPr>
      <w:sz w:val="20"/>
      <w:szCs w:val="20"/>
    </w:rPr>
  </w:style>
  <w:style w:type="paragraph" w:styleId="CommentSubject">
    <w:name w:val="annotation subject"/>
    <w:basedOn w:val="CommentText"/>
    <w:next w:val="CommentText"/>
    <w:link w:val="CommentSubjectChar"/>
    <w:uiPriority w:val="99"/>
    <w:semiHidden/>
    <w:unhideWhenUsed/>
    <w:rsid w:val="00C707BE"/>
    <w:rPr>
      <w:b/>
      <w:bCs/>
    </w:rPr>
  </w:style>
  <w:style w:type="character" w:customStyle="1" w:styleId="CommentSubjectChar">
    <w:name w:val="Comment Subject Char"/>
    <w:basedOn w:val="CommentTextChar"/>
    <w:link w:val="CommentSubject"/>
    <w:uiPriority w:val="99"/>
    <w:semiHidden/>
    <w:rsid w:val="00C707BE"/>
    <w:rPr>
      <w:b/>
      <w:bCs/>
      <w:sz w:val="20"/>
      <w:szCs w:val="20"/>
    </w:rPr>
  </w:style>
  <w:style w:type="paragraph" w:styleId="BalloonText">
    <w:name w:val="Balloon Text"/>
    <w:basedOn w:val="Normal"/>
    <w:link w:val="BalloonTextChar"/>
    <w:uiPriority w:val="99"/>
    <w:semiHidden/>
    <w:unhideWhenUsed/>
    <w:rsid w:val="00C707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7BE"/>
    <w:rPr>
      <w:rFonts w:ascii="Segoe UI" w:hAnsi="Segoe UI" w:cs="Segoe UI"/>
      <w:sz w:val="18"/>
      <w:szCs w:val="18"/>
    </w:rPr>
  </w:style>
  <w:style w:type="paragraph" w:styleId="FootnoteText">
    <w:name w:val="footnote text"/>
    <w:basedOn w:val="Normal"/>
    <w:link w:val="FootnoteTextChar"/>
    <w:uiPriority w:val="99"/>
    <w:semiHidden/>
    <w:unhideWhenUsed/>
    <w:rsid w:val="00322B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2B58"/>
    <w:rPr>
      <w:sz w:val="20"/>
      <w:szCs w:val="20"/>
    </w:rPr>
  </w:style>
  <w:style w:type="character" w:styleId="FootnoteReference">
    <w:name w:val="footnote reference"/>
    <w:basedOn w:val="DefaultParagraphFont"/>
    <w:uiPriority w:val="99"/>
    <w:semiHidden/>
    <w:unhideWhenUsed/>
    <w:rsid w:val="00322B5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3549972">
      <w:bodyDiv w:val="1"/>
      <w:marLeft w:val="0"/>
      <w:marRight w:val="0"/>
      <w:marTop w:val="0"/>
      <w:marBottom w:val="0"/>
      <w:divBdr>
        <w:top w:val="none" w:sz="0" w:space="0" w:color="auto"/>
        <w:left w:val="none" w:sz="0" w:space="0" w:color="auto"/>
        <w:bottom w:val="none" w:sz="0" w:space="0" w:color="auto"/>
        <w:right w:val="none" w:sz="0" w:space="0" w:color="auto"/>
      </w:divBdr>
    </w:div>
    <w:div w:id="844511844">
      <w:bodyDiv w:val="1"/>
      <w:marLeft w:val="0"/>
      <w:marRight w:val="0"/>
      <w:marTop w:val="0"/>
      <w:marBottom w:val="0"/>
      <w:divBdr>
        <w:top w:val="none" w:sz="0" w:space="0" w:color="auto"/>
        <w:left w:val="none" w:sz="0" w:space="0" w:color="auto"/>
        <w:bottom w:val="none" w:sz="0" w:space="0" w:color="auto"/>
        <w:right w:val="none" w:sz="0" w:space="0" w:color="auto"/>
      </w:divBdr>
    </w:div>
    <w:div w:id="1016886323">
      <w:bodyDiv w:val="1"/>
      <w:marLeft w:val="0"/>
      <w:marRight w:val="0"/>
      <w:marTop w:val="0"/>
      <w:marBottom w:val="0"/>
      <w:divBdr>
        <w:top w:val="none" w:sz="0" w:space="0" w:color="auto"/>
        <w:left w:val="none" w:sz="0" w:space="0" w:color="auto"/>
        <w:bottom w:val="none" w:sz="0" w:space="0" w:color="auto"/>
        <w:right w:val="none" w:sz="0" w:space="0" w:color="auto"/>
      </w:divBdr>
    </w:div>
    <w:div w:id="164646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521BDC-0A43-4148-A52B-27C9CEEDE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1182</Words>
  <Characters>5820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Raybould</dc:creator>
  <cp:keywords/>
  <dc:description/>
  <cp:lastModifiedBy>Liam Raybould</cp:lastModifiedBy>
  <cp:revision>2</cp:revision>
  <dcterms:created xsi:type="dcterms:W3CDTF">2018-02-12T21:13:00Z</dcterms:created>
  <dcterms:modified xsi:type="dcterms:W3CDTF">2018-02-12T21:13:00Z</dcterms:modified>
</cp:coreProperties>
</file>