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FF6084" w14:textId="77777777" w:rsidR="00550484" w:rsidRDefault="00000000">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D261A04" wp14:editId="29C0E24C">
            <wp:extent cx="5943600" cy="26416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943600" cy="2641600"/>
                    </a:xfrm>
                    <a:prstGeom prst="rect">
                      <a:avLst/>
                    </a:prstGeom>
                    <a:ln/>
                  </pic:spPr>
                </pic:pic>
              </a:graphicData>
            </a:graphic>
          </wp:inline>
        </w:drawing>
      </w:r>
    </w:p>
    <w:p w14:paraId="3426980C" w14:textId="73FEE30E" w:rsidR="00550484" w:rsidRDefault="00000000">
      <w:pPr>
        <w:spacing w:before="240"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Component </w:t>
      </w:r>
      <w:r w:rsidR="00C90A98">
        <w:rPr>
          <w:rFonts w:ascii="Times New Roman" w:eastAsia="Times New Roman" w:hAnsi="Times New Roman" w:cs="Times New Roman"/>
          <w:b/>
          <w:sz w:val="24"/>
          <w:szCs w:val="24"/>
        </w:rPr>
        <w:t>2</w:t>
      </w:r>
      <w:r>
        <w:rPr>
          <w:rFonts w:ascii="Times New Roman" w:eastAsia="Times New Roman" w:hAnsi="Times New Roman" w:cs="Times New Roman"/>
          <w:b/>
          <w:sz w:val="24"/>
          <w:szCs w:val="24"/>
        </w:rPr>
        <w:t xml:space="preserve">   : </w:t>
      </w:r>
      <w:r w:rsidR="00097554" w:rsidRPr="00097554">
        <w:rPr>
          <w:rFonts w:ascii="Times New Roman" w:eastAsia="Times New Roman" w:hAnsi="Times New Roman" w:cs="Times New Roman"/>
          <w:b/>
          <w:sz w:val="24"/>
          <w:szCs w:val="24"/>
        </w:rPr>
        <w:t>principles and practices of Data security, Governance and Compliance</w:t>
      </w:r>
    </w:p>
    <w:p w14:paraId="47A3D402" w14:textId="77777777" w:rsidR="00550484" w:rsidRDefault="00000000">
      <w:pPr>
        <w:spacing w:before="240"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Program      </w:t>
      </w:r>
      <w:r>
        <w:rPr>
          <w:rFonts w:ascii="Times New Roman" w:eastAsia="Times New Roman" w:hAnsi="Times New Roman" w:cs="Times New Roman"/>
          <w:b/>
          <w:sz w:val="24"/>
          <w:szCs w:val="24"/>
        </w:rPr>
        <w:tab/>
        <w:t>: MSC Software Engineering and AI</w:t>
      </w:r>
    </w:p>
    <w:p w14:paraId="73092DC9" w14:textId="77777777" w:rsidR="00550484" w:rsidRDefault="00000000">
      <w:pPr>
        <w:spacing w:before="240"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ID   </w:t>
      </w:r>
      <w:r>
        <w:rPr>
          <w:rFonts w:ascii="Times New Roman" w:eastAsia="Times New Roman" w:hAnsi="Times New Roman" w:cs="Times New Roman"/>
          <w:b/>
          <w:sz w:val="24"/>
          <w:szCs w:val="24"/>
        </w:rPr>
        <w:tab/>
        <w:t>: 2418717</w:t>
      </w:r>
    </w:p>
    <w:p w14:paraId="422E68C9" w14:textId="77777777" w:rsidR="00550484" w:rsidRDefault="00000000">
      <w:pPr>
        <w:spacing w:before="240"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FORUM NITINKUMAR PASTAGIA</w:t>
      </w:r>
    </w:p>
    <w:p w14:paraId="0976CF19" w14:textId="79E50BC8" w:rsidR="00550484" w:rsidRDefault="00000000">
      <w:pPr>
        <w:spacing w:before="240"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Module Code   : </w:t>
      </w:r>
      <w:r w:rsidR="00927DAF" w:rsidRPr="00927DAF">
        <w:rPr>
          <w:rFonts w:ascii="Times New Roman" w:eastAsia="Times New Roman" w:hAnsi="Times New Roman" w:cs="Times New Roman"/>
          <w:b/>
          <w:sz w:val="24"/>
          <w:szCs w:val="24"/>
        </w:rPr>
        <w:t>ACCA7028</w:t>
      </w:r>
    </w:p>
    <w:p w14:paraId="39156037" w14:textId="77777777" w:rsidR="00097554" w:rsidRDefault="00000000">
      <w:pPr>
        <w:spacing w:before="240"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Module        </w:t>
      </w:r>
      <w:r>
        <w:rPr>
          <w:rFonts w:ascii="Times New Roman" w:eastAsia="Times New Roman" w:hAnsi="Times New Roman" w:cs="Times New Roman"/>
          <w:b/>
          <w:sz w:val="24"/>
          <w:szCs w:val="24"/>
        </w:rPr>
        <w:tab/>
        <w:t xml:space="preserve">: </w:t>
      </w:r>
      <w:r w:rsidR="00097554" w:rsidRPr="00097554">
        <w:rPr>
          <w:rFonts w:ascii="Times New Roman" w:eastAsia="Times New Roman" w:hAnsi="Times New Roman" w:cs="Times New Roman"/>
          <w:b/>
          <w:sz w:val="24"/>
          <w:szCs w:val="24"/>
        </w:rPr>
        <w:t>Data Security, Governance and Compliance</w:t>
      </w:r>
    </w:p>
    <w:p w14:paraId="78DAFCD5" w14:textId="1BB58837" w:rsidR="00550484" w:rsidRDefault="00000000">
      <w:pPr>
        <w:spacing w:before="240"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Lecturer      </w:t>
      </w:r>
      <w:r>
        <w:rPr>
          <w:rFonts w:ascii="Times New Roman" w:eastAsia="Times New Roman" w:hAnsi="Times New Roman" w:cs="Times New Roman"/>
          <w:b/>
          <w:sz w:val="24"/>
          <w:szCs w:val="24"/>
        </w:rPr>
        <w:tab/>
        <w:t xml:space="preserve">: </w:t>
      </w:r>
      <w:r w:rsidR="00097554" w:rsidRPr="00097554">
        <w:rPr>
          <w:rFonts w:ascii="Times New Roman" w:eastAsia="Times New Roman" w:hAnsi="Times New Roman" w:cs="Times New Roman"/>
          <w:b/>
          <w:sz w:val="24"/>
          <w:szCs w:val="24"/>
        </w:rPr>
        <w:t>Dr Mohamed Ben Farah</w:t>
      </w:r>
    </w:p>
    <w:p w14:paraId="0422666D"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36C01E91"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036178A5"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4D5E0EDC"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2C6CDB40"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6723EB1B"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67FF683D"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4C4EC88C"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05707B47"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47361328"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sdt>
      <w:sdtPr>
        <w:rPr>
          <w:rFonts w:ascii="Calibri" w:eastAsia="Calibri" w:hAnsi="Calibri" w:cs="Calibri"/>
          <w:color w:val="auto"/>
          <w:sz w:val="22"/>
          <w:szCs w:val="22"/>
          <w:lang w:val="en" w:eastAsia="en-IN"/>
        </w:rPr>
        <w:id w:val="143020884"/>
        <w:docPartObj>
          <w:docPartGallery w:val="Table of Contents"/>
          <w:docPartUnique/>
        </w:docPartObj>
      </w:sdtPr>
      <w:sdtEndPr>
        <w:rPr>
          <w:b/>
          <w:bCs/>
          <w:noProof/>
        </w:rPr>
      </w:sdtEndPr>
      <w:sdtContent>
        <w:p w14:paraId="7C077831" w14:textId="44CB33B7" w:rsidR="00927DAF" w:rsidRDefault="00927DAF">
          <w:pPr>
            <w:pStyle w:val="TOCHeading"/>
          </w:pPr>
          <w:r>
            <w:t>Contents</w:t>
          </w:r>
        </w:p>
        <w:p w14:paraId="4FB7E55F" w14:textId="3757A716" w:rsidR="00927DAF" w:rsidRDefault="00927DAF">
          <w:pPr>
            <w:pStyle w:val="TOC1"/>
            <w:tabs>
              <w:tab w:val="right" w:leader="dot" w:pos="9350"/>
            </w:tabs>
            <w:rPr>
              <w:noProof/>
            </w:rPr>
          </w:pPr>
          <w:r>
            <w:fldChar w:fldCharType="begin"/>
          </w:r>
          <w:r>
            <w:instrText xml:space="preserve"> TOC \o "1-3" \h \z \u </w:instrText>
          </w:r>
          <w:r>
            <w:fldChar w:fldCharType="separate"/>
          </w:r>
          <w:hyperlink w:anchor="_Toc204858813" w:history="1">
            <w:r w:rsidRPr="00013B0C">
              <w:rPr>
                <w:rStyle w:val="Hyperlink"/>
                <w:rFonts w:ascii="Times New Roman" w:eastAsia="Times New Roman" w:hAnsi="Times New Roman" w:cs="Times New Roman"/>
                <w:noProof/>
              </w:rPr>
              <w:t>Abstract</w:t>
            </w:r>
            <w:r>
              <w:rPr>
                <w:noProof/>
                <w:webHidden/>
              </w:rPr>
              <w:tab/>
            </w:r>
            <w:r>
              <w:rPr>
                <w:noProof/>
                <w:webHidden/>
              </w:rPr>
              <w:fldChar w:fldCharType="begin"/>
            </w:r>
            <w:r>
              <w:rPr>
                <w:noProof/>
                <w:webHidden/>
              </w:rPr>
              <w:instrText xml:space="preserve"> PAGEREF _Toc204858813 \h </w:instrText>
            </w:r>
            <w:r>
              <w:rPr>
                <w:noProof/>
                <w:webHidden/>
              </w:rPr>
            </w:r>
            <w:r>
              <w:rPr>
                <w:noProof/>
                <w:webHidden/>
              </w:rPr>
              <w:fldChar w:fldCharType="separate"/>
            </w:r>
            <w:r>
              <w:rPr>
                <w:noProof/>
                <w:webHidden/>
              </w:rPr>
              <w:t>3</w:t>
            </w:r>
            <w:r>
              <w:rPr>
                <w:noProof/>
                <w:webHidden/>
              </w:rPr>
              <w:fldChar w:fldCharType="end"/>
            </w:r>
          </w:hyperlink>
        </w:p>
        <w:p w14:paraId="5CE74E18" w14:textId="1663870C" w:rsidR="00927DAF" w:rsidRDefault="00927DAF">
          <w:pPr>
            <w:pStyle w:val="TOC1"/>
            <w:tabs>
              <w:tab w:val="right" w:leader="dot" w:pos="9350"/>
            </w:tabs>
            <w:rPr>
              <w:noProof/>
            </w:rPr>
          </w:pPr>
          <w:hyperlink w:anchor="_Toc204858814" w:history="1">
            <w:r w:rsidRPr="00013B0C">
              <w:rPr>
                <w:rStyle w:val="Hyperlink"/>
                <w:rFonts w:ascii="Times New Roman" w:eastAsia="Times New Roman" w:hAnsi="Times New Roman" w:cs="Times New Roman"/>
                <w:noProof/>
              </w:rPr>
              <w:t>Introduction</w:t>
            </w:r>
            <w:r>
              <w:rPr>
                <w:noProof/>
                <w:webHidden/>
              </w:rPr>
              <w:tab/>
            </w:r>
            <w:r>
              <w:rPr>
                <w:noProof/>
                <w:webHidden/>
              </w:rPr>
              <w:fldChar w:fldCharType="begin"/>
            </w:r>
            <w:r>
              <w:rPr>
                <w:noProof/>
                <w:webHidden/>
              </w:rPr>
              <w:instrText xml:space="preserve"> PAGEREF _Toc204858814 \h </w:instrText>
            </w:r>
            <w:r>
              <w:rPr>
                <w:noProof/>
                <w:webHidden/>
              </w:rPr>
            </w:r>
            <w:r>
              <w:rPr>
                <w:noProof/>
                <w:webHidden/>
              </w:rPr>
              <w:fldChar w:fldCharType="separate"/>
            </w:r>
            <w:r>
              <w:rPr>
                <w:noProof/>
                <w:webHidden/>
              </w:rPr>
              <w:t>3</w:t>
            </w:r>
            <w:r>
              <w:rPr>
                <w:noProof/>
                <w:webHidden/>
              </w:rPr>
              <w:fldChar w:fldCharType="end"/>
            </w:r>
          </w:hyperlink>
        </w:p>
        <w:p w14:paraId="30ABCDBB" w14:textId="6170BF01" w:rsidR="00927DAF" w:rsidRDefault="00927DAF">
          <w:pPr>
            <w:pStyle w:val="TOC2"/>
            <w:tabs>
              <w:tab w:val="right" w:leader="dot" w:pos="9350"/>
            </w:tabs>
            <w:rPr>
              <w:noProof/>
            </w:rPr>
          </w:pPr>
          <w:hyperlink w:anchor="_Toc204858815" w:history="1">
            <w:r w:rsidRPr="00013B0C">
              <w:rPr>
                <w:rStyle w:val="Hyperlink"/>
                <w:rFonts w:ascii="Times New Roman" w:eastAsia="Times New Roman" w:hAnsi="Times New Roman" w:cs="Times New Roman"/>
                <w:noProof/>
              </w:rPr>
              <w:t>2. Review of Security Frameworks and Models</w:t>
            </w:r>
            <w:r>
              <w:rPr>
                <w:noProof/>
                <w:webHidden/>
              </w:rPr>
              <w:tab/>
            </w:r>
            <w:r>
              <w:rPr>
                <w:noProof/>
                <w:webHidden/>
              </w:rPr>
              <w:fldChar w:fldCharType="begin"/>
            </w:r>
            <w:r>
              <w:rPr>
                <w:noProof/>
                <w:webHidden/>
              </w:rPr>
              <w:instrText xml:space="preserve"> PAGEREF _Toc204858815 \h </w:instrText>
            </w:r>
            <w:r>
              <w:rPr>
                <w:noProof/>
                <w:webHidden/>
              </w:rPr>
            </w:r>
            <w:r>
              <w:rPr>
                <w:noProof/>
                <w:webHidden/>
              </w:rPr>
              <w:fldChar w:fldCharType="separate"/>
            </w:r>
            <w:r>
              <w:rPr>
                <w:noProof/>
                <w:webHidden/>
              </w:rPr>
              <w:t>4</w:t>
            </w:r>
            <w:r>
              <w:rPr>
                <w:noProof/>
                <w:webHidden/>
              </w:rPr>
              <w:fldChar w:fldCharType="end"/>
            </w:r>
          </w:hyperlink>
        </w:p>
        <w:p w14:paraId="4A003EB3" w14:textId="1CD24502" w:rsidR="00927DAF" w:rsidRDefault="00927DAF">
          <w:pPr>
            <w:pStyle w:val="TOC3"/>
            <w:tabs>
              <w:tab w:val="right" w:leader="dot" w:pos="9350"/>
            </w:tabs>
            <w:rPr>
              <w:noProof/>
            </w:rPr>
          </w:pPr>
          <w:hyperlink w:anchor="_Toc204858816" w:history="1">
            <w:r w:rsidRPr="00013B0C">
              <w:rPr>
                <w:rStyle w:val="Hyperlink"/>
                <w:rFonts w:ascii="Times New Roman" w:eastAsia="Times New Roman" w:hAnsi="Times New Roman" w:cs="Times New Roman"/>
                <w:noProof/>
              </w:rPr>
              <w:t>2.1 ISO/IEC 27001</w:t>
            </w:r>
            <w:r>
              <w:rPr>
                <w:noProof/>
                <w:webHidden/>
              </w:rPr>
              <w:tab/>
            </w:r>
            <w:r>
              <w:rPr>
                <w:noProof/>
                <w:webHidden/>
              </w:rPr>
              <w:fldChar w:fldCharType="begin"/>
            </w:r>
            <w:r>
              <w:rPr>
                <w:noProof/>
                <w:webHidden/>
              </w:rPr>
              <w:instrText xml:space="preserve"> PAGEREF _Toc204858816 \h </w:instrText>
            </w:r>
            <w:r>
              <w:rPr>
                <w:noProof/>
                <w:webHidden/>
              </w:rPr>
            </w:r>
            <w:r>
              <w:rPr>
                <w:noProof/>
                <w:webHidden/>
              </w:rPr>
              <w:fldChar w:fldCharType="separate"/>
            </w:r>
            <w:r>
              <w:rPr>
                <w:noProof/>
                <w:webHidden/>
              </w:rPr>
              <w:t>4</w:t>
            </w:r>
            <w:r>
              <w:rPr>
                <w:noProof/>
                <w:webHidden/>
              </w:rPr>
              <w:fldChar w:fldCharType="end"/>
            </w:r>
          </w:hyperlink>
        </w:p>
        <w:p w14:paraId="0672229C" w14:textId="369A40C5" w:rsidR="00927DAF" w:rsidRDefault="00927DAF">
          <w:pPr>
            <w:pStyle w:val="TOC3"/>
            <w:tabs>
              <w:tab w:val="right" w:leader="dot" w:pos="9350"/>
            </w:tabs>
            <w:rPr>
              <w:noProof/>
            </w:rPr>
          </w:pPr>
          <w:hyperlink w:anchor="_Toc204858817" w:history="1">
            <w:r w:rsidRPr="00013B0C">
              <w:rPr>
                <w:rStyle w:val="Hyperlink"/>
                <w:rFonts w:ascii="Times New Roman" w:eastAsia="Times New Roman" w:hAnsi="Times New Roman" w:cs="Times New Roman"/>
                <w:noProof/>
              </w:rPr>
              <w:t>2.2 ITIL (Information Technology Infrastructure Library)</w:t>
            </w:r>
            <w:r>
              <w:rPr>
                <w:noProof/>
                <w:webHidden/>
              </w:rPr>
              <w:tab/>
            </w:r>
            <w:r>
              <w:rPr>
                <w:noProof/>
                <w:webHidden/>
              </w:rPr>
              <w:fldChar w:fldCharType="begin"/>
            </w:r>
            <w:r>
              <w:rPr>
                <w:noProof/>
                <w:webHidden/>
              </w:rPr>
              <w:instrText xml:space="preserve"> PAGEREF _Toc204858817 \h </w:instrText>
            </w:r>
            <w:r>
              <w:rPr>
                <w:noProof/>
                <w:webHidden/>
              </w:rPr>
            </w:r>
            <w:r>
              <w:rPr>
                <w:noProof/>
                <w:webHidden/>
              </w:rPr>
              <w:fldChar w:fldCharType="separate"/>
            </w:r>
            <w:r>
              <w:rPr>
                <w:noProof/>
                <w:webHidden/>
              </w:rPr>
              <w:t>5</w:t>
            </w:r>
            <w:r>
              <w:rPr>
                <w:noProof/>
                <w:webHidden/>
              </w:rPr>
              <w:fldChar w:fldCharType="end"/>
            </w:r>
          </w:hyperlink>
        </w:p>
        <w:p w14:paraId="63A67C62" w14:textId="42257F67" w:rsidR="00927DAF" w:rsidRDefault="00927DAF">
          <w:pPr>
            <w:pStyle w:val="TOC3"/>
            <w:tabs>
              <w:tab w:val="right" w:leader="dot" w:pos="9350"/>
            </w:tabs>
            <w:rPr>
              <w:noProof/>
            </w:rPr>
          </w:pPr>
          <w:hyperlink w:anchor="_Toc204858818" w:history="1">
            <w:r w:rsidRPr="00013B0C">
              <w:rPr>
                <w:rStyle w:val="Hyperlink"/>
                <w:rFonts w:ascii="Times New Roman" w:eastAsia="Times New Roman" w:hAnsi="Times New Roman" w:cs="Times New Roman"/>
                <w:noProof/>
              </w:rPr>
              <w:t>2.3 NIST Cybersecurity Framework (CSF)</w:t>
            </w:r>
            <w:r>
              <w:rPr>
                <w:noProof/>
                <w:webHidden/>
              </w:rPr>
              <w:tab/>
            </w:r>
            <w:r>
              <w:rPr>
                <w:noProof/>
                <w:webHidden/>
              </w:rPr>
              <w:fldChar w:fldCharType="begin"/>
            </w:r>
            <w:r>
              <w:rPr>
                <w:noProof/>
                <w:webHidden/>
              </w:rPr>
              <w:instrText xml:space="preserve"> PAGEREF _Toc204858818 \h </w:instrText>
            </w:r>
            <w:r>
              <w:rPr>
                <w:noProof/>
                <w:webHidden/>
              </w:rPr>
            </w:r>
            <w:r>
              <w:rPr>
                <w:noProof/>
                <w:webHidden/>
              </w:rPr>
              <w:fldChar w:fldCharType="separate"/>
            </w:r>
            <w:r>
              <w:rPr>
                <w:noProof/>
                <w:webHidden/>
              </w:rPr>
              <w:t>6</w:t>
            </w:r>
            <w:r>
              <w:rPr>
                <w:noProof/>
                <w:webHidden/>
              </w:rPr>
              <w:fldChar w:fldCharType="end"/>
            </w:r>
          </w:hyperlink>
        </w:p>
        <w:p w14:paraId="04FEA0E9" w14:textId="08A5D7C9" w:rsidR="00927DAF" w:rsidRDefault="00927DAF">
          <w:pPr>
            <w:pStyle w:val="TOC3"/>
            <w:tabs>
              <w:tab w:val="right" w:leader="dot" w:pos="9350"/>
            </w:tabs>
            <w:rPr>
              <w:noProof/>
            </w:rPr>
          </w:pPr>
          <w:hyperlink w:anchor="_Toc204858819" w:history="1">
            <w:r w:rsidRPr="00013B0C">
              <w:rPr>
                <w:rStyle w:val="Hyperlink"/>
                <w:rFonts w:ascii="Times New Roman" w:eastAsia="Times New Roman" w:hAnsi="Times New Roman" w:cs="Times New Roman"/>
                <w:noProof/>
              </w:rPr>
              <w:t>2.4 COBIT 2019</w:t>
            </w:r>
            <w:r>
              <w:rPr>
                <w:noProof/>
                <w:webHidden/>
              </w:rPr>
              <w:tab/>
            </w:r>
            <w:r>
              <w:rPr>
                <w:noProof/>
                <w:webHidden/>
              </w:rPr>
              <w:fldChar w:fldCharType="begin"/>
            </w:r>
            <w:r>
              <w:rPr>
                <w:noProof/>
                <w:webHidden/>
              </w:rPr>
              <w:instrText xml:space="preserve"> PAGEREF _Toc204858819 \h </w:instrText>
            </w:r>
            <w:r>
              <w:rPr>
                <w:noProof/>
                <w:webHidden/>
              </w:rPr>
            </w:r>
            <w:r>
              <w:rPr>
                <w:noProof/>
                <w:webHidden/>
              </w:rPr>
              <w:fldChar w:fldCharType="separate"/>
            </w:r>
            <w:r>
              <w:rPr>
                <w:noProof/>
                <w:webHidden/>
              </w:rPr>
              <w:t>7</w:t>
            </w:r>
            <w:r>
              <w:rPr>
                <w:noProof/>
                <w:webHidden/>
              </w:rPr>
              <w:fldChar w:fldCharType="end"/>
            </w:r>
          </w:hyperlink>
        </w:p>
        <w:p w14:paraId="376FADF0" w14:textId="7AB09170" w:rsidR="00927DAF" w:rsidRDefault="00927DAF">
          <w:pPr>
            <w:pStyle w:val="TOC2"/>
            <w:tabs>
              <w:tab w:val="right" w:leader="dot" w:pos="9350"/>
            </w:tabs>
            <w:rPr>
              <w:noProof/>
            </w:rPr>
          </w:pPr>
          <w:hyperlink w:anchor="_Toc204858820" w:history="1">
            <w:r w:rsidRPr="00013B0C">
              <w:rPr>
                <w:rStyle w:val="Hyperlink"/>
                <w:rFonts w:ascii="Times New Roman" w:eastAsia="Times New Roman" w:hAnsi="Times New Roman" w:cs="Times New Roman"/>
                <w:noProof/>
              </w:rPr>
              <w:t>3. Comparison and Analysis of Frameworks</w:t>
            </w:r>
            <w:r>
              <w:rPr>
                <w:noProof/>
                <w:webHidden/>
              </w:rPr>
              <w:tab/>
            </w:r>
            <w:r>
              <w:rPr>
                <w:noProof/>
                <w:webHidden/>
              </w:rPr>
              <w:fldChar w:fldCharType="begin"/>
            </w:r>
            <w:r>
              <w:rPr>
                <w:noProof/>
                <w:webHidden/>
              </w:rPr>
              <w:instrText xml:space="preserve"> PAGEREF _Toc204858820 \h </w:instrText>
            </w:r>
            <w:r>
              <w:rPr>
                <w:noProof/>
                <w:webHidden/>
              </w:rPr>
            </w:r>
            <w:r>
              <w:rPr>
                <w:noProof/>
                <w:webHidden/>
              </w:rPr>
              <w:fldChar w:fldCharType="separate"/>
            </w:r>
            <w:r>
              <w:rPr>
                <w:noProof/>
                <w:webHidden/>
              </w:rPr>
              <w:t>8</w:t>
            </w:r>
            <w:r>
              <w:rPr>
                <w:noProof/>
                <w:webHidden/>
              </w:rPr>
              <w:fldChar w:fldCharType="end"/>
            </w:r>
          </w:hyperlink>
        </w:p>
        <w:p w14:paraId="527098DE" w14:textId="40F1EB78" w:rsidR="00927DAF" w:rsidRDefault="00927DAF">
          <w:pPr>
            <w:pStyle w:val="TOC2"/>
            <w:tabs>
              <w:tab w:val="right" w:leader="dot" w:pos="9350"/>
            </w:tabs>
            <w:rPr>
              <w:noProof/>
            </w:rPr>
          </w:pPr>
          <w:hyperlink w:anchor="_Toc204858821" w:history="1">
            <w:r w:rsidRPr="00013B0C">
              <w:rPr>
                <w:rStyle w:val="Hyperlink"/>
                <w:rFonts w:ascii="Times New Roman" w:eastAsia="Times New Roman" w:hAnsi="Times New Roman" w:cs="Times New Roman"/>
                <w:noProof/>
              </w:rPr>
              <w:t>4. Governance Structure Recommendation</w:t>
            </w:r>
            <w:r>
              <w:rPr>
                <w:noProof/>
                <w:webHidden/>
              </w:rPr>
              <w:tab/>
            </w:r>
            <w:r>
              <w:rPr>
                <w:noProof/>
                <w:webHidden/>
              </w:rPr>
              <w:fldChar w:fldCharType="begin"/>
            </w:r>
            <w:r>
              <w:rPr>
                <w:noProof/>
                <w:webHidden/>
              </w:rPr>
              <w:instrText xml:space="preserve"> PAGEREF _Toc204858821 \h </w:instrText>
            </w:r>
            <w:r>
              <w:rPr>
                <w:noProof/>
                <w:webHidden/>
              </w:rPr>
            </w:r>
            <w:r>
              <w:rPr>
                <w:noProof/>
                <w:webHidden/>
              </w:rPr>
              <w:fldChar w:fldCharType="separate"/>
            </w:r>
            <w:r>
              <w:rPr>
                <w:noProof/>
                <w:webHidden/>
              </w:rPr>
              <w:t>8</w:t>
            </w:r>
            <w:r>
              <w:rPr>
                <w:noProof/>
                <w:webHidden/>
              </w:rPr>
              <w:fldChar w:fldCharType="end"/>
            </w:r>
          </w:hyperlink>
        </w:p>
        <w:p w14:paraId="44A55DD5" w14:textId="771FEF54" w:rsidR="00927DAF" w:rsidRDefault="00927DAF">
          <w:pPr>
            <w:pStyle w:val="TOC2"/>
            <w:tabs>
              <w:tab w:val="right" w:leader="dot" w:pos="9350"/>
            </w:tabs>
            <w:rPr>
              <w:noProof/>
            </w:rPr>
          </w:pPr>
          <w:hyperlink w:anchor="_Toc204858822" w:history="1">
            <w:r w:rsidRPr="00013B0C">
              <w:rPr>
                <w:rStyle w:val="Hyperlink"/>
                <w:rFonts w:ascii="Times New Roman" w:eastAsia="Times New Roman" w:hAnsi="Times New Roman" w:cs="Times New Roman"/>
                <w:noProof/>
              </w:rPr>
              <w:t>5. Recommendations</w:t>
            </w:r>
            <w:r>
              <w:rPr>
                <w:noProof/>
                <w:webHidden/>
              </w:rPr>
              <w:tab/>
            </w:r>
            <w:r>
              <w:rPr>
                <w:noProof/>
                <w:webHidden/>
              </w:rPr>
              <w:fldChar w:fldCharType="begin"/>
            </w:r>
            <w:r>
              <w:rPr>
                <w:noProof/>
                <w:webHidden/>
              </w:rPr>
              <w:instrText xml:space="preserve"> PAGEREF _Toc204858822 \h </w:instrText>
            </w:r>
            <w:r>
              <w:rPr>
                <w:noProof/>
                <w:webHidden/>
              </w:rPr>
            </w:r>
            <w:r>
              <w:rPr>
                <w:noProof/>
                <w:webHidden/>
              </w:rPr>
              <w:fldChar w:fldCharType="separate"/>
            </w:r>
            <w:r>
              <w:rPr>
                <w:noProof/>
                <w:webHidden/>
              </w:rPr>
              <w:t>8</w:t>
            </w:r>
            <w:r>
              <w:rPr>
                <w:noProof/>
                <w:webHidden/>
              </w:rPr>
              <w:fldChar w:fldCharType="end"/>
            </w:r>
          </w:hyperlink>
        </w:p>
        <w:p w14:paraId="170D7E69" w14:textId="79438E3C" w:rsidR="00927DAF" w:rsidRDefault="00927DAF">
          <w:pPr>
            <w:pStyle w:val="TOC1"/>
            <w:tabs>
              <w:tab w:val="right" w:leader="dot" w:pos="9350"/>
            </w:tabs>
            <w:rPr>
              <w:noProof/>
            </w:rPr>
          </w:pPr>
          <w:hyperlink w:anchor="_Toc204858823" w:history="1">
            <w:r w:rsidRPr="00013B0C">
              <w:rPr>
                <w:rStyle w:val="Hyperlink"/>
                <w:rFonts w:ascii="Times New Roman" w:eastAsia="Times New Roman" w:hAnsi="Times New Roman" w:cs="Times New Roman"/>
                <w:noProof/>
              </w:rPr>
              <w:t xml:space="preserve">2a. Designing an Approach for NatureGarden’s Information System Security, Governance, and </w:t>
            </w:r>
            <w:r>
              <w:rPr>
                <w:rStyle w:val="Hyperlink"/>
                <w:rFonts w:ascii="Times New Roman" w:eastAsia="Times New Roman" w:hAnsi="Times New Roman" w:cs="Times New Roman"/>
                <w:noProof/>
              </w:rPr>
              <w:t xml:space="preserve">  </w:t>
            </w:r>
            <w:r w:rsidRPr="00013B0C">
              <w:rPr>
                <w:rStyle w:val="Hyperlink"/>
                <w:rFonts w:ascii="Times New Roman" w:eastAsia="Times New Roman" w:hAnsi="Times New Roman" w:cs="Times New Roman"/>
                <w:noProof/>
              </w:rPr>
              <w:t>Compliance</w:t>
            </w:r>
            <w:r>
              <w:rPr>
                <w:noProof/>
                <w:webHidden/>
              </w:rPr>
              <w:tab/>
            </w:r>
            <w:r>
              <w:rPr>
                <w:noProof/>
                <w:webHidden/>
              </w:rPr>
              <w:fldChar w:fldCharType="begin"/>
            </w:r>
            <w:r>
              <w:rPr>
                <w:noProof/>
                <w:webHidden/>
              </w:rPr>
              <w:instrText xml:space="preserve"> PAGEREF _Toc204858823 \h </w:instrText>
            </w:r>
            <w:r>
              <w:rPr>
                <w:noProof/>
                <w:webHidden/>
              </w:rPr>
            </w:r>
            <w:r>
              <w:rPr>
                <w:noProof/>
                <w:webHidden/>
              </w:rPr>
              <w:fldChar w:fldCharType="separate"/>
            </w:r>
            <w:r>
              <w:rPr>
                <w:noProof/>
                <w:webHidden/>
              </w:rPr>
              <w:t>9</w:t>
            </w:r>
            <w:r>
              <w:rPr>
                <w:noProof/>
                <w:webHidden/>
              </w:rPr>
              <w:fldChar w:fldCharType="end"/>
            </w:r>
          </w:hyperlink>
        </w:p>
        <w:p w14:paraId="7BB7474D" w14:textId="4E6A867F" w:rsidR="00927DAF" w:rsidRDefault="00927DAF">
          <w:pPr>
            <w:pStyle w:val="TOC2"/>
            <w:tabs>
              <w:tab w:val="right" w:leader="dot" w:pos="9350"/>
            </w:tabs>
            <w:rPr>
              <w:noProof/>
            </w:rPr>
          </w:pPr>
          <w:hyperlink w:anchor="_Toc204858824" w:history="1">
            <w:r w:rsidRPr="00013B0C">
              <w:rPr>
                <w:rStyle w:val="Hyperlink"/>
                <w:rFonts w:ascii="Times New Roman" w:eastAsia="Times New Roman" w:hAnsi="Times New Roman" w:cs="Times New Roman"/>
                <w:noProof/>
              </w:rPr>
              <w:t>Context &amp; Requirements</w:t>
            </w:r>
            <w:r>
              <w:rPr>
                <w:noProof/>
                <w:webHidden/>
              </w:rPr>
              <w:tab/>
            </w:r>
            <w:r>
              <w:rPr>
                <w:noProof/>
                <w:webHidden/>
              </w:rPr>
              <w:fldChar w:fldCharType="begin"/>
            </w:r>
            <w:r>
              <w:rPr>
                <w:noProof/>
                <w:webHidden/>
              </w:rPr>
              <w:instrText xml:space="preserve"> PAGEREF _Toc204858824 \h </w:instrText>
            </w:r>
            <w:r>
              <w:rPr>
                <w:noProof/>
                <w:webHidden/>
              </w:rPr>
            </w:r>
            <w:r>
              <w:rPr>
                <w:noProof/>
                <w:webHidden/>
              </w:rPr>
              <w:fldChar w:fldCharType="separate"/>
            </w:r>
            <w:r>
              <w:rPr>
                <w:noProof/>
                <w:webHidden/>
              </w:rPr>
              <w:t>9</w:t>
            </w:r>
            <w:r>
              <w:rPr>
                <w:noProof/>
                <w:webHidden/>
              </w:rPr>
              <w:fldChar w:fldCharType="end"/>
            </w:r>
          </w:hyperlink>
        </w:p>
        <w:p w14:paraId="413747EA" w14:textId="645BFD5B" w:rsidR="00927DAF" w:rsidRDefault="00927DAF" w:rsidP="00927DAF">
          <w:pPr>
            <w:pStyle w:val="TOC2"/>
            <w:tabs>
              <w:tab w:val="right" w:leader="dot" w:pos="9350"/>
            </w:tabs>
            <w:ind w:left="0"/>
            <w:rPr>
              <w:noProof/>
            </w:rPr>
          </w:pPr>
          <w:hyperlink w:anchor="_Toc204858825" w:history="1">
            <w:r w:rsidRPr="00013B0C">
              <w:rPr>
                <w:rStyle w:val="Hyperlink"/>
                <w:rFonts w:ascii="Times New Roman" w:eastAsia="Times New Roman" w:hAnsi="Times New Roman" w:cs="Times New Roman"/>
                <w:noProof/>
              </w:rPr>
              <w:t>2b. Expanded Discussion on the Importance of Updating Regulations and Standards</w:t>
            </w:r>
            <w:r>
              <w:rPr>
                <w:noProof/>
                <w:webHidden/>
              </w:rPr>
              <w:tab/>
            </w:r>
            <w:r>
              <w:rPr>
                <w:noProof/>
                <w:webHidden/>
              </w:rPr>
              <w:fldChar w:fldCharType="begin"/>
            </w:r>
            <w:r>
              <w:rPr>
                <w:noProof/>
                <w:webHidden/>
              </w:rPr>
              <w:instrText xml:space="preserve"> PAGEREF _Toc204858825 \h </w:instrText>
            </w:r>
            <w:r>
              <w:rPr>
                <w:noProof/>
                <w:webHidden/>
              </w:rPr>
            </w:r>
            <w:r>
              <w:rPr>
                <w:noProof/>
                <w:webHidden/>
              </w:rPr>
              <w:fldChar w:fldCharType="separate"/>
            </w:r>
            <w:r>
              <w:rPr>
                <w:noProof/>
                <w:webHidden/>
              </w:rPr>
              <w:t>10</w:t>
            </w:r>
            <w:r>
              <w:rPr>
                <w:noProof/>
                <w:webHidden/>
              </w:rPr>
              <w:fldChar w:fldCharType="end"/>
            </w:r>
          </w:hyperlink>
        </w:p>
        <w:p w14:paraId="00CEA810" w14:textId="60BC5ABA" w:rsidR="00927DAF" w:rsidRDefault="00927DAF">
          <w:pPr>
            <w:pStyle w:val="TOC2"/>
            <w:tabs>
              <w:tab w:val="right" w:leader="dot" w:pos="9350"/>
            </w:tabs>
            <w:rPr>
              <w:noProof/>
            </w:rPr>
          </w:pPr>
          <w:hyperlink w:anchor="_Toc204858826" w:history="1">
            <w:r w:rsidRPr="00013B0C">
              <w:rPr>
                <w:rStyle w:val="Hyperlink"/>
                <w:rFonts w:ascii="Times New Roman" w:eastAsia="Times New Roman" w:hAnsi="Times New Roman" w:cs="Times New Roman"/>
                <w:noProof/>
              </w:rPr>
              <w:t>Evolving Cyber Threats Require Continuous Adaptation</w:t>
            </w:r>
            <w:r>
              <w:rPr>
                <w:noProof/>
                <w:webHidden/>
              </w:rPr>
              <w:tab/>
            </w:r>
            <w:r>
              <w:rPr>
                <w:noProof/>
                <w:webHidden/>
              </w:rPr>
              <w:fldChar w:fldCharType="begin"/>
            </w:r>
            <w:r>
              <w:rPr>
                <w:noProof/>
                <w:webHidden/>
              </w:rPr>
              <w:instrText xml:space="preserve"> PAGEREF _Toc204858826 \h </w:instrText>
            </w:r>
            <w:r>
              <w:rPr>
                <w:noProof/>
                <w:webHidden/>
              </w:rPr>
            </w:r>
            <w:r>
              <w:rPr>
                <w:noProof/>
                <w:webHidden/>
              </w:rPr>
              <w:fldChar w:fldCharType="separate"/>
            </w:r>
            <w:r>
              <w:rPr>
                <w:noProof/>
                <w:webHidden/>
              </w:rPr>
              <w:t>10</w:t>
            </w:r>
            <w:r>
              <w:rPr>
                <w:noProof/>
                <w:webHidden/>
              </w:rPr>
              <w:fldChar w:fldCharType="end"/>
            </w:r>
          </w:hyperlink>
        </w:p>
        <w:p w14:paraId="13122F4E" w14:textId="2E19BCA7" w:rsidR="00927DAF" w:rsidRDefault="00927DAF">
          <w:pPr>
            <w:pStyle w:val="TOC3"/>
            <w:tabs>
              <w:tab w:val="right" w:leader="dot" w:pos="9350"/>
            </w:tabs>
            <w:rPr>
              <w:noProof/>
            </w:rPr>
          </w:pPr>
          <w:hyperlink w:anchor="_Toc204858827" w:history="1">
            <w:r w:rsidRPr="00013B0C">
              <w:rPr>
                <w:rStyle w:val="Hyperlink"/>
                <w:rFonts w:ascii="Times New Roman" w:eastAsia="Times New Roman" w:hAnsi="Times New Roman" w:cs="Times New Roman"/>
                <w:noProof/>
              </w:rPr>
              <w:t>Technological Progress Brings New Security Challenges</w:t>
            </w:r>
            <w:r>
              <w:rPr>
                <w:noProof/>
                <w:webHidden/>
              </w:rPr>
              <w:tab/>
            </w:r>
            <w:r>
              <w:rPr>
                <w:noProof/>
                <w:webHidden/>
              </w:rPr>
              <w:fldChar w:fldCharType="begin"/>
            </w:r>
            <w:r>
              <w:rPr>
                <w:noProof/>
                <w:webHidden/>
              </w:rPr>
              <w:instrText xml:space="preserve"> PAGEREF _Toc204858827 \h </w:instrText>
            </w:r>
            <w:r>
              <w:rPr>
                <w:noProof/>
                <w:webHidden/>
              </w:rPr>
            </w:r>
            <w:r>
              <w:rPr>
                <w:noProof/>
                <w:webHidden/>
              </w:rPr>
              <w:fldChar w:fldCharType="separate"/>
            </w:r>
            <w:r>
              <w:rPr>
                <w:noProof/>
                <w:webHidden/>
              </w:rPr>
              <w:t>10</w:t>
            </w:r>
            <w:r>
              <w:rPr>
                <w:noProof/>
                <w:webHidden/>
              </w:rPr>
              <w:fldChar w:fldCharType="end"/>
            </w:r>
          </w:hyperlink>
        </w:p>
        <w:p w14:paraId="3BAD6D5F" w14:textId="0A9C8600" w:rsidR="00927DAF" w:rsidRDefault="00927DAF">
          <w:pPr>
            <w:pStyle w:val="TOC3"/>
            <w:tabs>
              <w:tab w:val="right" w:leader="dot" w:pos="9350"/>
            </w:tabs>
            <w:rPr>
              <w:noProof/>
            </w:rPr>
          </w:pPr>
          <w:hyperlink w:anchor="_Toc204858828" w:history="1">
            <w:r w:rsidRPr="00013B0C">
              <w:rPr>
                <w:rStyle w:val="Hyperlink"/>
                <w:rFonts w:ascii="Times New Roman" w:eastAsia="Times New Roman" w:hAnsi="Times New Roman" w:cs="Times New Roman"/>
                <w:noProof/>
              </w:rPr>
              <w:t>Legal and Regulatory Landscape Shifts</w:t>
            </w:r>
            <w:r>
              <w:rPr>
                <w:noProof/>
                <w:webHidden/>
              </w:rPr>
              <w:tab/>
            </w:r>
            <w:r>
              <w:rPr>
                <w:noProof/>
                <w:webHidden/>
              </w:rPr>
              <w:fldChar w:fldCharType="begin"/>
            </w:r>
            <w:r>
              <w:rPr>
                <w:noProof/>
                <w:webHidden/>
              </w:rPr>
              <w:instrText xml:space="preserve"> PAGEREF _Toc204858828 \h </w:instrText>
            </w:r>
            <w:r>
              <w:rPr>
                <w:noProof/>
                <w:webHidden/>
              </w:rPr>
            </w:r>
            <w:r>
              <w:rPr>
                <w:noProof/>
                <w:webHidden/>
              </w:rPr>
              <w:fldChar w:fldCharType="separate"/>
            </w:r>
            <w:r>
              <w:rPr>
                <w:noProof/>
                <w:webHidden/>
              </w:rPr>
              <w:t>11</w:t>
            </w:r>
            <w:r>
              <w:rPr>
                <w:noProof/>
                <w:webHidden/>
              </w:rPr>
              <w:fldChar w:fldCharType="end"/>
            </w:r>
          </w:hyperlink>
        </w:p>
        <w:p w14:paraId="0749B709" w14:textId="300A2C85" w:rsidR="00927DAF" w:rsidRDefault="00927DAF">
          <w:pPr>
            <w:pStyle w:val="TOC3"/>
            <w:tabs>
              <w:tab w:val="right" w:leader="dot" w:pos="9350"/>
            </w:tabs>
            <w:rPr>
              <w:noProof/>
            </w:rPr>
          </w:pPr>
          <w:hyperlink w:anchor="_Toc204858829" w:history="1">
            <w:r w:rsidRPr="00013B0C">
              <w:rPr>
                <w:rStyle w:val="Hyperlink"/>
                <w:rFonts w:ascii="Times New Roman" w:eastAsia="Times New Roman" w:hAnsi="Times New Roman" w:cs="Times New Roman"/>
                <w:noProof/>
              </w:rPr>
              <w:t>Adoption of Industry Best Practices</w:t>
            </w:r>
            <w:r>
              <w:rPr>
                <w:noProof/>
                <w:webHidden/>
              </w:rPr>
              <w:tab/>
            </w:r>
            <w:r>
              <w:rPr>
                <w:noProof/>
                <w:webHidden/>
              </w:rPr>
              <w:fldChar w:fldCharType="begin"/>
            </w:r>
            <w:r>
              <w:rPr>
                <w:noProof/>
                <w:webHidden/>
              </w:rPr>
              <w:instrText xml:space="preserve"> PAGEREF _Toc204858829 \h </w:instrText>
            </w:r>
            <w:r>
              <w:rPr>
                <w:noProof/>
                <w:webHidden/>
              </w:rPr>
            </w:r>
            <w:r>
              <w:rPr>
                <w:noProof/>
                <w:webHidden/>
              </w:rPr>
              <w:fldChar w:fldCharType="separate"/>
            </w:r>
            <w:r>
              <w:rPr>
                <w:noProof/>
                <w:webHidden/>
              </w:rPr>
              <w:t>11</w:t>
            </w:r>
            <w:r>
              <w:rPr>
                <w:noProof/>
                <w:webHidden/>
              </w:rPr>
              <w:fldChar w:fldCharType="end"/>
            </w:r>
          </w:hyperlink>
        </w:p>
        <w:p w14:paraId="31FF8413" w14:textId="5E0AD368" w:rsidR="00927DAF" w:rsidRDefault="00927DAF">
          <w:pPr>
            <w:pStyle w:val="TOC3"/>
            <w:tabs>
              <w:tab w:val="right" w:leader="dot" w:pos="9350"/>
            </w:tabs>
            <w:rPr>
              <w:noProof/>
            </w:rPr>
          </w:pPr>
          <w:hyperlink w:anchor="_Toc204858830" w:history="1">
            <w:r w:rsidRPr="00013B0C">
              <w:rPr>
                <w:rStyle w:val="Hyperlink"/>
                <w:rFonts w:ascii="Times New Roman" w:eastAsia="Times New Roman" w:hAnsi="Times New Roman" w:cs="Times New Roman"/>
                <w:noProof/>
              </w:rPr>
              <w:t>Enhancing Trust, Business Continuity, and Competitiveness</w:t>
            </w:r>
            <w:r>
              <w:rPr>
                <w:noProof/>
                <w:webHidden/>
              </w:rPr>
              <w:tab/>
            </w:r>
            <w:r>
              <w:rPr>
                <w:noProof/>
                <w:webHidden/>
              </w:rPr>
              <w:fldChar w:fldCharType="begin"/>
            </w:r>
            <w:r>
              <w:rPr>
                <w:noProof/>
                <w:webHidden/>
              </w:rPr>
              <w:instrText xml:space="preserve"> PAGEREF _Toc204858830 \h </w:instrText>
            </w:r>
            <w:r>
              <w:rPr>
                <w:noProof/>
                <w:webHidden/>
              </w:rPr>
            </w:r>
            <w:r>
              <w:rPr>
                <w:noProof/>
                <w:webHidden/>
              </w:rPr>
              <w:fldChar w:fldCharType="separate"/>
            </w:r>
            <w:r>
              <w:rPr>
                <w:noProof/>
                <w:webHidden/>
              </w:rPr>
              <w:t>11</w:t>
            </w:r>
            <w:r>
              <w:rPr>
                <w:noProof/>
                <w:webHidden/>
              </w:rPr>
              <w:fldChar w:fldCharType="end"/>
            </w:r>
          </w:hyperlink>
        </w:p>
        <w:p w14:paraId="327AA266" w14:textId="6F5BF65E" w:rsidR="00927DAF" w:rsidRDefault="00927DAF">
          <w:pPr>
            <w:pStyle w:val="TOC3"/>
            <w:tabs>
              <w:tab w:val="right" w:leader="dot" w:pos="9350"/>
            </w:tabs>
            <w:rPr>
              <w:noProof/>
            </w:rPr>
          </w:pPr>
          <w:hyperlink w:anchor="_Toc204858831" w:history="1">
            <w:r w:rsidRPr="00013B0C">
              <w:rPr>
                <w:rStyle w:val="Hyperlink"/>
                <w:rFonts w:ascii="Times New Roman" w:eastAsia="Times New Roman" w:hAnsi="Times New Roman" w:cs="Times New Roman"/>
                <w:noProof/>
              </w:rPr>
              <w:t>Balancing Challenges of Frequent Updates</w:t>
            </w:r>
            <w:r>
              <w:rPr>
                <w:noProof/>
                <w:webHidden/>
              </w:rPr>
              <w:tab/>
            </w:r>
            <w:r>
              <w:rPr>
                <w:noProof/>
                <w:webHidden/>
              </w:rPr>
              <w:fldChar w:fldCharType="begin"/>
            </w:r>
            <w:r>
              <w:rPr>
                <w:noProof/>
                <w:webHidden/>
              </w:rPr>
              <w:instrText xml:space="preserve"> PAGEREF _Toc204858831 \h </w:instrText>
            </w:r>
            <w:r>
              <w:rPr>
                <w:noProof/>
                <w:webHidden/>
              </w:rPr>
            </w:r>
            <w:r>
              <w:rPr>
                <w:noProof/>
                <w:webHidden/>
              </w:rPr>
              <w:fldChar w:fldCharType="separate"/>
            </w:r>
            <w:r>
              <w:rPr>
                <w:noProof/>
                <w:webHidden/>
              </w:rPr>
              <w:t>11</w:t>
            </w:r>
            <w:r>
              <w:rPr>
                <w:noProof/>
                <w:webHidden/>
              </w:rPr>
              <w:fldChar w:fldCharType="end"/>
            </w:r>
          </w:hyperlink>
        </w:p>
        <w:p w14:paraId="25B4E033" w14:textId="57D38955" w:rsidR="00927DAF" w:rsidRDefault="00927DAF">
          <w:pPr>
            <w:pStyle w:val="TOC1"/>
            <w:tabs>
              <w:tab w:val="right" w:leader="dot" w:pos="9350"/>
            </w:tabs>
            <w:rPr>
              <w:noProof/>
            </w:rPr>
          </w:pPr>
          <w:hyperlink w:anchor="_Toc204858832" w:history="1">
            <w:r w:rsidRPr="00013B0C">
              <w:rPr>
                <w:rStyle w:val="Hyperlink"/>
                <w:rFonts w:ascii="Times New Roman" w:eastAsia="Times New Roman" w:hAnsi="Times New Roman" w:cs="Times New Roman"/>
                <w:noProof/>
              </w:rPr>
              <w:t>Compliance (Laws and Ethics)</w:t>
            </w:r>
            <w:r>
              <w:rPr>
                <w:noProof/>
                <w:webHidden/>
              </w:rPr>
              <w:tab/>
            </w:r>
            <w:r>
              <w:rPr>
                <w:noProof/>
                <w:webHidden/>
              </w:rPr>
              <w:fldChar w:fldCharType="begin"/>
            </w:r>
            <w:r>
              <w:rPr>
                <w:noProof/>
                <w:webHidden/>
              </w:rPr>
              <w:instrText xml:space="preserve"> PAGEREF _Toc204858832 \h </w:instrText>
            </w:r>
            <w:r>
              <w:rPr>
                <w:noProof/>
                <w:webHidden/>
              </w:rPr>
            </w:r>
            <w:r>
              <w:rPr>
                <w:noProof/>
                <w:webHidden/>
              </w:rPr>
              <w:fldChar w:fldCharType="separate"/>
            </w:r>
            <w:r>
              <w:rPr>
                <w:noProof/>
                <w:webHidden/>
              </w:rPr>
              <w:t>11</w:t>
            </w:r>
            <w:r>
              <w:rPr>
                <w:noProof/>
                <w:webHidden/>
              </w:rPr>
              <w:fldChar w:fldCharType="end"/>
            </w:r>
          </w:hyperlink>
        </w:p>
        <w:p w14:paraId="2709C066" w14:textId="1C1DE38A" w:rsidR="00927DAF" w:rsidRDefault="00927DAF">
          <w:pPr>
            <w:pStyle w:val="TOC1"/>
            <w:tabs>
              <w:tab w:val="right" w:leader="dot" w:pos="9350"/>
            </w:tabs>
            <w:rPr>
              <w:noProof/>
            </w:rPr>
          </w:pPr>
          <w:hyperlink w:anchor="_Toc204858833" w:history="1">
            <w:r w:rsidRPr="00013B0C">
              <w:rPr>
                <w:rStyle w:val="Hyperlink"/>
                <w:rFonts w:ascii="Times New Roman" w:eastAsia="Times New Roman" w:hAnsi="Times New Roman" w:cs="Times New Roman"/>
                <w:noProof/>
              </w:rPr>
              <w:t>Governance and Strategic Planning for Security</w:t>
            </w:r>
            <w:r>
              <w:rPr>
                <w:noProof/>
                <w:webHidden/>
              </w:rPr>
              <w:tab/>
            </w:r>
            <w:r>
              <w:rPr>
                <w:noProof/>
                <w:webHidden/>
              </w:rPr>
              <w:fldChar w:fldCharType="begin"/>
            </w:r>
            <w:r>
              <w:rPr>
                <w:noProof/>
                <w:webHidden/>
              </w:rPr>
              <w:instrText xml:space="preserve"> PAGEREF _Toc204858833 \h </w:instrText>
            </w:r>
            <w:r>
              <w:rPr>
                <w:noProof/>
                <w:webHidden/>
              </w:rPr>
            </w:r>
            <w:r>
              <w:rPr>
                <w:noProof/>
                <w:webHidden/>
              </w:rPr>
              <w:fldChar w:fldCharType="separate"/>
            </w:r>
            <w:r>
              <w:rPr>
                <w:noProof/>
                <w:webHidden/>
              </w:rPr>
              <w:t>12</w:t>
            </w:r>
            <w:r>
              <w:rPr>
                <w:noProof/>
                <w:webHidden/>
              </w:rPr>
              <w:fldChar w:fldCharType="end"/>
            </w:r>
          </w:hyperlink>
        </w:p>
        <w:p w14:paraId="3C26C18D" w14:textId="6C7F016B" w:rsidR="00927DAF" w:rsidRDefault="00927DAF">
          <w:pPr>
            <w:pStyle w:val="TOC1"/>
            <w:tabs>
              <w:tab w:val="right" w:leader="dot" w:pos="9350"/>
            </w:tabs>
            <w:rPr>
              <w:noProof/>
            </w:rPr>
          </w:pPr>
          <w:hyperlink w:anchor="_Toc204858834" w:history="1">
            <w:r w:rsidRPr="00013B0C">
              <w:rPr>
                <w:rStyle w:val="Hyperlink"/>
                <w:rFonts w:ascii="Times New Roman" w:eastAsia="Times New Roman" w:hAnsi="Times New Roman" w:cs="Times New Roman"/>
                <w:noProof/>
              </w:rPr>
              <w:t>Security Policies</w:t>
            </w:r>
            <w:r>
              <w:rPr>
                <w:noProof/>
                <w:webHidden/>
              </w:rPr>
              <w:tab/>
            </w:r>
            <w:r>
              <w:rPr>
                <w:noProof/>
                <w:webHidden/>
              </w:rPr>
              <w:fldChar w:fldCharType="begin"/>
            </w:r>
            <w:r>
              <w:rPr>
                <w:noProof/>
                <w:webHidden/>
              </w:rPr>
              <w:instrText xml:space="preserve"> PAGEREF _Toc204858834 \h </w:instrText>
            </w:r>
            <w:r>
              <w:rPr>
                <w:noProof/>
                <w:webHidden/>
              </w:rPr>
            </w:r>
            <w:r>
              <w:rPr>
                <w:noProof/>
                <w:webHidden/>
              </w:rPr>
              <w:fldChar w:fldCharType="separate"/>
            </w:r>
            <w:r>
              <w:rPr>
                <w:noProof/>
                <w:webHidden/>
              </w:rPr>
              <w:t>12</w:t>
            </w:r>
            <w:r>
              <w:rPr>
                <w:noProof/>
                <w:webHidden/>
              </w:rPr>
              <w:fldChar w:fldCharType="end"/>
            </w:r>
          </w:hyperlink>
        </w:p>
        <w:p w14:paraId="35DC166A" w14:textId="73F6F4C9" w:rsidR="00927DAF" w:rsidRDefault="00927DAF">
          <w:pPr>
            <w:pStyle w:val="TOC1"/>
            <w:tabs>
              <w:tab w:val="right" w:leader="dot" w:pos="9350"/>
            </w:tabs>
            <w:rPr>
              <w:noProof/>
            </w:rPr>
          </w:pPr>
          <w:hyperlink w:anchor="_Toc204858835" w:history="1">
            <w:r w:rsidRPr="00013B0C">
              <w:rPr>
                <w:rStyle w:val="Hyperlink"/>
                <w:rFonts w:ascii="Times New Roman" w:eastAsia="Times New Roman" w:hAnsi="Times New Roman" w:cs="Times New Roman"/>
                <w:noProof/>
              </w:rPr>
              <w:t>Risk Management</w:t>
            </w:r>
            <w:r>
              <w:rPr>
                <w:noProof/>
                <w:webHidden/>
              </w:rPr>
              <w:tab/>
            </w:r>
            <w:r>
              <w:rPr>
                <w:noProof/>
                <w:webHidden/>
              </w:rPr>
              <w:fldChar w:fldCharType="begin"/>
            </w:r>
            <w:r>
              <w:rPr>
                <w:noProof/>
                <w:webHidden/>
              </w:rPr>
              <w:instrText xml:space="preserve"> PAGEREF _Toc204858835 \h </w:instrText>
            </w:r>
            <w:r>
              <w:rPr>
                <w:noProof/>
                <w:webHidden/>
              </w:rPr>
            </w:r>
            <w:r>
              <w:rPr>
                <w:noProof/>
                <w:webHidden/>
              </w:rPr>
              <w:fldChar w:fldCharType="separate"/>
            </w:r>
            <w:r>
              <w:rPr>
                <w:noProof/>
                <w:webHidden/>
              </w:rPr>
              <w:t>12</w:t>
            </w:r>
            <w:r>
              <w:rPr>
                <w:noProof/>
                <w:webHidden/>
              </w:rPr>
              <w:fldChar w:fldCharType="end"/>
            </w:r>
          </w:hyperlink>
        </w:p>
        <w:p w14:paraId="5754B254" w14:textId="4971E9E7" w:rsidR="00927DAF" w:rsidRDefault="00927DAF">
          <w:pPr>
            <w:pStyle w:val="TOC1"/>
            <w:tabs>
              <w:tab w:val="right" w:leader="dot" w:pos="9350"/>
            </w:tabs>
            <w:rPr>
              <w:noProof/>
            </w:rPr>
          </w:pPr>
          <w:hyperlink w:anchor="_Toc204858836" w:history="1">
            <w:r w:rsidRPr="00013B0C">
              <w:rPr>
                <w:rStyle w:val="Hyperlink"/>
                <w:rFonts w:ascii="Times New Roman" w:eastAsia="Times New Roman" w:hAnsi="Times New Roman" w:cs="Times New Roman"/>
                <w:noProof/>
              </w:rPr>
              <w:t>Security Management Models and Practices</w:t>
            </w:r>
            <w:r>
              <w:rPr>
                <w:noProof/>
                <w:webHidden/>
              </w:rPr>
              <w:tab/>
            </w:r>
            <w:r>
              <w:rPr>
                <w:noProof/>
                <w:webHidden/>
              </w:rPr>
              <w:fldChar w:fldCharType="begin"/>
            </w:r>
            <w:r>
              <w:rPr>
                <w:noProof/>
                <w:webHidden/>
              </w:rPr>
              <w:instrText xml:space="preserve"> PAGEREF _Toc204858836 \h </w:instrText>
            </w:r>
            <w:r>
              <w:rPr>
                <w:noProof/>
                <w:webHidden/>
              </w:rPr>
            </w:r>
            <w:r>
              <w:rPr>
                <w:noProof/>
                <w:webHidden/>
              </w:rPr>
              <w:fldChar w:fldCharType="separate"/>
            </w:r>
            <w:r>
              <w:rPr>
                <w:noProof/>
                <w:webHidden/>
              </w:rPr>
              <w:t>13</w:t>
            </w:r>
            <w:r>
              <w:rPr>
                <w:noProof/>
                <w:webHidden/>
              </w:rPr>
              <w:fldChar w:fldCharType="end"/>
            </w:r>
          </w:hyperlink>
        </w:p>
        <w:p w14:paraId="674A27D7" w14:textId="2128346B" w:rsidR="00927DAF" w:rsidRDefault="00927DAF">
          <w:pPr>
            <w:pStyle w:val="TOC1"/>
            <w:tabs>
              <w:tab w:val="right" w:leader="dot" w:pos="9350"/>
            </w:tabs>
            <w:rPr>
              <w:noProof/>
            </w:rPr>
          </w:pPr>
          <w:hyperlink w:anchor="_Toc204858837" w:history="1">
            <w:r w:rsidRPr="00013B0C">
              <w:rPr>
                <w:rStyle w:val="Hyperlink"/>
                <w:rFonts w:ascii="Times New Roman" w:eastAsia="Times New Roman" w:hAnsi="Times New Roman" w:cs="Times New Roman"/>
                <w:noProof/>
              </w:rPr>
              <w:t>Contingency Planning</w:t>
            </w:r>
            <w:r>
              <w:rPr>
                <w:noProof/>
                <w:webHidden/>
              </w:rPr>
              <w:tab/>
            </w:r>
            <w:r>
              <w:rPr>
                <w:noProof/>
                <w:webHidden/>
              </w:rPr>
              <w:fldChar w:fldCharType="begin"/>
            </w:r>
            <w:r>
              <w:rPr>
                <w:noProof/>
                <w:webHidden/>
              </w:rPr>
              <w:instrText xml:space="preserve"> PAGEREF _Toc204858837 \h </w:instrText>
            </w:r>
            <w:r>
              <w:rPr>
                <w:noProof/>
                <w:webHidden/>
              </w:rPr>
            </w:r>
            <w:r>
              <w:rPr>
                <w:noProof/>
                <w:webHidden/>
              </w:rPr>
              <w:fldChar w:fldCharType="separate"/>
            </w:r>
            <w:r>
              <w:rPr>
                <w:noProof/>
                <w:webHidden/>
              </w:rPr>
              <w:t>13</w:t>
            </w:r>
            <w:r>
              <w:rPr>
                <w:noProof/>
                <w:webHidden/>
              </w:rPr>
              <w:fldChar w:fldCharType="end"/>
            </w:r>
          </w:hyperlink>
        </w:p>
        <w:p w14:paraId="22E74F74" w14:textId="3E7804B3" w:rsidR="00927DAF" w:rsidRDefault="00927DAF">
          <w:pPr>
            <w:pStyle w:val="TOC1"/>
            <w:tabs>
              <w:tab w:val="right" w:leader="dot" w:pos="9350"/>
            </w:tabs>
            <w:rPr>
              <w:noProof/>
            </w:rPr>
          </w:pPr>
          <w:hyperlink w:anchor="_Toc204858838" w:history="1">
            <w:r w:rsidRPr="00013B0C">
              <w:rPr>
                <w:rStyle w:val="Hyperlink"/>
                <w:rFonts w:ascii="Times New Roman" w:eastAsia="Times New Roman" w:hAnsi="Times New Roman" w:cs="Times New Roman"/>
                <w:noProof/>
              </w:rPr>
              <w:t>Protection Mechanisms</w:t>
            </w:r>
            <w:r>
              <w:rPr>
                <w:noProof/>
                <w:webHidden/>
              </w:rPr>
              <w:tab/>
            </w:r>
            <w:r>
              <w:rPr>
                <w:noProof/>
                <w:webHidden/>
              </w:rPr>
              <w:fldChar w:fldCharType="begin"/>
            </w:r>
            <w:r>
              <w:rPr>
                <w:noProof/>
                <w:webHidden/>
              </w:rPr>
              <w:instrText xml:space="preserve"> PAGEREF _Toc204858838 \h </w:instrText>
            </w:r>
            <w:r>
              <w:rPr>
                <w:noProof/>
                <w:webHidden/>
              </w:rPr>
            </w:r>
            <w:r>
              <w:rPr>
                <w:noProof/>
                <w:webHidden/>
              </w:rPr>
              <w:fldChar w:fldCharType="separate"/>
            </w:r>
            <w:r>
              <w:rPr>
                <w:noProof/>
                <w:webHidden/>
              </w:rPr>
              <w:t>13</w:t>
            </w:r>
            <w:r>
              <w:rPr>
                <w:noProof/>
                <w:webHidden/>
              </w:rPr>
              <w:fldChar w:fldCharType="end"/>
            </w:r>
          </w:hyperlink>
        </w:p>
        <w:p w14:paraId="1EDFE1A5" w14:textId="7D5D6CB1" w:rsidR="00927DAF" w:rsidRDefault="00927DAF">
          <w:pPr>
            <w:pStyle w:val="TOC1"/>
            <w:tabs>
              <w:tab w:val="right" w:leader="dot" w:pos="9350"/>
            </w:tabs>
            <w:rPr>
              <w:noProof/>
            </w:rPr>
          </w:pPr>
          <w:hyperlink w:anchor="_Toc204858839" w:history="1">
            <w:r w:rsidRPr="00013B0C">
              <w:rPr>
                <w:rStyle w:val="Hyperlink"/>
                <w:rFonts w:ascii="Times New Roman" w:eastAsia="Times New Roman" w:hAnsi="Times New Roman" w:cs="Times New Roman"/>
                <w:noProof/>
              </w:rPr>
              <w:t>Service Level Agreement</w:t>
            </w:r>
            <w:r>
              <w:rPr>
                <w:noProof/>
                <w:webHidden/>
              </w:rPr>
              <w:tab/>
            </w:r>
            <w:r>
              <w:rPr>
                <w:noProof/>
                <w:webHidden/>
              </w:rPr>
              <w:fldChar w:fldCharType="begin"/>
            </w:r>
            <w:r>
              <w:rPr>
                <w:noProof/>
                <w:webHidden/>
              </w:rPr>
              <w:instrText xml:space="preserve"> PAGEREF _Toc204858839 \h </w:instrText>
            </w:r>
            <w:r>
              <w:rPr>
                <w:noProof/>
                <w:webHidden/>
              </w:rPr>
            </w:r>
            <w:r>
              <w:rPr>
                <w:noProof/>
                <w:webHidden/>
              </w:rPr>
              <w:fldChar w:fldCharType="separate"/>
            </w:r>
            <w:r>
              <w:rPr>
                <w:noProof/>
                <w:webHidden/>
              </w:rPr>
              <w:t>13</w:t>
            </w:r>
            <w:r>
              <w:rPr>
                <w:noProof/>
                <w:webHidden/>
              </w:rPr>
              <w:fldChar w:fldCharType="end"/>
            </w:r>
          </w:hyperlink>
        </w:p>
        <w:p w14:paraId="0DE03BE1" w14:textId="4F001CDB" w:rsidR="00927DAF" w:rsidRDefault="00927DAF">
          <w:pPr>
            <w:pStyle w:val="TOC1"/>
            <w:tabs>
              <w:tab w:val="right" w:leader="dot" w:pos="9350"/>
            </w:tabs>
            <w:rPr>
              <w:noProof/>
            </w:rPr>
          </w:pPr>
          <w:hyperlink w:anchor="_Toc204858840" w:history="1">
            <w:r w:rsidRPr="00013B0C">
              <w:rPr>
                <w:rStyle w:val="Hyperlink"/>
                <w:rFonts w:ascii="Times New Roman" w:eastAsia="Times New Roman" w:hAnsi="Times New Roman" w:cs="Times New Roman"/>
                <w:noProof/>
              </w:rPr>
              <w:t>References</w:t>
            </w:r>
            <w:r>
              <w:rPr>
                <w:noProof/>
                <w:webHidden/>
              </w:rPr>
              <w:tab/>
            </w:r>
            <w:r>
              <w:rPr>
                <w:noProof/>
                <w:webHidden/>
              </w:rPr>
              <w:fldChar w:fldCharType="begin"/>
            </w:r>
            <w:r>
              <w:rPr>
                <w:noProof/>
                <w:webHidden/>
              </w:rPr>
              <w:instrText xml:space="preserve"> PAGEREF _Toc204858840 \h </w:instrText>
            </w:r>
            <w:r>
              <w:rPr>
                <w:noProof/>
                <w:webHidden/>
              </w:rPr>
            </w:r>
            <w:r>
              <w:rPr>
                <w:noProof/>
                <w:webHidden/>
              </w:rPr>
              <w:fldChar w:fldCharType="separate"/>
            </w:r>
            <w:r>
              <w:rPr>
                <w:noProof/>
                <w:webHidden/>
              </w:rPr>
              <w:t>14</w:t>
            </w:r>
            <w:r>
              <w:rPr>
                <w:noProof/>
                <w:webHidden/>
              </w:rPr>
              <w:fldChar w:fldCharType="end"/>
            </w:r>
          </w:hyperlink>
        </w:p>
        <w:p w14:paraId="459AF0FA" w14:textId="525FEB1A" w:rsidR="00927DAF" w:rsidRDefault="00927DAF">
          <w:r>
            <w:rPr>
              <w:b/>
              <w:bCs/>
              <w:noProof/>
            </w:rPr>
            <w:fldChar w:fldCharType="end"/>
          </w:r>
        </w:p>
      </w:sdtContent>
    </w:sdt>
    <w:p w14:paraId="4297C08D" w14:textId="77777777" w:rsidR="00927DAF" w:rsidRDefault="00927DA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4CE02CC"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3FAA8F3E" w14:textId="77777777" w:rsidR="00550484" w:rsidRDefault="00000000">
      <w:pPr>
        <w:pBdr>
          <w:top w:val="nil"/>
          <w:left w:val="nil"/>
          <w:bottom w:val="nil"/>
          <w:right w:val="nil"/>
          <w:between w:val="nil"/>
        </w:pBdr>
        <w:spacing w:before="180" w:after="18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Title: Designing and Implementing a Data Security, Governance, and Compliance Framework for NatureGarden (NG)</w:t>
      </w:r>
    </w:p>
    <w:p w14:paraId="0D4625D4" w14:textId="77777777" w:rsidR="00550484" w:rsidRDefault="00550484">
      <w:pPr>
        <w:rPr>
          <w:rFonts w:ascii="Times New Roman" w:eastAsia="Times New Roman" w:hAnsi="Times New Roman" w:cs="Times New Roman"/>
        </w:rPr>
      </w:pPr>
    </w:p>
    <w:p w14:paraId="5725EEF6" w14:textId="77777777" w:rsidR="00550484" w:rsidRDefault="00000000">
      <w:pPr>
        <w:pStyle w:val="Heading1"/>
        <w:rPr>
          <w:rFonts w:ascii="Times New Roman" w:eastAsia="Times New Roman" w:hAnsi="Times New Roman" w:cs="Times New Roman"/>
        </w:rPr>
      </w:pPr>
      <w:bookmarkStart w:id="0" w:name="_Toc204858813"/>
      <w:r>
        <w:rPr>
          <w:rFonts w:ascii="Times New Roman" w:eastAsia="Times New Roman" w:hAnsi="Times New Roman" w:cs="Times New Roman"/>
        </w:rPr>
        <w:t>Abstract</w:t>
      </w:r>
      <w:bookmarkEnd w:id="0"/>
    </w:p>
    <w:p w14:paraId="654D2F01"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 xml:space="preserve">NatureGarden (NG) is an internationally recognized organization operating in the health and wellness industry selling products to promote a healthy way of life.  With its many international operations and significant online presence, NG has become increasingly reliant on wireless networks and cloud-based services to ensure an uninterrupted connection and service delivery to its employees and clientele. The organization is predominantly wireless connected and beyond a select few services it has become heavily cloud-based and as such is vulnerable to endless forms of possible cybersecurity threats. </w:t>
      </w:r>
    </w:p>
    <w:p w14:paraId="5D1118D2"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Lately there has also been increasing internal and external pressure on NG to allow Bring Your Own Device (BYOD) access for staff and clients alike. This creates a myriad of challenges by way of data protection, intellectual property protection, and regulatory compliance. Compounding these risks, NG has no formal information security policy.  To assess the next step or steps for NG we will consider several internationally recognized IT security frameworks, including: ISO/IEC 27001, ITIL, NIST Cybersecurity Framework (CF), and COBIT. Each of these frameworks will be assessed for their application to NG's operational environment.</w:t>
      </w:r>
    </w:p>
    <w:p w14:paraId="73F219DC" w14:textId="77777777" w:rsidR="00550484" w:rsidRDefault="00550484">
      <w:pPr>
        <w:rPr>
          <w:rFonts w:ascii="Times New Roman" w:eastAsia="Times New Roman" w:hAnsi="Times New Roman" w:cs="Times New Roman"/>
        </w:rPr>
      </w:pPr>
    </w:p>
    <w:p w14:paraId="29D70A81" w14:textId="77777777" w:rsidR="00550484" w:rsidRDefault="00000000">
      <w:pPr>
        <w:pStyle w:val="Heading1"/>
        <w:rPr>
          <w:rFonts w:ascii="Times New Roman" w:eastAsia="Times New Roman" w:hAnsi="Times New Roman" w:cs="Times New Roman"/>
        </w:rPr>
      </w:pPr>
      <w:bookmarkStart w:id="1" w:name="_Toc204858814"/>
      <w:r>
        <w:rPr>
          <w:rFonts w:ascii="Times New Roman" w:eastAsia="Times New Roman" w:hAnsi="Times New Roman" w:cs="Times New Roman"/>
        </w:rPr>
        <w:t>Introduction</w:t>
      </w:r>
      <w:bookmarkEnd w:id="1"/>
    </w:p>
    <w:p w14:paraId="39BABAD3"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Company NatureGarden (NG) operates on a global scale and is known worldwide for its wellness products that promote healthy living. NG has a worldwide footprint and is extensively integrated into the digital world for its business. Approximately 95% of NG's resources are wireless, and it is very reliant on cloud platforms to provide its IT services. NG's dependence on technology processes and services provides a challenge for NG in regards to cyber-attacks, unauthorized data access, and compliance.</w:t>
      </w:r>
    </w:p>
    <w:p w14:paraId="4B9E00D3"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NG is also facing demands from employees and customers to allow personal devices to access company resources such that this is also driving to increased digital transformation. While this allows for user convenience and flexibility, the usage personal devices has expanded NG's attack surface and its potential exposure to vulnerabilities involving data protection and intellectual property. While NG recognizes the importance of information security, it does not have formalized policies or avenues set in place to protect its digital infrastructure and data assets.</w:t>
      </w:r>
    </w:p>
    <w:p w14:paraId="07928622"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This report is intended to identify relevant information security, governance, and compliance frameworks, and develop an applicable model for the challenges facing NG at present and in the future. The report will also provide a phased compliance roadmap and governance framework, while indicating the need for security standards and policies to be up to date.</w:t>
      </w:r>
    </w:p>
    <w:p w14:paraId="1B3073E9" w14:textId="77777777" w:rsidR="00550484" w:rsidRDefault="00000000">
      <w:pPr>
        <w:pStyle w:val="Heading2"/>
        <w:rPr>
          <w:rFonts w:ascii="Times New Roman" w:eastAsia="Times New Roman" w:hAnsi="Times New Roman" w:cs="Times New Roman"/>
        </w:rPr>
      </w:pPr>
      <w:bookmarkStart w:id="2" w:name="_Toc204858815"/>
      <w:r>
        <w:rPr>
          <w:rFonts w:ascii="Times New Roman" w:eastAsia="Times New Roman" w:hAnsi="Times New Roman" w:cs="Times New Roman"/>
        </w:rPr>
        <w:t>2. Review of Security Frameworks and Models</w:t>
      </w:r>
      <w:bookmarkEnd w:id="2"/>
    </w:p>
    <w:p w14:paraId="2CDB75E8" w14:textId="77777777" w:rsidR="00550484" w:rsidRDefault="00000000">
      <w:pPr>
        <w:pStyle w:val="Heading3"/>
        <w:rPr>
          <w:rFonts w:ascii="Times New Roman" w:eastAsia="Times New Roman" w:hAnsi="Times New Roman" w:cs="Times New Roman"/>
        </w:rPr>
      </w:pPr>
      <w:bookmarkStart w:id="3" w:name="_Toc204858816"/>
      <w:r>
        <w:rPr>
          <w:rFonts w:ascii="Times New Roman" w:eastAsia="Times New Roman" w:hAnsi="Times New Roman" w:cs="Times New Roman"/>
        </w:rPr>
        <w:t xml:space="preserve">2.1 </w:t>
      </w:r>
      <w:bookmarkStart w:id="4" w:name="_Hlk204858987"/>
      <w:r>
        <w:rPr>
          <w:rFonts w:ascii="Times New Roman" w:eastAsia="Times New Roman" w:hAnsi="Times New Roman" w:cs="Times New Roman"/>
        </w:rPr>
        <w:t>ISO/IEC 27001</w:t>
      </w:r>
      <w:bookmarkEnd w:id="3"/>
    </w:p>
    <w:bookmarkEnd w:id="4"/>
    <w:p w14:paraId="7A470AF6" w14:textId="77777777" w:rsidR="00550484" w:rsidRDefault="00550484">
      <w:pPr>
        <w:rPr>
          <w:rFonts w:ascii="Times New Roman" w:eastAsia="Times New Roman" w:hAnsi="Times New Roman" w:cs="Times New Roman"/>
        </w:rPr>
      </w:pPr>
    </w:p>
    <w:p w14:paraId="127C7CBA"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ISO/IEC 27001 is an internationally accepted standard for Information Security Management Systems (ISMS). ISO 27001 gives guidance for the systematic management of sensitive information, including whether or not there are controls in place to mitigate or minimize information security incidents. The standard is provided in a common frame which emphasizes continual improvement based on the Plan-Do-Check-Act (PDCA) cycle. The strength of ISO 27001 lies in its detailed control objectives (Annex A), risk assessment methodology, and certification alternatives that enhance external trust and credibility. For NG, ISO 27001 would minister an environment for the company to formally create structured policies, classify information, define roles and responsibilities and create risk assessments that could be used to build the foundation of a formal set of security policies [1].</w:t>
      </w:r>
    </w:p>
    <w:p w14:paraId="4CC99AB3" w14:textId="77777777" w:rsidR="00550484" w:rsidRDefault="00550484">
      <w:pPr>
        <w:rPr>
          <w:rFonts w:ascii="Times New Roman" w:eastAsia="Times New Roman" w:hAnsi="Times New Roman" w:cs="Times New Roman"/>
        </w:rPr>
      </w:pPr>
    </w:p>
    <w:p w14:paraId="6D40A888" w14:textId="77777777" w:rsidR="00550484" w:rsidRDefault="00000000">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67B64517" wp14:editId="56856822">
            <wp:extent cx="2686050" cy="1704975"/>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2686050" cy="1704975"/>
                    </a:xfrm>
                    <a:prstGeom prst="rect">
                      <a:avLst/>
                    </a:prstGeom>
                    <a:ln/>
                  </pic:spPr>
                </pic:pic>
              </a:graphicData>
            </a:graphic>
          </wp:inline>
        </w:drawing>
      </w:r>
    </w:p>
    <w:p w14:paraId="648E4BA3" w14:textId="77777777" w:rsidR="00550484" w:rsidRDefault="00550484">
      <w:pPr>
        <w:jc w:val="center"/>
        <w:rPr>
          <w:rFonts w:ascii="Times New Roman" w:eastAsia="Times New Roman" w:hAnsi="Times New Roman" w:cs="Times New Roman"/>
        </w:rPr>
      </w:pPr>
    </w:p>
    <w:p w14:paraId="41F88B26" w14:textId="77777777" w:rsidR="00550484" w:rsidRDefault="00000000">
      <w:pPr>
        <w:spacing w:line="240" w:lineRule="auto"/>
        <w:rPr>
          <w:rFonts w:ascii="Times New Roman" w:eastAsia="Times New Roman" w:hAnsi="Times New Roman" w:cs="Times New Roman"/>
        </w:rPr>
      </w:pPr>
      <w:bookmarkStart w:id="5" w:name="_Hlk204859111"/>
      <w:r>
        <w:rPr>
          <w:rFonts w:ascii="Times New Roman" w:eastAsia="Times New Roman" w:hAnsi="Times New Roman" w:cs="Times New Roman"/>
        </w:rPr>
        <w:t>PDCA Cycle (Plan-Do-Check-Act)</w:t>
      </w:r>
    </w:p>
    <w:p w14:paraId="76FF0FF6"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rPr>
        <w:t>This image represents the PDCA Cycle, a continuous improvement model used in quality management and process improvement.</w:t>
      </w:r>
    </w:p>
    <w:p w14:paraId="3214446F"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b/>
        </w:rPr>
        <w:t xml:space="preserve">PLAN </w:t>
      </w:r>
      <w:r>
        <w:rPr>
          <w:rFonts w:ascii="Times New Roman" w:eastAsia="Times New Roman" w:hAnsi="Times New Roman" w:cs="Times New Roman"/>
        </w:rPr>
        <w:t>– Identify the problem, analyze data, and create a plan for improvement.</w:t>
      </w:r>
    </w:p>
    <w:p w14:paraId="4E9217BC"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rPr>
        <w:t>Example: Data disaggregation and calendar development.</w:t>
      </w:r>
    </w:p>
    <w:p w14:paraId="55A57717"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b/>
        </w:rPr>
        <w:t xml:space="preserve">DO </w:t>
      </w:r>
      <w:r>
        <w:rPr>
          <w:rFonts w:ascii="Times New Roman" w:eastAsia="Times New Roman" w:hAnsi="Times New Roman" w:cs="Times New Roman"/>
        </w:rPr>
        <w:t>– Implement the plan on a small scale.</w:t>
      </w:r>
    </w:p>
    <w:p w14:paraId="47D6877E"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rPr>
        <w:t>Example: Direct instructional focus or applying new methods.</w:t>
      </w:r>
    </w:p>
    <w:p w14:paraId="0C18DA52"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b/>
        </w:rPr>
        <w:t xml:space="preserve">CHECK </w:t>
      </w:r>
      <w:r>
        <w:rPr>
          <w:rFonts w:ascii="Times New Roman" w:eastAsia="Times New Roman" w:hAnsi="Times New Roman" w:cs="Times New Roman"/>
        </w:rPr>
        <w:t>– Assess the outcomes, measure performance, and identify gaps.</w:t>
      </w:r>
    </w:p>
    <w:p w14:paraId="307C44B2"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rPr>
        <w:t>Example: Assessment, maintenance, and monitoring.</w:t>
      </w:r>
    </w:p>
    <w:p w14:paraId="2A643064"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b/>
        </w:rPr>
        <w:t xml:space="preserve">ACT </w:t>
      </w:r>
      <w:r>
        <w:rPr>
          <w:rFonts w:ascii="Times New Roman" w:eastAsia="Times New Roman" w:hAnsi="Times New Roman" w:cs="Times New Roman"/>
        </w:rPr>
        <w:t>– Take corrective action based on findings and standardize successful solutions.</w:t>
      </w:r>
    </w:p>
    <w:p w14:paraId="60A129FE"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rPr>
        <w:t>Example: Tutorials and enrichment activities.</w:t>
      </w:r>
    </w:p>
    <w:bookmarkEnd w:id="5"/>
    <w:p w14:paraId="21D4E1EC" w14:textId="77777777" w:rsidR="00550484" w:rsidRDefault="00550484">
      <w:pPr>
        <w:spacing w:line="240" w:lineRule="auto"/>
        <w:rPr>
          <w:rFonts w:ascii="Times New Roman" w:eastAsia="Times New Roman" w:hAnsi="Times New Roman" w:cs="Times New Roman"/>
        </w:rPr>
      </w:pPr>
    </w:p>
    <w:p w14:paraId="7EEBDCBE" w14:textId="77777777" w:rsidR="00550484" w:rsidRDefault="00550484">
      <w:pPr>
        <w:jc w:val="center"/>
        <w:rPr>
          <w:rFonts w:ascii="Times New Roman" w:eastAsia="Times New Roman" w:hAnsi="Times New Roman" w:cs="Times New Roman"/>
        </w:rPr>
      </w:pPr>
    </w:p>
    <w:p w14:paraId="39806633" w14:textId="77777777" w:rsidR="00550484" w:rsidRDefault="00550484">
      <w:pPr>
        <w:rPr>
          <w:rFonts w:ascii="Times New Roman" w:eastAsia="Times New Roman" w:hAnsi="Times New Roman" w:cs="Times New Roman"/>
        </w:rPr>
      </w:pPr>
    </w:p>
    <w:p w14:paraId="0DDD9210" w14:textId="77777777" w:rsidR="00550484" w:rsidRDefault="00000000">
      <w:pPr>
        <w:pStyle w:val="Heading3"/>
        <w:rPr>
          <w:rFonts w:ascii="Times New Roman" w:eastAsia="Times New Roman" w:hAnsi="Times New Roman" w:cs="Times New Roman"/>
        </w:rPr>
      </w:pPr>
      <w:bookmarkStart w:id="6" w:name="_Toc204858817"/>
      <w:bookmarkStart w:id="7" w:name="_Hlk204859121"/>
      <w:r>
        <w:rPr>
          <w:rFonts w:ascii="Times New Roman" w:eastAsia="Times New Roman" w:hAnsi="Times New Roman" w:cs="Times New Roman"/>
        </w:rPr>
        <w:t>2.2 ITIL (Information Technology Infrastructure Library)</w:t>
      </w:r>
      <w:bookmarkEnd w:id="6"/>
    </w:p>
    <w:bookmarkEnd w:id="7"/>
    <w:p w14:paraId="083939FF"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ITIL is a framework that can be applied to IT Service Management (ITSM) instead of a specific focus on security. Security best practice processes are integrated throughout ITIL's service lifecycle processes such as incident management, change control, and access management. As mentioned in this guidance, ITIL continues to recommend organizations deliver secure and high-quality IT service aligned with business objectives. For NG, ITIL can help integrate security controls into the operational workflows, specifically in the service desk operations, support systems, and system upgrades. Given NG's reliance on cloud IT services, establishing security at the service level will improve continuity of services and the trust of customers [2].</w:t>
      </w:r>
    </w:p>
    <w:p w14:paraId="1672985F" w14:textId="77777777" w:rsidR="00550484" w:rsidRDefault="00550484">
      <w:pPr>
        <w:rPr>
          <w:rFonts w:ascii="Times New Roman" w:eastAsia="Times New Roman" w:hAnsi="Times New Roman" w:cs="Times New Roman"/>
        </w:rPr>
      </w:pPr>
    </w:p>
    <w:p w14:paraId="454C38D9" w14:textId="77777777" w:rsidR="00550484" w:rsidRDefault="00000000">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56F8C5F4" wp14:editId="20CF072C">
            <wp:extent cx="3690938" cy="3401104"/>
            <wp:effectExtent l="0" t="0" r="0" b="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3690938" cy="3401104"/>
                    </a:xfrm>
                    <a:prstGeom prst="rect">
                      <a:avLst/>
                    </a:prstGeom>
                    <a:ln/>
                  </pic:spPr>
                </pic:pic>
              </a:graphicData>
            </a:graphic>
          </wp:inline>
        </w:drawing>
      </w:r>
    </w:p>
    <w:p w14:paraId="182DA97D" w14:textId="77777777" w:rsidR="00550484" w:rsidRDefault="00550484">
      <w:pPr>
        <w:jc w:val="center"/>
        <w:rPr>
          <w:rFonts w:ascii="Times New Roman" w:eastAsia="Times New Roman" w:hAnsi="Times New Roman" w:cs="Times New Roman"/>
        </w:rPr>
      </w:pPr>
    </w:p>
    <w:p w14:paraId="2ACBCCEB"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 xml:space="preserve"> </w:t>
      </w:r>
      <w:bookmarkStart w:id="8" w:name="_Hlk204859157"/>
      <w:r>
        <w:rPr>
          <w:rFonts w:ascii="Times New Roman" w:eastAsia="Times New Roman" w:hAnsi="Times New Roman" w:cs="Times New Roman"/>
        </w:rPr>
        <w:t>ITIL Service Lifecycle</w:t>
      </w:r>
    </w:p>
    <w:p w14:paraId="67812929"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This image explains the ITIL (Information Technology Infrastructure Library) framework, which provides best practices for IT service management (ITSM).</w:t>
      </w:r>
    </w:p>
    <w:p w14:paraId="61150945"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Service Strategy</w:t>
      </w:r>
      <w:r>
        <w:rPr>
          <w:rFonts w:ascii="Times New Roman" w:eastAsia="Times New Roman" w:hAnsi="Times New Roman" w:cs="Times New Roman"/>
        </w:rPr>
        <w:t xml:space="preserve"> – Defines the perspective, position, plans, and patterns that a service provider needs to execute to meet an organization's business outcomes.</w:t>
      </w:r>
    </w:p>
    <w:p w14:paraId="7F11942C"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Service Design</w:t>
      </w:r>
      <w:r>
        <w:rPr>
          <w:rFonts w:ascii="Times New Roman" w:eastAsia="Times New Roman" w:hAnsi="Times New Roman" w:cs="Times New Roman"/>
        </w:rPr>
        <w:t xml:space="preserve"> – Focuses on designing new or changed IT services.</w:t>
      </w:r>
    </w:p>
    <w:p w14:paraId="606E62B4"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Service Transition</w:t>
      </w:r>
      <w:r>
        <w:rPr>
          <w:rFonts w:ascii="Times New Roman" w:eastAsia="Times New Roman" w:hAnsi="Times New Roman" w:cs="Times New Roman"/>
        </w:rPr>
        <w:t xml:space="preserve"> – Builds and deploys IT services, ensuring changes are carried out smoothly.</w:t>
      </w:r>
    </w:p>
    <w:p w14:paraId="05CD8403"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Service Operation</w:t>
      </w:r>
      <w:r>
        <w:rPr>
          <w:rFonts w:ascii="Times New Roman" w:eastAsia="Times New Roman" w:hAnsi="Times New Roman" w:cs="Times New Roman"/>
        </w:rPr>
        <w:t xml:space="preserve"> – Manages services in live environments.</w:t>
      </w:r>
    </w:p>
    <w:p w14:paraId="384E1ACB"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Continual Service Improvement (CSI)</w:t>
      </w:r>
      <w:r>
        <w:rPr>
          <w:rFonts w:ascii="Times New Roman" w:eastAsia="Times New Roman" w:hAnsi="Times New Roman" w:cs="Times New Roman"/>
        </w:rPr>
        <w:t xml:space="preserve"> – Ensures services are aligned with changing business needs by identifying improvements.</w:t>
      </w:r>
    </w:p>
    <w:p w14:paraId="27669DF6"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ITIL ensures efficient, cost-effective, and business-aligned IT services.</w:t>
      </w:r>
    </w:p>
    <w:p w14:paraId="26C6B365" w14:textId="77777777" w:rsidR="00550484" w:rsidRDefault="00550484">
      <w:pPr>
        <w:rPr>
          <w:rFonts w:ascii="Times New Roman" w:eastAsia="Times New Roman" w:hAnsi="Times New Roman" w:cs="Times New Roman"/>
        </w:rPr>
      </w:pPr>
    </w:p>
    <w:bookmarkEnd w:id="8"/>
    <w:p w14:paraId="2FDCF90B" w14:textId="77777777" w:rsidR="00550484" w:rsidRDefault="00550484">
      <w:pPr>
        <w:jc w:val="center"/>
        <w:rPr>
          <w:rFonts w:ascii="Times New Roman" w:eastAsia="Times New Roman" w:hAnsi="Times New Roman" w:cs="Times New Roman"/>
        </w:rPr>
      </w:pPr>
    </w:p>
    <w:p w14:paraId="4B4ADC2F" w14:textId="77777777" w:rsidR="00550484" w:rsidRDefault="00550484">
      <w:pPr>
        <w:jc w:val="center"/>
        <w:rPr>
          <w:rFonts w:ascii="Times New Roman" w:eastAsia="Times New Roman" w:hAnsi="Times New Roman" w:cs="Times New Roman"/>
        </w:rPr>
      </w:pPr>
    </w:p>
    <w:p w14:paraId="11EDD1F7" w14:textId="77777777" w:rsidR="00550484" w:rsidRDefault="00550484">
      <w:pPr>
        <w:jc w:val="center"/>
        <w:rPr>
          <w:rFonts w:ascii="Times New Roman" w:eastAsia="Times New Roman" w:hAnsi="Times New Roman" w:cs="Times New Roman"/>
        </w:rPr>
      </w:pPr>
    </w:p>
    <w:p w14:paraId="6B9CB0DE" w14:textId="77777777" w:rsidR="00550484" w:rsidRDefault="00550484">
      <w:pPr>
        <w:jc w:val="center"/>
        <w:rPr>
          <w:rFonts w:ascii="Times New Roman" w:eastAsia="Times New Roman" w:hAnsi="Times New Roman" w:cs="Times New Roman"/>
        </w:rPr>
      </w:pPr>
    </w:p>
    <w:p w14:paraId="753A2111" w14:textId="77777777" w:rsidR="00550484" w:rsidRDefault="00550484">
      <w:pPr>
        <w:jc w:val="center"/>
        <w:rPr>
          <w:rFonts w:ascii="Times New Roman" w:eastAsia="Times New Roman" w:hAnsi="Times New Roman" w:cs="Times New Roman"/>
        </w:rPr>
      </w:pPr>
    </w:p>
    <w:p w14:paraId="52138315" w14:textId="77777777" w:rsidR="00550484" w:rsidRDefault="00550484">
      <w:pPr>
        <w:jc w:val="center"/>
        <w:rPr>
          <w:rFonts w:ascii="Times New Roman" w:eastAsia="Times New Roman" w:hAnsi="Times New Roman" w:cs="Times New Roman"/>
        </w:rPr>
      </w:pPr>
    </w:p>
    <w:p w14:paraId="5198AAD9" w14:textId="77777777" w:rsidR="00550484" w:rsidRDefault="00000000">
      <w:pPr>
        <w:pStyle w:val="Heading3"/>
        <w:rPr>
          <w:rFonts w:ascii="Times New Roman" w:eastAsia="Times New Roman" w:hAnsi="Times New Roman" w:cs="Times New Roman"/>
        </w:rPr>
      </w:pPr>
      <w:bookmarkStart w:id="9" w:name="_Toc204858818"/>
      <w:bookmarkStart w:id="10" w:name="_Hlk204859166"/>
      <w:r>
        <w:rPr>
          <w:rFonts w:ascii="Times New Roman" w:eastAsia="Times New Roman" w:hAnsi="Times New Roman" w:cs="Times New Roman"/>
        </w:rPr>
        <w:t>2.3 NIST Cybersecurity Framework (CSF)</w:t>
      </w:r>
      <w:bookmarkEnd w:id="9"/>
    </w:p>
    <w:bookmarkEnd w:id="10"/>
    <w:p w14:paraId="68DF2816"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The U.S. National Institute of Standards and Technology developed the NIST CSF, a voluntary framework for organizations to better manage and reduce cybersecurity risk. The NIST CSF offers five core functions: Identify, Protect, Detect, Respond, and Recover. The NIST CSF is highly adaptable and takes a maturity approach which is useful in a situation like NG, who may have a low starting security base. The framework emphasizes risk management at every layer of the organization and is complementary to ISO standards and real-world security outcomes. The NIST CSF would enable NG to build a more flexible and responsive cybersecurity capability without having to follow rigid implementation steps.  [3]</w:t>
      </w:r>
    </w:p>
    <w:p w14:paraId="5411CB5A" w14:textId="77777777" w:rsidR="00550484" w:rsidRDefault="00550484">
      <w:pPr>
        <w:rPr>
          <w:rFonts w:ascii="Times New Roman" w:eastAsia="Times New Roman" w:hAnsi="Times New Roman" w:cs="Times New Roman"/>
        </w:rPr>
      </w:pPr>
    </w:p>
    <w:p w14:paraId="49B32319" w14:textId="77777777" w:rsidR="00550484" w:rsidRDefault="00000000">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4152DB2E" wp14:editId="22AF5665">
            <wp:extent cx="3814763" cy="2769371"/>
            <wp:effectExtent l="0" t="0" r="0" b="0"/>
            <wp:docPr id="2"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9"/>
                    <a:srcRect/>
                    <a:stretch>
                      <a:fillRect/>
                    </a:stretch>
                  </pic:blipFill>
                  <pic:spPr>
                    <a:xfrm>
                      <a:off x="0" y="0"/>
                      <a:ext cx="3814763" cy="2769371"/>
                    </a:xfrm>
                    <a:prstGeom prst="rect">
                      <a:avLst/>
                    </a:prstGeom>
                    <a:ln/>
                  </pic:spPr>
                </pic:pic>
              </a:graphicData>
            </a:graphic>
          </wp:inline>
        </w:drawing>
      </w:r>
    </w:p>
    <w:p w14:paraId="78564308" w14:textId="77777777" w:rsidR="00550484" w:rsidRDefault="00550484">
      <w:pPr>
        <w:jc w:val="center"/>
        <w:rPr>
          <w:rFonts w:ascii="Times New Roman" w:eastAsia="Times New Roman" w:hAnsi="Times New Roman" w:cs="Times New Roman"/>
        </w:rPr>
      </w:pPr>
    </w:p>
    <w:p w14:paraId="205678A7" w14:textId="77777777" w:rsidR="00550484" w:rsidRDefault="00000000">
      <w:pPr>
        <w:rPr>
          <w:rFonts w:ascii="Times New Roman" w:eastAsia="Times New Roman" w:hAnsi="Times New Roman" w:cs="Times New Roman"/>
        </w:rPr>
      </w:pPr>
      <w:bookmarkStart w:id="11" w:name="_Hlk204859189"/>
      <w:r>
        <w:rPr>
          <w:rFonts w:ascii="Times New Roman" w:eastAsia="Times New Roman" w:hAnsi="Times New Roman" w:cs="Times New Roman"/>
        </w:rPr>
        <w:t>NIST Cybersecurity Framework</w:t>
      </w:r>
    </w:p>
    <w:p w14:paraId="305F6421"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This image shows the NIST Cybersecurity Framework (CSF) used to manage and reduce cybersecurity risks.</w:t>
      </w:r>
    </w:p>
    <w:p w14:paraId="56910813"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It consists of five core functions:</w:t>
      </w:r>
    </w:p>
    <w:p w14:paraId="14EFA2B0"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 xml:space="preserve">Identify </w:t>
      </w:r>
      <w:r>
        <w:rPr>
          <w:rFonts w:ascii="Times New Roman" w:eastAsia="Times New Roman" w:hAnsi="Times New Roman" w:cs="Times New Roman"/>
        </w:rPr>
        <w:t>– Understand systems, assets, and risks.</w:t>
      </w:r>
    </w:p>
    <w:p w14:paraId="4840EEFD"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 xml:space="preserve">Protect </w:t>
      </w:r>
      <w:r>
        <w:rPr>
          <w:rFonts w:ascii="Times New Roman" w:eastAsia="Times New Roman" w:hAnsi="Times New Roman" w:cs="Times New Roman"/>
        </w:rPr>
        <w:t>– Implement safeguards to ensure service delivery.</w:t>
      </w:r>
    </w:p>
    <w:p w14:paraId="7E1D2A76"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 xml:space="preserve">Detect </w:t>
      </w:r>
      <w:r>
        <w:rPr>
          <w:rFonts w:ascii="Times New Roman" w:eastAsia="Times New Roman" w:hAnsi="Times New Roman" w:cs="Times New Roman"/>
        </w:rPr>
        <w:t>– Develop activities to identify cybersecurity events.</w:t>
      </w:r>
    </w:p>
    <w:p w14:paraId="3FF2E6CE"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 xml:space="preserve">Respond </w:t>
      </w:r>
      <w:r>
        <w:rPr>
          <w:rFonts w:ascii="Times New Roman" w:eastAsia="Times New Roman" w:hAnsi="Times New Roman" w:cs="Times New Roman"/>
        </w:rPr>
        <w:t>– Take action during a detected cybersecurity incident.</w:t>
      </w:r>
    </w:p>
    <w:p w14:paraId="648D4314"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 xml:space="preserve">Recover </w:t>
      </w:r>
      <w:r>
        <w:rPr>
          <w:rFonts w:ascii="Times New Roman" w:eastAsia="Times New Roman" w:hAnsi="Times New Roman" w:cs="Times New Roman"/>
        </w:rPr>
        <w:t>– Restore capabilities and services after an incident.</w:t>
      </w:r>
    </w:p>
    <w:p w14:paraId="1A5332BB"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Govern (recently added)</w:t>
      </w:r>
      <w:r>
        <w:rPr>
          <w:rFonts w:ascii="Times New Roman" w:eastAsia="Times New Roman" w:hAnsi="Times New Roman" w:cs="Times New Roman"/>
        </w:rPr>
        <w:t xml:space="preserve"> – Manage cybersecurity risk governance.</w:t>
      </w:r>
    </w:p>
    <w:p w14:paraId="04CDE8F5"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It is widely used to strengthen cybersecurity posture in organizations.</w:t>
      </w:r>
    </w:p>
    <w:bookmarkEnd w:id="11"/>
    <w:p w14:paraId="6A6EBB3E" w14:textId="77777777" w:rsidR="00550484" w:rsidRDefault="00550484">
      <w:pPr>
        <w:rPr>
          <w:rFonts w:ascii="Times New Roman" w:eastAsia="Times New Roman" w:hAnsi="Times New Roman" w:cs="Times New Roman"/>
        </w:rPr>
      </w:pPr>
    </w:p>
    <w:p w14:paraId="35123B3A" w14:textId="77777777" w:rsidR="00550484" w:rsidRDefault="00000000">
      <w:pPr>
        <w:pStyle w:val="Heading3"/>
        <w:rPr>
          <w:rFonts w:ascii="Times New Roman" w:eastAsia="Times New Roman" w:hAnsi="Times New Roman" w:cs="Times New Roman"/>
        </w:rPr>
      </w:pPr>
      <w:bookmarkStart w:id="12" w:name="_Toc204858819"/>
      <w:r>
        <w:rPr>
          <w:rFonts w:ascii="Times New Roman" w:eastAsia="Times New Roman" w:hAnsi="Times New Roman" w:cs="Times New Roman"/>
        </w:rPr>
        <w:t>2.4 COBIT 2019</w:t>
      </w:r>
      <w:bookmarkEnd w:id="12"/>
    </w:p>
    <w:p w14:paraId="1776E3A9"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COBIT (Control Objectives for Information and Related Technologies) is a framework for enterprise governance and management developed by ISACA. COBIT differs from other frameworks, such as ISO and NIST, as it explicitly addresses governance (making sure IT supports and is aligned with business goals) instead of controls (the security controls themselves). As such, the framework provides a structured framework the organization can use to assess the performance of IT, assign responsibilities, and encourage the involvement of stakeholders. In both situations, COBIT can help to elevate cybersecurity from a technical issue to a business issue by providing a framework for decision-making, auditing, and KPIs (Key performance indicators) for information security and governance of IT. [4]</w:t>
      </w:r>
    </w:p>
    <w:p w14:paraId="470877BA" w14:textId="77777777" w:rsidR="00550484" w:rsidRDefault="00550484">
      <w:pPr>
        <w:rPr>
          <w:rFonts w:ascii="Times New Roman" w:eastAsia="Times New Roman" w:hAnsi="Times New Roman" w:cs="Times New Roman"/>
        </w:rPr>
      </w:pPr>
    </w:p>
    <w:p w14:paraId="2AE5F04A" w14:textId="77777777" w:rsidR="00550484" w:rsidRDefault="00000000">
      <w:pPr>
        <w:pStyle w:val="Heading2"/>
        <w:rPr>
          <w:rFonts w:ascii="Times New Roman" w:eastAsia="Times New Roman" w:hAnsi="Times New Roman" w:cs="Times New Roman"/>
        </w:rPr>
      </w:pPr>
      <w:bookmarkStart w:id="13" w:name="_Toc204858820"/>
      <w:r>
        <w:rPr>
          <w:rFonts w:ascii="Times New Roman" w:eastAsia="Times New Roman" w:hAnsi="Times New Roman" w:cs="Times New Roman"/>
        </w:rPr>
        <w:t>3. Comparison and Analysis of Frameworks</w:t>
      </w:r>
      <w:bookmarkEnd w:id="13"/>
    </w:p>
    <w:p w14:paraId="524018EE"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 xml:space="preserve">Evaluating the four frameworks against the key evaluation criteria—overall security coverage, support for compliance, flexibility, and ease of implementation—fully exposes their respective strengths and weaknesses. In the chart (see: Comparison of Security Frameworks), ISO 27001 appears to have the most in-depth security and compliance integration; NIST CSF is the most flexible; ITIL is the most easily implemented and used with existing systems; and COBIT is best for strategic alignment and performance governance. </w:t>
      </w:r>
    </w:p>
    <w:p w14:paraId="00093855" w14:textId="77777777" w:rsidR="00550484" w:rsidRDefault="00550484">
      <w:pPr>
        <w:rPr>
          <w:rFonts w:ascii="Times New Roman" w:eastAsia="Times New Roman" w:hAnsi="Times New Roman" w:cs="Times New Roman"/>
        </w:rPr>
      </w:pPr>
    </w:p>
    <w:p w14:paraId="7CC2CE7F"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Given that each framework represents a separate aspect of the security domain, a combination of the frameworks above would create a complete security model for NG in reference to its overall technical operations, governance, compliance, and continuous improvement capacity.</w:t>
      </w:r>
    </w:p>
    <w:p w14:paraId="5878D220" w14:textId="77777777" w:rsidR="00550484" w:rsidRDefault="00550484">
      <w:pPr>
        <w:rPr>
          <w:rFonts w:ascii="Times New Roman" w:eastAsia="Times New Roman" w:hAnsi="Times New Roman" w:cs="Times New Roman"/>
        </w:rPr>
      </w:pPr>
    </w:p>
    <w:p w14:paraId="2E220425" w14:textId="77777777" w:rsidR="00550484" w:rsidRDefault="00000000">
      <w:pPr>
        <w:pStyle w:val="Heading2"/>
        <w:rPr>
          <w:rFonts w:ascii="Times New Roman" w:eastAsia="Times New Roman" w:hAnsi="Times New Roman" w:cs="Times New Roman"/>
        </w:rPr>
      </w:pPr>
      <w:bookmarkStart w:id="14" w:name="_Toc204858821"/>
      <w:r>
        <w:rPr>
          <w:rFonts w:ascii="Times New Roman" w:eastAsia="Times New Roman" w:hAnsi="Times New Roman" w:cs="Times New Roman"/>
        </w:rPr>
        <w:t>4. Governance Structure Recommendation</w:t>
      </w:r>
      <w:bookmarkEnd w:id="14"/>
    </w:p>
    <w:p w14:paraId="6A05D635"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 xml:space="preserve">Governance structure must be adopted as part of any framework implementation. An example of a proposed model for NG includes a Chief Information Security Officer (CISO) overseeing security strategy and policy development, and providing oversight to specialized teams: Compliance Officer (legal and regulatory compliance), Data Protection Officer (GDPR and privacy law), Risk Management Team (threat and vulnerability assessment), IT Security Team (technical controls and infrastructure), and Incident Response Team (respond and recovery) [5]. </w:t>
      </w:r>
    </w:p>
    <w:p w14:paraId="7CF79621" w14:textId="77777777" w:rsidR="00550484" w:rsidRDefault="00550484">
      <w:pPr>
        <w:rPr>
          <w:rFonts w:ascii="Times New Roman" w:eastAsia="Times New Roman" w:hAnsi="Times New Roman" w:cs="Times New Roman"/>
        </w:rPr>
      </w:pPr>
    </w:p>
    <w:p w14:paraId="414758E3"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This hierarchy model provides clear delineation of responsibilities, centralized coordination, and consequently organization-wide coverage of security responsibilities, with ensuring that company staff, including staff who employ BYOD practice, will be trained and monitored using relevant company-wide policies.</w:t>
      </w:r>
    </w:p>
    <w:p w14:paraId="6929E1B1" w14:textId="77777777" w:rsidR="00550484" w:rsidRDefault="00550484">
      <w:pPr>
        <w:rPr>
          <w:rFonts w:ascii="Times New Roman" w:eastAsia="Times New Roman" w:hAnsi="Times New Roman" w:cs="Times New Roman"/>
        </w:rPr>
      </w:pPr>
    </w:p>
    <w:p w14:paraId="06C42C5B" w14:textId="77777777" w:rsidR="00550484" w:rsidRDefault="00000000">
      <w:pPr>
        <w:pStyle w:val="Heading2"/>
        <w:rPr>
          <w:rFonts w:ascii="Times New Roman" w:eastAsia="Times New Roman" w:hAnsi="Times New Roman" w:cs="Times New Roman"/>
        </w:rPr>
      </w:pPr>
      <w:bookmarkStart w:id="15" w:name="_Toc204858822"/>
      <w:r>
        <w:rPr>
          <w:rFonts w:ascii="Times New Roman" w:eastAsia="Times New Roman" w:hAnsi="Times New Roman" w:cs="Times New Roman"/>
        </w:rPr>
        <w:t>5. Recommendations</w:t>
      </w:r>
      <w:bookmarkEnd w:id="15"/>
    </w:p>
    <w:p w14:paraId="2EE64580"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Based on the lack of current security policies at NG, there will be a larger demand in the market for security around BYOD, therefore NG is recommended to take on a hybrid framework that blends the best values from a few models.</w:t>
      </w:r>
    </w:p>
    <w:p w14:paraId="5304F9F1"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NG's security framework should be based on ISO 27001, which would provide the risk assessment framework and policy development structure [1].</w:t>
      </w:r>
    </w:p>
    <w:p w14:paraId="00F58678"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NG should use NIST CSF, allowing NG to gradually achieve maturity and improving operational capability in risk identification, risk protection and incidents [3].</w:t>
      </w:r>
    </w:p>
    <w:p w14:paraId="66345CFE"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ITIL can give NG a consistent framework for integrating security into NG's cloud service operations along with ongoing management services in IT operations [2].</w:t>
      </w:r>
    </w:p>
    <w:p w14:paraId="01E06D58"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COBIT ensures the strategic governance of the organization, support from the board level and the means to measure performance [4].</w:t>
      </w:r>
    </w:p>
    <w:p w14:paraId="19CF8B95"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This approach represents the right balance of strategy, operations and compliance to allow NG to move from an ad-hoc approach to a mature, structured security posture.</w:t>
      </w:r>
    </w:p>
    <w:p w14:paraId="4A2A98F7" w14:textId="77777777" w:rsidR="00550484" w:rsidRDefault="00550484">
      <w:pPr>
        <w:rPr>
          <w:rFonts w:ascii="Times New Roman" w:eastAsia="Times New Roman" w:hAnsi="Times New Roman" w:cs="Times New Roman"/>
        </w:rPr>
      </w:pPr>
    </w:p>
    <w:p w14:paraId="5F3B114C" w14:textId="77777777" w:rsidR="00550484" w:rsidRDefault="00550484">
      <w:pPr>
        <w:rPr>
          <w:rFonts w:ascii="Times New Roman" w:eastAsia="Times New Roman" w:hAnsi="Times New Roman" w:cs="Times New Roman"/>
        </w:rPr>
      </w:pPr>
    </w:p>
    <w:p w14:paraId="78137B14" w14:textId="77777777" w:rsidR="00550484" w:rsidRDefault="00000000">
      <w:pPr>
        <w:pStyle w:val="Heading1"/>
        <w:rPr>
          <w:rFonts w:ascii="Times New Roman" w:eastAsia="Times New Roman" w:hAnsi="Times New Roman" w:cs="Times New Roman"/>
        </w:rPr>
      </w:pPr>
      <w:bookmarkStart w:id="16" w:name="_Toc204858823"/>
      <w:r>
        <w:rPr>
          <w:rFonts w:ascii="Times New Roman" w:eastAsia="Times New Roman" w:hAnsi="Times New Roman" w:cs="Times New Roman"/>
        </w:rPr>
        <w:t>2a. Designing an Approach for NatureGarden’s Information System Security, Governance, and Compliance</w:t>
      </w:r>
      <w:bookmarkEnd w:id="16"/>
    </w:p>
    <w:p w14:paraId="1E65B2BE" w14:textId="77777777" w:rsidR="00550484" w:rsidRDefault="00000000">
      <w:pPr>
        <w:pStyle w:val="Heading2"/>
        <w:rPr>
          <w:rFonts w:ascii="Times New Roman" w:eastAsia="Times New Roman" w:hAnsi="Times New Roman" w:cs="Times New Roman"/>
        </w:rPr>
      </w:pPr>
      <w:bookmarkStart w:id="17" w:name="_Toc204858824"/>
      <w:r>
        <w:rPr>
          <w:rFonts w:ascii="Times New Roman" w:eastAsia="Times New Roman" w:hAnsi="Times New Roman" w:cs="Times New Roman"/>
        </w:rPr>
        <w:t>Context &amp; Requirements</w:t>
      </w:r>
      <w:bookmarkEnd w:id="17"/>
    </w:p>
    <w:p w14:paraId="3E86DBE5" w14:textId="77777777" w:rsidR="00550484" w:rsidRDefault="00550484">
      <w:pPr>
        <w:rPr>
          <w:rFonts w:ascii="Times New Roman" w:eastAsia="Times New Roman" w:hAnsi="Times New Roman" w:cs="Times New Roman"/>
        </w:rPr>
      </w:pPr>
    </w:p>
    <w:p w14:paraId="56AEB4DC"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NatureGarden (NG) heavily depends on wireless networks, cloud services, and a bring-your-own-device (BYOD) policy. Sensitive data consists of customer details, environmental data, and proprietary information. Securing, governing, and ensuring compliance must take a risk-based approach to these channels while supporting regulatory practices and organizational objectives.</w:t>
      </w:r>
    </w:p>
    <w:p w14:paraId="075D3F81" w14:textId="77777777" w:rsidR="00550484" w:rsidRDefault="00550484">
      <w:pPr>
        <w:rPr>
          <w:rFonts w:ascii="Times New Roman" w:eastAsia="Times New Roman" w:hAnsi="Times New Roman" w:cs="Times New Roman"/>
        </w:rPr>
      </w:pPr>
    </w:p>
    <w:tbl>
      <w:tblPr>
        <w:tblStyle w:val="a"/>
        <w:tblW w:w="9470" w:type="dxa"/>
        <w:tblInd w:w="-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35"/>
        <w:gridCol w:w="4948"/>
        <w:gridCol w:w="3187"/>
      </w:tblGrid>
      <w:tr w:rsidR="00550484" w14:paraId="639C05DD" w14:textId="77777777">
        <w:trPr>
          <w:tblHeader/>
        </w:trPr>
        <w:tc>
          <w:tcPr>
            <w:tcW w:w="1335" w:type="dxa"/>
            <w:tcBorders>
              <w:top w:val="single" w:sz="12" w:space="0" w:color="000000"/>
              <w:left w:val="single" w:sz="12" w:space="0" w:color="000000"/>
              <w:bottom w:val="single" w:sz="12" w:space="0" w:color="000000"/>
              <w:right w:val="single" w:sz="12" w:space="0" w:color="000000"/>
            </w:tcBorders>
            <w:vAlign w:val="center"/>
          </w:tcPr>
          <w:p w14:paraId="1F59FAB4" w14:textId="77777777" w:rsidR="00550484" w:rsidRDefault="00000000">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Aspect</w:t>
            </w:r>
          </w:p>
        </w:tc>
        <w:tc>
          <w:tcPr>
            <w:tcW w:w="4948" w:type="dxa"/>
            <w:tcBorders>
              <w:top w:val="single" w:sz="12" w:space="0" w:color="000000"/>
              <w:left w:val="single" w:sz="12" w:space="0" w:color="000000"/>
              <w:bottom w:val="single" w:sz="12" w:space="0" w:color="000000"/>
              <w:right w:val="single" w:sz="12" w:space="0" w:color="000000"/>
            </w:tcBorders>
            <w:vAlign w:val="center"/>
          </w:tcPr>
          <w:p w14:paraId="59F37FC4" w14:textId="77777777" w:rsidR="00550484" w:rsidRDefault="00000000">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c>
          <w:tcPr>
            <w:tcW w:w="3187" w:type="dxa"/>
            <w:tcBorders>
              <w:top w:val="single" w:sz="12" w:space="0" w:color="000000"/>
              <w:left w:val="single" w:sz="12" w:space="0" w:color="000000"/>
              <w:bottom w:val="single" w:sz="12" w:space="0" w:color="000000"/>
              <w:right w:val="single" w:sz="12" w:space="0" w:color="000000"/>
            </w:tcBorders>
            <w:vAlign w:val="center"/>
          </w:tcPr>
          <w:p w14:paraId="6D795AC4" w14:textId="77777777" w:rsidR="00550484" w:rsidRDefault="00000000">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Frameworks / Standards Applied</w:t>
            </w:r>
          </w:p>
        </w:tc>
      </w:tr>
      <w:tr w:rsidR="00550484" w14:paraId="654A1E0E" w14:textId="77777777">
        <w:tc>
          <w:tcPr>
            <w:tcW w:w="1335" w:type="dxa"/>
            <w:tcBorders>
              <w:top w:val="single" w:sz="12" w:space="0" w:color="000000"/>
              <w:left w:val="single" w:sz="12" w:space="0" w:color="000000"/>
              <w:bottom w:val="single" w:sz="12" w:space="0" w:color="000000"/>
              <w:right w:val="single" w:sz="12" w:space="0" w:color="000000"/>
            </w:tcBorders>
            <w:vAlign w:val="center"/>
          </w:tcPr>
          <w:p w14:paraId="7399E871"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Security</w:t>
            </w:r>
          </w:p>
        </w:tc>
        <w:tc>
          <w:tcPr>
            <w:tcW w:w="4948" w:type="dxa"/>
            <w:tcBorders>
              <w:top w:val="single" w:sz="12" w:space="0" w:color="000000"/>
              <w:left w:val="single" w:sz="12" w:space="0" w:color="000000"/>
              <w:bottom w:val="single" w:sz="12" w:space="0" w:color="000000"/>
              <w:right w:val="single" w:sz="12" w:space="0" w:color="000000"/>
            </w:tcBorders>
            <w:vAlign w:val="center"/>
          </w:tcPr>
          <w:p w14:paraId="72772C3C"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Implement a layered defense model addressing network, endpoint, and cloud security.</w:t>
            </w:r>
          </w:p>
        </w:tc>
        <w:tc>
          <w:tcPr>
            <w:tcW w:w="3187" w:type="dxa"/>
            <w:tcBorders>
              <w:top w:val="single" w:sz="12" w:space="0" w:color="000000"/>
              <w:left w:val="single" w:sz="12" w:space="0" w:color="000000"/>
              <w:bottom w:val="single" w:sz="12" w:space="0" w:color="000000"/>
              <w:right w:val="single" w:sz="12" w:space="0" w:color="000000"/>
            </w:tcBorders>
            <w:vAlign w:val="center"/>
          </w:tcPr>
          <w:p w14:paraId="60E8FD4B"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ISO 27001, NIST Cybersecurity Framework, CIS Controls</w:t>
            </w:r>
          </w:p>
        </w:tc>
      </w:tr>
      <w:tr w:rsidR="00550484" w14:paraId="10D7BE43" w14:textId="77777777">
        <w:tc>
          <w:tcPr>
            <w:tcW w:w="1335" w:type="dxa"/>
            <w:tcBorders>
              <w:top w:val="single" w:sz="12" w:space="0" w:color="000000"/>
              <w:left w:val="single" w:sz="12" w:space="0" w:color="000000"/>
              <w:bottom w:val="single" w:sz="12" w:space="0" w:color="000000"/>
              <w:right w:val="single" w:sz="12" w:space="0" w:color="000000"/>
            </w:tcBorders>
            <w:vAlign w:val="center"/>
          </w:tcPr>
          <w:p w14:paraId="676FE9EE"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Governance</w:t>
            </w:r>
          </w:p>
        </w:tc>
        <w:tc>
          <w:tcPr>
            <w:tcW w:w="4948" w:type="dxa"/>
            <w:tcBorders>
              <w:top w:val="single" w:sz="12" w:space="0" w:color="000000"/>
              <w:left w:val="single" w:sz="12" w:space="0" w:color="000000"/>
              <w:bottom w:val="single" w:sz="12" w:space="0" w:color="000000"/>
              <w:right w:val="single" w:sz="12" w:space="0" w:color="000000"/>
            </w:tcBorders>
            <w:vAlign w:val="center"/>
          </w:tcPr>
          <w:p w14:paraId="4B6E506A"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 clear roles, responsibilities, and policies for data protection and access control.</w:t>
            </w:r>
          </w:p>
        </w:tc>
        <w:tc>
          <w:tcPr>
            <w:tcW w:w="3187" w:type="dxa"/>
            <w:tcBorders>
              <w:top w:val="single" w:sz="12" w:space="0" w:color="000000"/>
              <w:left w:val="single" w:sz="12" w:space="0" w:color="000000"/>
              <w:bottom w:val="single" w:sz="12" w:space="0" w:color="000000"/>
              <w:right w:val="single" w:sz="12" w:space="0" w:color="000000"/>
            </w:tcBorders>
            <w:vAlign w:val="center"/>
          </w:tcPr>
          <w:p w14:paraId="620FBD22"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COBIT 2019, ITIL v4 Service Management</w:t>
            </w:r>
          </w:p>
        </w:tc>
      </w:tr>
      <w:tr w:rsidR="00550484" w14:paraId="54747164" w14:textId="77777777">
        <w:tc>
          <w:tcPr>
            <w:tcW w:w="1335" w:type="dxa"/>
            <w:tcBorders>
              <w:top w:val="single" w:sz="12" w:space="0" w:color="000000"/>
              <w:left w:val="single" w:sz="12" w:space="0" w:color="000000"/>
              <w:bottom w:val="single" w:sz="12" w:space="0" w:color="000000"/>
              <w:right w:val="single" w:sz="12" w:space="0" w:color="000000"/>
            </w:tcBorders>
            <w:vAlign w:val="center"/>
          </w:tcPr>
          <w:p w14:paraId="3FAABBF3"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Compliance</w:t>
            </w:r>
          </w:p>
        </w:tc>
        <w:tc>
          <w:tcPr>
            <w:tcW w:w="4948" w:type="dxa"/>
            <w:tcBorders>
              <w:top w:val="single" w:sz="12" w:space="0" w:color="000000"/>
              <w:left w:val="single" w:sz="12" w:space="0" w:color="000000"/>
              <w:bottom w:val="single" w:sz="12" w:space="0" w:color="000000"/>
              <w:right w:val="single" w:sz="12" w:space="0" w:color="000000"/>
            </w:tcBorders>
            <w:vAlign w:val="center"/>
          </w:tcPr>
          <w:p w14:paraId="13F9282E"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 monitoring of regulatory compliance with GDPR, ISO 27001, and industry-specific laws.</w:t>
            </w:r>
          </w:p>
        </w:tc>
        <w:tc>
          <w:tcPr>
            <w:tcW w:w="3187" w:type="dxa"/>
            <w:tcBorders>
              <w:top w:val="single" w:sz="12" w:space="0" w:color="000000"/>
              <w:left w:val="single" w:sz="12" w:space="0" w:color="000000"/>
              <w:bottom w:val="single" w:sz="12" w:space="0" w:color="000000"/>
              <w:right w:val="single" w:sz="12" w:space="0" w:color="000000"/>
            </w:tcBorders>
            <w:vAlign w:val="center"/>
          </w:tcPr>
          <w:p w14:paraId="58872A73"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ISO 27001 Annex A controls, PCI DSS (if payment data)</w:t>
            </w:r>
          </w:p>
        </w:tc>
      </w:tr>
    </w:tbl>
    <w:p w14:paraId="122EED96" w14:textId="77777777" w:rsidR="00550484" w:rsidRDefault="00550484">
      <w:pPr>
        <w:rPr>
          <w:rFonts w:ascii="Times New Roman" w:eastAsia="Times New Roman" w:hAnsi="Times New Roman" w:cs="Times New Roman"/>
        </w:rPr>
      </w:pPr>
    </w:p>
    <w:p w14:paraId="2D5D4851" w14:textId="77777777" w:rsidR="00550484" w:rsidRDefault="00550484">
      <w:pPr>
        <w:rPr>
          <w:rFonts w:ascii="Times New Roman" w:eastAsia="Times New Roman" w:hAnsi="Times New Roman" w:cs="Times New Roman"/>
        </w:rPr>
      </w:pPr>
    </w:p>
    <w:p w14:paraId="6EAC276F" w14:textId="77777777" w:rsidR="00550484" w:rsidRDefault="00550484">
      <w:pPr>
        <w:rPr>
          <w:rFonts w:ascii="Times New Roman" w:eastAsia="Times New Roman" w:hAnsi="Times New Roman" w:cs="Times New Roman"/>
        </w:rPr>
      </w:pPr>
    </w:p>
    <w:p w14:paraId="5D71CFA0" w14:textId="77777777" w:rsidR="00550484" w:rsidRDefault="00550484">
      <w:pPr>
        <w:rPr>
          <w:rFonts w:ascii="Times New Roman" w:eastAsia="Times New Roman" w:hAnsi="Times New Roman" w:cs="Times New Roman"/>
        </w:rPr>
      </w:pPr>
    </w:p>
    <w:tbl>
      <w:tblPr>
        <w:tblStyle w:val="a0"/>
        <w:tblW w:w="9450" w:type="dxa"/>
        <w:tblInd w:w="-15" w:type="dxa"/>
        <w:tblLayout w:type="fixed"/>
        <w:tblLook w:val="0400" w:firstRow="0" w:lastRow="0" w:firstColumn="0" w:lastColumn="0" w:noHBand="0" w:noVBand="1"/>
      </w:tblPr>
      <w:tblGrid>
        <w:gridCol w:w="2326"/>
        <w:gridCol w:w="4572"/>
        <w:gridCol w:w="2552"/>
      </w:tblGrid>
      <w:tr w:rsidR="00550484" w14:paraId="0D380931" w14:textId="77777777">
        <w:trPr>
          <w:tblHeader/>
        </w:trPr>
        <w:tc>
          <w:tcPr>
            <w:tcW w:w="2326" w:type="dxa"/>
            <w:tcBorders>
              <w:top w:val="single" w:sz="12" w:space="0" w:color="000000"/>
              <w:left w:val="single" w:sz="12" w:space="0" w:color="000000"/>
              <w:bottom w:val="single" w:sz="12" w:space="0" w:color="000000"/>
              <w:right w:val="single" w:sz="12" w:space="0" w:color="000000"/>
            </w:tcBorders>
            <w:vAlign w:val="center"/>
          </w:tcPr>
          <w:p w14:paraId="7237022A" w14:textId="77777777" w:rsidR="00550484" w:rsidRDefault="00000000">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Component</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435B0BAE" w14:textId="77777777" w:rsidR="00550484" w:rsidRDefault="00000000">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16DBE6F5" w14:textId="77777777" w:rsidR="00550484" w:rsidRDefault="00000000">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Tools / Techniques</w:t>
            </w:r>
          </w:p>
        </w:tc>
      </w:tr>
      <w:tr w:rsidR="00550484" w14:paraId="0AFB4368" w14:textId="77777777">
        <w:tc>
          <w:tcPr>
            <w:tcW w:w="2326" w:type="dxa"/>
            <w:tcBorders>
              <w:top w:val="single" w:sz="12" w:space="0" w:color="000000"/>
              <w:left w:val="single" w:sz="12" w:space="0" w:color="000000"/>
              <w:bottom w:val="single" w:sz="12" w:space="0" w:color="000000"/>
              <w:right w:val="single" w:sz="12" w:space="0" w:color="000000"/>
            </w:tcBorders>
            <w:vAlign w:val="center"/>
          </w:tcPr>
          <w:p w14:paraId="39C55B84"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Risk Assessment</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6354B210"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Conduct regular risk assessments to identify threats and vulnerabilities related to wireless, cloud, and BYOD.</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43400B38"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ISO 27005 Risk Management</w:t>
            </w:r>
          </w:p>
        </w:tc>
      </w:tr>
      <w:tr w:rsidR="00550484" w14:paraId="7894FEB1" w14:textId="77777777">
        <w:tc>
          <w:tcPr>
            <w:tcW w:w="2326" w:type="dxa"/>
            <w:tcBorders>
              <w:top w:val="single" w:sz="12" w:space="0" w:color="000000"/>
              <w:left w:val="single" w:sz="12" w:space="0" w:color="000000"/>
              <w:bottom w:val="single" w:sz="12" w:space="0" w:color="000000"/>
              <w:right w:val="single" w:sz="12" w:space="0" w:color="000000"/>
            </w:tcBorders>
            <w:vAlign w:val="center"/>
          </w:tcPr>
          <w:p w14:paraId="64559B03"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Access Control &amp; Identity Management</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43289EB4"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 Role-Based Access Control (RBAC) with Multi-Factor Authentication (MFA) for sensitive systems.</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085D265A"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NIST SP 800-53, OAuth 2.0, SSO solutions</w:t>
            </w:r>
          </w:p>
        </w:tc>
      </w:tr>
      <w:tr w:rsidR="00550484" w14:paraId="1C67D219" w14:textId="77777777">
        <w:tc>
          <w:tcPr>
            <w:tcW w:w="2326" w:type="dxa"/>
            <w:tcBorders>
              <w:top w:val="single" w:sz="12" w:space="0" w:color="000000"/>
              <w:left w:val="single" w:sz="12" w:space="0" w:color="000000"/>
              <w:bottom w:val="single" w:sz="12" w:space="0" w:color="000000"/>
              <w:right w:val="single" w:sz="12" w:space="0" w:color="000000"/>
            </w:tcBorders>
            <w:vAlign w:val="center"/>
          </w:tcPr>
          <w:p w14:paraId="06FBCEC1"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Data Encryption</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05377EBC"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Use end-to-end encryption for data at rest and in transit, especially for cloud storage and mobile devices.</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3D05A3C0"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AES-256, TLS 1.3</w:t>
            </w:r>
          </w:p>
        </w:tc>
      </w:tr>
      <w:tr w:rsidR="00550484" w14:paraId="511EC6D6" w14:textId="77777777">
        <w:tc>
          <w:tcPr>
            <w:tcW w:w="2326" w:type="dxa"/>
            <w:tcBorders>
              <w:top w:val="single" w:sz="12" w:space="0" w:color="000000"/>
              <w:left w:val="single" w:sz="12" w:space="0" w:color="000000"/>
              <w:bottom w:val="single" w:sz="12" w:space="0" w:color="000000"/>
              <w:right w:val="single" w:sz="12" w:space="0" w:color="000000"/>
            </w:tcBorders>
            <w:vAlign w:val="center"/>
          </w:tcPr>
          <w:p w14:paraId="55F3B849"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Incident Response Plan</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01F1B2FF"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Develop and regularly test an incident response plan to quickly handle breaches or data loss.</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306C9862"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NIST SP 800-61, ITIL Incident Management</w:t>
            </w:r>
          </w:p>
        </w:tc>
      </w:tr>
      <w:tr w:rsidR="00550484" w14:paraId="0AA573C6" w14:textId="77777777">
        <w:tc>
          <w:tcPr>
            <w:tcW w:w="2326" w:type="dxa"/>
            <w:tcBorders>
              <w:top w:val="single" w:sz="12" w:space="0" w:color="000000"/>
              <w:left w:val="single" w:sz="12" w:space="0" w:color="000000"/>
              <w:bottom w:val="single" w:sz="12" w:space="0" w:color="000000"/>
              <w:right w:val="single" w:sz="12" w:space="0" w:color="000000"/>
            </w:tcBorders>
            <w:vAlign w:val="center"/>
          </w:tcPr>
          <w:p w14:paraId="24BEEB6B"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Security Awareness Training</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4B5A1C05"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Regular training for all employees and contractors on security best practices and phishing awareness.</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5AF1D5D7"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Internal LMS, phishing simulation tools</w:t>
            </w:r>
          </w:p>
        </w:tc>
      </w:tr>
      <w:tr w:rsidR="00550484" w14:paraId="32CFC554" w14:textId="77777777">
        <w:tc>
          <w:tcPr>
            <w:tcW w:w="2326" w:type="dxa"/>
            <w:tcBorders>
              <w:top w:val="single" w:sz="12" w:space="0" w:color="000000"/>
              <w:left w:val="single" w:sz="12" w:space="0" w:color="000000"/>
              <w:bottom w:val="single" w:sz="12" w:space="0" w:color="000000"/>
              <w:right w:val="single" w:sz="12" w:space="0" w:color="000000"/>
            </w:tcBorders>
            <w:vAlign w:val="center"/>
          </w:tcPr>
          <w:p w14:paraId="08571E2B"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Audit and Monitoring</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112D03AF"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Deploy continuous monitoring and logging with SIEM (Security Information and Event Management) tools.</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06F2FC90"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Splunk, ELK Stack, ISO 27001 Audit Procedures</w:t>
            </w:r>
          </w:p>
        </w:tc>
      </w:tr>
      <w:tr w:rsidR="00550484" w14:paraId="09341E79" w14:textId="77777777">
        <w:tc>
          <w:tcPr>
            <w:tcW w:w="2326" w:type="dxa"/>
            <w:tcBorders>
              <w:top w:val="single" w:sz="12" w:space="0" w:color="000000"/>
              <w:left w:val="single" w:sz="12" w:space="0" w:color="000000"/>
              <w:bottom w:val="single" w:sz="12" w:space="0" w:color="000000"/>
              <w:right w:val="single" w:sz="12" w:space="0" w:color="000000"/>
            </w:tcBorders>
            <w:vAlign w:val="center"/>
          </w:tcPr>
          <w:p w14:paraId="67D1F703"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Policy Management</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7CFE2393"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Define, publish, and enforce security policies for BYOD, cloud use, and data handling.</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3CA7B769"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ITIL Change &amp; Configuration Management</w:t>
            </w:r>
          </w:p>
        </w:tc>
      </w:tr>
    </w:tbl>
    <w:p w14:paraId="2F81CDF1" w14:textId="77777777" w:rsidR="00550484" w:rsidRDefault="00550484">
      <w:pPr>
        <w:rPr>
          <w:rFonts w:ascii="Times New Roman" w:eastAsia="Times New Roman" w:hAnsi="Times New Roman" w:cs="Times New Roman"/>
        </w:rPr>
      </w:pPr>
    </w:p>
    <w:p w14:paraId="21C6630E" w14:textId="77777777" w:rsidR="00550484" w:rsidRDefault="00550484">
      <w:pPr>
        <w:rPr>
          <w:rFonts w:ascii="Times New Roman" w:eastAsia="Times New Roman" w:hAnsi="Times New Roman" w:cs="Times New Roman"/>
        </w:rPr>
      </w:pPr>
    </w:p>
    <w:p w14:paraId="52D2D505" w14:textId="77777777" w:rsidR="00550484" w:rsidRDefault="00550484">
      <w:pPr>
        <w:rPr>
          <w:rFonts w:ascii="Times New Roman" w:eastAsia="Times New Roman" w:hAnsi="Times New Roman" w:cs="Times New Roman"/>
        </w:rPr>
      </w:pPr>
    </w:p>
    <w:p w14:paraId="7D42FED9" w14:textId="77777777" w:rsidR="00550484" w:rsidRDefault="00550484">
      <w:pPr>
        <w:rPr>
          <w:rFonts w:ascii="Times New Roman" w:eastAsia="Times New Roman" w:hAnsi="Times New Roman" w:cs="Times New Roman"/>
        </w:rPr>
      </w:pPr>
    </w:p>
    <w:p w14:paraId="0E37C977" w14:textId="77777777" w:rsidR="00550484" w:rsidRDefault="00000000">
      <w:pPr>
        <w:pStyle w:val="Heading2"/>
        <w:rPr>
          <w:rFonts w:ascii="Times New Roman" w:eastAsia="Times New Roman" w:hAnsi="Times New Roman" w:cs="Times New Roman"/>
        </w:rPr>
      </w:pPr>
      <w:bookmarkStart w:id="18" w:name="_Toc204858825"/>
      <w:r>
        <w:rPr>
          <w:rFonts w:ascii="Times New Roman" w:eastAsia="Times New Roman" w:hAnsi="Times New Roman" w:cs="Times New Roman"/>
        </w:rPr>
        <w:t>2b. Expanded Discussion on the Importance of Updating Regulations and Standards</w:t>
      </w:r>
      <w:bookmarkEnd w:id="18"/>
    </w:p>
    <w:p w14:paraId="0D388CCF" w14:textId="77777777" w:rsidR="00550484" w:rsidRDefault="00550484">
      <w:pPr>
        <w:rPr>
          <w:rFonts w:ascii="Times New Roman" w:eastAsia="Times New Roman" w:hAnsi="Times New Roman" w:cs="Times New Roman"/>
        </w:rPr>
      </w:pPr>
    </w:p>
    <w:p w14:paraId="4D7EABFA" w14:textId="77777777" w:rsidR="00550484" w:rsidRDefault="00000000">
      <w:pPr>
        <w:pStyle w:val="Heading2"/>
        <w:rPr>
          <w:rFonts w:ascii="Times New Roman" w:eastAsia="Times New Roman" w:hAnsi="Times New Roman" w:cs="Times New Roman"/>
        </w:rPr>
      </w:pPr>
      <w:bookmarkStart w:id="19" w:name="_Toc204858826"/>
      <w:r>
        <w:rPr>
          <w:rFonts w:ascii="Times New Roman" w:eastAsia="Times New Roman" w:hAnsi="Times New Roman" w:cs="Times New Roman"/>
        </w:rPr>
        <w:t>Evolving Cyber Threats Require Continuous Adaptation</w:t>
      </w:r>
      <w:bookmarkEnd w:id="19"/>
    </w:p>
    <w:p w14:paraId="0F987A4D" w14:textId="77777777" w:rsidR="00550484" w:rsidRDefault="00550484">
      <w:pPr>
        <w:rPr>
          <w:rFonts w:ascii="Times New Roman" w:eastAsia="Times New Roman" w:hAnsi="Times New Roman" w:cs="Times New Roman"/>
        </w:rPr>
      </w:pPr>
    </w:p>
    <w:p w14:paraId="6798A5B3"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Cybersecurity threats are growing quickly—new vulnerabilities, malware variants, and attack techniques emerge every day. Therefore, static security frameworks quickly become outdated and lack the ability to lessen new risk. For instance, the emergence of sophisticated ransomware variants and supply chain compromises demonstrates why organizations like NG require standards that are responsive to new threat intelligence and tactics to mitigate the risk.</w:t>
      </w:r>
    </w:p>
    <w:p w14:paraId="6619BA0A" w14:textId="77777777" w:rsidR="00550484" w:rsidRDefault="00000000">
      <w:pPr>
        <w:pStyle w:val="Heading3"/>
        <w:rPr>
          <w:rFonts w:ascii="Times New Roman" w:eastAsia="Times New Roman" w:hAnsi="Times New Roman" w:cs="Times New Roman"/>
        </w:rPr>
      </w:pPr>
      <w:bookmarkStart w:id="20" w:name="_Toc204858827"/>
      <w:r>
        <w:rPr>
          <w:rFonts w:ascii="Times New Roman" w:eastAsia="Times New Roman" w:hAnsi="Times New Roman" w:cs="Times New Roman"/>
        </w:rPr>
        <w:t>Technological Progress Brings New Security Challenges</w:t>
      </w:r>
      <w:bookmarkEnd w:id="20"/>
    </w:p>
    <w:p w14:paraId="0402EEB3" w14:textId="77777777" w:rsidR="00550484" w:rsidRDefault="00550484">
      <w:pPr>
        <w:rPr>
          <w:rFonts w:ascii="Times New Roman" w:eastAsia="Times New Roman" w:hAnsi="Times New Roman" w:cs="Times New Roman"/>
        </w:rPr>
      </w:pPr>
    </w:p>
    <w:p w14:paraId="7F8BED10"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With NG starting to embrace new technologies—cloud platforms, Internet of Things devices, mobile BYOD—security and privacy challenges continue to emerge. Older standards may not fully address these innovations. Newly promulgated regulations provide a means of exercising control over cloud data sovereignty, secure configurations of IoT devices, and management of mobile devices to allow NG to freely implement technologies while preventing unanticipated risks.</w:t>
      </w:r>
    </w:p>
    <w:p w14:paraId="36128D2D" w14:textId="77777777" w:rsidR="00550484" w:rsidRDefault="00550484">
      <w:pPr>
        <w:rPr>
          <w:rFonts w:ascii="Times New Roman" w:eastAsia="Times New Roman" w:hAnsi="Times New Roman" w:cs="Times New Roman"/>
        </w:rPr>
      </w:pPr>
    </w:p>
    <w:p w14:paraId="00BED5B0" w14:textId="77777777" w:rsidR="00550484" w:rsidRDefault="00000000">
      <w:pPr>
        <w:pStyle w:val="Heading3"/>
        <w:rPr>
          <w:rFonts w:ascii="Times New Roman" w:eastAsia="Times New Roman" w:hAnsi="Times New Roman" w:cs="Times New Roman"/>
        </w:rPr>
      </w:pPr>
      <w:bookmarkStart w:id="21" w:name="_Toc204858828"/>
      <w:r>
        <w:rPr>
          <w:rFonts w:ascii="Times New Roman" w:eastAsia="Times New Roman" w:hAnsi="Times New Roman" w:cs="Times New Roman"/>
        </w:rPr>
        <w:t>Legal and Regulatory Landscape Shifts</w:t>
      </w:r>
      <w:bookmarkEnd w:id="21"/>
    </w:p>
    <w:p w14:paraId="3418685A" w14:textId="77777777" w:rsidR="00550484" w:rsidRDefault="00550484">
      <w:pPr>
        <w:rPr>
          <w:rFonts w:ascii="Times New Roman" w:eastAsia="Times New Roman" w:hAnsi="Times New Roman" w:cs="Times New Roman"/>
        </w:rPr>
      </w:pPr>
    </w:p>
    <w:p w14:paraId="27680D01"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International privacy laws like GDPR and CCPA continue to develop, with data protection and breach notification requirements becoming stricter. Updating the standards based on the developments will maintain relevance and identification of changing legal obligations, preventing costly fines and ensuring customer trust. Without updates, organizations risk being non-compliance with changing legislation.</w:t>
      </w:r>
    </w:p>
    <w:p w14:paraId="5DC7A934" w14:textId="77777777" w:rsidR="00550484" w:rsidRDefault="00550484">
      <w:pPr>
        <w:pStyle w:val="Heading3"/>
        <w:rPr>
          <w:rFonts w:ascii="Times New Roman" w:eastAsia="Times New Roman" w:hAnsi="Times New Roman" w:cs="Times New Roman"/>
        </w:rPr>
      </w:pPr>
    </w:p>
    <w:p w14:paraId="4FB31D2C" w14:textId="77777777" w:rsidR="00550484" w:rsidRDefault="00000000">
      <w:pPr>
        <w:pStyle w:val="Heading3"/>
        <w:rPr>
          <w:rFonts w:ascii="Times New Roman" w:eastAsia="Times New Roman" w:hAnsi="Times New Roman" w:cs="Times New Roman"/>
        </w:rPr>
      </w:pPr>
      <w:bookmarkStart w:id="22" w:name="_Toc204858829"/>
      <w:r>
        <w:rPr>
          <w:rFonts w:ascii="Times New Roman" w:eastAsia="Times New Roman" w:hAnsi="Times New Roman" w:cs="Times New Roman"/>
        </w:rPr>
        <w:t>Adoption of Industry Best Practices</w:t>
      </w:r>
      <w:bookmarkEnd w:id="22"/>
    </w:p>
    <w:p w14:paraId="25730B16"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Security standards are continually improved by learning from recent incidents, vulnerabilities, and expert research. Incorporating these insights into updated frameworks ensures NG follows the best possible controls and governance structures, enhancing its security posture effectively and efficiently.</w:t>
      </w:r>
    </w:p>
    <w:p w14:paraId="497D0643" w14:textId="77777777" w:rsidR="00550484" w:rsidRDefault="00550484">
      <w:pPr>
        <w:rPr>
          <w:rFonts w:ascii="Times New Roman" w:eastAsia="Times New Roman" w:hAnsi="Times New Roman" w:cs="Times New Roman"/>
        </w:rPr>
      </w:pPr>
    </w:p>
    <w:p w14:paraId="5C6605D0" w14:textId="77777777" w:rsidR="00550484" w:rsidRDefault="00000000">
      <w:pPr>
        <w:pStyle w:val="Heading3"/>
        <w:rPr>
          <w:rFonts w:ascii="Times New Roman" w:eastAsia="Times New Roman" w:hAnsi="Times New Roman" w:cs="Times New Roman"/>
        </w:rPr>
      </w:pPr>
      <w:bookmarkStart w:id="23" w:name="_Toc204858830"/>
      <w:r>
        <w:rPr>
          <w:rFonts w:ascii="Times New Roman" w:eastAsia="Times New Roman" w:hAnsi="Times New Roman" w:cs="Times New Roman"/>
        </w:rPr>
        <w:t>Enhancing Trust, Business Continuity, and Competitiveness</w:t>
      </w:r>
      <w:bookmarkEnd w:id="23"/>
    </w:p>
    <w:p w14:paraId="50F9F5B9"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Customers and partners demand strong confidence and you can only provide that with solid security. New certifications that are based on changing standards let stakeholders understand that NG is serious about securing their data, which can provide additional business opportunities and a better chance of surviving operational disruptions caused by security accordingly.</w:t>
      </w:r>
    </w:p>
    <w:p w14:paraId="20548909" w14:textId="77777777" w:rsidR="00550484" w:rsidRDefault="00550484">
      <w:pPr>
        <w:rPr>
          <w:rFonts w:ascii="Times New Roman" w:eastAsia="Times New Roman" w:hAnsi="Times New Roman" w:cs="Times New Roman"/>
        </w:rPr>
      </w:pPr>
    </w:p>
    <w:p w14:paraId="6619D50A" w14:textId="77777777" w:rsidR="00550484" w:rsidRDefault="00000000">
      <w:pPr>
        <w:pStyle w:val="Heading3"/>
        <w:rPr>
          <w:rFonts w:ascii="Times New Roman" w:eastAsia="Times New Roman" w:hAnsi="Times New Roman" w:cs="Times New Roman"/>
        </w:rPr>
      </w:pPr>
      <w:bookmarkStart w:id="24" w:name="_Toc204858831"/>
      <w:r>
        <w:rPr>
          <w:rFonts w:ascii="Times New Roman" w:eastAsia="Times New Roman" w:hAnsi="Times New Roman" w:cs="Times New Roman"/>
        </w:rPr>
        <w:t>Balancing Challenges of Frequent Updates</w:t>
      </w:r>
      <w:bookmarkEnd w:id="24"/>
    </w:p>
    <w:p w14:paraId="080ED85F"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Without a doubt, regular updates to processes, requirements, and policies can add complexity, perhaps requiring NG to train staff, implement technological upgrades, and adapt policies. Change management will be critical to ensure that disruption is kept to a minimum, and that staff understand/generate buy-in for the new requirement.</w:t>
      </w:r>
    </w:p>
    <w:p w14:paraId="3C8F7207" w14:textId="77777777" w:rsidR="00550484" w:rsidRDefault="00550484">
      <w:pPr>
        <w:rPr>
          <w:rFonts w:ascii="Times New Roman" w:eastAsia="Times New Roman" w:hAnsi="Times New Roman" w:cs="Times New Roman"/>
        </w:rPr>
      </w:pPr>
    </w:p>
    <w:p w14:paraId="66165540" w14:textId="77777777" w:rsidR="00550484" w:rsidRDefault="00550484">
      <w:pPr>
        <w:rPr>
          <w:rFonts w:ascii="Times New Roman" w:eastAsia="Times New Roman" w:hAnsi="Times New Roman" w:cs="Times New Roman"/>
        </w:rPr>
      </w:pPr>
    </w:p>
    <w:p w14:paraId="01D168DF" w14:textId="77777777" w:rsidR="00550484" w:rsidRDefault="00000000">
      <w:pPr>
        <w:pStyle w:val="Heading1"/>
        <w:rPr>
          <w:rFonts w:ascii="Times New Roman" w:eastAsia="Times New Roman" w:hAnsi="Times New Roman" w:cs="Times New Roman"/>
        </w:rPr>
      </w:pPr>
      <w:bookmarkStart w:id="25" w:name="_heading=h.ganhmhsu9jl" w:colFirst="0" w:colLast="0"/>
      <w:bookmarkStart w:id="26" w:name="_Toc204858832"/>
      <w:bookmarkEnd w:id="25"/>
      <w:r>
        <w:rPr>
          <w:rFonts w:ascii="Times New Roman" w:eastAsia="Times New Roman" w:hAnsi="Times New Roman" w:cs="Times New Roman"/>
        </w:rPr>
        <w:t>Compliance (Laws and Ethics)</w:t>
      </w:r>
      <w:bookmarkEnd w:id="26"/>
    </w:p>
    <w:p w14:paraId="59B0E6B6"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Compliance with laws and ethical standards is the first step toward effective security solutions. Organizations must navigate a complicated regulatory framework that involves general concepts about data protection laws, sector-specific regulations, and international regulations. For example, regulations like GDPR, HIPAA, and PCI DSS require compliance with specific requirements about how data is collected, used, stored, and shared. Non/compliance to these legal standards can result in substantial consequences, such as fines, legal liability, and damage to reputation. Beyond the legal side, ethical standards require organizations to practice fairness in its treatment of valid user expectations of privacy, transparency regarding how data collected from users will be used, and to avoid practices that could lead to harm for stakeholders. Ethical security practices can foster trust with customers, employees, and partners that are also critical to ensuring the longevity of an organization, and its social responsibility and support.</w:t>
      </w:r>
    </w:p>
    <w:p w14:paraId="728FBAB2" w14:textId="77777777" w:rsidR="00550484" w:rsidRDefault="00550484">
      <w:pPr>
        <w:rPr>
          <w:rFonts w:ascii="Times New Roman" w:eastAsia="Times New Roman" w:hAnsi="Times New Roman" w:cs="Times New Roman"/>
        </w:rPr>
      </w:pPr>
    </w:p>
    <w:p w14:paraId="0EFA22B2" w14:textId="77777777" w:rsidR="00550484" w:rsidRDefault="00000000">
      <w:pPr>
        <w:pStyle w:val="Heading1"/>
        <w:rPr>
          <w:rFonts w:ascii="Times New Roman" w:eastAsia="Times New Roman" w:hAnsi="Times New Roman" w:cs="Times New Roman"/>
        </w:rPr>
      </w:pPr>
      <w:bookmarkStart w:id="27" w:name="_heading=h.o8pyhq95ymgr" w:colFirst="0" w:colLast="0"/>
      <w:bookmarkStart w:id="28" w:name="_Toc204858833"/>
      <w:bookmarkEnd w:id="27"/>
      <w:r>
        <w:rPr>
          <w:rFonts w:ascii="Times New Roman" w:eastAsia="Times New Roman" w:hAnsi="Times New Roman" w:cs="Times New Roman"/>
        </w:rPr>
        <w:t>Governance and Strategic Planning for Security</w:t>
      </w:r>
      <w:bookmarkEnd w:id="28"/>
    </w:p>
    <w:p w14:paraId="2D11CD06"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Security governance requires a formal structure that informs how security policies are created, implemented, and managed within a company. Security governance is broader than just compliance; it formally defines roles, responsibilities, and accountability frameworks that provide a direct line of sight between corporate governance and security. Strategic planning of the organization's security objectives allows for alignment with the organizational business objectives, ensuring security decisions and investments are made based on risk levels as opposed to fear of being a victim of a growing threat landscape. This starts with risk assessments and analysis based on specific locations and operations, understanding risk changes over time and in specific contexts as new technology develops and regulations change. These processes also aid in inter-departmental communication and management by fostering the notion of security as a shared responsibility, encouraging security awareness and allowing informed decisions to be made at all organizational levels.</w:t>
      </w:r>
    </w:p>
    <w:p w14:paraId="1EF3282A" w14:textId="77777777" w:rsidR="00550484" w:rsidRDefault="00550484">
      <w:pPr>
        <w:rPr>
          <w:rFonts w:ascii="Times New Roman" w:eastAsia="Times New Roman" w:hAnsi="Times New Roman" w:cs="Times New Roman"/>
        </w:rPr>
      </w:pPr>
    </w:p>
    <w:p w14:paraId="71588395" w14:textId="77777777" w:rsidR="00550484" w:rsidRDefault="00000000">
      <w:pPr>
        <w:pStyle w:val="Heading1"/>
        <w:rPr>
          <w:rFonts w:ascii="Times New Roman" w:eastAsia="Times New Roman" w:hAnsi="Times New Roman" w:cs="Times New Roman"/>
        </w:rPr>
      </w:pPr>
      <w:bookmarkStart w:id="29" w:name="_heading=h.gubbgzgechiy" w:colFirst="0" w:colLast="0"/>
      <w:bookmarkStart w:id="30" w:name="_Toc204858834"/>
      <w:bookmarkEnd w:id="29"/>
      <w:r>
        <w:rPr>
          <w:rFonts w:ascii="Times New Roman" w:eastAsia="Times New Roman" w:hAnsi="Times New Roman" w:cs="Times New Roman"/>
        </w:rPr>
        <w:t>Security Policies</w:t>
      </w:r>
      <w:bookmarkEnd w:id="30"/>
    </w:p>
    <w:p w14:paraId="6BBCF166"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NatureGarden should have security policies around BYOD usage that clearly outline acceptable devices, security requirements (i.e. mandatory encryption and/or antivirus), acceptable activities while connected to corporate Wi-Fi, etc. There may be some type of requirement for employees to connect remotely to internal systems once they are on a VPN, but there are no policies prohibiting employees from connecting remotely to internal systems and without VPN's. NatureGarden should also clearly define data classification and handling policies that, at a minimum, strongly discourage employees from using unsecure channels (personal email or public cloud storage service) to share sensitive business information.</w:t>
      </w:r>
    </w:p>
    <w:p w14:paraId="4A85C313" w14:textId="77777777" w:rsidR="00550484" w:rsidRDefault="00000000">
      <w:pPr>
        <w:pStyle w:val="Heading1"/>
        <w:rPr>
          <w:rFonts w:ascii="Times New Roman" w:eastAsia="Times New Roman" w:hAnsi="Times New Roman" w:cs="Times New Roman"/>
        </w:rPr>
      </w:pPr>
      <w:bookmarkStart w:id="31" w:name="_heading=h.si0wgn24q92m" w:colFirst="0" w:colLast="0"/>
      <w:bookmarkStart w:id="32" w:name="_Toc204858835"/>
      <w:bookmarkEnd w:id="31"/>
      <w:r>
        <w:rPr>
          <w:rFonts w:ascii="Times New Roman" w:eastAsia="Times New Roman" w:hAnsi="Times New Roman" w:cs="Times New Roman"/>
        </w:rPr>
        <w:t>Risk Management</w:t>
      </w:r>
      <w:bookmarkEnd w:id="32"/>
    </w:p>
    <w:p w14:paraId="089994D6"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In the context of NG, risk management would begin with the identification of risks. For example, the risk of unauthorized access through an unsecured wireless network or leaking data through cloud applications. An instance of this would be a personal smartphone with unacceptable security settings accessing sensitive company data such as personally identifiable information (PII). In such a situation, NG has a risk of data breach. After identification of the risk, NG would next assess likelihood and consequence, NG would then prioritize cyber risks such as ransomware attacks against cloud backups, and NG would invest in risk mitigation strategies such as multi-factor authentication both company and personal devices, and generally embedding cyber security training into onboarding for new employees.</w:t>
      </w:r>
    </w:p>
    <w:p w14:paraId="06EF7C8F" w14:textId="77777777" w:rsidR="00550484" w:rsidRDefault="00550484">
      <w:pPr>
        <w:rPr>
          <w:rFonts w:ascii="Times New Roman" w:eastAsia="Times New Roman" w:hAnsi="Times New Roman" w:cs="Times New Roman"/>
        </w:rPr>
      </w:pPr>
    </w:p>
    <w:p w14:paraId="2C8A30E0" w14:textId="77777777" w:rsidR="00550484" w:rsidRDefault="00000000">
      <w:pPr>
        <w:pStyle w:val="Heading1"/>
        <w:rPr>
          <w:rFonts w:ascii="Times New Roman" w:eastAsia="Times New Roman" w:hAnsi="Times New Roman" w:cs="Times New Roman"/>
        </w:rPr>
      </w:pPr>
      <w:bookmarkStart w:id="33" w:name="_heading=h.8a2cjaucftct" w:colFirst="0" w:colLast="0"/>
      <w:bookmarkStart w:id="34" w:name="_Toc204858836"/>
      <w:bookmarkEnd w:id="33"/>
      <w:r>
        <w:rPr>
          <w:rFonts w:ascii="Times New Roman" w:eastAsia="Times New Roman" w:hAnsi="Times New Roman" w:cs="Times New Roman"/>
        </w:rPr>
        <w:t>Security Management Models and Practices</w:t>
      </w:r>
      <w:bookmarkEnd w:id="34"/>
    </w:p>
    <w:p w14:paraId="4C81BA52"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 xml:space="preserve">NatureGarden might consider ISO 27001 as its security management framework and systematically identify its assets, risks and controls. This again would fall in their range of activities defining procedures for things like access control, incident management, and ongoing monitoring of security matters specific to their hybrid IT environment (which involves a mix of both on-premises and cloud based infrastructures). NatureGarden might adopt ITIL practices, possibly responding to incidents in a structured way and then mitigate the disruption of service for security events, allow them to lessen the risks to their supply chain as well as service their customer base. </w:t>
      </w:r>
    </w:p>
    <w:p w14:paraId="27D5B76E" w14:textId="77777777" w:rsidR="00550484" w:rsidRDefault="00550484">
      <w:pPr>
        <w:rPr>
          <w:rFonts w:ascii="Times New Roman" w:eastAsia="Times New Roman" w:hAnsi="Times New Roman" w:cs="Times New Roman"/>
        </w:rPr>
      </w:pPr>
    </w:p>
    <w:p w14:paraId="4CEAB00E" w14:textId="77777777" w:rsidR="00550484" w:rsidRDefault="00000000">
      <w:pPr>
        <w:pStyle w:val="Heading1"/>
        <w:rPr>
          <w:rFonts w:ascii="Times New Roman" w:eastAsia="Times New Roman" w:hAnsi="Times New Roman" w:cs="Times New Roman"/>
        </w:rPr>
      </w:pPr>
      <w:bookmarkStart w:id="35" w:name="_heading=h.61eyypwbj6gz" w:colFirst="0" w:colLast="0"/>
      <w:bookmarkStart w:id="36" w:name="_Toc204858837"/>
      <w:bookmarkEnd w:id="35"/>
      <w:r>
        <w:rPr>
          <w:rFonts w:ascii="Times New Roman" w:eastAsia="Times New Roman" w:hAnsi="Times New Roman" w:cs="Times New Roman"/>
        </w:rPr>
        <w:t>Contingency Planning</w:t>
      </w:r>
      <w:bookmarkEnd w:id="36"/>
    </w:p>
    <w:p w14:paraId="6270F2A8"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The contingency plan developed by NG may involve a schedule of ongoing backups of mission critical data that they have in the cloud, with backup restoration processes being tested quarterly to ensure timely restoration of systems in the event of data loss or ransomware. For example, if for any reason a cyber attack interrupted their ordering system, this contingency plan would include steps to temporarily move the ordering process back to a manual ordering process until the IT department could restore systems. NG would also build communication templates to communicate with their customers and partners above the disruption, to maintain transparency and trust.</w:t>
      </w:r>
    </w:p>
    <w:p w14:paraId="221A149D" w14:textId="77777777" w:rsidR="00550484" w:rsidRDefault="00550484">
      <w:pPr>
        <w:rPr>
          <w:rFonts w:ascii="Times New Roman" w:eastAsia="Times New Roman" w:hAnsi="Times New Roman" w:cs="Times New Roman"/>
        </w:rPr>
      </w:pPr>
    </w:p>
    <w:p w14:paraId="5D958EFE" w14:textId="77777777" w:rsidR="00550484" w:rsidRDefault="00000000">
      <w:pPr>
        <w:pStyle w:val="Heading1"/>
        <w:rPr>
          <w:rFonts w:ascii="Times New Roman" w:eastAsia="Times New Roman" w:hAnsi="Times New Roman" w:cs="Times New Roman"/>
        </w:rPr>
      </w:pPr>
      <w:bookmarkStart w:id="37" w:name="_heading=h.h7ak2dlp2u7n" w:colFirst="0" w:colLast="0"/>
      <w:bookmarkStart w:id="38" w:name="_Toc204858838"/>
      <w:bookmarkEnd w:id="37"/>
      <w:r>
        <w:rPr>
          <w:rFonts w:ascii="Times New Roman" w:eastAsia="Times New Roman" w:hAnsi="Times New Roman" w:cs="Times New Roman"/>
        </w:rPr>
        <w:t>Protection Mechanisms</w:t>
      </w:r>
      <w:bookmarkEnd w:id="38"/>
    </w:p>
    <w:p w14:paraId="4D9B9CCF"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NatureGarden might deploy and used firewalls and intrusion detection devices to monitor traffic between its IoT sensors located in the greenhouse and its corporate network. Encryption would be compulsory for all data transmitted over wireless networks. NG may also monitor BYOD protections by limiting the installations of the company-approved security software. Multi-factor authentication will protect the access of cloud-based applications and could mitigate the risk of account compromise if passwords are disclosed.</w:t>
      </w:r>
    </w:p>
    <w:p w14:paraId="65DB98AC" w14:textId="77777777" w:rsidR="00550484" w:rsidRDefault="00550484">
      <w:pPr>
        <w:rPr>
          <w:rFonts w:ascii="Times New Roman" w:eastAsia="Times New Roman" w:hAnsi="Times New Roman" w:cs="Times New Roman"/>
        </w:rPr>
      </w:pPr>
    </w:p>
    <w:p w14:paraId="347CF8C5" w14:textId="77777777" w:rsidR="00550484" w:rsidRDefault="00000000">
      <w:pPr>
        <w:pStyle w:val="Heading1"/>
        <w:rPr>
          <w:rFonts w:ascii="Times New Roman" w:eastAsia="Times New Roman" w:hAnsi="Times New Roman" w:cs="Times New Roman"/>
        </w:rPr>
      </w:pPr>
      <w:bookmarkStart w:id="39" w:name="_heading=h.8392jgnjtlmu" w:colFirst="0" w:colLast="0"/>
      <w:bookmarkStart w:id="40" w:name="_Toc204858839"/>
      <w:bookmarkEnd w:id="39"/>
      <w:r>
        <w:rPr>
          <w:rFonts w:ascii="Times New Roman" w:eastAsia="Times New Roman" w:hAnsi="Times New Roman" w:cs="Times New Roman"/>
        </w:rPr>
        <w:t>Service Level Agreement</w:t>
      </w:r>
      <w:bookmarkEnd w:id="40"/>
    </w:p>
    <w:p w14:paraId="396061D4"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When NG contracts with cloud service providers to host its customer database and ordering systems, the SLA will include 99.9% uptime, meaning disruption is minimized for customers when accessing online services. Additionally, the SLA will contain clauses on data protection duties, timeframes for reporting an incident (i.e., notifying NG within one hour of a security breach), and mandatory security audits conducted by the provider. This gives NG some assurance that the cloud provider is adhering to the agreed-upon security controls and supports NG's ability to manage risk, allowing them to concentrate on conducting their business.</w:t>
      </w:r>
    </w:p>
    <w:p w14:paraId="4195C7B3" w14:textId="77777777" w:rsidR="00550484" w:rsidRDefault="00550484">
      <w:pPr>
        <w:rPr>
          <w:rFonts w:ascii="Times New Roman" w:eastAsia="Times New Roman" w:hAnsi="Times New Roman" w:cs="Times New Roman"/>
        </w:rPr>
      </w:pPr>
    </w:p>
    <w:p w14:paraId="2A1AF505" w14:textId="77777777" w:rsidR="00550484" w:rsidRDefault="00000000">
      <w:pPr>
        <w:pStyle w:val="Heading1"/>
        <w:rPr>
          <w:rFonts w:ascii="Times New Roman" w:eastAsia="Times New Roman" w:hAnsi="Times New Roman" w:cs="Times New Roman"/>
        </w:rPr>
      </w:pPr>
      <w:bookmarkStart w:id="41" w:name="_heading=h.e42efqvqhr72" w:colFirst="0" w:colLast="0"/>
      <w:bookmarkStart w:id="42" w:name="_Toc204858840"/>
      <w:bookmarkStart w:id="43" w:name="_Hlk204858921"/>
      <w:bookmarkEnd w:id="41"/>
      <w:r>
        <w:rPr>
          <w:rFonts w:ascii="Times New Roman" w:eastAsia="Times New Roman" w:hAnsi="Times New Roman" w:cs="Times New Roman"/>
        </w:rPr>
        <w:t>References</w:t>
      </w:r>
      <w:bookmarkEnd w:id="42"/>
    </w:p>
    <w:p w14:paraId="6736963C" w14:textId="77777777" w:rsidR="00550484" w:rsidRDefault="00550484">
      <w:pPr>
        <w:rPr>
          <w:rFonts w:ascii="Times New Roman" w:eastAsia="Times New Roman" w:hAnsi="Times New Roman" w:cs="Times New Roman"/>
        </w:rPr>
      </w:pPr>
    </w:p>
    <w:p w14:paraId="342E5856" w14:textId="77777777" w:rsidR="00550484" w:rsidRDefault="00000000">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[1] International Organization for Standardization, </w:t>
      </w:r>
      <w:r>
        <w:rPr>
          <w:rFonts w:ascii="Times New Roman" w:eastAsia="Times New Roman" w:hAnsi="Times New Roman" w:cs="Times New Roman"/>
          <w:i/>
          <w:color w:val="000000"/>
          <w:sz w:val="24"/>
          <w:szCs w:val="24"/>
        </w:rPr>
        <w:t>ISO/IEC 27001:2013 Information technology — Security techniques — Information security management systems — Requirements</w:t>
      </w:r>
      <w:r>
        <w:rPr>
          <w:rFonts w:ascii="Times New Roman" w:eastAsia="Times New Roman" w:hAnsi="Times New Roman" w:cs="Times New Roman"/>
          <w:color w:val="000000"/>
          <w:sz w:val="24"/>
          <w:szCs w:val="24"/>
        </w:rPr>
        <w:t>, Geneva, Switzerland: ISO, 2013.</w:t>
      </w:r>
    </w:p>
    <w:p w14:paraId="70FF9B3A" w14:textId="77777777" w:rsidR="00550484" w:rsidRDefault="00000000">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[2] Axelos, </w:t>
      </w:r>
      <w:r>
        <w:rPr>
          <w:rFonts w:ascii="Times New Roman" w:eastAsia="Times New Roman" w:hAnsi="Times New Roman" w:cs="Times New Roman"/>
          <w:i/>
          <w:color w:val="000000"/>
          <w:sz w:val="24"/>
          <w:szCs w:val="24"/>
        </w:rPr>
        <w:t>ITIL Foundation: ITIL 4 Edition</w:t>
      </w:r>
      <w:r>
        <w:rPr>
          <w:rFonts w:ascii="Times New Roman" w:eastAsia="Times New Roman" w:hAnsi="Times New Roman" w:cs="Times New Roman"/>
          <w:color w:val="000000"/>
          <w:sz w:val="24"/>
          <w:szCs w:val="24"/>
        </w:rPr>
        <w:t>, London, U.K.: TSO (The Stationery Office), 2023.</w:t>
      </w:r>
    </w:p>
    <w:p w14:paraId="18F304EC" w14:textId="77777777" w:rsidR="00550484" w:rsidRDefault="00000000">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[3] National Institute of Standards and Technology, </w:t>
      </w:r>
      <w:r>
        <w:rPr>
          <w:rFonts w:ascii="Times New Roman" w:eastAsia="Times New Roman" w:hAnsi="Times New Roman" w:cs="Times New Roman"/>
          <w:i/>
          <w:color w:val="000000"/>
          <w:sz w:val="24"/>
          <w:szCs w:val="24"/>
        </w:rPr>
        <w:t>Framework for Improving Critical Infrastructure Cybersecurity</w:t>
      </w:r>
      <w:r>
        <w:rPr>
          <w:rFonts w:ascii="Times New Roman" w:eastAsia="Times New Roman" w:hAnsi="Times New Roman" w:cs="Times New Roman"/>
          <w:color w:val="000000"/>
          <w:sz w:val="24"/>
          <w:szCs w:val="24"/>
        </w:rPr>
        <w:t>, Version 1.1, Gaithersburg, MD, USA: NIST, 2018.</w:t>
      </w:r>
    </w:p>
    <w:p w14:paraId="3E108729" w14:textId="77777777" w:rsidR="00550484" w:rsidRDefault="00000000">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[4] ISACA, </w:t>
      </w:r>
      <w:r>
        <w:rPr>
          <w:rFonts w:ascii="Times New Roman" w:eastAsia="Times New Roman" w:hAnsi="Times New Roman" w:cs="Times New Roman"/>
          <w:i/>
          <w:color w:val="000000"/>
          <w:sz w:val="24"/>
          <w:szCs w:val="24"/>
        </w:rPr>
        <w:t>COBIT 2019 Framework: Introduction and Methodology</w:t>
      </w:r>
      <w:r>
        <w:rPr>
          <w:rFonts w:ascii="Times New Roman" w:eastAsia="Times New Roman" w:hAnsi="Times New Roman" w:cs="Times New Roman"/>
          <w:color w:val="000000"/>
          <w:sz w:val="24"/>
          <w:szCs w:val="24"/>
        </w:rPr>
        <w:t>, Rolling Meadows, IL, USA: ISACA, 2019.</w:t>
      </w:r>
    </w:p>
    <w:p w14:paraId="1B1DF6EE" w14:textId="77777777" w:rsidR="00550484" w:rsidRDefault="00000000">
      <w:p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[5] M. E. Whitman and H. J. Mattord, </w:t>
      </w:r>
      <w:r>
        <w:rPr>
          <w:rFonts w:ascii="Times New Roman" w:eastAsia="Times New Roman" w:hAnsi="Times New Roman" w:cs="Times New Roman"/>
          <w:i/>
          <w:color w:val="000000"/>
          <w:sz w:val="24"/>
          <w:szCs w:val="24"/>
        </w:rPr>
        <w:t>Principles of Information Security</w:t>
      </w:r>
      <w:r>
        <w:rPr>
          <w:rFonts w:ascii="Times New Roman" w:eastAsia="Times New Roman" w:hAnsi="Times New Roman" w:cs="Times New Roman"/>
          <w:color w:val="000000"/>
          <w:sz w:val="24"/>
          <w:szCs w:val="24"/>
        </w:rPr>
        <w:t>, 7th ed., Boston, MA, USA: Cengage Learning, 2022.</w:t>
      </w:r>
    </w:p>
    <w:p w14:paraId="6796C36D" w14:textId="77777777" w:rsidR="00550484" w:rsidRDefault="00000000">
      <w:pPr>
        <w:spacing w:before="240"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 ISO/IEC, "ISO/IEC 27001:2022 — Information Security, Cybersecurity and Privacy Protection — Information Security Management Systems," International Organization for Standardization, Geneva, Switzerland, 2022.</w:t>
      </w:r>
    </w:p>
    <w:p w14:paraId="1DD42AEE" w14:textId="77777777" w:rsidR="00550484" w:rsidRDefault="00000000">
      <w:pPr>
        <w:spacing w:before="240"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 ISO/IEC, "ISO/IEC 27005:2022 — Information Security Risk Management," International Organization for Standardization, Geneva, Switzerland, 2022.</w:t>
      </w:r>
    </w:p>
    <w:p w14:paraId="6F7FA960" w14:textId="77777777" w:rsidR="00550484" w:rsidRDefault="00000000">
      <w:pPr>
        <w:spacing w:before="240"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 National Institute of Standards and Technology, "Computer Security Incident Handling Guide," NIST Special Publication 800-61 Rev. 2, Gaithersburg, MD, USA, Aug. 2012.</w:t>
      </w:r>
    </w:p>
    <w:p w14:paraId="0F91BB91" w14:textId="77777777" w:rsidR="00550484" w:rsidRDefault="00000000">
      <w:pPr>
        <w:spacing w:before="240"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 ITIL Foundation, "ITIL Foundation: ITIL 4 Edition," AXELOS, The Stationery Office, London, U.K., 2019.</w:t>
      </w:r>
    </w:p>
    <w:p w14:paraId="64D56E88" w14:textId="77777777" w:rsidR="00550484" w:rsidRDefault="00000000">
      <w:pPr>
        <w:spacing w:before="240"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 Center for Internet Security, "CIS Controls v8," CIS, East Greenbush, NY, USA, 2021. [Online]. Available: https://www.cisecurity.org/controls</w:t>
      </w:r>
    </w:p>
    <w:p w14:paraId="6AFE54D5" w14:textId="77777777" w:rsidR="00550484" w:rsidRDefault="00000000">
      <w:pPr>
        <w:spacing w:before="240"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 European Union, "General Data Protection Regulation (GDPR)," Official Journal of the European Union, L119, May 2016. [Online]. Available: https://eur-lex.europa.eu</w:t>
      </w:r>
    </w:p>
    <w:bookmarkEnd w:id="43"/>
    <w:p w14:paraId="3A097221" w14:textId="77777777" w:rsidR="00550484" w:rsidRDefault="00550484">
      <w:pPr>
        <w:pBdr>
          <w:top w:val="nil"/>
          <w:left w:val="nil"/>
          <w:bottom w:val="nil"/>
          <w:right w:val="nil"/>
          <w:between w:val="nil"/>
        </w:pBdr>
        <w:spacing w:line="240" w:lineRule="auto"/>
        <w:rPr>
          <w:rFonts w:ascii="Times New Roman" w:eastAsia="Times New Roman" w:hAnsi="Times New Roman" w:cs="Times New Roman"/>
          <w:sz w:val="24"/>
          <w:szCs w:val="24"/>
        </w:rPr>
      </w:pPr>
    </w:p>
    <w:p w14:paraId="176C347B" w14:textId="77777777" w:rsidR="00550484" w:rsidRDefault="00550484">
      <w:pPr>
        <w:rPr>
          <w:rFonts w:ascii="Times New Roman" w:eastAsia="Times New Roman" w:hAnsi="Times New Roman" w:cs="Times New Roman"/>
        </w:rPr>
      </w:pPr>
    </w:p>
    <w:sectPr w:rsidR="00550484">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0484"/>
    <w:rsid w:val="00097554"/>
    <w:rsid w:val="001836CD"/>
    <w:rsid w:val="00550484"/>
    <w:rsid w:val="00927DAF"/>
    <w:rsid w:val="00B47F9A"/>
    <w:rsid w:val="00C90A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99F81"/>
  <w15:docId w15:val="{055FB184-688D-4E05-B096-D06D55042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link w:val="Heading3Char"/>
    <w:uiPriority w:val="9"/>
    <w:unhideWhenUsed/>
    <w:qFormat/>
    <w:pPr>
      <w:keepNext/>
      <w:keepLines/>
      <w:spacing w:before="200" w:after="0"/>
      <w:outlineLvl w:val="2"/>
    </w:pPr>
    <w:rPr>
      <w:rFonts w:ascii="Cambria" w:eastAsia="Cambria" w:hAnsi="Cambria" w:cs="Cambria"/>
      <w:b/>
      <w:color w:val="4F81BD"/>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Cambria" w:eastAsia="Cambria" w:hAnsi="Cambria" w:cs="Cambria"/>
      <w:b/>
      <w:i/>
      <w:color w:val="4F81BD"/>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customStyle="1" w:styleId="FirstParagraph">
    <w:name w:val="First Paragraph"/>
    <w:basedOn w:val="BodyText"/>
    <w:next w:val="BodyText"/>
    <w:qFormat/>
    <w:rsid w:val="00964CAA"/>
    <w:pPr>
      <w:spacing w:before="180" w:after="180" w:line="240" w:lineRule="auto"/>
    </w:pPr>
    <w:rPr>
      <w:sz w:val="24"/>
      <w:szCs w:val="24"/>
    </w:rPr>
  </w:style>
  <w:style w:type="paragraph" w:styleId="BodyText">
    <w:name w:val="Body Text"/>
    <w:basedOn w:val="Normal"/>
    <w:link w:val="BodyTextChar"/>
    <w:uiPriority w:val="99"/>
    <w:semiHidden/>
    <w:unhideWhenUsed/>
    <w:rsid w:val="00964CAA"/>
    <w:pPr>
      <w:spacing w:after="120"/>
    </w:pPr>
  </w:style>
  <w:style w:type="character" w:customStyle="1" w:styleId="BodyTextChar">
    <w:name w:val="Body Text Char"/>
    <w:basedOn w:val="DefaultParagraphFont"/>
    <w:link w:val="BodyText"/>
    <w:uiPriority w:val="99"/>
    <w:semiHidden/>
    <w:rsid w:val="00964CAA"/>
  </w:style>
  <w:style w:type="character" w:customStyle="1" w:styleId="Heading1Char">
    <w:name w:val="Heading 1 Char"/>
    <w:basedOn w:val="DefaultParagraphFont"/>
    <w:link w:val="Heading1"/>
    <w:uiPriority w:val="9"/>
    <w:rsid w:val="00964CAA"/>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964CA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964CAA"/>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964CAA"/>
    <w:rPr>
      <w:b/>
      <w:bCs/>
    </w:rPr>
  </w:style>
  <w:style w:type="character" w:customStyle="1" w:styleId="Heading2Char">
    <w:name w:val="Heading 2 Char"/>
    <w:basedOn w:val="DefaultParagraphFont"/>
    <w:link w:val="Heading2"/>
    <w:uiPriority w:val="9"/>
    <w:rsid w:val="00DC1EB9"/>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D34D0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34D04"/>
    <w:rPr>
      <w:i/>
      <w:iCs/>
    </w:rPr>
  </w:style>
  <w:style w:type="table" w:styleId="TableGrid">
    <w:name w:val="Table Grid"/>
    <w:basedOn w:val="TableNormal"/>
    <w:uiPriority w:val="59"/>
    <w:rsid w:val="00D34D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paragraph" w:styleId="TOCHeading">
    <w:name w:val="TOC Heading"/>
    <w:basedOn w:val="Heading1"/>
    <w:next w:val="Normal"/>
    <w:uiPriority w:val="39"/>
    <w:unhideWhenUsed/>
    <w:qFormat/>
    <w:rsid w:val="00927DAF"/>
    <w:pPr>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27DAF"/>
    <w:pPr>
      <w:spacing w:after="100"/>
    </w:pPr>
  </w:style>
  <w:style w:type="paragraph" w:styleId="TOC2">
    <w:name w:val="toc 2"/>
    <w:basedOn w:val="Normal"/>
    <w:next w:val="Normal"/>
    <w:autoRedefine/>
    <w:uiPriority w:val="39"/>
    <w:unhideWhenUsed/>
    <w:rsid w:val="00927DAF"/>
    <w:pPr>
      <w:spacing w:after="100"/>
      <w:ind w:left="220"/>
    </w:pPr>
  </w:style>
  <w:style w:type="paragraph" w:styleId="TOC3">
    <w:name w:val="toc 3"/>
    <w:basedOn w:val="Normal"/>
    <w:next w:val="Normal"/>
    <w:autoRedefine/>
    <w:uiPriority w:val="39"/>
    <w:unhideWhenUsed/>
    <w:rsid w:val="00927DAF"/>
    <w:pPr>
      <w:spacing w:after="100"/>
      <w:ind w:left="440"/>
    </w:pPr>
  </w:style>
  <w:style w:type="character" w:styleId="Hyperlink">
    <w:name w:val="Hyperlink"/>
    <w:basedOn w:val="DefaultParagraphFont"/>
    <w:uiPriority w:val="99"/>
    <w:unhideWhenUsed/>
    <w:rsid w:val="00927DA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JPHjyT7TiNIVJ4jSBco921g0YA==">CgMxLjAyDWguZ2FuaG1oc3U5amwyDmgubzhweWhxOTV5bWdyMg5oLmd1YmJnemdlY2hpeTIOaC5zaTB3Z24yNHE5Mm0yDmguOGEyY2phdWNmdGN0Mg5oLjYxZXl5cHdiajZnejIOaC5oN2FrMmRscDJ1N24yDmguODM5Mmpnbmp0bG11Mg5oLmU0MmVmcXZxaHI3MjgAciExLWtwSnBMZ3BiVDFHcGs3Zm91dGZfSVRQM1Z3SWlSNUM=</go:docsCustomData>
</go:gDocsCustomXmlDataStorage>
</file>

<file path=customXml/itemProps1.xml><?xml version="1.0" encoding="utf-8"?>
<ds:datastoreItem xmlns:ds="http://schemas.openxmlformats.org/officeDocument/2006/customXml" ds:itemID="{11489A4D-0B45-4148-A288-062C065EC01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4021</Words>
  <Characters>22920</Characters>
  <Application>Microsoft Office Word</Application>
  <DocSecurity>0</DocSecurity>
  <Lines>191</Lines>
  <Paragraphs>53</Paragraphs>
  <ScaleCrop>false</ScaleCrop>
  <Company/>
  <LinksUpToDate>false</LinksUpToDate>
  <CharactersWithSpaces>26888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Heni Parmar</cp:lastModifiedBy>
  <cp:revision>4</cp:revision>
  <dcterms:created xsi:type="dcterms:W3CDTF">2025-07-31T09:24:00Z</dcterms:created>
  <dcterms:modified xsi:type="dcterms:W3CDTF">2025-07-31T12:11:00Z</dcterms:modified>
</cp:coreProperties>
</file>