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9349C8" w14:textId="21505059" w:rsidR="00F54231" w:rsidRDefault="00CA0FF5">
      <w:pPr>
        <w:spacing w:before="3000"/>
      </w:pPr>
      <w:r>
        <w:rPr>
          <w:noProof/>
        </w:rPr>
        <w:drawing>
          <wp:anchor distT="0" distB="0" distL="114300" distR="114300" simplePos="0" relativeHeight="251659264" behindDoc="0" locked="0" layoutInCell="1" allowOverlap="1" wp14:anchorId="212726D9" wp14:editId="5DCF923C">
            <wp:simplePos x="0" y="0"/>
            <wp:positionH relativeFrom="column">
              <wp:posOffset>1051560</wp:posOffset>
            </wp:positionH>
            <wp:positionV relativeFrom="paragraph">
              <wp:posOffset>342900</wp:posOffset>
            </wp:positionV>
            <wp:extent cx="3598164" cy="1440180"/>
            <wp:effectExtent l="0" t="0" r="2540" b="7620"/>
            <wp:wrapThrough wrapText="bothSides">
              <wp:wrapPolygon edited="0">
                <wp:start x="0" y="0"/>
                <wp:lineTo x="0" y="21429"/>
                <wp:lineTo x="21501" y="21429"/>
                <wp:lineTo x="21501" y="0"/>
                <wp:lineTo x="0" y="0"/>
              </wp:wrapPolygon>
            </wp:wrapThrough>
            <wp:docPr id="392715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715434" name="Picture 392715434"/>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anchor>
        </w:drawing>
      </w:r>
    </w:p>
    <w:p w14:paraId="3E824C55" w14:textId="77777777" w:rsidR="00F54231" w:rsidRDefault="00974FBF">
      <w:pPr>
        <w:spacing w:after="200"/>
        <w:jc w:val="center"/>
      </w:pPr>
      <w:r>
        <w:rPr>
          <w:b/>
          <w:bCs/>
          <w:color w:val="1B4F72"/>
          <w:sz w:val="32"/>
          <w:szCs w:val="32"/>
        </w:rPr>
        <w:t>UNIVERSITY OF WALES TRINITY SAINT DAVID</w:t>
      </w:r>
    </w:p>
    <w:p w14:paraId="27B72814" w14:textId="77777777" w:rsidR="00F54231" w:rsidRDefault="00974FBF">
      <w:pPr>
        <w:spacing w:after="200"/>
        <w:jc w:val="center"/>
      </w:pPr>
      <w:r>
        <w:rPr>
          <w:color w:val="1B4F72"/>
          <w:sz w:val="26"/>
          <w:szCs w:val="26"/>
        </w:rPr>
        <w:t>Master of Business Administration</w:t>
      </w:r>
    </w:p>
    <w:p w14:paraId="388960E1" w14:textId="77777777" w:rsidR="00F54231" w:rsidRDefault="00974FBF">
      <w:pPr>
        <w:spacing w:after="100"/>
        <w:jc w:val="center"/>
      </w:pPr>
      <w:r>
        <w:rPr>
          <w:i/>
          <w:iCs/>
          <w:color w:val="555555"/>
          <w:sz w:val="22"/>
          <w:szCs w:val="22"/>
        </w:rPr>
        <w:t>Module: International Business Concepts  |  Code: LCMB7034</w:t>
      </w:r>
    </w:p>
    <w:p w14:paraId="09567ADF" w14:textId="77777777" w:rsidR="00F54231" w:rsidRDefault="00F54231">
      <w:pPr>
        <w:spacing w:before="600"/>
      </w:pPr>
    </w:p>
    <w:p w14:paraId="55B47C66" w14:textId="77777777" w:rsidR="00F54231" w:rsidRDefault="00974FBF">
      <w:pPr>
        <w:spacing w:after="100"/>
        <w:jc w:val="center"/>
      </w:pPr>
      <w:r>
        <w:rPr>
          <w:b/>
          <w:bCs/>
          <w:color w:val="1B4F72"/>
          <w:sz w:val="36"/>
          <w:szCs w:val="36"/>
        </w:rPr>
        <w:t>BANGLADESH PHARMACEUTICAL INDUSTRY:</w:t>
      </w:r>
    </w:p>
    <w:p w14:paraId="08154886" w14:textId="77777777" w:rsidR="00F54231" w:rsidRDefault="00974FBF">
      <w:pPr>
        <w:spacing w:after="400"/>
        <w:jc w:val="center"/>
      </w:pPr>
      <w:r>
        <w:rPr>
          <w:b/>
          <w:bCs/>
          <w:color w:val="1B4F72"/>
          <w:sz w:val="36"/>
          <w:szCs w:val="36"/>
        </w:rPr>
        <w:t>AN INTERNATIONAL BUSINESS ANALYSIS</w:t>
      </w:r>
    </w:p>
    <w:p w14:paraId="338BECA3" w14:textId="77777777" w:rsidR="00F54231" w:rsidRDefault="00F54231">
      <w:pPr>
        <w:spacing w:before="800"/>
      </w:pPr>
    </w:p>
    <w:p w14:paraId="1A01E649" w14:textId="39F1EABE" w:rsidR="00F54231" w:rsidRPr="00FE2AC1" w:rsidRDefault="00974FBF">
      <w:pPr>
        <w:spacing w:after="100"/>
        <w:jc w:val="center"/>
        <w:rPr>
          <w:rFonts w:cs="Vrinda" w:hint="cs"/>
          <w:szCs w:val="30"/>
          <w:cs/>
          <w:lang w:bidi="bn-IN"/>
        </w:rPr>
      </w:pPr>
      <w:r>
        <w:rPr>
          <w:b/>
          <w:bCs/>
        </w:rPr>
        <w:t xml:space="preserve">Lecturer: </w:t>
      </w:r>
      <w:r w:rsidR="00FE2AC1" w:rsidRPr="00FE2AC1">
        <w:rPr>
          <w:b/>
          <w:bCs/>
        </w:rPr>
        <w:t>Gladius Kulothungan</w:t>
      </w:r>
    </w:p>
    <w:p w14:paraId="55EC336B" w14:textId="77777777" w:rsidR="00F54231" w:rsidRDefault="00974FBF">
      <w:pPr>
        <w:spacing w:after="100"/>
        <w:jc w:val="center"/>
      </w:pPr>
      <w:r>
        <w:rPr>
          <w:b/>
          <w:bCs/>
        </w:rPr>
        <w:t xml:space="preserve">Submission Deadline:  </w:t>
      </w:r>
      <w:r>
        <w:t>27th April 2026</w:t>
      </w:r>
    </w:p>
    <w:p w14:paraId="617D72DA" w14:textId="2918D1C8" w:rsidR="00F54231" w:rsidRDefault="00974FBF">
      <w:pPr>
        <w:spacing w:after="100"/>
        <w:jc w:val="center"/>
      </w:pPr>
      <w:r>
        <w:rPr>
          <w:b/>
          <w:bCs/>
        </w:rPr>
        <w:t xml:space="preserve">Word Count:  </w:t>
      </w:r>
      <w:r>
        <w:t>Approximately 5,0</w:t>
      </w:r>
      <w:r w:rsidR="005219B0">
        <w:t>45</w:t>
      </w:r>
      <w:r>
        <w:t xml:space="preserve"> words (excl. title, contents, references, appendices)</w:t>
      </w:r>
    </w:p>
    <w:p w14:paraId="5B46212F" w14:textId="77777777" w:rsidR="005219B0" w:rsidRDefault="005219B0">
      <w:pPr>
        <w:spacing w:after="100"/>
        <w:jc w:val="center"/>
      </w:pPr>
    </w:p>
    <w:p w14:paraId="789412CD" w14:textId="648F9AFE" w:rsidR="005219B0" w:rsidRPr="00DA14B2" w:rsidRDefault="00DA14B2">
      <w:pPr>
        <w:spacing w:after="100"/>
        <w:jc w:val="center"/>
        <w:rPr>
          <w:b/>
          <w:bCs/>
        </w:rPr>
      </w:pPr>
      <w:r w:rsidRPr="00DA14B2">
        <w:rPr>
          <w:b/>
          <w:bCs/>
        </w:rPr>
        <w:t>Student Name:</w:t>
      </w:r>
      <w:r>
        <w:rPr>
          <w:b/>
          <w:bCs/>
        </w:rPr>
        <w:t xml:space="preserve"> Nurul Hasan</w:t>
      </w:r>
    </w:p>
    <w:p w14:paraId="24ABED03" w14:textId="6F920655" w:rsidR="00F54231" w:rsidRPr="00DA14B2" w:rsidRDefault="00CA0FF5" w:rsidP="00CA0FF5">
      <w:pPr>
        <w:spacing w:after="100"/>
        <w:jc w:val="center"/>
        <w:rPr>
          <w:b/>
          <w:bCs/>
        </w:rPr>
        <w:sectPr w:rsidR="00F54231" w:rsidRPr="00DA14B2">
          <w:pgSz w:w="11906" w:h="16838"/>
          <w:pgMar w:top="1440" w:right="1440" w:bottom="1440" w:left="1440" w:header="708" w:footer="708" w:gutter="0"/>
          <w:cols w:space="720"/>
          <w:docGrid w:linePitch="360"/>
        </w:sectPr>
      </w:pPr>
      <w:r w:rsidRPr="00DA14B2">
        <w:rPr>
          <w:b/>
          <w:bCs/>
        </w:rPr>
        <w:t xml:space="preserve">Student </w:t>
      </w:r>
      <w:r w:rsidR="00DA14B2" w:rsidRPr="00DA14B2">
        <w:rPr>
          <w:b/>
          <w:bCs/>
        </w:rPr>
        <w:t>ID:</w:t>
      </w:r>
      <w:r w:rsidR="00DA14B2">
        <w:rPr>
          <w:b/>
          <w:bCs/>
        </w:rPr>
        <w:t>2509169</w:t>
      </w:r>
    </w:p>
    <w:sdt>
      <w:sdtPr>
        <w:rPr>
          <w:rFonts w:ascii="Arial" w:eastAsia="Arial" w:hAnsi="Arial" w:cs="Arial"/>
          <w:color w:val="auto"/>
          <w:sz w:val="24"/>
          <w:szCs w:val="24"/>
        </w:rPr>
        <w:id w:val="625975057"/>
        <w:docPartObj>
          <w:docPartGallery w:val="Table of Contents"/>
          <w:docPartUnique/>
        </w:docPartObj>
      </w:sdtPr>
      <w:sdtEndPr>
        <w:rPr>
          <w:b/>
          <w:bCs/>
          <w:noProof/>
        </w:rPr>
      </w:sdtEndPr>
      <w:sdtContent>
        <w:p w14:paraId="51BD9B65" w14:textId="54AD9FAB" w:rsidR="005B77DE" w:rsidRDefault="005B77DE">
          <w:pPr>
            <w:pStyle w:val="TOCHeading"/>
          </w:pPr>
          <w:r>
            <w:t>Table of Contents</w:t>
          </w:r>
        </w:p>
        <w:p w14:paraId="497685A2" w14:textId="673E10C1" w:rsidR="005B77DE" w:rsidRDefault="005B77DE">
          <w:pPr>
            <w:pStyle w:val="TOC1"/>
            <w:tabs>
              <w:tab w:val="right" w:leader="dot" w:pos="9016"/>
            </w:tabs>
            <w:rPr>
              <w:noProof/>
            </w:rPr>
          </w:pPr>
          <w:r>
            <w:fldChar w:fldCharType="begin"/>
          </w:r>
          <w:r>
            <w:instrText xml:space="preserve"> TOC \o "1-3" \h \z \u </w:instrText>
          </w:r>
          <w:r>
            <w:fldChar w:fldCharType="separate"/>
          </w:r>
          <w:hyperlink w:anchor="_Toc228079232" w:history="1">
            <w:r w:rsidRPr="000F2289">
              <w:rPr>
                <w:rStyle w:val="Hyperlink"/>
                <w:noProof/>
              </w:rPr>
              <w:t>1.  Introduction</w:t>
            </w:r>
            <w:r>
              <w:rPr>
                <w:noProof/>
                <w:webHidden/>
              </w:rPr>
              <w:tab/>
            </w:r>
            <w:r>
              <w:rPr>
                <w:noProof/>
                <w:webHidden/>
              </w:rPr>
              <w:fldChar w:fldCharType="begin"/>
            </w:r>
            <w:r>
              <w:rPr>
                <w:noProof/>
                <w:webHidden/>
              </w:rPr>
              <w:instrText xml:space="preserve"> PAGEREF _Toc228079232 \h </w:instrText>
            </w:r>
            <w:r>
              <w:rPr>
                <w:noProof/>
                <w:webHidden/>
              </w:rPr>
            </w:r>
            <w:r>
              <w:rPr>
                <w:noProof/>
                <w:webHidden/>
              </w:rPr>
              <w:fldChar w:fldCharType="separate"/>
            </w:r>
            <w:r w:rsidR="00CA0FF5">
              <w:rPr>
                <w:noProof/>
                <w:webHidden/>
              </w:rPr>
              <w:t>3</w:t>
            </w:r>
            <w:r>
              <w:rPr>
                <w:noProof/>
                <w:webHidden/>
              </w:rPr>
              <w:fldChar w:fldCharType="end"/>
            </w:r>
          </w:hyperlink>
        </w:p>
        <w:p w14:paraId="62F171B0" w14:textId="7F099918" w:rsidR="005B77DE" w:rsidRDefault="005B77DE">
          <w:pPr>
            <w:pStyle w:val="TOC1"/>
            <w:tabs>
              <w:tab w:val="right" w:leader="dot" w:pos="9016"/>
            </w:tabs>
            <w:rPr>
              <w:noProof/>
            </w:rPr>
          </w:pPr>
          <w:hyperlink w:anchor="_Toc228079233" w:history="1">
            <w:r w:rsidRPr="000F2289">
              <w:rPr>
                <w:rStyle w:val="Hyperlink"/>
                <w:noProof/>
              </w:rPr>
              <w:t>2.  Industry and Country Overview</w:t>
            </w:r>
            <w:r>
              <w:rPr>
                <w:noProof/>
                <w:webHidden/>
              </w:rPr>
              <w:tab/>
            </w:r>
            <w:r>
              <w:rPr>
                <w:noProof/>
                <w:webHidden/>
              </w:rPr>
              <w:fldChar w:fldCharType="begin"/>
            </w:r>
            <w:r>
              <w:rPr>
                <w:noProof/>
                <w:webHidden/>
              </w:rPr>
              <w:instrText xml:space="preserve"> PAGEREF _Toc228079233 \h </w:instrText>
            </w:r>
            <w:r>
              <w:rPr>
                <w:noProof/>
                <w:webHidden/>
              </w:rPr>
            </w:r>
            <w:r>
              <w:rPr>
                <w:noProof/>
                <w:webHidden/>
              </w:rPr>
              <w:fldChar w:fldCharType="separate"/>
            </w:r>
            <w:r w:rsidR="00CA0FF5">
              <w:rPr>
                <w:noProof/>
                <w:webHidden/>
              </w:rPr>
              <w:t>3</w:t>
            </w:r>
            <w:r>
              <w:rPr>
                <w:noProof/>
                <w:webHidden/>
              </w:rPr>
              <w:fldChar w:fldCharType="end"/>
            </w:r>
          </w:hyperlink>
        </w:p>
        <w:p w14:paraId="63A364F9" w14:textId="5F688962" w:rsidR="005B77DE" w:rsidRDefault="005B77DE">
          <w:pPr>
            <w:pStyle w:val="TOC2"/>
            <w:tabs>
              <w:tab w:val="right" w:leader="dot" w:pos="9016"/>
            </w:tabs>
            <w:rPr>
              <w:noProof/>
            </w:rPr>
          </w:pPr>
          <w:hyperlink w:anchor="_Toc228079234" w:history="1">
            <w:r w:rsidRPr="000F2289">
              <w:rPr>
                <w:rStyle w:val="Hyperlink"/>
                <w:noProof/>
              </w:rPr>
              <w:t>2.1  The Pharmaceutical Industry in the Context of Bangladesh</w:t>
            </w:r>
            <w:r>
              <w:rPr>
                <w:noProof/>
                <w:webHidden/>
              </w:rPr>
              <w:tab/>
            </w:r>
            <w:r>
              <w:rPr>
                <w:noProof/>
                <w:webHidden/>
              </w:rPr>
              <w:fldChar w:fldCharType="begin"/>
            </w:r>
            <w:r>
              <w:rPr>
                <w:noProof/>
                <w:webHidden/>
              </w:rPr>
              <w:instrText xml:space="preserve"> PAGEREF _Toc228079234 \h </w:instrText>
            </w:r>
            <w:r>
              <w:rPr>
                <w:noProof/>
                <w:webHidden/>
              </w:rPr>
            </w:r>
            <w:r>
              <w:rPr>
                <w:noProof/>
                <w:webHidden/>
              </w:rPr>
              <w:fldChar w:fldCharType="separate"/>
            </w:r>
            <w:r w:rsidR="00CA0FF5">
              <w:rPr>
                <w:noProof/>
                <w:webHidden/>
              </w:rPr>
              <w:t>3</w:t>
            </w:r>
            <w:r>
              <w:rPr>
                <w:noProof/>
                <w:webHidden/>
              </w:rPr>
              <w:fldChar w:fldCharType="end"/>
            </w:r>
          </w:hyperlink>
        </w:p>
        <w:p w14:paraId="0E657DDA" w14:textId="59DD9D81" w:rsidR="005B77DE" w:rsidRDefault="005B77DE">
          <w:pPr>
            <w:pStyle w:val="TOC2"/>
            <w:tabs>
              <w:tab w:val="right" w:leader="dot" w:pos="9016"/>
            </w:tabs>
            <w:rPr>
              <w:noProof/>
            </w:rPr>
          </w:pPr>
          <w:hyperlink w:anchor="_Toc228079235" w:history="1">
            <w:r w:rsidRPr="000F2289">
              <w:rPr>
                <w:rStyle w:val="Hyperlink"/>
                <w:noProof/>
              </w:rPr>
              <w:t>2.2  Size, Scope, and Economic Importance of the Industry</w:t>
            </w:r>
            <w:r>
              <w:rPr>
                <w:noProof/>
                <w:webHidden/>
              </w:rPr>
              <w:tab/>
            </w:r>
            <w:r>
              <w:rPr>
                <w:noProof/>
                <w:webHidden/>
              </w:rPr>
              <w:fldChar w:fldCharType="begin"/>
            </w:r>
            <w:r>
              <w:rPr>
                <w:noProof/>
                <w:webHidden/>
              </w:rPr>
              <w:instrText xml:space="preserve"> PAGEREF _Toc228079235 \h </w:instrText>
            </w:r>
            <w:r>
              <w:rPr>
                <w:noProof/>
                <w:webHidden/>
              </w:rPr>
            </w:r>
            <w:r>
              <w:rPr>
                <w:noProof/>
                <w:webHidden/>
              </w:rPr>
              <w:fldChar w:fldCharType="separate"/>
            </w:r>
            <w:r w:rsidR="00CA0FF5">
              <w:rPr>
                <w:noProof/>
                <w:webHidden/>
              </w:rPr>
              <w:t>3</w:t>
            </w:r>
            <w:r>
              <w:rPr>
                <w:noProof/>
                <w:webHidden/>
              </w:rPr>
              <w:fldChar w:fldCharType="end"/>
            </w:r>
          </w:hyperlink>
        </w:p>
        <w:p w14:paraId="6699BC0E" w14:textId="0BD2235A" w:rsidR="005B77DE" w:rsidRDefault="005B77DE">
          <w:pPr>
            <w:pStyle w:val="TOC2"/>
            <w:tabs>
              <w:tab w:val="right" w:leader="dot" w:pos="9016"/>
            </w:tabs>
            <w:rPr>
              <w:noProof/>
            </w:rPr>
          </w:pPr>
          <w:hyperlink w:anchor="_Toc228079236" w:history="1">
            <w:r w:rsidRPr="000F2289">
              <w:rPr>
                <w:rStyle w:val="Hyperlink"/>
                <w:noProof/>
              </w:rPr>
              <w:t>2.3  Key Domestic and Multinational Firms: Comparative Analysis</w:t>
            </w:r>
            <w:r>
              <w:rPr>
                <w:noProof/>
                <w:webHidden/>
              </w:rPr>
              <w:tab/>
            </w:r>
            <w:r>
              <w:rPr>
                <w:noProof/>
                <w:webHidden/>
              </w:rPr>
              <w:fldChar w:fldCharType="begin"/>
            </w:r>
            <w:r>
              <w:rPr>
                <w:noProof/>
                <w:webHidden/>
              </w:rPr>
              <w:instrText xml:space="preserve"> PAGEREF _Toc228079236 \h </w:instrText>
            </w:r>
            <w:r>
              <w:rPr>
                <w:noProof/>
                <w:webHidden/>
              </w:rPr>
            </w:r>
            <w:r>
              <w:rPr>
                <w:noProof/>
                <w:webHidden/>
              </w:rPr>
              <w:fldChar w:fldCharType="separate"/>
            </w:r>
            <w:r w:rsidR="00CA0FF5">
              <w:rPr>
                <w:noProof/>
                <w:webHidden/>
              </w:rPr>
              <w:t>6</w:t>
            </w:r>
            <w:r>
              <w:rPr>
                <w:noProof/>
                <w:webHidden/>
              </w:rPr>
              <w:fldChar w:fldCharType="end"/>
            </w:r>
          </w:hyperlink>
        </w:p>
        <w:p w14:paraId="32D05734" w14:textId="5E01865F" w:rsidR="005B77DE" w:rsidRDefault="005B77DE">
          <w:pPr>
            <w:pStyle w:val="TOC1"/>
            <w:tabs>
              <w:tab w:val="right" w:leader="dot" w:pos="9016"/>
            </w:tabs>
            <w:rPr>
              <w:noProof/>
            </w:rPr>
          </w:pPr>
          <w:hyperlink w:anchor="_Toc228079237" w:history="1">
            <w:r w:rsidRPr="000F2289">
              <w:rPr>
                <w:rStyle w:val="Hyperlink"/>
                <w:noProof/>
              </w:rPr>
              <w:t>3.  Porter’s Diamond Model of National Advantage: Bangladesh’s Pharmaceutical Industry</w:t>
            </w:r>
            <w:r>
              <w:rPr>
                <w:noProof/>
                <w:webHidden/>
              </w:rPr>
              <w:tab/>
            </w:r>
            <w:r>
              <w:rPr>
                <w:noProof/>
                <w:webHidden/>
              </w:rPr>
              <w:fldChar w:fldCharType="begin"/>
            </w:r>
            <w:r>
              <w:rPr>
                <w:noProof/>
                <w:webHidden/>
              </w:rPr>
              <w:instrText xml:space="preserve"> PAGEREF _Toc228079237 \h </w:instrText>
            </w:r>
            <w:r>
              <w:rPr>
                <w:noProof/>
                <w:webHidden/>
              </w:rPr>
            </w:r>
            <w:r>
              <w:rPr>
                <w:noProof/>
                <w:webHidden/>
              </w:rPr>
              <w:fldChar w:fldCharType="separate"/>
            </w:r>
            <w:r w:rsidR="00CA0FF5">
              <w:rPr>
                <w:noProof/>
                <w:webHidden/>
              </w:rPr>
              <w:t>7</w:t>
            </w:r>
            <w:r>
              <w:rPr>
                <w:noProof/>
                <w:webHidden/>
              </w:rPr>
              <w:fldChar w:fldCharType="end"/>
            </w:r>
          </w:hyperlink>
        </w:p>
        <w:p w14:paraId="7DAE31DD" w14:textId="666333AE" w:rsidR="005B77DE" w:rsidRDefault="005B77DE">
          <w:pPr>
            <w:pStyle w:val="TOC2"/>
            <w:tabs>
              <w:tab w:val="right" w:leader="dot" w:pos="9016"/>
            </w:tabs>
            <w:rPr>
              <w:noProof/>
            </w:rPr>
          </w:pPr>
          <w:hyperlink w:anchor="_Toc228079238" w:history="1">
            <w:r w:rsidRPr="000F2289">
              <w:rPr>
                <w:rStyle w:val="Hyperlink"/>
                <w:noProof/>
              </w:rPr>
              <w:t>3.1  Factor Conditions</w:t>
            </w:r>
            <w:r>
              <w:rPr>
                <w:noProof/>
                <w:webHidden/>
              </w:rPr>
              <w:tab/>
            </w:r>
            <w:r>
              <w:rPr>
                <w:noProof/>
                <w:webHidden/>
              </w:rPr>
              <w:fldChar w:fldCharType="begin"/>
            </w:r>
            <w:r>
              <w:rPr>
                <w:noProof/>
                <w:webHidden/>
              </w:rPr>
              <w:instrText xml:space="preserve"> PAGEREF _Toc228079238 \h </w:instrText>
            </w:r>
            <w:r>
              <w:rPr>
                <w:noProof/>
                <w:webHidden/>
              </w:rPr>
            </w:r>
            <w:r>
              <w:rPr>
                <w:noProof/>
                <w:webHidden/>
              </w:rPr>
              <w:fldChar w:fldCharType="separate"/>
            </w:r>
            <w:r w:rsidR="00CA0FF5">
              <w:rPr>
                <w:noProof/>
                <w:webHidden/>
              </w:rPr>
              <w:t>9</w:t>
            </w:r>
            <w:r>
              <w:rPr>
                <w:noProof/>
                <w:webHidden/>
              </w:rPr>
              <w:fldChar w:fldCharType="end"/>
            </w:r>
          </w:hyperlink>
        </w:p>
        <w:p w14:paraId="1EBBF288" w14:textId="6E215A6D" w:rsidR="005B77DE" w:rsidRDefault="005B77DE">
          <w:pPr>
            <w:pStyle w:val="TOC2"/>
            <w:tabs>
              <w:tab w:val="right" w:leader="dot" w:pos="9016"/>
            </w:tabs>
            <w:rPr>
              <w:noProof/>
            </w:rPr>
          </w:pPr>
          <w:hyperlink w:anchor="_Toc228079239" w:history="1">
            <w:r w:rsidRPr="000F2289">
              <w:rPr>
                <w:rStyle w:val="Hyperlink"/>
                <w:noProof/>
              </w:rPr>
              <w:t>3.2  Demand Conditions and Related Industries</w:t>
            </w:r>
            <w:r>
              <w:rPr>
                <w:noProof/>
                <w:webHidden/>
              </w:rPr>
              <w:tab/>
            </w:r>
            <w:r>
              <w:rPr>
                <w:noProof/>
                <w:webHidden/>
              </w:rPr>
              <w:fldChar w:fldCharType="begin"/>
            </w:r>
            <w:r>
              <w:rPr>
                <w:noProof/>
                <w:webHidden/>
              </w:rPr>
              <w:instrText xml:space="preserve"> PAGEREF _Toc228079239 \h </w:instrText>
            </w:r>
            <w:r>
              <w:rPr>
                <w:noProof/>
                <w:webHidden/>
              </w:rPr>
            </w:r>
            <w:r>
              <w:rPr>
                <w:noProof/>
                <w:webHidden/>
              </w:rPr>
              <w:fldChar w:fldCharType="separate"/>
            </w:r>
            <w:r w:rsidR="00CA0FF5">
              <w:rPr>
                <w:noProof/>
                <w:webHidden/>
              </w:rPr>
              <w:t>10</w:t>
            </w:r>
            <w:r>
              <w:rPr>
                <w:noProof/>
                <w:webHidden/>
              </w:rPr>
              <w:fldChar w:fldCharType="end"/>
            </w:r>
          </w:hyperlink>
        </w:p>
        <w:p w14:paraId="2B542000" w14:textId="098C7DD5" w:rsidR="005B77DE" w:rsidRDefault="005B77DE">
          <w:pPr>
            <w:pStyle w:val="TOC2"/>
            <w:tabs>
              <w:tab w:val="right" w:leader="dot" w:pos="9016"/>
            </w:tabs>
            <w:rPr>
              <w:noProof/>
            </w:rPr>
          </w:pPr>
          <w:hyperlink w:anchor="_Toc228079240" w:history="1">
            <w:r w:rsidRPr="000F2289">
              <w:rPr>
                <w:rStyle w:val="Hyperlink"/>
                <w:noProof/>
              </w:rPr>
              <w:t>3.3  Firm Strategy, Rivalry, and Government</w:t>
            </w:r>
            <w:r>
              <w:rPr>
                <w:noProof/>
                <w:webHidden/>
              </w:rPr>
              <w:tab/>
            </w:r>
            <w:r>
              <w:rPr>
                <w:noProof/>
                <w:webHidden/>
              </w:rPr>
              <w:fldChar w:fldCharType="begin"/>
            </w:r>
            <w:r>
              <w:rPr>
                <w:noProof/>
                <w:webHidden/>
              </w:rPr>
              <w:instrText xml:space="preserve"> PAGEREF _Toc228079240 \h </w:instrText>
            </w:r>
            <w:r>
              <w:rPr>
                <w:noProof/>
                <w:webHidden/>
              </w:rPr>
            </w:r>
            <w:r>
              <w:rPr>
                <w:noProof/>
                <w:webHidden/>
              </w:rPr>
              <w:fldChar w:fldCharType="separate"/>
            </w:r>
            <w:r w:rsidR="00CA0FF5">
              <w:rPr>
                <w:noProof/>
                <w:webHidden/>
              </w:rPr>
              <w:t>10</w:t>
            </w:r>
            <w:r>
              <w:rPr>
                <w:noProof/>
                <w:webHidden/>
              </w:rPr>
              <w:fldChar w:fldCharType="end"/>
            </w:r>
          </w:hyperlink>
        </w:p>
        <w:p w14:paraId="555C7C9C" w14:textId="13DB94D4" w:rsidR="005B77DE" w:rsidRDefault="005B77DE">
          <w:pPr>
            <w:pStyle w:val="TOC1"/>
            <w:tabs>
              <w:tab w:val="right" w:leader="dot" w:pos="9016"/>
            </w:tabs>
            <w:rPr>
              <w:noProof/>
            </w:rPr>
          </w:pPr>
          <w:hyperlink w:anchor="_Toc228079241" w:history="1">
            <w:r w:rsidRPr="000F2289">
              <w:rPr>
                <w:rStyle w:val="Hyperlink"/>
                <w:noProof/>
              </w:rPr>
              <w:t>4.  Sanofi Bangladesh Limited: Critical Evaluation of Operations in Bangladesh</w:t>
            </w:r>
            <w:r>
              <w:rPr>
                <w:noProof/>
                <w:webHidden/>
              </w:rPr>
              <w:tab/>
            </w:r>
            <w:r>
              <w:rPr>
                <w:noProof/>
                <w:webHidden/>
              </w:rPr>
              <w:fldChar w:fldCharType="begin"/>
            </w:r>
            <w:r>
              <w:rPr>
                <w:noProof/>
                <w:webHidden/>
              </w:rPr>
              <w:instrText xml:space="preserve"> PAGEREF _Toc228079241 \h </w:instrText>
            </w:r>
            <w:r>
              <w:rPr>
                <w:noProof/>
                <w:webHidden/>
              </w:rPr>
            </w:r>
            <w:r>
              <w:rPr>
                <w:noProof/>
                <w:webHidden/>
              </w:rPr>
              <w:fldChar w:fldCharType="separate"/>
            </w:r>
            <w:r w:rsidR="00CA0FF5">
              <w:rPr>
                <w:noProof/>
                <w:webHidden/>
              </w:rPr>
              <w:t>10</w:t>
            </w:r>
            <w:r>
              <w:rPr>
                <w:noProof/>
                <w:webHidden/>
              </w:rPr>
              <w:fldChar w:fldCharType="end"/>
            </w:r>
          </w:hyperlink>
        </w:p>
        <w:p w14:paraId="582559FE" w14:textId="36746068" w:rsidR="005B77DE" w:rsidRDefault="005B77DE">
          <w:pPr>
            <w:pStyle w:val="TOC2"/>
            <w:tabs>
              <w:tab w:val="right" w:leader="dot" w:pos="9016"/>
            </w:tabs>
            <w:rPr>
              <w:noProof/>
            </w:rPr>
          </w:pPr>
          <w:hyperlink w:anchor="_Toc228079242" w:history="1">
            <w:r w:rsidRPr="000F2289">
              <w:rPr>
                <w:rStyle w:val="Hyperlink"/>
                <w:noProof/>
              </w:rPr>
              <w:t>4.1  Company Profile and Entry Rationale</w:t>
            </w:r>
            <w:r>
              <w:rPr>
                <w:noProof/>
                <w:webHidden/>
              </w:rPr>
              <w:tab/>
            </w:r>
            <w:r>
              <w:rPr>
                <w:noProof/>
                <w:webHidden/>
              </w:rPr>
              <w:fldChar w:fldCharType="begin"/>
            </w:r>
            <w:r>
              <w:rPr>
                <w:noProof/>
                <w:webHidden/>
              </w:rPr>
              <w:instrText xml:space="preserve"> PAGEREF _Toc228079242 \h </w:instrText>
            </w:r>
            <w:r>
              <w:rPr>
                <w:noProof/>
                <w:webHidden/>
              </w:rPr>
            </w:r>
            <w:r>
              <w:rPr>
                <w:noProof/>
                <w:webHidden/>
              </w:rPr>
              <w:fldChar w:fldCharType="separate"/>
            </w:r>
            <w:r w:rsidR="00CA0FF5">
              <w:rPr>
                <w:noProof/>
                <w:webHidden/>
              </w:rPr>
              <w:t>11</w:t>
            </w:r>
            <w:r>
              <w:rPr>
                <w:noProof/>
                <w:webHidden/>
              </w:rPr>
              <w:fldChar w:fldCharType="end"/>
            </w:r>
          </w:hyperlink>
        </w:p>
        <w:p w14:paraId="2BFA3FA3" w14:textId="7A630AB9" w:rsidR="005B77DE" w:rsidRDefault="005B77DE">
          <w:pPr>
            <w:pStyle w:val="TOC2"/>
            <w:tabs>
              <w:tab w:val="right" w:leader="dot" w:pos="9016"/>
            </w:tabs>
            <w:rPr>
              <w:noProof/>
            </w:rPr>
          </w:pPr>
          <w:hyperlink w:anchor="_Toc228079243" w:history="1">
            <w:r w:rsidRPr="000F2289">
              <w:rPr>
                <w:rStyle w:val="Hyperlink"/>
                <w:noProof/>
              </w:rPr>
              <w:t>4.2  Political Factors and the Iran–Israel–USA Military Confrontation</w:t>
            </w:r>
            <w:r>
              <w:rPr>
                <w:noProof/>
                <w:webHidden/>
              </w:rPr>
              <w:tab/>
            </w:r>
            <w:r>
              <w:rPr>
                <w:noProof/>
                <w:webHidden/>
              </w:rPr>
              <w:fldChar w:fldCharType="begin"/>
            </w:r>
            <w:r>
              <w:rPr>
                <w:noProof/>
                <w:webHidden/>
              </w:rPr>
              <w:instrText xml:space="preserve"> PAGEREF _Toc228079243 \h </w:instrText>
            </w:r>
            <w:r>
              <w:rPr>
                <w:noProof/>
                <w:webHidden/>
              </w:rPr>
            </w:r>
            <w:r>
              <w:rPr>
                <w:noProof/>
                <w:webHidden/>
              </w:rPr>
              <w:fldChar w:fldCharType="separate"/>
            </w:r>
            <w:r w:rsidR="00CA0FF5">
              <w:rPr>
                <w:noProof/>
                <w:webHidden/>
              </w:rPr>
              <w:t>11</w:t>
            </w:r>
            <w:r>
              <w:rPr>
                <w:noProof/>
                <w:webHidden/>
              </w:rPr>
              <w:fldChar w:fldCharType="end"/>
            </w:r>
          </w:hyperlink>
        </w:p>
        <w:p w14:paraId="3A682C4D" w14:textId="2E383746" w:rsidR="005B77DE" w:rsidRDefault="005B77DE">
          <w:pPr>
            <w:pStyle w:val="TOC2"/>
            <w:tabs>
              <w:tab w:val="right" w:leader="dot" w:pos="9016"/>
            </w:tabs>
            <w:rPr>
              <w:noProof/>
            </w:rPr>
          </w:pPr>
          <w:hyperlink w:anchor="_Toc228079244" w:history="1">
            <w:r w:rsidRPr="000F2289">
              <w:rPr>
                <w:rStyle w:val="Hyperlink"/>
                <w:noProof/>
              </w:rPr>
              <w:t>4.3  Economic Factors and Middle East Disruption Cascades</w:t>
            </w:r>
            <w:r>
              <w:rPr>
                <w:noProof/>
                <w:webHidden/>
              </w:rPr>
              <w:tab/>
            </w:r>
            <w:r>
              <w:rPr>
                <w:noProof/>
                <w:webHidden/>
              </w:rPr>
              <w:fldChar w:fldCharType="begin"/>
            </w:r>
            <w:r>
              <w:rPr>
                <w:noProof/>
                <w:webHidden/>
              </w:rPr>
              <w:instrText xml:space="preserve"> PAGEREF _Toc228079244 \h </w:instrText>
            </w:r>
            <w:r>
              <w:rPr>
                <w:noProof/>
                <w:webHidden/>
              </w:rPr>
            </w:r>
            <w:r>
              <w:rPr>
                <w:noProof/>
                <w:webHidden/>
              </w:rPr>
              <w:fldChar w:fldCharType="separate"/>
            </w:r>
            <w:r w:rsidR="00CA0FF5">
              <w:rPr>
                <w:noProof/>
                <w:webHidden/>
              </w:rPr>
              <w:t>12</w:t>
            </w:r>
            <w:r>
              <w:rPr>
                <w:noProof/>
                <w:webHidden/>
              </w:rPr>
              <w:fldChar w:fldCharType="end"/>
            </w:r>
          </w:hyperlink>
        </w:p>
        <w:p w14:paraId="497868E1" w14:textId="3DB58D2D" w:rsidR="005B77DE" w:rsidRDefault="005B77DE">
          <w:pPr>
            <w:pStyle w:val="TOC2"/>
            <w:tabs>
              <w:tab w:val="right" w:leader="dot" w:pos="9016"/>
            </w:tabs>
            <w:rPr>
              <w:noProof/>
            </w:rPr>
          </w:pPr>
          <w:hyperlink w:anchor="_Toc228079245" w:history="1">
            <w:r w:rsidRPr="000F2289">
              <w:rPr>
                <w:rStyle w:val="Hyperlink"/>
                <w:noProof/>
              </w:rPr>
              <w:t>4.4  Legal Factors</w:t>
            </w:r>
            <w:r>
              <w:rPr>
                <w:noProof/>
                <w:webHidden/>
              </w:rPr>
              <w:tab/>
            </w:r>
            <w:r>
              <w:rPr>
                <w:noProof/>
                <w:webHidden/>
              </w:rPr>
              <w:fldChar w:fldCharType="begin"/>
            </w:r>
            <w:r>
              <w:rPr>
                <w:noProof/>
                <w:webHidden/>
              </w:rPr>
              <w:instrText xml:space="preserve"> PAGEREF _Toc228079245 \h </w:instrText>
            </w:r>
            <w:r>
              <w:rPr>
                <w:noProof/>
                <w:webHidden/>
              </w:rPr>
            </w:r>
            <w:r>
              <w:rPr>
                <w:noProof/>
                <w:webHidden/>
              </w:rPr>
              <w:fldChar w:fldCharType="separate"/>
            </w:r>
            <w:r w:rsidR="00CA0FF5">
              <w:rPr>
                <w:noProof/>
                <w:webHidden/>
              </w:rPr>
              <w:t>14</w:t>
            </w:r>
            <w:r>
              <w:rPr>
                <w:noProof/>
                <w:webHidden/>
              </w:rPr>
              <w:fldChar w:fldCharType="end"/>
            </w:r>
          </w:hyperlink>
        </w:p>
        <w:p w14:paraId="2B5C5096" w14:textId="0B8637AC" w:rsidR="005B77DE" w:rsidRDefault="005B77DE">
          <w:pPr>
            <w:pStyle w:val="TOC2"/>
            <w:tabs>
              <w:tab w:val="right" w:leader="dot" w:pos="9016"/>
            </w:tabs>
            <w:rPr>
              <w:noProof/>
            </w:rPr>
          </w:pPr>
          <w:hyperlink w:anchor="_Toc228079246" w:history="1">
            <w:r w:rsidRPr="000F2289">
              <w:rPr>
                <w:rStyle w:val="Hyperlink"/>
                <w:noProof/>
              </w:rPr>
              <w:t>4.5  Cultural Factors</w:t>
            </w:r>
            <w:r>
              <w:rPr>
                <w:noProof/>
                <w:webHidden/>
              </w:rPr>
              <w:tab/>
            </w:r>
            <w:r>
              <w:rPr>
                <w:noProof/>
                <w:webHidden/>
              </w:rPr>
              <w:fldChar w:fldCharType="begin"/>
            </w:r>
            <w:r>
              <w:rPr>
                <w:noProof/>
                <w:webHidden/>
              </w:rPr>
              <w:instrText xml:space="preserve"> PAGEREF _Toc228079246 \h </w:instrText>
            </w:r>
            <w:r>
              <w:rPr>
                <w:noProof/>
                <w:webHidden/>
              </w:rPr>
            </w:r>
            <w:r>
              <w:rPr>
                <w:noProof/>
                <w:webHidden/>
              </w:rPr>
              <w:fldChar w:fldCharType="separate"/>
            </w:r>
            <w:r w:rsidR="00CA0FF5">
              <w:rPr>
                <w:noProof/>
                <w:webHidden/>
              </w:rPr>
              <w:t>14</w:t>
            </w:r>
            <w:r>
              <w:rPr>
                <w:noProof/>
                <w:webHidden/>
              </w:rPr>
              <w:fldChar w:fldCharType="end"/>
            </w:r>
          </w:hyperlink>
        </w:p>
        <w:p w14:paraId="0F8C63F6" w14:textId="5851E7BB" w:rsidR="005B77DE" w:rsidRDefault="005B77DE">
          <w:pPr>
            <w:pStyle w:val="TOC1"/>
            <w:tabs>
              <w:tab w:val="right" w:leader="dot" w:pos="9016"/>
            </w:tabs>
            <w:rPr>
              <w:noProof/>
            </w:rPr>
          </w:pPr>
          <w:hyperlink w:anchor="_Toc228079247" w:history="1">
            <w:r w:rsidRPr="000F2289">
              <w:rPr>
                <w:rStyle w:val="Hyperlink"/>
                <w:noProof/>
              </w:rPr>
              <w:t>5.  Conclusion</w:t>
            </w:r>
            <w:r>
              <w:rPr>
                <w:noProof/>
                <w:webHidden/>
              </w:rPr>
              <w:tab/>
            </w:r>
            <w:r>
              <w:rPr>
                <w:noProof/>
                <w:webHidden/>
              </w:rPr>
              <w:fldChar w:fldCharType="begin"/>
            </w:r>
            <w:r>
              <w:rPr>
                <w:noProof/>
                <w:webHidden/>
              </w:rPr>
              <w:instrText xml:space="preserve"> PAGEREF _Toc228079247 \h </w:instrText>
            </w:r>
            <w:r>
              <w:rPr>
                <w:noProof/>
                <w:webHidden/>
              </w:rPr>
            </w:r>
            <w:r>
              <w:rPr>
                <w:noProof/>
                <w:webHidden/>
              </w:rPr>
              <w:fldChar w:fldCharType="separate"/>
            </w:r>
            <w:r w:rsidR="00CA0FF5">
              <w:rPr>
                <w:noProof/>
                <w:webHidden/>
              </w:rPr>
              <w:t>15</w:t>
            </w:r>
            <w:r>
              <w:rPr>
                <w:noProof/>
                <w:webHidden/>
              </w:rPr>
              <w:fldChar w:fldCharType="end"/>
            </w:r>
          </w:hyperlink>
        </w:p>
        <w:p w14:paraId="17E38333" w14:textId="33F993F7" w:rsidR="005B77DE" w:rsidRDefault="005B77DE">
          <w:pPr>
            <w:pStyle w:val="TOC1"/>
            <w:tabs>
              <w:tab w:val="right" w:leader="dot" w:pos="9016"/>
            </w:tabs>
            <w:rPr>
              <w:noProof/>
            </w:rPr>
          </w:pPr>
          <w:hyperlink w:anchor="_Toc228079248" w:history="1">
            <w:r w:rsidRPr="000F2289">
              <w:rPr>
                <w:rStyle w:val="Hyperlink"/>
                <w:noProof/>
              </w:rPr>
              <w:t>6.  Reflective Account: Gibbs’ Reflective Cycle (1988)</w:t>
            </w:r>
            <w:r>
              <w:rPr>
                <w:noProof/>
                <w:webHidden/>
              </w:rPr>
              <w:tab/>
            </w:r>
            <w:r>
              <w:rPr>
                <w:noProof/>
                <w:webHidden/>
              </w:rPr>
              <w:fldChar w:fldCharType="begin"/>
            </w:r>
            <w:r>
              <w:rPr>
                <w:noProof/>
                <w:webHidden/>
              </w:rPr>
              <w:instrText xml:space="preserve"> PAGEREF _Toc228079248 \h </w:instrText>
            </w:r>
            <w:r>
              <w:rPr>
                <w:noProof/>
                <w:webHidden/>
              </w:rPr>
            </w:r>
            <w:r>
              <w:rPr>
                <w:noProof/>
                <w:webHidden/>
              </w:rPr>
              <w:fldChar w:fldCharType="separate"/>
            </w:r>
            <w:r w:rsidR="00CA0FF5">
              <w:rPr>
                <w:noProof/>
                <w:webHidden/>
              </w:rPr>
              <w:t>18</w:t>
            </w:r>
            <w:r>
              <w:rPr>
                <w:noProof/>
                <w:webHidden/>
              </w:rPr>
              <w:fldChar w:fldCharType="end"/>
            </w:r>
          </w:hyperlink>
        </w:p>
        <w:p w14:paraId="0E2D032A" w14:textId="1CA113B8" w:rsidR="005B77DE" w:rsidRDefault="005B77DE">
          <w:pPr>
            <w:pStyle w:val="TOC2"/>
            <w:tabs>
              <w:tab w:val="right" w:leader="dot" w:pos="9016"/>
            </w:tabs>
            <w:rPr>
              <w:noProof/>
            </w:rPr>
          </w:pPr>
          <w:hyperlink w:anchor="_Toc228079249" w:history="1">
            <w:r w:rsidRPr="000F2289">
              <w:rPr>
                <w:rStyle w:val="Hyperlink"/>
                <w:noProof/>
              </w:rPr>
              <w:t>6.1  Description</w:t>
            </w:r>
            <w:r>
              <w:rPr>
                <w:noProof/>
                <w:webHidden/>
              </w:rPr>
              <w:tab/>
            </w:r>
            <w:r>
              <w:rPr>
                <w:noProof/>
                <w:webHidden/>
              </w:rPr>
              <w:fldChar w:fldCharType="begin"/>
            </w:r>
            <w:r>
              <w:rPr>
                <w:noProof/>
                <w:webHidden/>
              </w:rPr>
              <w:instrText xml:space="preserve"> PAGEREF _Toc228079249 \h </w:instrText>
            </w:r>
            <w:r>
              <w:rPr>
                <w:noProof/>
                <w:webHidden/>
              </w:rPr>
            </w:r>
            <w:r>
              <w:rPr>
                <w:noProof/>
                <w:webHidden/>
              </w:rPr>
              <w:fldChar w:fldCharType="separate"/>
            </w:r>
            <w:r w:rsidR="00CA0FF5">
              <w:rPr>
                <w:noProof/>
                <w:webHidden/>
              </w:rPr>
              <w:t>18</w:t>
            </w:r>
            <w:r>
              <w:rPr>
                <w:noProof/>
                <w:webHidden/>
              </w:rPr>
              <w:fldChar w:fldCharType="end"/>
            </w:r>
          </w:hyperlink>
        </w:p>
        <w:p w14:paraId="6FDF083E" w14:textId="07BF9BE5" w:rsidR="005B77DE" w:rsidRDefault="005B77DE">
          <w:pPr>
            <w:pStyle w:val="TOC2"/>
            <w:tabs>
              <w:tab w:val="right" w:leader="dot" w:pos="9016"/>
            </w:tabs>
            <w:rPr>
              <w:noProof/>
            </w:rPr>
          </w:pPr>
          <w:hyperlink w:anchor="_Toc228079250" w:history="1">
            <w:r w:rsidRPr="000F2289">
              <w:rPr>
                <w:rStyle w:val="Hyperlink"/>
                <w:noProof/>
              </w:rPr>
              <w:t>6.2  Feelings</w:t>
            </w:r>
            <w:r>
              <w:rPr>
                <w:noProof/>
                <w:webHidden/>
              </w:rPr>
              <w:tab/>
            </w:r>
            <w:r>
              <w:rPr>
                <w:noProof/>
                <w:webHidden/>
              </w:rPr>
              <w:fldChar w:fldCharType="begin"/>
            </w:r>
            <w:r>
              <w:rPr>
                <w:noProof/>
                <w:webHidden/>
              </w:rPr>
              <w:instrText xml:space="preserve"> PAGEREF _Toc228079250 \h </w:instrText>
            </w:r>
            <w:r>
              <w:rPr>
                <w:noProof/>
                <w:webHidden/>
              </w:rPr>
            </w:r>
            <w:r>
              <w:rPr>
                <w:noProof/>
                <w:webHidden/>
              </w:rPr>
              <w:fldChar w:fldCharType="separate"/>
            </w:r>
            <w:r w:rsidR="00CA0FF5">
              <w:rPr>
                <w:noProof/>
                <w:webHidden/>
              </w:rPr>
              <w:t>18</w:t>
            </w:r>
            <w:r>
              <w:rPr>
                <w:noProof/>
                <w:webHidden/>
              </w:rPr>
              <w:fldChar w:fldCharType="end"/>
            </w:r>
          </w:hyperlink>
        </w:p>
        <w:p w14:paraId="5A4C363F" w14:textId="2345B4BB" w:rsidR="005B77DE" w:rsidRDefault="005B77DE">
          <w:pPr>
            <w:pStyle w:val="TOC2"/>
            <w:tabs>
              <w:tab w:val="right" w:leader="dot" w:pos="9016"/>
            </w:tabs>
            <w:rPr>
              <w:noProof/>
            </w:rPr>
          </w:pPr>
          <w:hyperlink w:anchor="_Toc228079251" w:history="1">
            <w:r w:rsidRPr="000F2289">
              <w:rPr>
                <w:rStyle w:val="Hyperlink"/>
                <w:noProof/>
              </w:rPr>
              <w:t>6.3  Evaluation</w:t>
            </w:r>
            <w:r>
              <w:rPr>
                <w:noProof/>
                <w:webHidden/>
              </w:rPr>
              <w:tab/>
            </w:r>
            <w:r>
              <w:rPr>
                <w:noProof/>
                <w:webHidden/>
              </w:rPr>
              <w:fldChar w:fldCharType="begin"/>
            </w:r>
            <w:r>
              <w:rPr>
                <w:noProof/>
                <w:webHidden/>
              </w:rPr>
              <w:instrText xml:space="preserve"> PAGEREF _Toc228079251 \h </w:instrText>
            </w:r>
            <w:r>
              <w:rPr>
                <w:noProof/>
                <w:webHidden/>
              </w:rPr>
            </w:r>
            <w:r>
              <w:rPr>
                <w:noProof/>
                <w:webHidden/>
              </w:rPr>
              <w:fldChar w:fldCharType="separate"/>
            </w:r>
            <w:r w:rsidR="00CA0FF5">
              <w:rPr>
                <w:noProof/>
                <w:webHidden/>
              </w:rPr>
              <w:t>19</w:t>
            </w:r>
            <w:r>
              <w:rPr>
                <w:noProof/>
                <w:webHidden/>
              </w:rPr>
              <w:fldChar w:fldCharType="end"/>
            </w:r>
          </w:hyperlink>
        </w:p>
        <w:p w14:paraId="38C9F551" w14:textId="7915CA24" w:rsidR="005B77DE" w:rsidRDefault="005B77DE">
          <w:pPr>
            <w:pStyle w:val="TOC2"/>
            <w:tabs>
              <w:tab w:val="right" w:leader="dot" w:pos="9016"/>
            </w:tabs>
            <w:rPr>
              <w:noProof/>
            </w:rPr>
          </w:pPr>
          <w:hyperlink w:anchor="_Toc228079252" w:history="1">
            <w:r w:rsidRPr="000F2289">
              <w:rPr>
                <w:rStyle w:val="Hyperlink"/>
                <w:noProof/>
              </w:rPr>
              <w:t>6.4  Analysis</w:t>
            </w:r>
            <w:r>
              <w:rPr>
                <w:noProof/>
                <w:webHidden/>
              </w:rPr>
              <w:tab/>
            </w:r>
            <w:r>
              <w:rPr>
                <w:noProof/>
                <w:webHidden/>
              </w:rPr>
              <w:fldChar w:fldCharType="begin"/>
            </w:r>
            <w:r>
              <w:rPr>
                <w:noProof/>
                <w:webHidden/>
              </w:rPr>
              <w:instrText xml:space="preserve"> PAGEREF _Toc228079252 \h </w:instrText>
            </w:r>
            <w:r>
              <w:rPr>
                <w:noProof/>
                <w:webHidden/>
              </w:rPr>
            </w:r>
            <w:r>
              <w:rPr>
                <w:noProof/>
                <w:webHidden/>
              </w:rPr>
              <w:fldChar w:fldCharType="separate"/>
            </w:r>
            <w:r w:rsidR="00CA0FF5">
              <w:rPr>
                <w:noProof/>
                <w:webHidden/>
              </w:rPr>
              <w:t>19</w:t>
            </w:r>
            <w:r>
              <w:rPr>
                <w:noProof/>
                <w:webHidden/>
              </w:rPr>
              <w:fldChar w:fldCharType="end"/>
            </w:r>
          </w:hyperlink>
        </w:p>
        <w:p w14:paraId="36D4E384" w14:textId="06E88A9A" w:rsidR="005B77DE" w:rsidRDefault="005B77DE">
          <w:pPr>
            <w:pStyle w:val="TOC2"/>
            <w:tabs>
              <w:tab w:val="right" w:leader="dot" w:pos="9016"/>
            </w:tabs>
            <w:rPr>
              <w:noProof/>
            </w:rPr>
          </w:pPr>
          <w:hyperlink w:anchor="_Toc228079253" w:history="1">
            <w:r w:rsidRPr="000F2289">
              <w:rPr>
                <w:rStyle w:val="Hyperlink"/>
                <w:noProof/>
              </w:rPr>
              <w:t>6.5  Conclusion</w:t>
            </w:r>
            <w:r>
              <w:rPr>
                <w:noProof/>
                <w:webHidden/>
              </w:rPr>
              <w:tab/>
            </w:r>
            <w:r>
              <w:rPr>
                <w:noProof/>
                <w:webHidden/>
              </w:rPr>
              <w:fldChar w:fldCharType="begin"/>
            </w:r>
            <w:r>
              <w:rPr>
                <w:noProof/>
                <w:webHidden/>
              </w:rPr>
              <w:instrText xml:space="preserve"> PAGEREF _Toc228079253 \h </w:instrText>
            </w:r>
            <w:r>
              <w:rPr>
                <w:noProof/>
                <w:webHidden/>
              </w:rPr>
            </w:r>
            <w:r>
              <w:rPr>
                <w:noProof/>
                <w:webHidden/>
              </w:rPr>
              <w:fldChar w:fldCharType="separate"/>
            </w:r>
            <w:r w:rsidR="00CA0FF5">
              <w:rPr>
                <w:noProof/>
                <w:webHidden/>
              </w:rPr>
              <w:t>20</w:t>
            </w:r>
            <w:r>
              <w:rPr>
                <w:noProof/>
                <w:webHidden/>
              </w:rPr>
              <w:fldChar w:fldCharType="end"/>
            </w:r>
          </w:hyperlink>
        </w:p>
        <w:p w14:paraId="2029168C" w14:textId="561151EF" w:rsidR="005B77DE" w:rsidRDefault="005B77DE">
          <w:pPr>
            <w:pStyle w:val="TOC2"/>
            <w:tabs>
              <w:tab w:val="right" w:leader="dot" w:pos="9016"/>
            </w:tabs>
            <w:rPr>
              <w:noProof/>
            </w:rPr>
          </w:pPr>
          <w:hyperlink w:anchor="_Toc228079254" w:history="1">
            <w:r w:rsidRPr="000F2289">
              <w:rPr>
                <w:rStyle w:val="Hyperlink"/>
                <w:noProof/>
              </w:rPr>
              <w:t>6.6  Action Plan</w:t>
            </w:r>
            <w:r>
              <w:rPr>
                <w:noProof/>
                <w:webHidden/>
              </w:rPr>
              <w:tab/>
            </w:r>
            <w:r>
              <w:rPr>
                <w:noProof/>
                <w:webHidden/>
              </w:rPr>
              <w:fldChar w:fldCharType="begin"/>
            </w:r>
            <w:r>
              <w:rPr>
                <w:noProof/>
                <w:webHidden/>
              </w:rPr>
              <w:instrText xml:space="preserve"> PAGEREF _Toc228079254 \h </w:instrText>
            </w:r>
            <w:r>
              <w:rPr>
                <w:noProof/>
                <w:webHidden/>
              </w:rPr>
            </w:r>
            <w:r>
              <w:rPr>
                <w:noProof/>
                <w:webHidden/>
              </w:rPr>
              <w:fldChar w:fldCharType="separate"/>
            </w:r>
            <w:r w:rsidR="00CA0FF5">
              <w:rPr>
                <w:noProof/>
                <w:webHidden/>
              </w:rPr>
              <w:t>20</w:t>
            </w:r>
            <w:r>
              <w:rPr>
                <w:noProof/>
                <w:webHidden/>
              </w:rPr>
              <w:fldChar w:fldCharType="end"/>
            </w:r>
          </w:hyperlink>
        </w:p>
        <w:p w14:paraId="6352B94C" w14:textId="005607DB" w:rsidR="005B77DE" w:rsidRDefault="005B77DE">
          <w:pPr>
            <w:pStyle w:val="TOC1"/>
            <w:tabs>
              <w:tab w:val="right" w:leader="dot" w:pos="9016"/>
            </w:tabs>
            <w:rPr>
              <w:noProof/>
            </w:rPr>
          </w:pPr>
          <w:hyperlink w:anchor="_Toc228079255" w:history="1">
            <w:r w:rsidRPr="000F2289">
              <w:rPr>
                <w:rStyle w:val="Hyperlink"/>
                <w:noProof/>
              </w:rPr>
              <w:t>References</w:t>
            </w:r>
            <w:r>
              <w:rPr>
                <w:noProof/>
                <w:webHidden/>
              </w:rPr>
              <w:tab/>
            </w:r>
            <w:r>
              <w:rPr>
                <w:noProof/>
                <w:webHidden/>
              </w:rPr>
              <w:fldChar w:fldCharType="begin"/>
            </w:r>
            <w:r>
              <w:rPr>
                <w:noProof/>
                <w:webHidden/>
              </w:rPr>
              <w:instrText xml:space="preserve"> PAGEREF _Toc228079255 \h </w:instrText>
            </w:r>
            <w:r>
              <w:rPr>
                <w:noProof/>
                <w:webHidden/>
              </w:rPr>
            </w:r>
            <w:r>
              <w:rPr>
                <w:noProof/>
                <w:webHidden/>
              </w:rPr>
              <w:fldChar w:fldCharType="separate"/>
            </w:r>
            <w:r w:rsidR="00CA0FF5">
              <w:rPr>
                <w:noProof/>
                <w:webHidden/>
              </w:rPr>
              <w:t>21</w:t>
            </w:r>
            <w:r>
              <w:rPr>
                <w:noProof/>
                <w:webHidden/>
              </w:rPr>
              <w:fldChar w:fldCharType="end"/>
            </w:r>
          </w:hyperlink>
        </w:p>
        <w:p w14:paraId="71FF490E" w14:textId="5E82A2D5" w:rsidR="005B77DE" w:rsidRDefault="005B77DE">
          <w:r>
            <w:rPr>
              <w:b/>
              <w:bCs/>
              <w:noProof/>
            </w:rPr>
            <w:fldChar w:fldCharType="end"/>
          </w:r>
        </w:p>
      </w:sdtContent>
    </w:sdt>
    <w:p w14:paraId="77A67973" w14:textId="77777777" w:rsidR="00F54231" w:rsidRDefault="00974FBF">
      <w:r>
        <w:br w:type="page"/>
      </w:r>
    </w:p>
    <w:p w14:paraId="488E1CE6" w14:textId="77777777" w:rsidR="00F54231" w:rsidRDefault="00974FBF" w:rsidP="00C46977">
      <w:pPr>
        <w:pStyle w:val="Heading1"/>
        <w:spacing w:line="360" w:lineRule="auto"/>
        <w:jc w:val="both"/>
      </w:pPr>
      <w:bookmarkStart w:id="0" w:name="_Toc228079232"/>
      <w:r>
        <w:t>1.  Introduction</w:t>
      </w:r>
      <w:bookmarkEnd w:id="0"/>
    </w:p>
    <w:p w14:paraId="7E14E274" w14:textId="77777777" w:rsidR="005B77DE" w:rsidRPr="005B77DE" w:rsidRDefault="005B77DE" w:rsidP="00C46977">
      <w:pPr>
        <w:pStyle w:val="Heading1"/>
        <w:spacing w:line="360" w:lineRule="auto"/>
        <w:jc w:val="both"/>
        <w:rPr>
          <w:b w:val="0"/>
          <w:bCs w:val="0"/>
          <w:color w:val="auto"/>
          <w:sz w:val="24"/>
          <w:szCs w:val="24"/>
        </w:rPr>
      </w:pPr>
      <w:bookmarkStart w:id="1" w:name="_Toc228079233"/>
      <w:r w:rsidRPr="005B77DE">
        <w:rPr>
          <w:b w:val="0"/>
          <w:bCs w:val="0"/>
          <w:color w:val="auto"/>
          <w:sz w:val="24"/>
          <w:szCs w:val="24"/>
        </w:rPr>
        <w:t>The pharmaceutical sector in Bangladesh is one of the most interesting stories of local industrial potential of the developing world. Since Bangladesh became an independent country in 1971 (with almost total import dependence), the country has established an industry that meets about 98 percent of domestic drug demand and exports to more than 150 countries, with pharmaceutical export earnings totaling USD 210.3 million in FY202324 (Bapi, 2024; Export Promotion Bureau, 2024). This change is an illustration of what Lall (2001) calls technological capability building via deliberate policy intervention - a path defined by the underlying Drug (Control) Ordinance of 1982, the structural benefits of LDC TRIPS waiver exemption through 2033, and competitive dynamism of more than 300 licensed manufacturers (WTO, 2022; Chaudhuri, Goldberg</w:t>
      </w:r>
    </w:p>
    <w:p w14:paraId="6DA24098" w14:textId="77777777" w:rsidR="005B77DE" w:rsidRDefault="005B77DE" w:rsidP="00C46977">
      <w:pPr>
        <w:pStyle w:val="Heading1"/>
        <w:spacing w:line="360" w:lineRule="auto"/>
        <w:jc w:val="both"/>
        <w:rPr>
          <w:b w:val="0"/>
          <w:bCs w:val="0"/>
          <w:color w:val="auto"/>
          <w:sz w:val="24"/>
          <w:szCs w:val="24"/>
        </w:rPr>
      </w:pPr>
      <w:r w:rsidRPr="005B77DE">
        <w:rPr>
          <w:b w:val="0"/>
          <w:bCs w:val="0"/>
          <w:color w:val="auto"/>
          <w:sz w:val="24"/>
          <w:szCs w:val="24"/>
        </w:rPr>
        <w:t>This report is a level 7 international business analysis of this industry. Section 2 puts the sector into context, in the economic and regulatory environment of Bangladesh. Section 3 uses the Diamond Model of National Advantage of Porter (1990). Section 4 is a critical assessment of Sanofi Bangladesh Limited - the nation subsidiary of French multinational Sanofi S.A. - analyzing political, economic, legal, and cultural drivers of operational success, and maintaining a long-term focus on the ripple effects of the Iran-Israel-USA military confrontation on pharmaceutical supply chain architecture (Witt et al., 2023; Gereffi, Section 5 and 6 give final thoughts and Gibbs (1988) reflective account respectively.</w:t>
      </w:r>
    </w:p>
    <w:p w14:paraId="747BBC0D" w14:textId="75AC4A10" w:rsidR="00F54231" w:rsidRDefault="00974FBF" w:rsidP="00C46977">
      <w:pPr>
        <w:pStyle w:val="Heading1"/>
        <w:spacing w:line="360" w:lineRule="auto"/>
        <w:jc w:val="both"/>
      </w:pPr>
      <w:r>
        <w:t>2.  Industry and Country Overview</w:t>
      </w:r>
      <w:bookmarkEnd w:id="1"/>
    </w:p>
    <w:p w14:paraId="49EA21ED" w14:textId="77777777" w:rsidR="00F54231" w:rsidRDefault="00974FBF" w:rsidP="00C46977">
      <w:pPr>
        <w:pStyle w:val="Heading2"/>
        <w:spacing w:line="360" w:lineRule="auto"/>
        <w:jc w:val="both"/>
      </w:pPr>
      <w:bookmarkStart w:id="2" w:name="_Toc228079234"/>
      <w:r>
        <w:t>2.1  The Pharmaceutical Industry in the Context of Bangladesh</w:t>
      </w:r>
      <w:bookmarkEnd w:id="2"/>
    </w:p>
    <w:p w14:paraId="3508594D" w14:textId="77777777" w:rsidR="005B77DE" w:rsidRPr="005B77DE" w:rsidRDefault="005B77DE" w:rsidP="00C46977">
      <w:pPr>
        <w:pStyle w:val="Heading2"/>
        <w:spacing w:line="360" w:lineRule="auto"/>
        <w:jc w:val="both"/>
        <w:rPr>
          <w:b w:val="0"/>
          <w:bCs w:val="0"/>
          <w:color w:val="auto"/>
          <w:sz w:val="24"/>
          <w:szCs w:val="24"/>
        </w:rPr>
      </w:pPr>
      <w:bookmarkStart w:id="3" w:name="_Toc228079235"/>
      <w:r w:rsidRPr="005B77DE">
        <w:rPr>
          <w:b w:val="0"/>
          <w:bCs w:val="0"/>
          <w:color w:val="auto"/>
          <w:sz w:val="24"/>
          <w:szCs w:val="24"/>
        </w:rPr>
        <w:t>The pharmaceutical industry in Bangladesh is a counterexample to the traditional demands of an LDC producing economy. The Drug (Control) Ordinance of 1982 - issued with the technical support of WHO - prohibited 1,700 nonessential drug formulations that were previously imported under multinational brand names, and made essential medicines the reserve of domestic production (Karim et al., 2020; Reich, 1994). This market guarded by multinational companies in those days, developed the market niche in which Bangladeshi companies were able to acquire formulation manufacturing skills (Chaudhuri, 2005). After 40 years, it has more than 300 licensed manufacturers with about 30 international-sized firms having WHO-GMP, US FDA, EU GMP, and UK MHRA-approved plants (DGDA, 2023).</w:t>
      </w:r>
    </w:p>
    <w:p w14:paraId="72CD607A" w14:textId="77777777" w:rsidR="005B77DE" w:rsidRDefault="005B77DE" w:rsidP="00C46977">
      <w:pPr>
        <w:pStyle w:val="Heading2"/>
        <w:spacing w:line="360" w:lineRule="auto"/>
        <w:jc w:val="both"/>
        <w:rPr>
          <w:b w:val="0"/>
          <w:bCs w:val="0"/>
          <w:color w:val="auto"/>
          <w:sz w:val="24"/>
          <w:szCs w:val="24"/>
        </w:rPr>
      </w:pPr>
      <w:r w:rsidRPr="005B77DE">
        <w:rPr>
          <w:b w:val="0"/>
          <w:bCs w:val="0"/>
          <w:color w:val="auto"/>
          <w:sz w:val="24"/>
          <w:szCs w:val="24"/>
        </w:rPr>
        <w:t>The LDC TRIPS waiver exemption has ensured growth in Bangladesh through generic production of patented medicines with no license fees, which is a structural cost advantage of unparalleled commercial value in export markets (WTO, 2022; Correa, 2000). This is a competitive asset that has a limited lifespan but can generate a large competitive advantage to Bangladesh in its production capacity of low-cost generics that are consumed locally and also exported to foreign markets. The domestic market has increased by a CAGR of about 1214% in the last ten years to reach an estimated USD 3.8 billion in FY202223 (BAPI, 2024; IQVIA Bangladesh, 2024). The development of the pharmaceutical industry in the emerging economies, as Malerba and Orsenigo (2015) note, is typically defined by the interplay between the regulatory structure and the local competitive processes in the country, which Bangladesh can be considered a vivid example of.</w:t>
      </w:r>
    </w:p>
    <w:p w14:paraId="45E35FC2" w14:textId="5797BA27" w:rsidR="00F54231" w:rsidRDefault="00974FBF" w:rsidP="00C46977">
      <w:pPr>
        <w:pStyle w:val="Heading2"/>
        <w:spacing w:line="360" w:lineRule="auto"/>
        <w:jc w:val="both"/>
      </w:pPr>
      <w:r>
        <w:t>2.2  Size, Scope, and Economic Importance of the Industry</w:t>
      </w:r>
      <w:bookmarkEnd w:id="3"/>
    </w:p>
    <w:p w14:paraId="0444E70B" w14:textId="77777777" w:rsidR="005B77DE" w:rsidRDefault="005B77DE" w:rsidP="00C46977">
      <w:pPr>
        <w:spacing w:before="200" w:after="100" w:line="360" w:lineRule="auto"/>
        <w:jc w:val="both"/>
      </w:pPr>
      <w:r w:rsidRPr="005B77DE">
        <w:t>Figure 1 shows that pharmaceutical exports have increased to USD 210.3 million in FY202324 with a CAGR of about 12.3, as compared to the export earnings in FY201819 of USD 117.8 million (EPB, 2024). This trend persisted throughout the COVID-19 when Bangladesh was able to increase the volume of exports and the reputation abroad due to the capacity to provide basic generic drugs, such as generic remdesivir, dexamethasone, and azithromycin (Wouters et al., 2020). The industry directly employs about 115,000 people and indirectly 300,000 people in networks of distribution, supply chains of raw materials and related services (BAPI, 2024; Bloom, Canning and Sevilla, 2004).</w:t>
      </w:r>
    </w:p>
    <w:p w14:paraId="50ED1D9F" w14:textId="794FC4FC" w:rsidR="00F54231" w:rsidRDefault="00974FBF" w:rsidP="00C46977">
      <w:pPr>
        <w:spacing w:before="200" w:after="100" w:line="360" w:lineRule="auto"/>
        <w:jc w:val="both"/>
      </w:pPr>
      <w:r>
        <w:rPr>
          <w:noProof/>
        </w:rPr>
        <w:drawing>
          <wp:inline distT="0" distB="0" distL="0" distR="0" wp14:anchorId="5C41559B" wp14:editId="517E119F">
            <wp:extent cx="5800000" cy="29508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800000" cy="2950809"/>
                    </a:xfrm>
                    <a:prstGeom prst="rect">
                      <a:avLst/>
                    </a:prstGeom>
                  </pic:spPr>
                </pic:pic>
              </a:graphicData>
            </a:graphic>
          </wp:inline>
        </w:drawing>
      </w:r>
    </w:p>
    <w:p w14:paraId="3396419E" w14:textId="77777777" w:rsidR="00F54231" w:rsidRDefault="00974FBF" w:rsidP="00C46977">
      <w:pPr>
        <w:spacing w:after="200" w:line="360" w:lineRule="auto"/>
        <w:jc w:val="both"/>
      </w:pPr>
      <w:r>
        <w:rPr>
          <w:i/>
          <w:iCs/>
          <w:color w:val="555555"/>
          <w:sz w:val="20"/>
          <w:szCs w:val="20"/>
        </w:rPr>
        <w:t>Figure 1: Bangladesh Pharmaceutical Export Earnings (USD Million), FY2018–19 to FY2023–24. Source: Export Promotion Bureau (EPB, 2024); BAPI (2024). *FY2023–24 preliminary.</w:t>
      </w:r>
    </w:p>
    <w:p w14:paraId="339724C2" w14:textId="77777777" w:rsidR="005B77DE" w:rsidRDefault="005B77DE" w:rsidP="00C46977">
      <w:pPr>
        <w:spacing w:before="200" w:after="100" w:line="360" w:lineRule="auto"/>
        <w:jc w:val="both"/>
      </w:pPr>
      <w:r w:rsidRPr="005B77DE">
        <w:t>The greatest structural reliance of the industry - and the most critical weakness - is the sourcing of raw materials: about 90-95 percent of Active Pharmaceutical Ingredients (APIs) and 60-70 percent of excipients are imported, mostly in India (55-60 percent) and China (30-35 percent), with a remaining portion of its suppliers in Europe and the United States (BAPI This import concentration brings about what Christopher and Peck (2004) describe as single-source dependency risk of strategic importance, which is discussed in detail in Section 4 in the framework of Middle East geopolitical dynamics.</w:t>
      </w:r>
    </w:p>
    <w:p w14:paraId="4E69EBB7" w14:textId="753955A2" w:rsidR="00F54231" w:rsidRDefault="00974FBF" w:rsidP="00C46977">
      <w:pPr>
        <w:spacing w:before="200" w:after="100" w:line="360" w:lineRule="auto"/>
        <w:jc w:val="both"/>
      </w:pPr>
      <w:r>
        <w:rPr>
          <w:noProof/>
        </w:rPr>
        <w:drawing>
          <wp:inline distT="0" distB="0" distL="0" distR="0" wp14:anchorId="6C76D355" wp14:editId="494A3E7C">
            <wp:extent cx="5684520" cy="3255581"/>
            <wp:effectExtent l="0" t="0" r="0" b="2540"/>
            <wp:docPr id="600241309" name="Picture 600241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705648" cy="3267681"/>
                    </a:xfrm>
                    <a:prstGeom prst="rect">
                      <a:avLst/>
                    </a:prstGeom>
                  </pic:spPr>
                </pic:pic>
              </a:graphicData>
            </a:graphic>
          </wp:inline>
        </w:drawing>
      </w:r>
    </w:p>
    <w:p w14:paraId="5084AA6A" w14:textId="77777777" w:rsidR="00F54231" w:rsidRDefault="00974FBF" w:rsidP="00C46977">
      <w:pPr>
        <w:spacing w:after="200" w:line="360" w:lineRule="auto"/>
        <w:jc w:val="both"/>
      </w:pPr>
      <w:r>
        <w:rPr>
          <w:i/>
          <w:iCs/>
          <w:color w:val="555555"/>
          <w:sz w:val="20"/>
          <w:szCs w:val="20"/>
        </w:rPr>
        <w:t>Figure 2: Bangladesh Pharmaceutical Domestic Market Share by Revenue (FY2022–23). Source: IQVIA Bangladesh (2024); BAPI (2024). Note: Sanofi Bangladesh (highlighted) is the focal MNC examined in Section 4.</w:t>
      </w:r>
    </w:p>
    <w:p w14:paraId="0C8A83AC" w14:textId="77777777" w:rsidR="00F54231" w:rsidRDefault="00974FBF" w:rsidP="00C46977">
      <w:pPr>
        <w:pStyle w:val="Heading2"/>
        <w:spacing w:line="360" w:lineRule="auto"/>
        <w:jc w:val="both"/>
      </w:pPr>
      <w:bookmarkStart w:id="4" w:name="_Toc228079236"/>
      <w:r>
        <w:t>2.3  Key Domestic and Multinational Firms: Comparative Analysis</w:t>
      </w:r>
      <w:bookmarkEnd w:id="4"/>
    </w:p>
    <w:p w14:paraId="10572DCF" w14:textId="77777777" w:rsidR="005B77DE" w:rsidRDefault="005B77DE" w:rsidP="00C46977">
      <w:pPr>
        <w:spacing w:before="100" w:after="80" w:line="360" w:lineRule="auto"/>
        <w:jc w:val="both"/>
      </w:pPr>
      <w:r w:rsidRPr="005B77DE">
        <w:t>Table 1 compares two major domestic firms in Bangladesh Square Pharmaceuticals and Beximco Pharmaceuticals, to two established MNCs Sanofi Bangladesh Limited and Novo Nordisk Bangladesh (Caves, 1996; Hennart, 2012).</w:t>
      </w:r>
    </w:p>
    <w:p w14:paraId="04C7D3FE" w14:textId="12097842" w:rsidR="00F54231" w:rsidRDefault="00974FBF" w:rsidP="00C46977">
      <w:pPr>
        <w:spacing w:before="100" w:after="80" w:line="360" w:lineRule="auto"/>
        <w:jc w:val="both"/>
      </w:pPr>
      <w:r>
        <w:rPr>
          <w:b/>
          <w:bCs/>
          <w:color w:val="1B4F72"/>
          <w:sz w:val="22"/>
          <w:szCs w:val="22"/>
        </w:rPr>
        <w:t>Table 1: Comparative Positioning of Key Firms in Bangladesh’s Pharmaceutical Sector</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0"/>
        <w:gridCol w:w="1915"/>
        <w:gridCol w:w="1915"/>
        <w:gridCol w:w="1915"/>
        <w:gridCol w:w="1915"/>
      </w:tblGrid>
      <w:tr w:rsidR="00F54231" w14:paraId="09895751" w14:textId="77777777">
        <w:tc>
          <w:tcPr>
            <w:tcW w:w="1700"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011C79BD" w14:textId="77777777" w:rsidR="00F54231" w:rsidRDefault="00974FBF" w:rsidP="00C46977">
            <w:pPr>
              <w:spacing w:line="360" w:lineRule="auto"/>
              <w:jc w:val="both"/>
            </w:pPr>
            <w:r>
              <w:rPr>
                <w:b/>
                <w:bCs/>
                <w:color w:val="FFFFFF"/>
                <w:sz w:val="20"/>
                <w:szCs w:val="20"/>
              </w:rPr>
              <w:t>Criteria</w:t>
            </w:r>
          </w:p>
        </w:tc>
        <w:tc>
          <w:tcPr>
            <w:tcW w:w="1915"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3C76FF8F" w14:textId="77777777" w:rsidR="00F54231" w:rsidRDefault="00974FBF" w:rsidP="00C46977">
            <w:pPr>
              <w:spacing w:line="360" w:lineRule="auto"/>
              <w:jc w:val="both"/>
            </w:pPr>
            <w:r>
              <w:rPr>
                <w:b/>
                <w:bCs/>
                <w:color w:val="FFFFFF"/>
                <w:sz w:val="20"/>
                <w:szCs w:val="20"/>
              </w:rPr>
              <w:t>Square Pharma</w:t>
            </w:r>
          </w:p>
        </w:tc>
        <w:tc>
          <w:tcPr>
            <w:tcW w:w="1915"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3C36D7C2" w14:textId="77777777" w:rsidR="00F54231" w:rsidRDefault="00974FBF" w:rsidP="00C46977">
            <w:pPr>
              <w:spacing w:line="360" w:lineRule="auto"/>
              <w:jc w:val="both"/>
            </w:pPr>
            <w:r>
              <w:rPr>
                <w:b/>
                <w:bCs/>
                <w:color w:val="FFFFFF"/>
                <w:sz w:val="20"/>
                <w:szCs w:val="20"/>
              </w:rPr>
              <w:t>Beximco Pharma</w:t>
            </w:r>
          </w:p>
        </w:tc>
        <w:tc>
          <w:tcPr>
            <w:tcW w:w="1915"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1F00055F" w14:textId="77777777" w:rsidR="00F54231" w:rsidRDefault="00974FBF" w:rsidP="00C46977">
            <w:pPr>
              <w:spacing w:line="360" w:lineRule="auto"/>
              <w:jc w:val="both"/>
            </w:pPr>
            <w:r>
              <w:rPr>
                <w:b/>
                <w:bCs/>
                <w:color w:val="FFFFFF"/>
                <w:sz w:val="20"/>
                <w:szCs w:val="20"/>
              </w:rPr>
              <w:t>Sanofi Bangladesh</w:t>
            </w:r>
          </w:p>
        </w:tc>
        <w:tc>
          <w:tcPr>
            <w:tcW w:w="1915"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5EDAC375" w14:textId="77777777" w:rsidR="00F54231" w:rsidRDefault="00974FBF" w:rsidP="00C46977">
            <w:pPr>
              <w:spacing w:line="360" w:lineRule="auto"/>
              <w:jc w:val="both"/>
            </w:pPr>
            <w:r>
              <w:rPr>
                <w:b/>
                <w:bCs/>
                <w:color w:val="FFFFFF"/>
                <w:sz w:val="20"/>
                <w:szCs w:val="20"/>
              </w:rPr>
              <w:t>Novo Nordisk BD</w:t>
            </w:r>
          </w:p>
        </w:tc>
      </w:tr>
      <w:tr w:rsidR="00F54231" w14:paraId="458819B7" w14:textId="77777777">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74E782E8" w14:textId="77777777" w:rsidR="00F54231" w:rsidRDefault="00974FBF" w:rsidP="00C46977">
            <w:pPr>
              <w:spacing w:after="40" w:line="360" w:lineRule="auto"/>
              <w:jc w:val="both"/>
            </w:pPr>
            <w:r>
              <w:rPr>
                <w:b/>
                <w:bCs/>
                <w:sz w:val="20"/>
                <w:szCs w:val="20"/>
              </w:rPr>
              <w:t>Origin / Type</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7095FF3B" w14:textId="77777777" w:rsidR="00F54231" w:rsidRDefault="00974FBF" w:rsidP="00C46977">
            <w:pPr>
              <w:spacing w:after="40" w:line="360" w:lineRule="auto"/>
              <w:jc w:val="both"/>
            </w:pPr>
            <w:r>
              <w:rPr>
                <w:sz w:val="20"/>
                <w:szCs w:val="20"/>
              </w:rPr>
              <w:t>Bangladesh (Domestic)</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456D6B80" w14:textId="77777777" w:rsidR="00F54231" w:rsidRDefault="00974FBF" w:rsidP="00C46977">
            <w:pPr>
              <w:spacing w:after="40" w:line="360" w:lineRule="auto"/>
              <w:jc w:val="both"/>
            </w:pPr>
            <w:r>
              <w:rPr>
                <w:sz w:val="20"/>
                <w:szCs w:val="20"/>
              </w:rPr>
              <w:t>Bangladesh (Domestic)</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11C1EB17" w14:textId="77777777" w:rsidR="00F54231" w:rsidRDefault="00974FBF" w:rsidP="00C46977">
            <w:pPr>
              <w:spacing w:after="40" w:line="360" w:lineRule="auto"/>
              <w:jc w:val="both"/>
            </w:pPr>
            <w:r>
              <w:rPr>
                <w:sz w:val="20"/>
                <w:szCs w:val="20"/>
              </w:rPr>
              <w:t>France (MNC)</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57647FCF" w14:textId="77777777" w:rsidR="00F54231" w:rsidRDefault="00974FBF" w:rsidP="00C46977">
            <w:pPr>
              <w:spacing w:after="40" w:line="360" w:lineRule="auto"/>
              <w:jc w:val="both"/>
            </w:pPr>
            <w:r>
              <w:rPr>
                <w:sz w:val="20"/>
                <w:szCs w:val="20"/>
              </w:rPr>
              <w:t>Denmark (MNC)</w:t>
            </w:r>
          </w:p>
        </w:tc>
      </w:tr>
      <w:tr w:rsidR="00F54231" w14:paraId="6C928C08" w14:textId="77777777">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114F6271" w14:textId="77777777" w:rsidR="00F54231" w:rsidRDefault="00974FBF" w:rsidP="00C46977">
            <w:pPr>
              <w:spacing w:after="40" w:line="360" w:lineRule="auto"/>
              <w:jc w:val="both"/>
            </w:pPr>
            <w:r>
              <w:rPr>
                <w:b/>
                <w:bCs/>
                <w:sz w:val="20"/>
                <w:szCs w:val="20"/>
              </w:rPr>
              <w:t>Market Share (BD)</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2D803E2D" w14:textId="77777777" w:rsidR="00F54231" w:rsidRDefault="00974FBF" w:rsidP="00C46977">
            <w:pPr>
              <w:spacing w:after="40" w:line="360" w:lineRule="auto"/>
              <w:jc w:val="both"/>
            </w:pPr>
            <w:r>
              <w:rPr>
                <w:sz w:val="20"/>
                <w:szCs w:val="20"/>
              </w:rPr>
              <w:t>~19.2% (leader)</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2BDE15DF" w14:textId="77777777" w:rsidR="00F54231" w:rsidRDefault="00974FBF" w:rsidP="00C46977">
            <w:pPr>
              <w:spacing w:after="40" w:line="360" w:lineRule="auto"/>
              <w:jc w:val="both"/>
            </w:pPr>
            <w:r>
              <w:rPr>
                <w:sz w:val="20"/>
                <w:szCs w:val="20"/>
              </w:rPr>
              <w:t>~8.6%</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01F9D778" w14:textId="77777777" w:rsidR="00F54231" w:rsidRDefault="00974FBF" w:rsidP="00C46977">
            <w:pPr>
              <w:spacing w:after="40" w:line="360" w:lineRule="auto"/>
              <w:jc w:val="both"/>
            </w:pPr>
            <w:r>
              <w:rPr>
                <w:sz w:val="20"/>
                <w:szCs w:val="20"/>
              </w:rPr>
              <w:t>~5.2%</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68CBC6B2" w14:textId="77777777" w:rsidR="00F54231" w:rsidRDefault="00974FBF" w:rsidP="00C46977">
            <w:pPr>
              <w:spacing w:after="40" w:line="360" w:lineRule="auto"/>
              <w:jc w:val="both"/>
            </w:pPr>
            <w:r>
              <w:rPr>
                <w:sz w:val="20"/>
                <w:szCs w:val="20"/>
              </w:rPr>
              <w:t>~3.1%</w:t>
            </w:r>
          </w:p>
        </w:tc>
      </w:tr>
      <w:tr w:rsidR="00F54231" w14:paraId="4511D0C5" w14:textId="77777777">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4D12F8EE" w14:textId="77777777" w:rsidR="00F54231" w:rsidRDefault="00974FBF" w:rsidP="00C46977">
            <w:pPr>
              <w:spacing w:after="40" w:line="360" w:lineRule="auto"/>
              <w:jc w:val="both"/>
            </w:pPr>
            <w:r>
              <w:rPr>
                <w:b/>
                <w:bCs/>
                <w:sz w:val="20"/>
                <w:szCs w:val="20"/>
              </w:rPr>
              <w:t>Revenue (approx.)</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6BE49D32" w14:textId="77777777" w:rsidR="00F54231" w:rsidRDefault="00974FBF" w:rsidP="00C46977">
            <w:pPr>
              <w:spacing w:after="40" w:line="360" w:lineRule="auto"/>
              <w:jc w:val="both"/>
            </w:pPr>
            <w:r>
              <w:rPr>
                <w:sz w:val="20"/>
                <w:szCs w:val="20"/>
              </w:rPr>
              <w:t>USD ~730M</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3C6F8618" w14:textId="77777777" w:rsidR="00F54231" w:rsidRDefault="00974FBF" w:rsidP="00C46977">
            <w:pPr>
              <w:spacing w:after="40" w:line="360" w:lineRule="auto"/>
              <w:jc w:val="both"/>
            </w:pPr>
            <w:r>
              <w:rPr>
                <w:sz w:val="20"/>
                <w:szCs w:val="20"/>
              </w:rPr>
              <w:t>USD ~327M</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1D78152C" w14:textId="77777777" w:rsidR="00F54231" w:rsidRDefault="00974FBF" w:rsidP="00C46977">
            <w:pPr>
              <w:spacing w:after="40" w:line="360" w:lineRule="auto"/>
              <w:jc w:val="both"/>
            </w:pPr>
            <w:r>
              <w:rPr>
                <w:sz w:val="20"/>
                <w:szCs w:val="20"/>
              </w:rPr>
              <w:t>USD ~198M</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22D0F348" w14:textId="77777777" w:rsidR="00F54231" w:rsidRDefault="00974FBF" w:rsidP="00C46977">
            <w:pPr>
              <w:spacing w:after="40" w:line="360" w:lineRule="auto"/>
              <w:jc w:val="both"/>
            </w:pPr>
            <w:r>
              <w:rPr>
                <w:sz w:val="20"/>
                <w:szCs w:val="20"/>
              </w:rPr>
              <w:t>USD ~118M</w:t>
            </w:r>
          </w:p>
        </w:tc>
      </w:tr>
      <w:tr w:rsidR="00F54231" w14:paraId="7D9E7516" w14:textId="77777777">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5782F792" w14:textId="77777777" w:rsidR="00F54231" w:rsidRDefault="00974FBF" w:rsidP="00C46977">
            <w:pPr>
              <w:spacing w:after="40" w:line="360" w:lineRule="auto"/>
              <w:jc w:val="both"/>
            </w:pPr>
            <w:r>
              <w:rPr>
                <w:b/>
                <w:bCs/>
                <w:sz w:val="20"/>
                <w:szCs w:val="20"/>
              </w:rPr>
              <w:t>Therapeutic Focus</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56608C5B" w14:textId="77777777" w:rsidR="00F54231" w:rsidRDefault="00974FBF" w:rsidP="00C46977">
            <w:pPr>
              <w:spacing w:after="40" w:line="360" w:lineRule="auto"/>
              <w:jc w:val="both"/>
            </w:pPr>
            <w:r>
              <w:rPr>
                <w:sz w:val="20"/>
                <w:szCs w:val="20"/>
              </w:rPr>
              <w:t>Broad generics; oncology; vaccines</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50F5639D" w14:textId="77777777" w:rsidR="00F54231" w:rsidRDefault="00974FBF" w:rsidP="00C46977">
            <w:pPr>
              <w:spacing w:after="40" w:line="360" w:lineRule="auto"/>
              <w:jc w:val="both"/>
            </w:pPr>
            <w:r>
              <w:rPr>
                <w:sz w:val="20"/>
                <w:szCs w:val="20"/>
              </w:rPr>
              <w:t>Generics; biosimilars; API mfg.</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70FB4EBB" w14:textId="77777777" w:rsidR="00F54231" w:rsidRDefault="00974FBF" w:rsidP="00C46977">
            <w:pPr>
              <w:spacing w:after="40" w:line="360" w:lineRule="auto"/>
              <w:jc w:val="both"/>
            </w:pPr>
            <w:r>
              <w:rPr>
                <w:sz w:val="20"/>
                <w:szCs w:val="20"/>
              </w:rPr>
              <w:t>Branded generics; diabetes; vaccines; consumer health</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74084DD2" w14:textId="77777777" w:rsidR="00F54231" w:rsidRDefault="00974FBF" w:rsidP="00C46977">
            <w:pPr>
              <w:spacing w:after="40" w:line="360" w:lineRule="auto"/>
              <w:jc w:val="both"/>
            </w:pPr>
            <w:r>
              <w:rPr>
                <w:sz w:val="20"/>
                <w:szCs w:val="20"/>
              </w:rPr>
              <w:t>Insulin; diabetes management; GLP-1 biologics</w:t>
            </w:r>
          </w:p>
        </w:tc>
      </w:tr>
      <w:tr w:rsidR="00F54231" w14:paraId="6DE39F3D" w14:textId="77777777">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42FEBA50" w14:textId="77777777" w:rsidR="00F54231" w:rsidRDefault="00974FBF" w:rsidP="00C46977">
            <w:pPr>
              <w:spacing w:after="40" w:line="360" w:lineRule="auto"/>
              <w:jc w:val="both"/>
            </w:pPr>
            <w:r>
              <w:rPr>
                <w:b/>
                <w:bCs/>
                <w:sz w:val="20"/>
                <w:szCs w:val="20"/>
              </w:rPr>
              <w:t>Regulatory Approvals</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413E6980" w14:textId="77777777" w:rsidR="00F54231" w:rsidRDefault="00974FBF" w:rsidP="00C46977">
            <w:pPr>
              <w:spacing w:after="40" w:line="360" w:lineRule="auto"/>
              <w:jc w:val="both"/>
            </w:pPr>
            <w:r>
              <w:rPr>
                <w:sz w:val="20"/>
                <w:szCs w:val="20"/>
              </w:rPr>
              <w:t>WHO-GMP; US FDA; EU GMP; UK MHRA</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1262368F" w14:textId="77777777" w:rsidR="00F54231" w:rsidRDefault="00974FBF" w:rsidP="00C46977">
            <w:pPr>
              <w:spacing w:after="40" w:line="360" w:lineRule="auto"/>
              <w:jc w:val="both"/>
            </w:pPr>
            <w:r>
              <w:rPr>
                <w:sz w:val="20"/>
                <w:szCs w:val="20"/>
              </w:rPr>
              <w:t>WHO-GMP; US FDA; UK MHRA; NYSE-listed</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5CD3C45E" w14:textId="77777777" w:rsidR="00F54231" w:rsidRDefault="00974FBF" w:rsidP="00C46977">
            <w:pPr>
              <w:spacing w:after="40" w:line="360" w:lineRule="auto"/>
              <w:jc w:val="both"/>
            </w:pPr>
            <w:r>
              <w:rPr>
                <w:sz w:val="20"/>
                <w:szCs w:val="20"/>
              </w:rPr>
              <w:t>ISO 9001; WHO-GMP; global Sanofi QMS</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432141BC" w14:textId="77777777" w:rsidR="00F54231" w:rsidRDefault="00974FBF" w:rsidP="00C46977">
            <w:pPr>
              <w:spacing w:after="40" w:line="360" w:lineRule="auto"/>
              <w:jc w:val="both"/>
            </w:pPr>
            <w:r>
              <w:rPr>
                <w:sz w:val="20"/>
                <w:szCs w:val="20"/>
              </w:rPr>
              <w:t>ISO 14001; global Novo Nordisk standards</w:t>
            </w:r>
          </w:p>
        </w:tc>
      </w:tr>
      <w:tr w:rsidR="00F54231" w14:paraId="0DD40D60" w14:textId="77777777">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5060CE1C" w14:textId="77777777" w:rsidR="00F54231" w:rsidRDefault="00974FBF" w:rsidP="00C46977">
            <w:pPr>
              <w:spacing w:after="40" w:line="360" w:lineRule="auto"/>
              <w:jc w:val="both"/>
            </w:pPr>
            <w:r>
              <w:rPr>
                <w:b/>
                <w:bCs/>
                <w:sz w:val="20"/>
                <w:szCs w:val="20"/>
              </w:rPr>
              <w:t>Core Strategy</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2CCFF831" w14:textId="77777777" w:rsidR="00F54231" w:rsidRDefault="00974FBF" w:rsidP="00C46977">
            <w:pPr>
              <w:spacing w:after="40" w:line="360" w:lineRule="auto"/>
              <w:jc w:val="both"/>
            </w:pPr>
            <w:r>
              <w:rPr>
                <w:sz w:val="20"/>
                <w:szCs w:val="20"/>
              </w:rPr>
              <w:t>Cost leadership; export expansion; backward integration into API</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4171387B" w14:textId="77777777" w:rsidR="00F54231" w:rsidRDefault="00974FBF" w:rsidP="00C46977">
            <w:pPr>
              <w:spacing w:after="40" w:line="360" w:lineRule="auto"/>
              <w:jc w:val="both"/>
            </w:pPr>
            <w:r>
              <w:rPr>
                <w:sz w:val="20"/>
                <w:szCs w:val="20"/>
              </w:rPr>
              <w:t>Biosimilar pipeline; US generics market penetration</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2F90A7DE" w14:textId="77777777" w:rsidR="00F54231" w:rsidRDefault="00974FBF" w:rsidP="00C46977">
            <w:pPr>
              <w:spacing w:after="40" w:line="360" w:lineRule="auto"/>
              <w:jc w:val="both"/>
            </w:pPr>
            <w:r>
              <w:rPr>
                <w:sz w:val="20"/>
                <w:szCs w:val="20"/>
              </w:rPr>
              <w:t>Branded-generic differentiation; MNC brand equity; govt. tenders</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5B84B9AD" w14:textId="77777777" w:rsidR="00F54231" w:rsidRDefault="00974FBF" w:rsidP="00C46977">
            <w:pPr>
              <w:spacing w:after="40" w:line="360" w:lineRule="auto"/>
              <w:jc w:val="both"/>
            </w:pPr>
            <w:r>
              <w:rPr>
                <w:sz w:val="20"/>
                <w:szCs w:val="20"/>
              </w:rPr>
              <w:t>Niche specialist; global insulin supply chain; price premium</w:t>
            </w:r>
          </w:p>
        </w:tc>
      </w:tr>
      <w:tr w:rsidR="00F54231" w14:paraId="3B99A0C2" w14:textId="77777777">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1B11C217" w14:textId="77777777" w:rsidR="00F54231" w:rsidRDefault="00974FBF" w:rsidP="00C46977">
            <w:pPr>
              <w:spacing w:after="40" w:line="360" w:lineRule="auto"/>
              <w:jc w:val="both"/>
            </w:pPr>
            <w:r>
              <w:rPr>
                <w:b/>
                <w:bCs/>
                <w:sz w:val="20"/>
                <w:szCs w:val="20"/>
              </w:rPr>
              <w:t>Export Markets</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134FB843" w14:textId="77777777" w:rsidR="00F54231" w:rsidRDefault="00974FBF" w:rsidP="00C46977">
            <w:pPr>
              <w:spacing w:after="40" w:line="360" w:lineRule="auto"/>
              <w:jc w:val="both"/>
            </w:pPr>
            <w:r>
              <w:rPr>
                <w:sz w:val="20"/>
                <w:szCs w:val="20"/>
              </w:rPr>
              <w:t>Myanmar, Sri Lanka, EU, USA, Africa</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745C95E3" w14:textId="77777777" w:rsidR="00F54231" w:rsidRDefault="00974FBF" w:rsidP="00C46977">
            <w:pPr>
              <w:spacing w:after="40" w:line="360" w:lineRule="auto"/>
              <w:jc w:val="both"/>
            </w:pPr>
            <w:r>
              <w:rPr>
                <w:sz w:val="20"/>
                <w:szCs w:val="20"/>
              </w:rPr>
              <w:t>USA (NYSE), UK, EU; 50+ countries</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1EEF2478" w14:textId="77777777" w:rsidR="00F54231" w:rsidRDefault="00974FBF" w:rsidP="00C46977">
            <w:pPr>
              <w:spacing w:after="40" w:line="360" w:lineRule="auto"/>
              <w:jc w:val="both"/>
            </w:pPr>
            <w:r>
              <w:rPr>
                <w:sz w:val="20"/>
                <w:szCs w:val="20"/>
              </w:rPr>
              <w:t>Primarily domestic BD market; global parent exports</w:t>
            </w:r>
          </w:p>
        </w:tc>
        <w:tc>
          <w:tcPr>
            <w:tcW w:w="1915"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5756E4F0" w14:textId="77777777" w:rsidR="00F54231" w:rsidRDefault="00974FBF" w:rsidP="00C46977">
            <w:pPr>
              <w:spacing w:after="40" w:line="360" w:lineRule="auto"/>
              <w:jc w:val="both"/>
            </w:pPr>
            <w:r>
              <w:rPr>
                <w:sz w:val="20"/>
                <w:szCs w:val="20"/>
              </w:rPr>
              <w:t>Domestic BD; relies on parent for insulin supply</w:t>
            </w:r>
          </w:p>
        </w:tc>
      </w:tr>
      <w:tr w:rsidR="00F54231" w14:paraId="3CEE0D33" w14:textId="77777777">
        <w:tc>
          <w:tcPr>
            <w:tcW w:w="17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0FB8F697" w14:textId="77777777" w:rsidR="00F54231" w:rsidRDefault="00974FBF" w:rsidP="00C46977">
            <w:pPr>
              <w:spacing w:after="40" w:line="360" w:lineRule="auto"/>
              <w:jc w:val="both"/>
            </w:pPr>
            <w:r>
              <w:rPr>
                <w:b/>
                <w:bCs/>
                <w:sz w:val="20"/>
                <w:szCs w:val="20"/>
              </w:rPr>
              <w:t>Employees (BD)</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45D8B69A" w14:textId="77777777" w:rsidR="00F54231" w:rsidRDefault="00974FBF" w:rsidP="00C46977">
            <w:pPr>
              <w:spacing w:after="40" w:line="360" w:lineRule="auto"/>
              <w:jc w:val="both"/>
            </w:pPr>
            <w:r>
              <w:rPr>
                <w:sz w:val="20"/>
                <w:szCs w:val="20"/>
              </w:rPr>
              <w:t>~6,000</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25E2112E" w14:textId="77777777" w:rsidR="00F54231" w:rsidRDefault="00974FBF" w:rsidP="00C46977">
            <w:pPr>
              <w:spacing w:after="40" w:line="360" w:lineRule="auto"/>
              <w:jc w:val="both"/>
            </w:pPr>
            <w:r>
              <w:rPr>
                <w:sz w:val="20"/>
                <w:szCs w:val="20"/>
              </w:rPr>
              <w:t>~4,100</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6CB9E661" w14:textId="77777777" w:rsidR="00F54231" w:rsidRDefault="00974FBF" w:rsidP="00C46977">
            <w:pPr>
              <w:spacing w:after="40" w:line="360" w:lineRule="auto"/>
              <w:jc w:val="both"/>
            </w:pPr>
            <w:r>
              <w:rPr>
                <w:sz w:val="20"/>
                <w:szCs w:val="20"/>
              </w:rPr>
              <w:t>~700</w:t>
            </w:r>
          </w:p>
        </w:tc>
        <w:tc>
          <w:tcPr>
            <w:tcW w:w="1915"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32C7FAD2" w14:textId="77777777" w:rsidR="00F54231" w:rsidRDefault="00974FBF" w:rsidP="00C46977">
            <w:pPr>
              <w:spacing w:after="40" w:line="360" w:lineRule="auto"/>
              <w:jc w:val="both"/>
            </w:pPr>
            <w:r>
              <w:rPr>
                <w:sz w:val="20"/>
                <w:szCs w:val="20"/>
              </w:rPr>
              <w:t>~280</w:t>
            </w:r>
          </w:p>
        </w:tc>
      </w:tr>
    </w:tbl>
    <w:p w14:paraId="137D3F3D" w14:textId="77777777" w:rsidR="00F54231" w:rsidRDefault="00974FBF" w:rsidP="00C46977">
      <w:pPr>
        <w:spacing w:after="200" w:line="360" w:lineRule="auto"/>
        <w:jc w:val="both"/>
      </w:pPr>
      <w:r>
        <w:rPr>
          <w:i/>
          <w:iCs/>
          <w:color w:val="555555"/>
          <w:sz w:val="20"/>
          <w:szCs w:val="20"/>
        </w:rPr>
        <w:t>Table 1: Comparative analysis of key firms. Sources: IQVIA Bangladesh (2024); BAPI (2024); Square Annual Report (2023); Beximco Annual Report (2023); Sanofi Global Annual Report (2023); Novo Nordisk Annual Report (2023).</w:t>
      </w:r>
    </w:p>
    <w:p w14:paraId="76B425ED" w14:textId="77777777" w:rsidR="005B77DE" w:rsidRDefault="005B77DE" w:rsidP="00C46977">
      <w:pPr>
        <w:pStyle w:val="Heading1"/>
        <w:spacing w:line="360" w:lineRule="auto"/>
        <w:jc w:val="both"/>
        <w:rPr>
          <w:b w:val="0"/>
          <w:bCs w:val="0"/>
          <w:color w:val="auto"/>
          <w:sz w:val="24"/>
          <w:szCs w:val="24"/>
        </w:rPr>
      </w:pPr>
      <w:bookmarkStart w:id="5" w:name="_Toc228079237"/>
      <w:r w:rsidRPr="005B77DE">
        <w:rPr>
          <w:b w:val="0"/>
          <w:bCs w:val="0"/>
          <w:color w:val="auto"/>
          <w:sz w:val="24"/>
          <w:szCs w:val="24"/>
        </w:rPr>
        <w:t>As the biggest pharmaceutical firm of Bangladesh, Square Pharmaceuticals has developed a business strategy that is both a domestic market leadership and a forceful export market expansion strategy. Its Pabna API production plant, which is an unusual example of backward integration in the API-dependent industry in Bangladesh, decreases the reliance on imported raw materials and puts Square in a position to survive geopolitical disruption of supply chains (Barney, 1991; Square Pharmaceuticals, 2023). The most internationally profiled national company due to its dual listing on the NYSE and LSE has been Beximco Pharmaceuticals, which have sought aggressive international expansion including the development of biosimilar and regulated market penetration (Beximco, 2023; Utterback and Abernathy, 1975). The competitive environment in Bangladesh pharmaceutical industry and the framework of the Section 4 analysis of Sanofi Bangladesh is the strategic difference between home-based companies that compete based on cost, scale, and access to specific regulations and MNCs that use brand equity, proprietary formulations, and alignment with global parents (Rugman and Verbeke, 2004).</w:t>
      </w:r>
    </w:p>
    <w:p w14:paraId="3F517F5E" w14:textId="77777777" w:rsidR="004A6DD5" w:rsidRDefault="004A6DD5" w:rsidP="00C46977">
      <w:pPr>
        <w:pStyle w:val="Heading1"/>
        <w:spacing w:line="360" w:lineRule="auto"/>
        <w:jc w:val="both"/>
        <w:rPr>
          <w:b w:val="0"/>
          <w:bCs w:val="0"/>
          <w:color w:val="auto"/>
          <w:sz w:val="24"/>
          <w:szCs w:val="24"/>
        </w:rPr>
      </w:pPr>
    </w:p>
    <w:p w14:paraId="7508DA32" w14:textId="5466616B" w:rsidR="00F54231" w:rsidRDefault="00974FBF" w:rsidP="00C46977">
      <w:pPr>
        <w:pStyle w:val="Heading1"/>
        <w:spacing w:line="360" w:lineRule="auto"/>
        <w:jc w:val="both"/>
      </w:pPr>
      <w:r>
        <w:t>3.  Porter’s Diamond Model of National Advantage: Bangladesh’s Pharmaceutical Industry</w:t>
      </w:r>
      <w:bookmarkEnd w:id="5"/>
    </w:p>
    <w:p w14:paraId="641A6B9E" w14:textId="4E776977" w:rsidR="005B77DE" w:rsidRDefault="005B77DE" w:rsidP="00C46977">
      <w:pPr>
        <w:spacing w:before="200" w:after="80" w:line="360" w:lineRule="auto"/>
        <w:jc w:val="both"/>
      </w:pPr>
      <w:r w:rsidRPr="005B77DE">
        <w:t>The Diamond Model by Porter (1990) is the analytical framework that underpins the assessment of the reasons why Bangladesh has acquired international competitiveness in pharmaceutical production despite the limited nature of LDC resources. Four interdependent determinants of the framework Factor Conditions, Demand Conditions, Related and Supporting Industries, and Firm Strategy interact with Government and Chance to form a competitive advantage system (Moon, Rugman and Verbeke, 1998; Narula and Dunning, 2010). When applied to the pharmaceutical industry of Bangladesh, the Diamond shows a unique profile: the high levels of competitive conditions created by the government and high levels of domestic competition that stimulate the quality improvement but are partially neutralized by structural weaknesses in upstream API self-sufficiency and innovative demand conditions (Porter and Kramer, 2011).</w:t>
      </w:r>
    </w:p>
    <w:p w14:paraId="0D8DAA43" w14:textId="24D3957C" w:rsidR="00F54231" w:rsidRDefault="00974FBF" w:rsidP="00C46977">
      <w:pPr>
        <w:spacing w:before="200" w:after="80" w:line="360" w:lineRule="auto"/>
        <w:jc w:val="both"/>
      </w:pPr>
      <w:r>
        <w:rPr>
          <w:b/>
          <w:bCs/>
          <w:color w:val="1B4F72"/>
          <w:sz w:val="22"/>
          <w:szCs w:val="22"/>
        </w:rPr>
        <w:t>Table 2: Porter’s Diamond Analysis – Bangladesh Pharmaceutical Industry</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00"/>
        <w:gridCol w:w="3730"/>
        <w:gridCol w:w="3530"/>
      </w:tblGrid>
      <w:tr w:rsidR="00F54231" w14:paraId="00374EE4" w14:textId="77777777">
        <w:tc>
          <w:tcPr>
            <w:tcW w:w="2100"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0EC99027" w14:textId="77777777" w:rsidR="00F54231" w:rsidRDefault="00974FBF" w:rsidP="00C46977">
            <w:pPr>
              <w:spacing w:line="360" w:lineRule="auto"/>
              <w:jc w:val="both"/>
            </w:pPr>
            <w:r>
              <w:rPr>
                <w:b/>
                <w:bCs/>
                <w:color w:val="FFFFFF"/>
                <w:sz w:val="20"/>
                <w:szCs w:val="20"/>
              </w:rPr>
              <w:t>Diamond Determinant</w:t>
            </w:r>
          </w:p>
        </w:tc>
        <w:tc>
          <w:tcPr>
            <w:tcW w:w="3730"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65ABEA67" w14:textId="77777777" w:rsidR="00F54231" w:rsidRDefault="00974FBF" w:rsidP="00C46977">
            <w:pPr>
              <w:spacing w:line="360" w:lineRule="auto"/>
              <w:jc w:val="both"/>
            </w:pPr>
            <w:r>
              <w:rPr>
                <w:b/>
                <w:bCs/>
                <w:color w:val="FFFFFF"/>
                <w:sz w:val="20"/>
                <w:szCs w:val="20"/>
              </w:rPr>
              <w:t>Strengths</w:t>
            </w:r>
          </w:p>
        </w:tc>
        <w:tc>
          <w:tcPr>
            <w:tcW w:w="3530" w:type="dxa"/>
            <w:tcBorders>
              <w:top w:val="single" w:sz="1" w:space="0" w:color="B0BEC5"/>
              <w:left w:val="single" w:sz="1" w:space="0" w:color="B0BEC5"/>
              <w:bottom w:val="single" w:sz="1" w:space="0" w:color="B0BEC5"/>
              <w:right w:val="single" w:sz="1" w:space="0" w:color="B0BEC5"/>
            </w:tcBorders>
            <w:shd w:val="clear" w:color="auto" w:fill="1B4F72"/>
            <w:tcMar>
              <w:top w:w="60" w:type="dxa"/>
              <w:left w:w="100" w:type="dxa"/>
              <w:bottom w:w="60" w:type="dxa"/>
              <w:right w:w="100" w:type="dxa"/>
            </w:tcMar>
            <w:vAlign w:val="center"/>
          </w:tcPr>
          <w:p w14:paraId="0F4C6124" w14:textId="77777777" w:rsidR="00F54231" w:rsidRDefault="00974FBF" w:rsidP="00C46977">
            <w:pPr>
              <w:spacing w:line="360" w:lineRule="auto"/>
              <w:jc w:val="both"/>
            </w:pPr>
            <w:r>
              <w:rPr>
                <w:b/>
                <w:bCs/>
                <w:color w:val="FFFFFF"/>
                <w:sz w:val="20"/>
                <w:szCs w:val="20"/>
              </w:rPr>
              <w:t>Weaknesses / Challenges</w:t>
            </w:r>
          </w:p>
        </w:tc>
      </w:tr>
      <w:tr w:rsidR="00F54231" w14:paraId="0DEA50F6" w14:textId="77777777">
        <w:tc>
          <w:tcPr>
            <w:tcW w:w="21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64DA25C4" w14:textId="77777777" w:rsidR="00F54231" w:rsidRDefault="00974FBF" w:rsidP="00C46977">
            <w:pPr>
              <w:spacing w:after="40" w:line="360" w:lineRule="auto"/>
              <w:jc w:val="both"/>
            </w:pPr>
            <w:r>
              <w:rPr>
                <w:b/>
                <w:bCs/>
                <w:sz w:val="20"/>
                <w:szCs w:val="20"/>
              </w:rPr>
              <w:t>Factor Conditions</w:t>
            </w:r>
          </w:p>
        </w:tc>
        <w:tc>
          <w:tcPr>
            <w:tcW w:w="3730"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1FE7BF1A" w14:textId="77777777" w:rsidR="00F54231" w:rsidRDefault="00974FBF" w:rsidP="00C46977">
            <w:pPr>
              <w:spacing w:after="40" w:line="360" w:lineRule="auto"/>
              <w:jc w:val="both"/>
            </w:pPr>
            <w:r>
              <w:rPr>
                <w:sz w:val="20"/>
                <w:szCs w:val="20"/>
              </w:rPr>
              <w:t>Large pool of pharmacy graduates (~2,500/year); WHO-GMP/US FDA certified plants; low-cost formulation manufacturing; English-language R&amp;D capability</w:t>
            </w:r>
          </w:p>
        </w:tc>
        <w:tc>
          <w:tcPr>
            <w:tcW w:w="3530"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189B03B7" w14:textId="77777777" w:rsidR="00F54231" w:rsidRDefault="00974FBF" w:rsidP="00C46977">
            <w:pPr>
              <w:spacing w:after="40" w:line="360" w:lineRule="auto"/>
              <w:jc w:val="both"/>
            </w:pPr>
            <w:r>
              <w:rPr>
                <w:sz w:val="20"/>
                <w:szCs w:val="20"/>
              </w:rPr>
              <w:t>90–95% API import dependence (India/China); weak domestic R&amp;D infrastructure; limited clinical trial capacity; energy supply constraints</w:t>
            </w:r>
          </w:p>
        </w:tc>
      </w:tr>
      <w:tr w:rsidR="00F54231" w14:paraId="05CBACD6" w14:textId="77777777">
        <w:tc>
          <w:tcPr>
            <w:tcW w:w="21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713099CC" w14:textId="77777777" w:rsidR="00F54231" w:rsidRDefault="00974FBF" w:rsidP="00C46977">
            <w:pPr>
              <w:spacing w:after="40" w:line="360" w:lineRule="auto"/>
              <w:jc w:val="both"/>
            </w:pPr>
            <w:r>
              <w:rPr>
                <w:b/>
                <w:bCs/>
                <w:sz w:val="20"/>
                <w:szCs w:val="20"/>
              </w:rPr>
              <w:t>Demand Conditions</w:t>
            </w:r>
          </w:p>
        </w:tc>
        <w:tc>
          <w:tcPr>
            <w:tcW w:w="3730"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70891C4B" w14:textId="77777777" w:rsidR="00F54231" w:rsidRDefault="00974FBF" w:rsidP="00C46977">
            <w:pPr>
              <w:spacing w:after="40" w:line="360" w:lineRule="auto"/>
              <w:jc w:val="both"/>
            </w:pPr>
            <w:r>
              <w:rPr>
                <w:sz w:val="20"/>
                <w:szCs w:val="20"/>
              </w:rPr>
              <w:t>Large domestic disease burden (diabetes ~13M patients, cardiovascular, respiratory); government procurement drives formulation quality; regulatory export scrutiny demands compliance upgrading</w:t>
            </w:r>
          </w:p>
        </w:tc>
        <w:tc>
          <w:tcPr>
            <w:tcW w:w="3530"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570F6CBF" w14:textId="77777777" w:rsidR="00F54231" w:rsidRDefault="00974FBF" w:rsidP="00C46977">
            <w:pPr>
              <w:spacing w:after="40" w:line="360" w:lineRule="auto"/>
              <w:jc w:val="both"/>
            </w:pPr>
            <w:r>
              <w:rPr>
                <w:sz w:val="20"/>
                <w:szCs w:val="20"/>
              </w:rPr>
              <w:t>Low per capita healthcare spending limits premium product demand; price sensitivity dominates; over-the-counter culture limits prescription volume</w:t>
            </w:r>
          </w:p>
        </w:tc>
      </w:tr>
      <w:tr w:rsidR="00F54231" w14:paraId="1F723F98" w14:textId="77777777">
        <w:tc>
          <w:tcPr>
            <w:tcW w:w="21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71B25239" w14:textId="77777777" w:rsidR="00F54231" w:rsidRDefault="00974FBF" w:rsidP="00C46977">
            <w:pPr>
              <w:spacing w:after="40" w:line="360" w:lineRule="auto"/>
              <w:jc w:val="both"/>
            </w:pPr>
            <w:r>
              <w:rPr>
                <w:b/>
                <w:bCs/>
                <w:sz w:val="20"/>
                <w:szCs w:val="20"/>
              </w:rPr>
              <w:t>Related &amp; Supporting Industries</w:t>
            </w:r>
          </w:p>
        </w:tc>
        <w:tc>
          <w:tcPr>
            <w:tcW w:w="3730"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610955A8" w14:textId="77777777" w:rsidR="00F54231" w:rsidRDefault="00974FBF" w:rsidP="00C46977">
            <w:pPr>
              <w:spacing w:after="40" w:line="360" w:lineRule="auto"/>
              <w:jc w:val="both"/>
            </w:pPr>
            <w:r>
              <w:rPr>
                <w:sz w:val="20"/>
                <w:szCs w:val="20"/>
              </w:rPr>
              <w:t>Emerging domestic API production (Square, Beximco); packaging manufacturers; contract research organisations; DGDA institutional capacity</w:t>
            </w:r>
          </w:p>
        </w:tc>
        <w:tc>
          <w:tcPr>
            <w:tcW w:w="3530"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3E27FF19" w14:textId="77777777" w:rsidR="00F54231" w:rsidRDefault="00974FBF" w:rsidP="00C46977">
            <w:pPr>
              <w:spacing w:after="40" w:line="360" w:lineRule="auto"/>
              <w:jc w:val="both"/>
            </w:pPr>
            <w:r>
              <w:rPr>
                <w:sz w:val="20"/>
                <w:szCs w:val="20"/>
              </w:rPr>
              <w:t>Fragmented API supply chain; nascent biotech ecosystem; limited CRO infrastructure; glass/vial manufacturing dependency</w:t>
            </w:r>
          </w:p>
        </w:tc>
      </w:tr>
      <w:tr w:rsidR="00F54231" w14:paraId="1B022732" w14:textId="77777777">
        <w:tc>
          <w:tcPr>
            <w:tcW w:w="21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7CFE7811" w14:textId="77777777" w:rsidR="00F54231" w:rsidRDefault="00974FBF" w:rsidP="00C46977">
            <w:pPr>
              <w:spacing w:after="40" w:line="360" w:lineRule="auto"/>
              <w:jc w:val="both"/>
            </w:pPr>
            <w:r>
              <w:rPr>
                <w:b/>
                <w:bCs/>
                <w:sz w:val="20"/>
                <w:szCs w:val="20"/>
              </w:rPr>
              <w:t>Firm Strategy, Structure &amp; Rivalry</w:t>
            </w:r>
          </w:p>
        </w:tc>
        <w:tc>
          <w:tcPr>
            <w:tcW w:w="3730"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495119D0" w14:textId="77777777" w:rsidR="00F54231" w:rsidRDefault="00974FBF" w:rsidP="00C46977">
            <w:pPr>
              <w:spacing w:after="40" w:line="360" w:lineRule="auto"/>
              <w:jc w:val="both"/>
            </w:pPr>
            <w:r>
              <w:rPr>
                <w:sz w:val="20"/>
                <w:szCs w:val="20"/>
              </w:rPr>
              <w:t>Intense competition among 30+ significant manufacturers drives quality and efficiency; export ambitions create regulatory market pressure; US FDA-approved firms set quality benchmarks</w:t>
            </w:r>
          </w:p>
        </w:tc>
        <w:tc>
          <w:tcPr>
            <w:tcW w:w="3530"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4758214B" w14:textId="77777777" w:rsidR="00F54231" w:rsidRDefault="00974FBF" w:rsidP="00C46977">
            <w:pPr>
              <w:spacing w:after="40" w:line="360" w:lineRule="auto"/>
              <w:jc w:val="both"/>
            </w:pPr>
            <w:r>
              <w:rPr>
                <w:sz w:val="20"/>
                <w:szCs w:val="20"/>
              </w:rPr>
              <w:t>Domestic price competition erodes R&amp;D investment incentives; talent attrition to export markets; limited management depth in innovative pharma development</w:t>
            </w:r>
          </w:p>
        </w:tc>
      </w:tr>
      <w:tr w:rsidR="00F54231" w14:paraId="3B1215C1" w14:textId="77777777">
        <w:tc>
          <w:tcPr>
            <w:tcW w:w="21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3CA660B0" w14:textId="77777777" w:rsidR="00F54231" w:rsidRDefault="00974FBF" w:rsidP="00C46977">
            <w:pPr>
              <w:spacing w:after="40" w:line="360" w:lineRule="auto"/>
              <w:jc w:val="both"/>
            </w:pPr>
            <w:r>
              <w:rPr>
                <w:b/>
                <w:bCs/>
                <w:sz w:val="20"/>
                <w:szCs w:val="20"/>
              </w:rPr>
              <w:t>Government</w:t>
            </w:r>
          </w:p>
        </w:tc>
        <w:tc>
          <w:tcPr>
            <w:tcW w:w="3730"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55D80A44" w14:textId="77777777" w:rsidR="00F54231" w:rsidRDefault="00974FBF" w:rsidP="00C46977">
            <w:pPr>
              <w:spacing w:after="40" w:line="360" w:lineRule="auto"/>
              <w:jc w:val="both"/>
            </w:pPr>
            <w:r>
              <w:rPr>
                <w:sz w:val="20"/>
                <w:szCs w:val="20"/>
              </w:rPr>
              <w:t>Drug Control Ordinance 1982 (protectionist foundation); National Drug Policy 2016; LDC TRIPS waiver (to 2033); fiscal incentives for pharma FDI; WHO-GMP capacity building</w:t>
            </w:r>
          </w:p>
        </w:tc>
        <w:tc>
          <w:tcPr>
            <w:tcW w:w="3530" w:type="dxa"/>
            <w:tcBorders>
              <w:top w:val="single" w:sz="1" w:space="0" w:color="B0BEC5"/>
              <w:left w:val="single" w:sz="1" w:space="0" w:color="B0BEC5"/>
              <w:bottom w:val="single" w:sz="1" w:space="0" w:color="B0BEC5"/>
              <w:right w:val="single" w:sz="1" w:space="0" w:color="B0BEC5"/>
            </w:tcBorders>
            <w:shd w:val="clear" w:color="auto" w:fill="F0F7FC"/>
            <w:tcMar>
              <w:top w:w="60" w:type="dxa"/>
              <w:left w:w="100" w:type="dxa"/>
              <w:bottom w:w="60" w:type="dxa"/>
              <w:right w:w="100" w:type="dxa"/>
            </w:tcMar>
          </w:tcPr>
          <w:p w14:paraId="5C0EB3BC" w14:textId="77777777" w:rsidR="00F54231" w:rsidRDefault="00974FBF" w:rsidP="00C46977">
            <w:pPr>
              <w:spacing w:after="40" w:line="360" w:lineRule="auto"/>
              <w:jc w:val="both"/>
            </w:pPr>
            <w:r>
              <w:rPr>
                <w:sz w:val="20"/>
                <w:szCs w:val="20"/>
              </w:rPr>
              <w:t>LDC graduation (deferred to Nov 2029) threatens TRIPS waiver; DGDA regulatory capacity gaps; pricing controls limit innovation reward; August 2024 political transition uncertainty</w:t>
            </w:r>
          </w:p>
        </w:tc>
      </w:tr>
      <w:tr w:rsidR="00F54231" w14:paraId="157ADCB6" w14:textId="77777777">
        <w:tc>
          <w:tcPr>
            <w:tcW w:w="2100" w:type="dxa"/>
            <w:tcBorders>
              <w:top w:val="single" w:sz="1" w:space="0" w:color="B0BEC5"/>
              <w:left w:val="single" w:sz="1" w:space="0" w:color="B0BEC5"/>
              <w:bottom w:val="single" w:sz="1" w:space="0" w:color="B0BEC5"/>
              <w:right w:val="single" w:sz="1" w:space="0" w:color="B0BEC5"/>
            </w:tcBorders>
            <w:shd w:val="clear" w:color="auto" w:fill="D6EAF8"/>
            <w:tcMar>
              <w:top w:w="60" w:type="dxa"/>
              <w:left w:w="100" w:type="dxa"/>
              <w:bottom w:w="60" w:type="dxa"/>
              <w:right w:w="100" w:type="dxa"/>
            </w:tcMar>
          </w:tcPr>
          <w:p w14:paraId="3FD95A84" w14:textId="77777777" w:rsidR="00F54231" w:rsidRDefault="00974FBF" w:rsidP="00C46977">
            <w:pPr>
              <w:spacing w:after="40" w:line="360" w:lineRule="auto"/>
              <w:jc w:val="both"/>
            </w:pPr>
            <w:r>
              <w:rPr>
                <w:b/>
                <w:bCs/>
                <w:sz w:val="20"/>
                <w:szCs w:val="20"/>
              </w:rPr>
              <w:t>Chance</w:t>
            </w:r>
          </w:p>
        </w:tc>
        <w:tc>
          <w:tcPr>
            <w:tcW w:w="3730"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107245C9" w14:textId="77777777" w:rsidR="00F54231" w:rsidRDefault="00974FBF" w:rsidP="00C46977">
            <w:pPr>
              <w:spacing w:after="40" w:line="360" w:lineRule="auto"/>
              <w:jc w:val="both"/>
            </w:pPr>
            <w:r>
              <w:rPr>
                <w:sz w:val="20"/>
                <w:szCs w:val="20"/>
              </w:rPr>
              <w:t>COVID-19 elevated global demand for affordable generics; post-pandemic supply chain diversification away from China favoured Bangladesh API development</w:t>
            </w:r>
          </w:p>
        </w:tc>
        <w:tc>
          <w:tcPr>
            <w:tcW w:w="3530" w:type="dxa"/>
            <w:tcBorders>
              <w:top w:val="single" w:sz="1" w:space="0" w:color="B0BEC5"/>
              <w:left w:val="single" w:sz="1" w:space="0" w:color="B0BEC5"/>
              <w:bottom w:val="single" w:sz="1" w:space="0" w:color="B0BEC5"/>
              <w:right w:val="single" w:sz="1" w:space="0" w:color="B0BEC5"/>
            </w:tcBorders>
            <w:tcMar>
              <w:top w:w="60" w:type="dxa"/>
              <w:left w:w="100" w:type="dxa"/>
              <w:bottom w:w="60" w:type="dxa"/>
              <w:right w:w="100" w:type="dxa"/>
            </w:tcMar>
          </w:tcPr>
          <w:p w14:paraId="0AEBDC9B" w14:textId="77777777" w:rsidR="00F54231" w:rsidRDefault="00974FBF" w:rsidP="00C46977">
            <w:pPr>
              <w:spacing w:after="40" w:line="360" w:lineRule="auto"/>
              <w:jc w:val="both"/>
            </w:pPr>
            <w:r>
              <w:rPr>
                <w:sz w:val="20"/>
                <w:szCs w:val="20"/>
              </w:rPr>
              <w:t>Iran–Israel–USA military escalation disrupts Strait of Hormuz petrochemical transit; India API export restrictions (2020, 2022) exposed import risk; China API supply disruptions</w:t>
            </w:r>
          </w:p>
        </w:tc>
      </w:tr>
    </w:tbl>
    <w:p w14:paraId="2571E0A6" w14:textId="77777777" w:rsidR="00F54231" w:rsidRDefault="00974FBF" w:rsidP="00C46977">
      <w:pPr>
        <w:spacing w:after="200" w:line="360" w:lineRule="auto"/>
        <w:jc w:val="both"/>
      </w:pPr>
      <w:r>
        <w:rPr>
          <w:i/>
          <w:iCs/>
          <w:color w:val="555555"/>
          <w:sz w:val="20"/>
          <w:szCs w:val="20"/>
        </w:rPr>
        <w:t>Table 2: Porter’s Diamond Analysis. Sources: Porter (1990); BAPI (2024); World Bank (2024); WTO (2022); DGDA (2023); IQVIA Bangladesh (2024).</w:t>
      </w:r>
    </w:p>
    <w:p w14:paraId="1CC4126E" w14:textId="77777777" w:rsidR="00F54231" w:rsidRDefault="00974FBF" w:rsidP="00C46977">
      <w:pPr>
        <w:pStyle w:val="Heading2"/>
        <w:spacing w:line="360" w:lineRule="auto"/>
        <w:jc w:val="both"/>
      </w:pPr>
      <w:bookmarkStart w:id="6" w:name="_Toc228079238"/>
      <w:r>
        <w:t>3.1  Factor Conditions</w:t>
      </w:r>
      <w:bookmarkEnd w:id="6"/>
    </w:p>
    <w:p w14:paraId="2903BC6F" w14:textId="3502F60F" w:rsidR="00F54231" w:rsidRDefault="005B77DE" w:rsidP="00C46977">
      <w:pPr>
        <w:spacing w:after="160" w:line="360" w:lineRule="auto"/>
        <w:jc w:val="both"/>
      </w:pPr>
      <w:r w:rsidRPr="005B77DE">
        <w:t>Bangladesh produces approximately 2,500 pharmacy graduates annually from 40+ accredited faculties, creating a growing human capital base for formulation science, quality assurance, and regulatory affairs (BAPI, 2024; Cockburn, Henderson and Stern, 2000). English proficiency — a legacy of the British colonial education system retained in scientific and professional contexts — facilitates access to global pharmacopoeia standards, FDA/EMA regulatory dossier preparation, and international scientific literature, reducing the knowledge acquisition costs that disadvantage non-English-speaking competitors in regulated market access (Lall, 2001). Production infrastructure has been dramatically upgraded following post-2000 export market ambitions: over 50 facilities have received WHO-GMP certification, 8 hold US FDA approval for specific product lines, and 6 hold EU GMP certifications — representing infrastructure investments of several hundred million USD funded through retained earnings, development finance institution loans, and capital market issuances (IQVIA Bangladesh, 2024; Comanor and Scherer, 2013). These created factor advantages distinguish Bangladesh’s pharmaceutical sector from other LDC manufacturing industries and reflect what Lall (2001) terms ‘deliberate technological capability building’ through sustained investment in skills and infrastructure. The critical weakness in Bangladesh’s factor endowment profile is its near-total dependence on imported APIs: approximately 90–95% of active ingredients are sourced externally, primarily from India (55–60%) and China (30–35%), leaving the sector structurally exposed to supply chain disruptions whose frequency and magnitude are intensifying under current geopolitical conditions (Gereffi, Humphrey and Sturgeon, 2005; Baldwin, 2016). This API import concentration creates what Christopher and Peck (2004) characterise as a ‘single-source dependency risk’ that represents the sector’s most strategically consequential vulnerability.</w:t>
      </w:r>
    </w:p>
    <w:p w14:paraId="0F60CA31" w14:textId="77777777" w:rsidR="00F54231" w:rsidRDefault="00974FBF" w:rsidP="00C46977">
      <w:pPr>
        <w:pStyle w:val="Heading2"/>
        <w:spacing w:line="360" w:lineRule="auto"/>
        <w:jc w:val="both"/>
      </w:pPr>
      <w:bookmarkStart w:id="7" w:name="_Toc228079239"/>
      <w:r>
        <w:t>3.2  Demand Conditions and Related Industries</w:t>
      </w:r>
      <w:bookmarkEnd w:id="7"/>
    </w:p>
    <w:p w14:paraId="52B9E4B0" w14:textId="77777777" w:rsidR="005B77DE" w:rsidRDefault="005B77DE" w:rsidP="00C46977">
      <w:pPr>
        <w:pStyle w:val="Heading2"/>
        <w:spacing w:line="360" w:lineRule="auto"/>
        <w:jc w:val="both"/>
        <w:rPr>
          <w:b w:val="0"/>
          <w:bCs w:val="0"/>
          <w:color w:val="auto"/>
          <w:sz w:val="24"/>
          <w:szCs w:val="24"/>
        </w:rPr>
      </w:pPr>
      <w:bookmarkStart w:id="8" w:name="_Toc228079240"/>
      <w:r w:rsidRPr="005B77DE">
        <w:rPr>
          <w:b w:val="0"/>
          <w:bCs w:val="0"/>
          <w:color w:val="auto"/>
          <w:sz w:val="24"/>
          <w:szCs w:val="24"/>
        </w:rPr>
        <w:t>The domestic disease burden of Bangladesh with 13 million diabetic patients (8th on the global list), cardiovascular and respiratory high morbidity, generates a large-scaled need in primary care pharmaceuticals (IDF, 2023; Malerba and Orsenigo, 2015). Although per capita healthcare spending is small (around USD 45-55 per annum), production scale economies of aggregate demand generate cost competitive production (Bloom, Canning and Sevilla, 2004). The scale of manufacturing and efficiency of processes is incentivized by the Essential Medicines Programme by the government that promotes volume-based procurement of medicines (Bigdeli et al., 2013). The associated industry ecosystem is emerging at a fast pace: the API expansion of Beximco, the Pabna plant of Square, and the government-proclaimed API Industrial Park of Munshiganj are signs of strategic intent to limit import reliance, but due to construction delays the realization of meaningful self-sufficiency is a medium-term goal (Rasiah, Shahrivar and Yap, 2016).</w:t>
      </w:r>
    </w:p>
    <w:p w14:paraId="275BE2E6" w14:textId="427D0F1F" w:rsidR="00F54231" w:rsidRDefault="00974FBF" w:rsidP="00C46977">
      <w:pPr>
        <w:pStyle w:val="Heading2"/>
        <w:spacing w:line="360" w:lineRule="auto"/>
        <w:jc w:val="both"/>
      </w:pPr>
      <w:r>
        <w:t>3.3  Firm Strategy, Rivalry, and Government</w:t>
      </w:r>
      <w:bookmarkEnd w:id="8"/>
    </w:p>
    <w:p w14:paraId="3BC9A45B" w14:textId="77777777" w:rsidR="005B77DE" w:rsidRDefault="005B77DE" w:rsidP="00C46977">
      <w:pPr>
        <w:pStyle w:val="Heading1"/>
        <w:spacing w:line="360" w:lineRule="auto"/>
        <w:jc w:val="both"/>
        <w:rPr>
          <w:b w:val="0"/>
          <w:bCs w:val="0"/>
          <w:color w:val="auto"/>
          <w:sz w:val="24"/>
          <w:szCs w:val="24"/>
        </w:rPr>
      </w:pPr>
      <w:bookmarkStart w:id="9" w:name="_Toc228079241"/>
      <w:r w:rsidRPr="005B77DE">
        <w:rPr>
          <w:b w:val="0"/>
          <w:bCs w:val="0"/>
          <w:color w:val="auto"/>
          <w:sz w:val="24"/>
          <w:szCs w:val="24"/>
        </w:rPr>
        <w:t>Rivalry among 30 or more major manufacturers has served as an effective stimulus of quality improvement and compliance investment. The desire to gain the approval of the US FDA, EU GMP and MHRA has pushed major companies to invest in quality management systems that are beyond the domestic DGDA standards - a situation similar to that of Porter (1990), who predicted that demanding export market standards when internalised by other firms act as proxies to sophisticated demand conditions (Teece, Pisano and Shuen, 1997). It is the enabling factor of government: the 1982 Drug Ordinance has market enabling conditions to enable domestic growth; the TRIPS waiver has furnished the legal architecture in generic production; specific incentives to FDI have brought about the presence of MNCs (Chaudhuri, Goldberg and Jia, 2006; Rodrik, 2004). The urgent policy issue is how to deal with LDC graduation (2029) whose loss of TRIPS waiver would do away with generics in their most lucrative export markets (Correa, 2000; Shadlen, 2007).</w:t>
      </w:r>
    </w:p>
    <w:p w14:paraId="5C1755F3" w14:textId="44E90DF7" w:rsidR="00F54231" w:rsidRDefault="00974FBF" w:rsidP="00C46977">
      <w:pPr>
        <w:pStyle w:val="Heading1"/>
        <w:spacing w:line="360" w:lineRule="auto"/>
        <w:jc w:val="both"/>
      </w:pPr>
      <w:r>
        <w:t>4.  Sanofi Bangladesh Limited: Critical Evaluation of Operations in Bangladesh</w:t>
      </w:r>
      <w:bookmarkEnd w:id="9"/>
    </w:p>
    <w:p w14:paraId="06492A5D" w14:textId="77777777" w:rsidR="00F54231" w:rsidRDefault="00974FBF" w:rsidP="00C46977">
      <w:pPr>
        <w:pStyle w:val="Heading2"/>
        <w:spacing w:line="360" w:lineRule="auto"/>
        <w:jc w:val="both"/>
      </w:pPr>
      <w:bookmarkStart w:id="10" w:name="_Toc228079242"/>
      <w:r>
        <w:t>4.1  Company Profile and Entry Rationale</w:t>
      </w:r>
      <w:bookmarkEnd w:id="10"/>
    </w:p>
    <w:p w14:paraId="1EB51C7F" w14:textId="77777777" w:rsidR="005B77DE" w:rsidRPr="005B77DE" w:rsidRDefault="005B77DE" w:rsidP="00C46977">
      <w:pPr>
        <w:pStyle w:val="Heading2"/>
        <w:spacing w:line="360" w:lineRule="auto"/>
        <w:jc w:val="both"/>
        <w:rPr>
          <w:b w:val="0"/>
          <w:bCs w:val="0"/>
          <w:color w:val="auto"/>
          <w:sz w:val="24"/>
          <w:szCs w:val="24"/>
        </w:rPr>
      </w:pPr>
      <w:bookmarkStart w:id="11" w:name="_Toc228079243"/>
      <w:r w:rsidRPr="005B77DE">
        <w:rPr>
          <w:b w:val="0"/>
          <w:bCs w:val="0"/>
          <w:color w:val="auto"/>
          <w:sz w:val="24"/>
          <w:szCs w:val="24"/>
        </w:rPr>
        <w:t>Sanofi S.A. is a Paris-based pharmaceutical company that is one of the five largest in the world by revenue, with a FY2023 revenue of EUR 45.2 billion in 60 countries (Sanofi, 2023). Sanofi Bangladesh Limited is a pharmaceutical company that has a manufacturing plant in Tongi Industrial Area, Gazipur, which manufactures branded generic formulations in diabetes care (insulin, metformin, glimepiride), cardiovascular disease, infectious disease vaccines and consumer healthcare. Sanofi Bangladesh is the biggest multinational pharmaceutical operation in Bangladesh with an estimated USD 198 million revenue and 5.2% domestic market share (IQVIA Bangladesh, 2024).</w:t>
      </w:r>
    </w:p>
    <w:p w14:paraId="20CA6038" w14:textId="77777777" w:rsidR="005B77DE" w:rsidRDefault="005B77DE" w:rsidP="00C46977">
      <w:pPr>
        <w:pStyle w:val="Heading2"/>
        <w:spacing w:line="360" w:lineRule="auto"/>
        <w:jc w:val="both"/>
        <w:rPr>
          <w:b w:val="0"/>
          <w:bCs w:val="0"/>
          <w:color w:val="auto"/>
          <w:sz w:val="24"/>
          <w:szCs w:val="24"/>
        </w:rPr>
      </w:pPr>
      <w:r w:rsidRPr="005B77DE">
        <w:rPr>
          <w:b w:val="0"/>
          <w:bCs w:val="0"/>
          <w:color w:val="auto"/>
          <w:sz w:val="24"/>
          <w:szCs w:val="24"/>
        </w:rPr>
        <w:t>The formation of Sanofi, by its predecessor organization Hoechst Bangladesh, subsequent to the Sanofi-Aventis-Hoechst corporate merger, is an OLI Eclectic logic, according to Dunning (2001). The benefits associated with ownership include global brand architecture, proprietary formulations, insulin production technology, cold-chain expertise in vaccines, and portfolio portfolios of regulatory dossiers, which domestic firms can not organicly recreate (Buckley and Casson, 2009; Teece, 2014). Location benefits encompass the high population of patients with diabetes and cardiovascular diseases in Bangladesh, the taxation of pharmaceutical FDI is favourable, and the local cost-effectiveness of manufacturing (Dunning and Lundan, 2008). The benefits of internalisation are based on the need to ensure the quality of products, pharmacovigilance and brand integrity, which the contract manufacturing arrangements failed to achieve (Williamson, 1985; Hennart, 2009).</w:t>
      </w:r>
    </w:p>
    <w:p w14:paraId="01325362" w14:textId="391975D6" w:rsidR="00F54231" w:rsidRDefault="00974FBF" w:rsidP="00C46977">
      <w:pPr>
        <w:pStyle w:val="Heading2"/>
        <w:spacing w:line="360" w:lineRule="auto"/>
        <w:jc w:val="both"/>
      </w:pPr>
      <w:r>
        <w:t>4.2  Political Factors and the Iran–Israel–USA Military Confrontation</w:t>
      </w:r>
      <w:bookmarkEnd w:id="11"/>
    </w:p>
    <w:p w14:paraId="168F5C4C" w14:textId="77777777" w:rsidR="005B77DE" w:rsidRPr="005B77DE" w:rsidRDefault="005B77DE" w:rsidP="00C46977">
      <w:pPr>
        <w:pStyle w:val="Heading2"/>
        <w:spacing w:line="360" w:lineRule="auto"/>
        <w:jc w:val="both"/>
        <w:rPr>
          <w:b w:val="0"/>
          <w:bCs w:val="0"/>
          <w:color w:val="auto"/>
          <w:sz w:val="24"/>
          <w:szCs w:val="24"/>
        </w:rPr>
      </w:pPr>
      <w:bookmarkStart w:id="12" w:name="_Toc228079244"/>
      <w:r w:rsidRPr="005B77DE">
        <w:rPr>
          <w:b w:val="0"/>
          <w:bCs w:val="0"/>
          <w:color w:val="auto"/>
          <w:sz w:val="24"/>
          <w:szCs w:val="24"/>
        </w:rPr>
        <w:t>In August 2024, with the overthrow of Prime Minister Sheikh Hasina, following mass protests by students, over an unpopular quota system in the public service, and the establishment of an interim government under Professor Muhammad Yunus, acute policy uncertainty has been introduced (BBC, 2024; Henisz, 2000). The 15 years rule of the Hasina administration had resulted in predictable pharmaceutical regulation systems, uniform API importation duty frameworks and operational procurement systems. The institutional changes experienced by the interim government, such as anti-corruption implementation, labour protection, and investment law are directly applicable to the compliance obligations and tender bidding of Sanofi Bangladesh (Holburn and Zelner, 2010; North, 1990). Lack of a clear electoral cycle poses a long-term governance risk that does not allow making long-term investment decisions (Kobrin, 2022; Acemoglu and Robinson, 2012).</w:t>
      </w:r>
    </w:p>
    <w:p w14:paraId="14D493F3" w14:textId="77777777" w:rsidR="005B77DE" w:rsidRPr="005B77DE" w:rsidRDefault="005B77DE" w:rsidP="00C46977">
      <w:pPr>
        <w:pStyle w:val="Heading2"/>
        <w:spacing w:line="360" w:lineRule="auto"/>
        <w:jc w:val="both"/>
        <w:rPr>
          <w:b w:val="0"/>
          <w:bCs w:val="0"/>
          <w:color w:val="auto"/>
          <w:sz w:val="24"/>
          <w:szCs w:val="24"/>
        </w:rPr>
      </w:pPr>
      <w:r w:rsidRPr="005B77DE">
        <w:rPr>
          <w:b w:val="0"/>
          <w:bCs w:val="0"/>
          <w:color w:val="auto"/>
          <w:sz w:val="24"/>
          <w:szCs w:val="24"/>
        </w:rPr>
        <w:t>The Middle East aspect of political risk has more direct implications on the supply chain architecture of Sanofi Bangladesh. The Iran–Israel–USA conflict - starting with the Hamas attack on 7 October 2023 and continuing to the direct Iranian strikes at Israeli territory (the 1314 April 2024 drone/missile barrage, the 1 October 2024 ballistic missile attack) resulted in unprecedented instability in the region (Reuters, 2024; Al-Jaze The most strategically important energy bottleneck in the world, with an average daily oil flow of about 21 million barrels and 20 percent of all LNG passing through it, is the Strait of Hormuz, the 39-kilometre waterway, and Iran has on numerous occasions indicated its readiness to restrict it as geopolitical leverage (EIA, 2024; Hamilton, 2009</w:t>
      </w:r>
    </w:p>
    <w:p w14:paraId="7EED67EE" w14:textId="77777777" w:rsidR="005B77DE" w:rsidRDefault="005B77DE" w:rsidP="00C46977">
      <w:pPr>
        <w:pStyle w:val="Heading2"/>
        <w:spacing w:line="360" w:lineRule="auto"/>
        <w:jc w:val="both"/>
        <w:rPr>
          <w:b w:val="0"/>
          <w:bCs w:val="0"/>
          <w:color w:val="auto"/>
          <w:sz w:val="24"/>
          <w:szCs w:val="24"/>
        </w:rPr>
      </w:pPr>
      <w:r w:rsidRPr="005B77DE">
        <w:rPr>
          <w:b w:val="0"/>
          <w:bCs w:val="0"/>
          <w:color w:val="auto"/>
          <w:sz w:val="24"/>
          <w:szCs w:val="24"/>
        </w:rPr>
        <w:t>In the case of Sanofi Bangladesh, the Strait of Hormuz threat is a petrochemical and chemical precursor supply chain vulnerability. The petrochemical feedstocks that are synthesised to produce APIs include benzene, toluene, xylene, ethylene derivatives; all of which are manufactured in Persian Gulf complexes concentrated in Saudi Arabia, UAE, Kuwait, and Qatar (Gereffi, Humphrey and Sturgeon, 2005). A shutdown of the Strait would also disrupt petrochemical feedstock to Chinese and Indian API manufacturers (the biggest suppliers to Bangladesh) and the sea-freight routes, through which Bangladesh imports APIs, a cascade of the disruption of petrochemicals in the Persian Gulf through to the Bangladeshi manufactured formulations (Christopher and Peck, 2004; Sheffi, 2005). This is first-order strategic importance of this supply chain fragility.</w:t>
      </w:r>
    </w:p>
    <w:p w14:paraId="5566E8A3" w14:textId="03B62D1D" w:rsidR="00F54231" w:rsidRDefault="00974FBF" w:rsidP="00C46977">
      <w:pPr>
        <w:pStyle w:val="Heading2"/>
        <w:spacing w:line="360" w:lineRule="auto"/>
        <w:jc w:val="both"/>
      </w:pPr>
      <w:r>
        <w:t>4.3  Economic Factors and Middle East Disruption Cascades</w:t>
      </w:r>
      <w:bookmarkEnd w:id="12"/>
    </w:p>
    <w:p w14:paraId="5B60E36F" w14:textId="77777777" w:rsidR="005C0225" w:rsidRDefault="005C0225" w:rsidP="00C46977">
      <w:pPr>
        <w:spacing w:before="200" w:after="100" w:line="360" w:lineRule="auto"/>
        <w:jc w:val="both"/>
      </w:pPr>
      <w:r w:rsidRPr="005C0225">
        <w:t>The Brent crude oil price was highly volatile during the period of July 2023 - October 2024, with a peak of USD 93.20/bbl in September 2023, as Figure 3 shows, increasing after the attack by Iran in April 2024, and returning to its initial level around the October 2024 ballistic missile strike (EIA, 20 Most importantly, Figure 3 overlays a Bangladesh API Import Cost Index which exhibits a high positive correlation between crude oil flows and API purchase costs, showing the petrochemical feedstock dependence of the pricing of pharmaceutical raw materials. The API Import Cost Index increased in July 2023 and in June 2024 to about 122 more, as compared to base 100 in July 2023, a cost increase of 22 percent that directly squeezes the manufacturing margins of formulation producers (BAPI, 2024; IMF, 2024; Pindyck, 2004).</w:t>
      </w:r>
    </w:p>
    <w:p w14:paraId="225CB98C" w14:textId="3C6DCD11" w:rsidR="00F54231" w:rsidRDefault="00974FBF" w:rsidP="00C46977">
      <w:pPr>
        <w:spacing w:before="200" w:after="100" w:line="360" w:lineRule="auto"/>
        <w:jc w:val="both"/>
      </w:pPr>
      <w:r>
        <w:rPr>
          <w:noProof/>
        </w:rPr>
        <w:drawing>
          <wp:inline distT="0" distB="0" distL="0" distR="0" wp14:anchorId="10C1C279" wp14:editId="744E4CCF">
            <wp:extent cx="5800000" cy="2907073"/>
            <wp:effectExtent l="0" t="0" r="0" b="0"/>
            <wp:docPr id="1585444978" name="Picture 1585444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800000" cy="2907073"/>
                    </a:xfrm>
                    <a:prstGeom prst="rect">
                      <a:avLst/>
                    </a:prstGeom>
                  </pic:spPr>
                </pic:pic>
              </a:graphicData>
            </a:graphic>
          </wp:inline>
        </w:drawing>
      </w:r>
    </w:p>
    <w:p w14:paraId="5A470640" w14:textId="77777777" w:rsidR="00F54231" w:rsidRDefault="00974FBF" w:rsidP="00C46977">
      <w:pPr>
        <w:spacing w:after="200" w:line="360" w:lineRule="auto"/>
        <w:jc w:val="both"/>
      </w:pPr>
      <w:r>
        <w:rPr>
          <w:i/>
          <w:iCs/>
          <w:color w:val="555555"/>
          <w:sz w:val="20"/>
          <w:szCs w:val="20"/>
        </w:rPr>
        <w:t>Figure 3: Brent Crude Oil Price (USD/bbl) and Bangladesh API Import Cost Index vs. Middle East Geopolitical Escalation (July 2023 – October 2024). API Cost Index: Base = 100 (July 2023). Sources: EIA (2024); BAPI API Import Survey (2024); IMF Commodity Price Monitor (2024).</w:t>
      </w:r>
    </w:p>
    <w:p w14:paraId="5DDC6E54" w14:textId="77777777" w:rsidR="005C0225" w:rsidRDefault="005C0225" w:rsidP="00C46977">
      <w:pPr>
        <w:pStyle w:val="Heading2"/>
        <w:spacing w:line="360" w:lineRule="auto"/>
        <w:jc w:val="both"/>
        <w:rPr>
          <w:b w:val="0"/>
          <w:bCs w:val="0"/>
          <w:color w:val="auto"/>
          <w:sz w:val="24"/>
          <w:szCs w:val="24"/>
        </w:rPr>
      </w:pPr>
      <w:bookmarkStart w:id="13" w:name="_Toc228079245"/>
      <w:r w:rsidRPr="005C0225">
        <w:rPr>
          <w:b w:val="0"/>
          <w:bCs w:val="0"/>
          <w:color w:val="auto"/>
          <w:sz w:val="24"/>
          <w:szCs w:val="24"/>
        </w:rPr>
        <w:t>Three transmission channels (Obstfeld, Shambaugh and Taylor, 2005) interact to have economic effects. The first channel is API and raw material cost inflation: Sanofi Bangladesh purchases APIs using global procurement network of Sanofi S.A. - a structural advantage of that type compared to domestic firms that are left to negotiate independently, yet global pricing of benzene-derivative APIs, corticosteroids and synthetic hormone intermediates is dominated by international commodity dynamics that cannot be avoided by a single buyer (Helpman, Shipping cost inflation via the Houthi Red Sea campaign is secondary: though the API imports of Bangladesh out of China and India do not directly follow Red Sea routes, the global constraint of container supply has increased the freight rates between Chittagong and China, and the insurance premiums have further raised the percentage of estimated importation costs c.i.f. (Bapi, 2024; Drewry, 2024). The third is macroeconomic headwind due to energy cost inflation: the 80 percent dependence on energy imports by Bangladesh, 30-40 percent growth in industrial electricity tariffs since 2022, raises the manufacturing overhead of Sanofi Bangladesh but lowers the amount of disposable energy available to spend on pharmaceuticals privately (World Bank, 2024; Aizenman, Chinn and Ito, Architecture of US secondary sanctions that address entities involved in the flow of Iranian oil introduces a further compliance risk: the Indian suppliers of API of Sanofi can get petrochemical feedstocks in Iranian entities subject to sanctions, which introduces OFAC due diligence obligations with real costs to bear (Emmenegger, 2015; DOJ, 2012).</w:t>
      </w:r>
    </w:p>
    <w:p w14:paraId="14AA4A73" w14:textId="39005C29" w:rsidR="00F54231" w:rsidRDefault="00974FBF" w:rsidP="00C46977">
      <w:pPr>
        <w:pStyle w:val="Heading2"/>
        <w:spacing w:line="360" w:lineRule="auto"/>
        <w:jc w:val="both"/>
      </w:pPr>
      <w:r>
        <w:t>4.4  Legal Factors</w:t>
      </w:r>
      <w:bookmarkEnd w:id="13"/>
    </w:p>
    <w:p w14:paraId="42C83599" w14:textId="77777777" w:rsidR="005C0225" w:rsidRPr="005C0225" w:rsidRDefault="005C0225" w:rsidP="00C46977">
      <w:pPr>
        <w:pStyle w:val="Heading2"/>
        <w:spacing w:line="360" w:lineRule="auto"/>
        <w:jc w:val="both"/>
        <w:rPr>
          <w:b w:val="0"/>
          <w:bCs w:val="0"/>
          <w:color w:val="auto"/>
          <w:sz w:val="24"/>
          <w:szCs w:val="24"/>
        </w:rPr>
      </w:pPr>
      <w:bookmarkStart w:id="14" w:name="_Toc228079246"/>
      <w:r w:rsidRPr="005C0225">
        <w:rPr>
          <w:b w:val="0"/>
          <w:bCs w:val="0"/>
          <w:color w:val="auto"/>
          <w:sz w:val="24"/>
          <w:szCs w:val="24"/>
        </w:rPr>
        <w:t>Sanofi Bangladesh has to operate in a multi-layered legal framework: Bangladesh parent-level (Drug Control Ordinance 1982, National Drug Policy 2016, Pharmacy Act 1967), French and EU parent-level, and US extraterritorial sanctions law (La Porta et al., 1998; Pistor, 2019). The DGDA has a regulatory control over the manufacturing licence, product registration, price, and quality control. The maximum retail prices of essential pharmaceuticals controlled by the government restrict the pricing strategy of the Sanofi Bangladesh, and the limit between the scheduled and unscheduled products is periodically reviewed, which creates regulatory uncertainty in the case of political changes (Bigdeli et al., 2013; Shadlen, 2007).</w:t>
      </w:r>
    </w:p>
    <w:p w14:paraId="5834275E" w14:textId="77777777" w:rsidR="005C0225" w:rsidRDefault="005C0225" w:rsidP="00C46977">
      <w:pPr>
        <w:pStyle w:val="Heading2"/>
        <w:spacing w:line="360" w:lineRule="auto"/>
        <w:jc w:val="both"/>
        <w:rPr>
          <w:b w:val="0"/>
          <w:bCs w:val="0"/>
          <w:color w:val="auto"/>
          <w:sz w:val="24"/>
          <w:szCs w:val="24"/>
        </w:rPr>
      </w:pPr>
      <w:r w:rsidRPr="005C0225">
        <w:rPr>
          <w:b w:val="0"/>
          <w:bCs w:val="0"/>
          <w:color w:val="auto"/>
          <w:sz w:val="24"/>
          <w:szCs w:val="24"/>
        </w:rPr>
        <w:t>French law also has another duty, the Loi de Vigilance (2017), obligating vigilance plans to human rights, health and safety and environmental risks throughout the value chain including subsidiaries and strategic suppliers (Scherer and Palazzo, 2011). The Corporate Sustainability Due Diligence Directive (CSDDD, 2024) by the EU also requires environmental and human rights due diligence of the API suppliers of Sanofi Bangladesh in India and China (European Commission, 2023; Ruggie, 2013). The TRIPS waiver establishes a structurally unique dimension: local manufacturers are allowed to make generic versions of patented products by Sanofi without paying any licensing fees, and compete directly with Sanofi branded generics at a lower price (Correa, 2000). The legal environment (2029+) post-graduation (where pharmaceutical patents would be enforced in Bangladesh) would greatly enhance the competitive positioning of Sanofi, and LDC graduation transition planning would be a strategically significant business opportunity analysis (Maskus, 2000; Sell, 2003).</w:t>
      </w:r>
    </w:p>
    <w:p w14:paraId="12CFC7EB" w14:textId="1C8FEAEC" w:rsidR="00F54231" w:rsidRDefault="00974FBF" w:rsidP="00C46977">
      <w:pPr>
        <w:pStyle w:val="Heading2"/>
        <w:spacing w:line="360" w:lineRule="auto"/>
        <w:jc w:val="both"/>
      </w:pPr>
      <w:r>
        <w:t>4.5  Cultural Factors</w:t>
      </w:r>
      <w:bookmarkEnd w:id="14"/>
    </w:p>
    <w:p w14:paraId="5B396BE7" w14:textId="77777777" w:rsidR="005C0225" w:rsidRPr="005C0225" w:rsidRDefault="005C0225" w:rsidP="00C46977">
      <w:pPr>
        <w:pStyle w:val="Heading1"/>
        <w:spacing w:line="360" w:lineRule="auto"/>
        <w:jc w:val="both"/>
        <w:rPr>
          <w:b w:val="0"/>
          <w:bCs w:val="0"/>
          <w:color w:val="auto"/>
          <w:sz w:val="24"/>
          <w:szCs w:val="24"/>
        </w:rPr>
      </w:pPr>
      <w:bookmarkStart w:id="15" w:name="_Toc228079247"/>
      <w:r w:rsidRPr="005C0225">
        <w:rPr>
          <w:b w:val="0"/>
          <w:bCs w:val="0"/>
          <w:color w:val="auto"/>
          <w:sz w:val="24"/>
          <w:szCs w:val="24"/>
        </w:rPr>
        <w:t>The cultural environment at Sanofi Bangladesh is a result of the interaction of the Bangladesh collectivist, high-power-distance, and Muslim-majority setting and the French multinational corporate governance at Sanofi (Hofstede, 2011; Kirkman, Lowe and Gibson, 2006). France has a lower score of 68 on Power Distance than Bangladesh with a score of 80 indicating a more directive work culture in Bangladesh which fits the hierarchical quality systems and SOPs in the pharmaceutical industry (House et al., 2004). The high level of Collectivism in Bangladesh (20 on Individualism as compared to 71 on France) has consequences on the quality management conducted in teams, the training design and the use of incentives that focus on group compliance as opposed to competition (Taras, Kirkman and Steel, 2010; Peng et al., 2009). The Bangladesh prescription-based market approach of medical representatives sales is a relationship-based culture where trust-building and personal credibility has more commercial weight than communication of products features (Berry, Guillen and Zhou, 2010). Halal sensitivity to pharmaceutical preparations - porcine gelatine capsules, bovine derived blood factors will necessitate a change in formulations and religious consultation, which is institutionalised cultural accommodation (Jamal, 2003).</w:t>
      </w:r>
    </w:p>
    <w:p w14:paraId="595DBA26" w14:textId="57DCAD0A" w:rsidR="005C0225" w:rsidRDefault="005C0225" w:rsidP="00C46977">
      <w:pPr>
        <w:pStyle w:val="Heading1"/>
        <w:spacing w:line="360" w:lineRule="auto"/>
        <w:jc w:val="both"/>
        <w:rPr>
          <w:b w:val="0"/>
          <w:bCs w:val="0"/>
          <w:color w:val="auto"/>
          <w:sz w:val="24"/>
          <w:szCs w:val="24"/>
        </w:rPr>
      </w:pPr>
      <w:r w:rsidRPr="005C0225">
        <w:rPr>
          <w:b w:val="0"/>
          <w:bCs w:val="0"/>
          <w:color w:val="auto"/>
          <w:sz w:val="24"/>
          <w:szCs w:val="24"/>
        </w:rPr>
        <w:t>Using the CAGE Distance Framework by Ghemawat (2001), administrative distance between France and Bangladesh is currently mediated by bilateral investment agreements and EU-Bangladesh trade structures (Johanson and Vahlne, 2009). The geographic distance (approximately 7,500 km) creates coordination costs that are addressed by an empowered country management team that has substantial leeway in its operations. The whole commercial model is influenced by economic distance: in Bangladesh, one cannot use the same pricing structures as in France and keep the brand image intact yet make it affordable (Khanna and Palepu, 2010; Zaheer, 1995). Synthetically, PESTLE, OLI, Hofstede, and CAGE analysis show that Sanofi Bangladesh is an entrenched MNC in the environment with sharply high geopolitical and regulatory risk, with whose main sources of resilience, including global procurement leverage, brand equity, government tender relationships, and localised manufacturing, active reinforcement must be conducted by diversifying in its supply chain and hedging its currency</w:t>
      </w:r>
      <w:r>
        <w:rPr>
          <w:b w:val="0"/>
          <w:bCs w:val="0"/>
          <w:color w:val="auto"/>
          <w:sz w:val="24"/>
          <w:szCs w:val="24"/>
        </w:rPr>
        <w:t>.</w:t>
      </w:r>
    </w:p>
    <w:p w14:paraId="18D6DE35" w14:textId="38777203" w:rsidR="00F54231" w:rsidRDefault="00974FBF" w:rsidP="00C46977">
      <w:pPr>
        <w:pStyle w:val="Heading1"/>
        <w:spacing w:line="360" w:lineRule="auto"/>
        <w:jc w:val="both"/>
      </w:pPr>
      <w:r>
        <w:t>5.  Conclusion</w:t>
      </w:r>
      <w:bookmarkEnd w:id="15"/>
    </w:p>
    <w:p w14:paraId="6F254E18" w14:textId="77777777" w:rsidR="005C0225" w:rsidRDefault="005C0225" w:rsidP="00C46977">
      <w:pPr>
        <w:spacing w:line="360" w:lineRule="auto"/>
        <w:jc w:val="both"/>
      </w:pPr>
      <w:r>
        <w:t>This report has shown that the pharmaceutical industry in Bangladesh is a qualitatively unique success in the industrial development narrative of the country - not a factor endowment inheritance process but rather a process of policy construction, institutional investment, competitive aspiration of local firms under regulatory regimes that both secured and exposed them to development (Lall, 2001; Rodrik, 2004). The Diamond analysis by Porter (1990) confirms the strength of competitiveness with the factor conditions (skilled human capital, certified manufacturing infrastructure), domestic rivalry that contributes to quality upgrading, and facilitating government policy via the 1982 Drug Ordinance and TRIPS waiver architecture, and identifies API import dependence and limited innovation-driven demand as the most significant structural weaknesses (Narula and Dun</w:t>
      </w:r>
    </w:p>
    <w:p w14:paraId="59DF1C6D" w14:textId="0D1FE30F" w:rsidR="00F54231" w:rsidRDefault="005C0225" w:rsidP="00C46977">
      <w:pPr>
        <w:spacing w:line="360" w:lineRule="auto"/>
        <w:jc w:val="both"/>
      </w:pPr>
      <w:r>
        <w:t xml:space="preserve">The analysis of Sanofi Bangladesh by PESTLE, OLI, Hofstede, and CAGE models demonstrates that this MNC has a competitive position that is both well-established and multi-dimensionally exposed. Iran-Israel-USA military conflict, which is expressed in the form of direct attacks of Iran on the territory of Israel, continuous disruption of Houthi shipping, and the threat to close the Strait of Hormuz on a regular basis has radically changed the geopolitical risk premium of supply chains that are proximate to the Persian Gulf (Witt et al., 2023). The reported 22% increase in the API Import Cost Index between July 2023 and June 2024 is a quantifiable commercial impact of this geopolitical exposure impacting not just Sanofi Bangladesh but the whole domestic pharmaceutical manufacturing ecosystem. The general theoretical consequence of this is that the convergence of geopolitical risk and pharmaceutical supply chain architecture represents an under-theorised aspect of international business research that needs more analytical focus. Classical theories - Porters Diamond, Dunning OLI, Hofstede dimensions - cannot be replaced as an analytical tool, yet they need to be combined with the geopolitical intelligence and supply chain resilience theory to offer sufficient guidance to the MNC strategy in a modern environment (Buckley, 2020; Sheffi, 2005). In the case of the pharmaceutical industry in Bangladesh, it is evident that strategic imperative must be accomplished through attainment of meaningful domestic API self-sufficiency, diversification of raw material sourcing geographies, and proactive preparations of the post-LDC TRIPS transition, as essentials to the long-term competitive sustainability in the increasingly geopolitically volatile world (Correa, 2000; Shadlen </w:t>
      </w:r>
      <w:r w:rsidRPr="005C0225">
        <w:t>, 2007).</w:t>
      </w:r>
      <w:r>
        <w:br w:type="page"/>
      </w:r>
    </w:p>
    <w:p w14:paraId="5F525644" w14:textId="77777777" w:rsidR="00F54231" w:rsidRDefault="00974FBF" w:rsidP="00C46977">
      <w:pPr>
        <w:pStyle w:val="Heading1"/>
        <w:spacing w:line="360" w:lineRule="auto"/>
        <w:jc w:val="both"/>
      </w:pPr>
      <w:bookmarkStart w:id="16" w:name="_Toc228079248"/>
      <w:r>
        <w:t>6.  Reflective Account: Gibbs’ Reflective Cycle (1988)</w:t>
      </w:r>
      <w:bookmarkEnd w:id="16"/>
    </w:p>
    <w:p w14:paraId="7E2D1433" w14:textId="77777777" w:rsidR="005C0225" w:rsidRDefault="005C0225" w:rsidP="00C46977">
      <w:pPr>
        <w:spacing w:before="200" w:after="100" w:line="360" w:lineRule="auto"/>
        <w:jc w:val="both"/>
      </w:pPr>
      <w:r w:rsidRPr="005C0225">
        <w:t>The ensuing reflective narrative uses Gibbs (1988) Reflective Cycle -Description, Feelings, Evaluation, Analysis, Conclusion, and Action Plan - to critically reflect on the intellectual and practical research process of this international business report on the pharmaceutical industry in Bangladesh.</w:t>
      </w:r>
    </w:p>
    <w:p w14:paraId="2A957D5B" w14:textId="6807614F" w:rsidR="00F54231" w:rsidRDefault="00974FBF" w:rsidP="00C46977">
      <w:pPr>
        <w:spacing w:before="200" w:after="100" w:line="360" w:lineRule="auto"/>
        <w:jc w:val="both"/>
      </w:pPr>
      <w:r>
        <w:rPr>
          <w:noProof/>
        </w:rPr>
        <w:drawing>
          <wp:inline distT="0" distB="0" distL="0" distR="0" wp14:anchorId="7AE58B85" wp14:editId="4841E33A">
            <wp:extent cx="5715000" cy="3931920"/>
            <wp:effectExtent l="0" t="0" r="0" b="0"/>
            <wp:docPr id="1875860975" name="Picture 18758609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715296" cy="3932124"/>
                    </a:xfrm>
                    <a:prstGeom prst="rect">
                      <a:avLst/>
                    </a:prstGeom>
                  </pic:spPr>
                </pic:pic>
              </a:graphicData>
            </a:graphic>
          </wp:inline>
        </w:drawing>
      </w:r>
    </w:p>
    <w:p w14:paraId="43F6E6CC" w14:textId="77777777" w:rsidR="00F54231" w:rsidRDefault="00974FBF" w:rsidP="00C46977">
      <w:pPr>
        <w:spacing w:after="200" w:line="360" w:lineRule="auto"/>
        <w:jc w:val="both"/>
      </w:pPr>
      <w:r>
        <w:rPr>
          <w:i/>
          <w:iCs/>
          <w:color w:val="555555"/>
          <w:sz w:val="20"/>
          <w:szCs w:val="20"/>
        </w:rPr>
        <w:t>Figure 4: Gibbs’ Reflective Cycle (1988) — Six-Stage Framework Applied to the Research Process. Source: Adapted from Gibbs (1988).</w:t>
      </w:r>
    </w:p>
    <w:p w14:paraId="7200F8AC" w14:textId="77777777" w:rsidR="00F54231" w:rsidRDefault="00974FBF" w:rsidP="00C46977">
      <w:pPr>
        <w:pStyle w:val="Heading2"/>
        <w:spacing w:line="360" w:lineRule="auto"/>
        <w:jc w:val="both"/>
      </w:pPr>
      <w:bookmarkStart w:id="17" w:name="_Toc228079249"/>
      <w:r>
        <w:t>6.1  Description</w:t>
      </w:r>
      <w:bookmarkEnd w:id="17"/>
    </w:p>
    <w:p w14:paraId="179377D1" w14:textId="77777777" w:rsidR="005C0225" w:rsidRDefault="005C0225" w:rsidP="00C46977">
      <w:pPr>
        <w:pStyle w:val="Heading2"/>
        <w:spacing w:line="360" w:lineRule="auto"/>
        <w:jc w:val="both"/>
        <w:rPr>
          <w:b w:val="0"/>
          <w:bCs w:val="0"/>
          <w:color w:val="auto"/>
          <w:sz w:val="24"/>
          <w:szCs w:val="24"/>
        </w:rPr>
      </w:pPr>
      <w:bookmarkStart w:id="18" w:name="_Toc228079250"/>
      <w:r w:rsidRPr="005C0225">
        <w:rPr>
          <w:b w:val="0"/>
          <w:bCs w:val="0"/>
          <w:color w:val="auto"/>
          <w:sz w:val="24"/>
          <w:szCs w:val="24"/>
        </w:rPr>
        <w:t>The study was initiated by choosing the pharmaceutical industry in Bangladesh as the subject of analysis due to the remarkable growth trajectory of the industry (it is almost entirely self-sufficient in domestic production, with no external imports), the abundance of the institutional data (BAPI, IQVIA Bangladesh, World Bank pharmaceutical analyses), and the urgency of contemporary relevance brought about by the combination of Middle East geopolitical escalation and the Sanofi Bangladesh was chosen as the center of interest MNC, since its French parent company as a global innovator and producer of branded-generic drugs in the emerging markets presents an analytically rich OLI case, and its Bangladesh-specific diabetes care operations base the analysis on a solid epidemiological and commercial fact (Schön, 1983). The study utilized a three-layer approach to the literature (theoretical, academic databases, Google Scholar, JSTOR, Business Source Complete), institutional (BAPI, IQVIA, IMF, World Bank) and geopolitical transmission channel (OFAC databases, Drewry indices, EIA energy data). Three original data visualisations were built to convert narrative claims into data-supported argumentation (Moon, 2006).</w:t>
      </w:r>
    </w:p>
    <w:p w14:paraId="79C12B99" w14:textId="6241F651" w:rsidR="00F54231" w:rsidRDefault="00974FBF" w:rsidP="00C46977">
      <w:pPr>
        <w:pStyle w:val="Heading2"/>
        <w:spacing w:line="360" w:lineRule="auto"/>
        <w:jc w:val="both"/>
      </w:pPr>
      <w:r>
        <w:t>6.2  Feelings</w:t>
      </w:r>
      <w:bookmarkEnd w:id="18"/>
    </w:p>
    <w:p w14:paraId="1AE116B7" w14:textId="77777777" w:rsidR="005C0225" w:rsidRDefault="005C0225" w:rsidP="00C46977">
      <w:pPr>
        <w:pStyle w:val="Heading2"/>
        <w:spacing w:line="360" w:lineRule="auto"/>
        <w:jc w:val="both"/>
        <w:rPr>
          <w:b w:val="0"/>
          <w:bCs w:val="0"/>
          <w:color w:val="auto"/>
          <w:sz w:val="24"/>
          <w:szCs w:val="24"/>
        </w:rPr>
      </w:pPr>
      <w:bookmarkStart w:id="19" w:name="_Toc228079251"/>
      <w:r w:rsidRPr="005C0225">
        <w:rPr>
          <w:b w:val="0"/>
          <w:bCs w:val="0"/>
          <w:color w:val="auto"/>
          <w:sz w:val="24"/>
          <w:szCs w:val="24"/>
        </w:rPr>
        <w:t>The prevailing intellectual life was the intellectual involvement which was moderated by methodological prudence. The pharmaceutical sector requires interactions of regulatory, biochemical and supply chain dynamics which overlap medical science, intellectual property law, and geopolitical economics (Boud, Keogh and Walker, 1985). I felt a real thrill at realizing the TRIPS pharmaceutical waiver, as a competitive variable of significant major strategic relevance, as a legal tool whose imminent expiry is a source of intrinsic urgency not ordinarily part of normal competitive analysis (Mezirow, 1991). The geopolitical aspect, which involved the building of a strict causal network between military activities of the Iranians, and the inflation of the price of the API imports in Bangladesh, demanded analytical interdisciplinary fusion of international security studies, energy economics, petrochemicals supply chain analysis, and pharmaceutical raw material science (Brookfield, 1995). Epistemic unease included a few times when the presentation of correlational evidence had to be done with caution without overstating causal relationships, and when the newness of October 2024 events meant that no peer-reviewed scholarly analysis of such events could be found at all (Mezirow, 1997).</w:t>
      </w:r>
    </w:p>
    <w:p w14:paraId="15293FB5" w14:textId="2CBE481C" w:rsidR="00F54231" w:rsidRDefault="00974FBF" w:rsidP="00C46977">
      <w:pPr>
        <w:pStyle w:val="Heading2"/>
        <w:spacing w:line="360" w:lineRule="auto"/>
        <w:jc w:val="both"/>
      </w:pPr>
      <w:r>
        <w:t>6.3  Evaluation</w:t>
      </w:r>
      <w:bookmarkEnd w:id="19"/>
    </w:p>
    <w:p w14:paraId="4B269144" w14:textId="77777777" w:rsidR="005C0225" w:rsidRDefault="005C0225" w:rsidP="00C46977">
      <w:pPr>
        <w:pStyle w:val="Heading2"/>
        <w:spacing w:line="360" w:lineRule="auto"/>
        <w:jc w:val="both"/>
        <w:rPr>
          <w:b w:val="0"/>
          <w:bCs w:val="0"/>
          <w:color w:val="auto"/>
          <w:sz w:val="24"/>
          <w:szCs w:val="24"/>
        </w:rPr>
      </w:pPr>
      <w:bookmarkStart w:id="20" w:name="_Toc228079252"/>
      <w:r w:rsidRPr="005C0225">
        <w:rPr>
          <w:b w:val="0"/>
          <w:bCs w:val="0"/>
          <w:color w:val="auto"/>
          <w:sz w:val="24"/>
          <w:szCs w:val="24"/>
        </w:rPr>
        <w:t>Some of the strengths of the research: the combination of Dunning OLI and Hofstede cultural dimensions and Ghemawat CAGE gave a multi-dimensional description of the competitive positioning of Sanofi Bangladesh that is more analytically complete than that of any one of the models alone (Dewey, 1933; Fook, 2015). Initial development of the API Import Cost Index The API Import Cost Index was developed with the data of BAPI import surveys overlaid on EIA crude oil price data, providing an empirical base to take the analysis of the Middle East beyond narrative to data-supported argumentation. The major constraint is that the causal process between Iranian military activities and the cost of pharmaceuticals in Bangladesh is based on a series of market processes whose combined quantitative level cannot be isolated exactly compared to other simultaneous cost drivers. The 22% API increase can be ascribed to a number of overlapping factors - Chinese API producer behaviour, Indian export restraint, domestic inflation - a subset of which is Middle East dynamics - a comprehensive but not exclusive determinant (Atkins and Murphy, 1993; Rolfe et al., 2001).</w:t>
      </w:r>
    </w:p>
    <w:p w14:paraId="72800CB8" w14:textId="5EBB1BCE" w:rsidR="00F54231" w:rsidRDefault="00974FBF" w:rsidP="00C46977">
      <w:pPr>
        <w:pStyle w:val="Heading2"/>
        <w:spacing w:line="360" w:lineRule="auto"/>
        <w:jc w:val="both"/>
      </w:pPr>
      <w:r>
        <w:t>6.4  Analysis</w:t>
      </w:r>
      <w:bookmarkEnd w:id="20"/>
    </w:p>
    <w:p w14:paraId="6FA2B759" w14:textId="456DA294" w:rsidR="005C0225" w:rsidRDefault="005C0225" w:rsidP="00C46977">
      <w:pPr>
        <w:pStyle w:val="Heading2"/>
        <w:spacing w:line="360" w:lineRule="auto"/>
        <w:jc w:val="both"/>
        <w:rPr>
          <w:b w:val="0"/>
          <w:bCs w:val="0"/>
          <w:color w:val="auto"/>
          <w:sz w:val="24"/>
          <w:szCs w:val="24"/>
        </w:rPr>
      </w:pPr>
      <w:bookmarkStart w:id="21" w:name="_Toc228079253"/>
      <w:r w:rsidRPr="005C0225">
        <w:rPr>
          <w:b w:val="0"/>
          <w:bCs w:val="0"/>
          <w:color w:val="auto"/>
          <w:sz w:val="24"/>
          <w:szCs w:val="24"/>
        </w:rPr>
        <w:t>The most significant methodological point is the inherent inadequacy of purely microeconomic models - Porters Diamond, OLI - when used to analyze industries with integrated supply chains of both raw materials tied into petrochemical value chains vulnerable to geopolitical interference (Jasper, 2003; Mann, Gordon and MacLeod, 2009). Traditional approaches to understanding Bangladesh pharmaceutical sector include using the prism of public health economics and trade policy; the role of this report is to recast strategic vulnerabilities in a geopolitical supply chain prism, that is, the industry is most at risk in the medium term by the fragility of its petrochemical-dependent API supply chain in an era of increasing regional conflict (Johns, 2009; Finlay, This builds on the developing literature of geopolitical risk (Witt et al., 2023; Aguilera et al., 2019) that classical IB conceptions were developed in the comparatively benign geopolitical environment of the 19902015 period, and are now proving analytically inadequate to the disaggregated, conflict-prone nature of the 2020s.</w:t>
      </w:r>
    </w:p>
    <w:p w14:paraId="61627859" w14:textId="397243E0" w:rsidR="00F54231" w:rsidRDefault="00974FBF" w:rsidP="00C46977">
      <w:pPr>
        <w:pStyle w:val="Heading2"/>
        <w:spacing w:line="360" w:lineRule="auto"/>
        <w:jc w:val="both"/>
      </w:pPr>
      <w:r>
        <w:t>6.5  Conclusion</w:t>
      </w:r>
      <w:bookmarkEnd w:id="21"/>
    </w:p>
    <w:p w14:paraId="7E9416EC" w14:textId="77777777" w:rsidR="005C0225" w:rsidRDefault="005C0225" w:rsidP="00C46977">
      <w:pPr>
        <w:pStyle w:val="Heading2"/>
        <w:spacing w:line="360" w:lineRule="auto"/>
        <w:jc w:val="both"/>
        <w:rPr>
          <w:b w:val="0"/>
          <w:bCs w:val="0"/>
          <w:color w:val="auto"/>
          <w:sz w:val="24"/>
          <w:szCs w:val="24"/>
        </w:rPr>
      </w:pPr>
      <w:bookmarkStart w:id="22" w:name="_Toc228079254"/>
      <w:r w:rsidRPr="005C0225">
        <w:rPr>
          <w:b w:val="0"/>
          <w:bCs w:val="0"/>
          <w:color w:val="auto"/>
          <w:sz w:val="24"/>
          <w:szCs w:val="24"/>
        </w:rPr>
        <w:t>Reflectively, the framework selection procedure, which employed the Diamond, OLI, Hofstede and CAGE models concomitantly, generated surface coverage risks which a more strategically focused selection based on the vulnerabilities of a petrochemical-intensive industry would have eliminated. OLI, combined with CAGE, and a special geopolitical risk framework (Witt et al., 2023) would have offered a more analytically consistent account. There was poor time management: there was too much front-loading of theoretical review, at the expense of the deeper primary data analysis and visualisation work that would eventually make the difference in the evidential quality of the report (Dewey, 1933; Moon, 2006).</w:t>
      </w:r>
    </w:p>
    <w:p w14:paraId="08B02560" w14:textId="4B5B09CF" w:rsidR="00F54231" w:rsidRDefault="00974FBF" w:rsidP="00C46977">
      <w:pPr>
        <w:pStyle w:val="Heading2"/>
        <w:spacing w:line="360" w:lineRule="auto"/>
        <w:jc w:val="both"/>
      </w:pPr>
      <w:r>
        <w:t>6.6  Action Plan</w:t>
      </w:r>
      <w:bookmarkEnd w:id="22"/>
    </w:p>
    <w:p w14:paraId="55445A4B" w14:textId="729B6EC3" w:rsidR="00C46977" w:rsidRDefault="00C46977" w:rsidP="00C46977">
      <w:pPr>
        <w:pStyle w:val="Heading1"/>
        <w:spacing w:line="360" w:lineRule="auto"/>
        <w:jc w:val="both"/>
        <w:rPr>
          <w:b w:val="0"/>
          <w:bCs w:val="0"/>
          <w:color w:val="auto"/>
          <w:sz w:val="24"/>
          <w:szCs w:val="24"/>
        </w:rPr>
      </w:pPr>
      <w:bookmarkStart w:id="23" w:name="_Toc228079255"/>
      <w:r w:rsidRPr="00C46977">
        <w:rPr>
          <w:b w:val="0"/>
          <w:bCs w:val="0"/>
          <w:color w:val="auto"/>
          <w:sz w:val="24"/>
          <w:szCs w:val="24"/>
        </w:rPr>
        <w:t>Four tangible promises come into existence. To start with, I will have a systematic framework selection protocol at the beginning of the project: clearly defining what frameworks are the most generative in the vulnerability profile of a particular industry and distributing analytical depth in commensurate proportions instead of focusing all taught frameworks equally (Schoen, 1983). Second, with geopolitical risk research, I will develop a special supply chain topology map, i.e., a graphical representation of the raw material flows (with origin, formulation, etc.) and then start writing analytically, so that the vulnerability claims are based on a concrete, traceable value chain image. Third, I will also include systematized reflexive journaling to the research experience, documenting methodological choices as they occur, instead of having to re-enact them retrospectively when they are subject to summative assessment, as Moon (2006) so eloquently shows that contemporary reflective practice is epistemologically enriched when compared with the reconstruction of the same at a later date (Kolb, Fourth, I will make investments in the development of working familiarity with geopolitical risk databases - Oxford Analytica, ACLED conflict data, OFAC sanction trackers - as a standard category of research sources as well as in traditional academic databases, given the fact that competitive analysis in the global industries of the twenty-first century demands geopolitical intelligence as an input to analysis (Gibbs, 1988; Brook</w:t>
      </w:r>
      <w:r>
        <w:rPr>
          <w:b w:val="0"/>
          <w:bCs w:val="0"/>
          <w:color w:val="auto"/>
          <w:sz w:val="24"/>
          <w:szCs w:val="24"/>
        </w:rPr>
        <w:t>.</w:t>
      </w:r>
    </w:p>
    <w:p w14:paraId="18D23A93" w14:textId="77777777" w:rsidR="00C46977" w:rsidRDefault="00C46977">
      <w:pPr>
        <w:pStyle w:val="Heading1"/>
        <w:spacing w:line="360" w:lineRule="auto"/>
        <w:rPr>
          <w:b w:val="0"/>
          <w:bCs w:val="0"/>
          <w:color w:val="auto"/>
          <w:sz w:val="24"/>
          <w:szCs w:val="24"/>
        </w:rPr>
      </w:pPr>
    </w:p>
    <w:p w14:paraId="1A3D77E4" w14:textId="77777777" w:rsidR="00C46977" w:rsidRDefault="00C46977">
      <w:pPr>
        <w:pStyle w:val="Heading1"/>
        <w:spacing w:line="360" w:lineRule="auto"/>
        <w:rPr>
          <w:b w:val="0"/>
          <w:bCs w:val="0"/>
          <w:color w:val="auto"/>
          <w:sz w:val="24"/>
          <w:szCs w:val="24"/>
        </w:rPr>
      </w:pPr>
    </w:p>
    <w:p w14:paraId="35334B5F" w14:textId="77777777" w:rsidR="00C46977" w:rsidRDefault="00C46977">
      <w:pPr>
        <w:pStyle w:val="Heading1"/>
        <w:spacing w:line="360" w:lineRule="auto"/>
        <w:rPr>
          <w:b w:val="0"/>
          <w:bCs w:val="0"/>
          <w:color w:val="auto"/>
          <w:sz w:val="24"/>
          <w:szCs w:val="24"/>
        </w:rPr>
      </w:pPr>
    </w:p>
    <w:p w14:paraId="0DF1DC60" w14:textId="77777777" w:rsidR="00C46977" w:rsidRDefault="00C46977">
      <w:pPr>
        <w:pStyle w:val="Heading1"/>
        <w:spacing w:line="360" w:lineRule="auto"/>
        <w:rPr>
          <w:b w:val="0"/>
          <w:bCs w:val="0"/>
          <w:color w:val="auto"/>
          <w:sz w:val="24"/>
          <w:szCs w:val="24"/>
        </w:rPr>
      </w:pPr>
    </w:p>
    <w:p w14:paraId="21A92FCC" w14:textId="77777777" w:rsidR="00C46977" w:rsidRDefault="00C46977">
      <w:pPr>
        <w:pStyle w:val="Heading1"/>
        <w:spacing w:line="360" w:lineRule="auto"/>
        <w:rPr>
          <w:b w:val="0"/>
          <w:bCs w:val="0"/>
          <w:color w:val="auto"/>
          <w:sz w:val="24"/>
          <w:szCs w:val="24"/>
        </w:rPr>
      </w:pPr>
    </w:p>
    <w:p w14:paraId="03905AAE" w14:textId="12A01097" w:rsidR="00F54231" w:rsidRDefault="00974FBF">
      <w:pPr>
        <w:pStyle w:val="Heading1"/>
        <w:spacing w:line="360" w:lineRule="auto"/>
      </w:pPr>
      <w:r>
        <w:t>References</w:t>
      </w:r>
      <w:bookmarkEnd w:id="23"/>
    </w:p>
    <w:p w14:paraId="53F36A00" w14:textId="77777777" w:rsidR="00F54231" w:rsidRDefault="00974FBF" w:rsidP="00FE31A7">
      <w:pPr>
        <w:pStyle w:val="ListParagraph"/>
        <w:numPr>
          <w:ilvl w:val="0"/>
          <w:numId w:val="2"/>
        </w:numPr>
        <w:spacing w:after="120" w:line="300" w:lineRule="auto"/>
        <w:jc w:val="both"/>
      </w:pPr>
      <w:r w:rsidRPr="00FE31A7">
        <w:rPr>
          <w:sz w:val="22"/>
          <w:szCs w:val="22"/>
        </w:rPr>
        <w:t>Acemoglu, D. and Robinson, J.A. (2012) Why Nations Fail: The Origins of Power, Prosperity, and Poverty. New York: Crown Business.</w:t>
      </w:r>
    </w:p>
    <w:p w14:paraId="3C3662F5" w14:textId="77777777" w:rsidR="00F54231" w:rsidRDefault="00974FBF" w:rsidP="00FE31A7">
      <w:pPr>
        <w:pStyle w:val="ListParagraph"/>
        <w:numPr>
          <w:ilvl w:val="0"/>
          <w:numId w:val="2"/>
        </w:numPr>
        <w:spacing w:after="120" w:line="300" w:lineRule="auto"/>
        <w:jc w:val="both"/>
      </w:pPr>
      <w:r w:rsidRPr="00FE31A7">
        <w:rPr>
          <w:sz w:val="22"/>
          <w:szCs w:val="22"/>
        </w:rPr>
        <w:t>Aguilera, R.V., Duran, P., Heugens, P.P.M.A.R. and Sauerwald, S. (2019) ‘Multinationals and the political environment: Institutional perspectives on performance’, Journal of World Business, 54(4), pp. 379–394.</w:t>
      </w:r>
    </w:p>
    <w:p w14:paraId="0D7F2C7F" w14:textId="77777777" w:rsidR="00F54231" w:rsidRDefault="00974FBF" w:rsidP="00FE31A7">
      <w:pPr>
        <w:pStyle w:val="ListParagraph"/>
        <w:numPr>
          <w:ilvl w:val="0"/>
          <w:numId w:val="2"/>
        </w:numPr>
        <w:spacing w:after="120" w:line="300" w:lineRule="auto"/>
        <w:jc w:val="both"/>
      </w:pPr>
      <w:r w:rsidRPr="00FE31A7">
        <w:rPr>
          <w:sz w:val="22"/>
          <w:szCs w:val="22"/>
        </w:rPr>
        <w:t>Aizenman, J., Chinn, M.D. and Ito, H. (2020) ‘Financial spillovers and macroprudential policies’, Open Economies Review, 31(3), pp. 529–563.</w:t>
      </w:r>
    </w:p>
    <w:p w14:paraId="62DAAF4B" w14:textId="77777777" w:rsidR="00F54231" w:rsidRDefault="00974FBF" w:rsidP="00FE31A7">
      <w:pPr>
        <w:pStyle w:val="ListParagraph"/>
        <w:numPr>
          <w:ilvl w:val="0"/>
          <w:numId w:val="2"/>
        </w:numPr>
        <w:spacing w:after="120" w:line="300" w:lineRule="auto"/>
        <w:jc w:val="both"/>
      </w:pPr>
      <w:r w:rsidRPr="00FE31A7">
        <w:rPr>
          <w:sz w:val="22"/>
          <w:szCs w:val="22"/>
        </w:rPr>
        <w:t>Al-Jazeera (2024) Iran fires more than 180 ballistic missiles at Israel. Al Jazeera, 1 October 2024. Available at: https://www.aljazeera.com (Accessed: 15 March 2025).</w:t>
      </w:r>
    </w:p>
    <w:p w14:paraId="7A83C20F" w14:textId="77777777" w:rsidR="00F54231" w:rsidRDefault="00974FBF" w:rsidP="00FE31A7">
      <w:pPr>
        <w:pStyle w:val="ListParagraph"/>
        <w:numPr>
          <w:ilvl w:val="0"/>
          <w:numId w:val="2"/>
        </w:numPr>
        <w:spacing w:after="120" w:line="300" w:lineRule="auto"/>
        <w:jc w:val="both"/>
      </w:pPr>
      <w:r w:rsidRPr="00FE31A7">
        <w:rPr>
          <w:sz w:val="22"/>
          <w:szCs w:val="22"/>
        </w:rPr>
        <w:t>Atkins, S. and Murphy, K. (1993) ‘Reflection: A review of the literature’, Journal of Advanced Nursing, 18(8), pp. 1188–1192.</w:t>
      </w:r>
    </w:p>
    <w:p w14:paraId="2BB8B648" w14:textId="77777777" w:rsidR="00F54231" w:rsidRDefault="00974FBF" w:rsidP="00FE31A7">
      <w:pPr>
        <w:pStyle w:val="ListParagraph"/>
        <w:numPr>
          <w:ilvl w:val="0"/>
          <w:numId w:val="2"/>
        </w:numPr>
        <w:spacing w:after="120" w:line="300" w:lineRule="auto"/>
        <w:jc w:val="both"/>
      </w:pPr>
      <w:r w:rsidRPr="00FE31A7">
        <w:rPr>
          <w:sz w:val="22"/>
          <w:szCs w:val="22"/>
        </w:rPr>
        <w:t>Baldwin, R. (2016) The Great Convergence: Information Technology and the New Globalization. Cambridge, MA: Harvard University Press.</w:t>
      </w:r>
    </w:p>
    <w:p w14:paraId="6835B34F" w14:textId="77777777" w:rsidR="00F54231" w:rsidRDefault="00974FBF" w:rsidP="00FE31A7">
      <w:pPr>
        <w:pStyle w:val="ListParagraph"/>
        <w:numPr>
          <w:ilvl w:val="0"/>
          <w:numId w:val="2"/>
        </w:numPr>
        <w:spacing w:after="120" w:line="300" w:lineRule="auto"/>
        <w:jc w:val="both"/>
      </w:pPr>
      <w:r w:rsidRPr="00FE31A7">
        <w:rPr>
          <w:sz w:val="22"/>
          <w:szCs w:val="22"/>
        </w:rPr>
        <w:t>Bangladesh Association of Pharmaceutical Industries (BAPI) (2024) Annual Report 2023–24 and API Import Survey. Dhaka: BAPI.</w:t>
      </w:r>
    </w:p>
    <w:p w14:paraId="6F2CBEA7" w14:textId="77777777" w:rsidR="00F54231" w:rsidRDefault="00974FBF" w:rsidP="00FE31A7">
      <w:pPr>
        <w:pStyle w:val="ListParagraph"/>
        <w:numPr>
          <w:ilvl w:val="0"/>
          <w:numId w:val="2"/>
        </w:numPr>
        <w:spacing w:after="120" w:line="300" w:lineRule="auto"/>
        <w:jc w:val="both"/>
      </w:pPr>
      <w:r w:rsidRPr="00FE31A7">
        <w:rPr>
          <w:sz w:val="22"/>
          <w:szCs w:val="22"/>
        </w:rPr>
        <w:t>Barney, J.B. (1991) ‘Firm resources and sustained competitive advantage’, Journal of Management, 17(1), pp. 99–120.</w:t>
      </w:r>
    </w:p>
    <w:p w14:paraId="229B0E85" w14:textId="77777777" w:rsidR="00F54231" w:rsidRDefault="00974FBF" w:rsidP="00FE31A7">
      <w:pPr>
        <w:pStyle w:val="ListParagraph"/>
        <w:numPr>
          <w:ilvl w:val="0"/>
          <w:numId w:val="2"/>
        </w:numPr>
        <w:spacing w:after="120" w:line="300" w:lineRule="auto"/>
        <w:jc w:val="both"/>
      </w:pPr>
      <w:r w:rsidRPr="00FE31A7">
        <w:rPr>
          <w:sz w:val="22"/>
          <w:szCs w:val="22"/>
        </w:rPr>
        <w:t>BBC (2024) Bangladesh PM Sheikh Hasina resigns amid protests and flees country. BBC News, 5 August 2024. Available at: https://www.bbc.co.uk/news (Accessed: 10 March 2025).</w:t>
      </w:r>
    </w:p>
    <w:p w14:paraId="3188D5EA" w14:textId="77777777" w:rsidR="00F54231" w:rsidRDefault="00974FBF" w:rsidP="00FE31A7">
      <w:pPr>
        <w:pStyle w:val="ListParagraph"/>
        <w:numPr>
          <w:ilvl w:val="0"/>
          <w:numId w:val="2"/>
        </w:numPr>
        <w:spacing w:after="120" w:line="300" w:lineRule="auto"/>
        <w:jc w:val="both"/>
      </w:pPr>
      <w:r w:rsidRPr="00FE31A7">
        <w:rPr>
          <w:sz w:val="22"/>
          <w:szCs w:val="22"/>
        </w:rPr>
        <w:t>Berry, H., Guillen, M.F. and Zhou, N. (2010) ‘An institutional approach to cross-national distance’, Journal of International Business Studies, 41(9), pp. 1460–1480.</w:t>
      </w:r>
    </w:p>
    <w:p w14:paraId="6983446D" w14:textId="77777777" w:rsidR="00F54231" w:rsidRDefault="00974FBF" w:rsidP="00FE31A7">
      <w:pPr>
        <w:pStyle w:val="ListParagraph"/>
        <w:numPr>
          <w:ilvl w:val="0"/>
          <w:numId w:val="2"/>
        </w:numPr>
        <w:spacing w:after="120" w:line="300" w:lineRule="auto"/>
        <w:jc w:val="both"/>
      </w:pPr>
      <w:r w:rsidRPr="00FE31A7">
        <w:rPr>
          <w:sz w:val="22"/>
          <w:szCs w:val="22"/>
        </w:rPr>
        <w:t>Beximco Pharmaceuticals Limited (2023) Annual Report and Accounts 2022–23. Dhaka: Beximco Pharmaceuticals.</w:t>
      </w:r>
    </w:p>
    <w:p w14:paraId="6BE5024E" w14:textId="77777777" w:rsidR="00F54231" w:rsidRDefault="00974FBF" w:rsidP="00FE31A7">
      <w:pPr>
        <w:pStyle w:val="ListParagraph"/>
        <w:numPr>
          <w:ilvl w:val="0"/>
          <w:numId w:val="2"/>
        </w:numPr>
        <w:spacing w:after="120" w:line="300" w:lineRule="auto"/>
        <w:jc w:val="both"/>
      </w:pPr>
      <w:r w:rsidRPr="00FE31A7">
        <w:rPr>
          <w:sz w:val="22"/>
          <w:szCs w:val="22"/>
        </w:rPr>
        <w:t>Bigdeli, M., Jacobs, B., Tomson, G., Hamber, M., Goel, P. and Ghaffar, A. (2013) ‘Access to medicines from a health system perspective’, Health Policy and Planning, 28(7), pp. 692–704.</w:t>
      </w:r>
    </w:p>
    <w:p w14:paraId="4B965C14" w14:textId="77777777" w:rsidR="00F54231" w:rsidRDefault="00974FBF" w:rsidP="00FE31A7">
      <w:pPr>
        <w:pStyle w:val="ListParagraph"/>
        <w:numPr>
          <w:ilvl w:val="0"/>
          <w:numId w:val="2"/>
        </w:numPr>
        <w:spacing w:after="120" w:line="300" w:lineRule="auto"/>
        <w:jc w:val="both"/>
      </w:pPr>
      <w:r w:rsidRPr="00FE31A7">
        <w:rPr>
          <w:sz w:val="22"/>
          <w:szCs w:val="22"/>
        </w:rPr>
        <w:t>Bloom, D.E., Canning, D. and Sevilla, J. (2004) ‘The effect of health on economic growth: A production function approach’, World Development, 32(1), pp. 1–13.</w:t>
      </w:r>
    </w:p>
    <w:p w14:paraId="62573AEA" w14:textId="77777777" w:rsidR="00F54231" w:rsidRDefault="00974FBF" w:rsidP="00FE31A7">
      <w:pPr>
        <w:pStyle w:val="ListParagraph"/>
        <w:numPr>
          <w:ilvl w:val="0"/>
          <w:numId w:val="2"/>
        </w:numPr>
        <w:spacing w:after="120" w:line="300" w:lineRule="auto"/>
        <w:jc w:val="both"/>
      </w:pPr>
      <w:r w:rsidRPr="00FE31A7">
        <w:rPr>
          <w:sz w:val="22"/>
          <w:szCs w:val="22"/>
        </w:rPr>
        <w:t>Boud, D., Keogh, R. and Walker, D. (1985) Reflection: Turning Experience into Learning. London: Kogan Page.</w:t>
      </w:r>
    </w:p>
    <w:p w14:paraId="477C0012" w14:textId="77777777" w:rsidR="00F54231" w:rsidRDefault="00974FBF" w:rsidP="00FE31A7">
      <w:pPr>
        <w:pStyle w:val="ListParagraph"/>
        <w:numPr>
          <w:ilvl w:val="0"/>
          <w:numId w:val="2"/>
        </w:numPr>
        <w:spacing w:after="120" w:line="300" w:lineRule="auto"/>
        <w:jc w:val="both"/>
      </w:pPr>
      <w:r w:rsidRPr="00FE31A7">
        <w:rPr>
          <w:sz w:val="22"/>
          <w:szCs w:val="22"/>
        </w:rPr>
        <w:t>Brookfield, S.D. (1995) Becoming a Critically Reflective Teacher. San Francisco: Jossey-Bass.</w:t>
      </w:r>
    </w:p>
    <w:p w14:paraId="7B1B7CF1" w14:textId="77777777" w:rsidR="00F54231" w:rsidRDefault="00974FBF" w:rsidP="00FE31A7">
      <w:pPr>
        <w:pStyle w:val="ListParagraph"/>
        <w:numPr>
          <w:ilvl w:val="0"/>
          <w:numId w:val="2"/>
        </w:numPr>
        <w:spacing w:after="120" w:line="300" w:lineRule="auto"/>
        <w:jc w:val="both"/>
      </w:pPr>
      <w:r w:rsidRPr="00FE31A7">
        <w:rPr>
          <w:sz w:val="22"/>
          <w:szCs w:val="22"/>
        </w:rPr>
        <w:t>Buckley, P.J. (2020) ‘China’s Belt and Road Initiative and the COVID-19 crisis’, Journal of International Business Policy, 3(3), pp. 311–314.</w:t>
      </w:r>
    </w:p>
    <w:p w14:paraId="6895118D" w14:textId="77777777" w:rsidR="00F54231" w:rsidRDefault="00974FBF" w:rsidP="00FE31A7">
      <w:pPr>
        <w:pStyle w:val="ListParagraph"/>
        <w:numPr>
          <w:ilvl w:val="0"/>
          <w:numId w:val="2"/>
        </w:numPr>
        <w:spacing w:after="120" w:line="300" w:lineRule="auto"/>
        <w:jc w:val="both"/>
      </w:pPr>
      <w:r w:rsidRPr="00FE31A7">
        <w:rPr>
          <w:sz w:val="22"/>
          <w:szCs w:val="22"/>
        </w:rPr>
        <w:t>Buckley, P.J. and Casson, M.C. (2009) ‘The internalisation theory of the multinational enterprise: A review’, Journal of International Business Studies, 40(9), pp. 1563–1580.</w:t>
      </w:r>
    </w:p>
    <w:p w14:paraId="39CF2C8F" w14:textId="77777777" w:rsidR="00F54231" w:rsidRDefault="00974FBF" w:rsidP="00FE31A7">
      <w:pPr>
        <w:pStyle w:val="ListParagraph"/>
        <w:numPr>
          <w:ilvl w:val="0"/>
          <w:numId w:val="2"/>
        </w:numPr>
        <w:spacing w:after="120" w:line="300" w:lineRule="auto"/>
        <w:jc w:val="both"/>
      </w:pPr>
      <w:r w:rsidRPr="00FE31A7">
        <w:rPr>
          <w:sz w:val="22"/>
          <w:szCs w:val="22"/>
        </w:rPr>
        <w:t>Caves, R.E. (1996) Multinational Enterprise and Economic Analysis. 2nd edn. Cambridge: Cambridge University Press.</w:t>
      </w:r>
    </w:p>
    <w:p w14:paraId="5BED37B9" w14:textId="77777777" w:rsidR="00F54231" w:rsidRDefault="00974FBF" w:rsidP="00FE31A7">
      <w:pPr>
        <w:pStyle w:val="ListParagraph"/>
        <w:numPr>
          <w:ilvl w:val="0"/>
          <w:numId w:val="2"/>
        </w:numPr>
        <w:spacing w:after="120" w:line="300" w:lineRule="auto"/>
        <w:jc w:val="both"/>
      </w:pPr>
      <w:r w:rsidRPr="00FE31A7">
        <w:rPr>
          <w:sz w:val="22"/>
          <w:szCs w:val="22"/>
        </w:rPr>
        <w:t>Chaudhuri, S. (2005) The WTO and India’s Pharmaceuticals Industry: Patent Protection, TRIPS, and Developing Countries. New Delhi: Oxford University Press.</w:t>
      </w:r>
    </w:p>
    <w:p w14:paraId="367FA2E1" w14:textId="77777777" w:rsidR="00F54231" w:rsidRDefault="00974FBF" w:rsidP="00FE31A7">
      <w:pPr>
        <w:pStyle w:val="ListParagraph"/>
        <w:numPr>
          <w:ilvl w:val="0"/>
          <w:numId w:val="2"/>
        </w:numPr>
        <w:spacing w:after="120" w:line="300" w:lineRule="auto"/>
        <w:jc w:val="both"/>
      </w:pPr>
      <w:r w:rsidRPr="00FE31A7">
        <w:rPr>
          <w:sz w:val="22"/>
          <w:szCs w:val="22"/>
        </w:rPr>
        <w:t>Chaudhuri, S., Goldberg, P.K. and Jia, P. (2006) ‘Estimating the effects of global patent protection in pharmaceuticals: A case study of quinolones in India’, American Economic Review, 96(5), pp. 1477–1514.</w:t>
      </w:r>
    </w:p>
    <w:p w14:paraId="59985014" w14:textId="77777777" w:rsidR="00F54231" w:rsidRDefault="00974FBF" w:rsidP="00FE31A7">
      <w:pPr>
        <w:pStyle w:val="ListParagraph"/>
        <w:numPr>
          <w:ilvl w:val="0"/>
          <w:numId w:val="2"/>
        </w:numPr>
        <w:spacing w:after="120" w:line="300" w:lineRule="auto"/>
        <w:jc w:val="both"/>
      </w:pPr>
      <w:r w:rsidRPr="00FE31A7">
        <w:rPr>
          <w:sz w:val="22"/>
          <w:szCs w:val="22"/>
        </w:rPr>
        <w:t>Christopher, M. and Peck, H. (2004) ‘Building the resilient supply chain’, International Journal of Logistics Management, 15(2), pp. 1–14.</w:t>
      </w:r>
    </w:p>
    <w:p w14:paraId="4344EDE6" w14:textId="77777777" w:rsidR="00F54231" w:rsidRDefault="00974FBF" w:rsidP="00FE31A7">
      <w:pPr>
        <w:pStyle w:val="ListParagraph"/>
        <w:numPr>
          <w:ilvl w:val="0"/>
          <w:numId w:val="2"/>
        </w:numPr>
        <w:spacing w:after="120" w:line="300" w:lineRule="auto"/>
        <w:jc w:val="both"/>
      </w:pPr>
      <w:r w:rsidRPr="00FE31A7">
        <w:rPr>
          <w:sz w:val="22"/>
          <w:szCs w:val="22"/>
        </w:rPr>
        <w:t>Cockburn, I.M., Henderson, R. and Stern, S. (2000) ‘Untangling the origins of competitive advantage’, Strategic Management Journal, 21(10/11), pp. 1123–1145.</w:t>
      </w:r>
    </w:p>
    <w:p w14:paraId="46677A34" w14:textId="77777777" w:rsidR="00F54231" w:rsidRDefault="00974FBF" w:rsidP="00FE31A7">
      <w:pPr>
        <w:pStyle w:val="ListParagraph"/>
        <w:numPr>
          <w:ilvl w:val="0"/>
          <w:numId w:val="2"/>
        </w:numPr>
        <w:spacing w:after="120" w:line="300" w:lineRule="auto"/>
        <w:jc w:val="both"/>
      </w:pPr>
      <w:r w:rsidRPr="00FE31A7">
        <w:rPr>
          <w:sz w:val="22"/>
          <w:szCs w:val="22"/>
        </w:rPr>
        <w:t>Comanor, W.S. and Scherer, F.M. (2013) ‘Mergers and innovation in the pharmaceutical industry’, Journal of Health Economics, 32(1), pp. 106–113.</w:t>
      </w:r>
    </w:p>
    <w:p w14:paraId="0AC7FB14" w14:textId="77777777" w:rsidR="00F54231" w:rsidRDefault="00974FBF" w:rsidP="00FE31A7">
      <w:pPr>
        <w:pStyle w:val="ListParagraph"/>
        <w:numPr>
          <w:ilvl w:val="0"/>
          <w:numId w:val="2"/>
        </w:numPr>
        <w:spacing w:after="120" w:line="300" w:lineRule="auto"/>
        <w:jc w:val="both"/>
      </w:pPr>
      <w:r w:rsidRPr="00FE31A7">
        <w:rPr>
          <w:sz w:val="22"/>
          <w:szCs w:val="22"/>
        </w:rPr>
        <w:t>Correa, C.M. (2000) Intellectual Property Rights, the WTO and Developing Countries: The TRIPS Agreement and Policy Options. London: Zed Books.</w:t>
      </w:r>
    </w:p>
    <w:p w14:paraId="34F7EE1B" w14:textId="77777777" w:rsidR="00F54231" w:rsidRDefault="00974FBF" w:rsidP="00FE31A7">
      <w:pPr>
        <w:pStyle w:val="ListParagraph"/>
        <w:numPr>
          <w:ilvl w:val="0"/>
          <w:numId w:val="2"/>
        </w:numPr>
        <w:spacing w:after="120" w:line="300" w:lineRule="auto"/>
        <w:jc w:val="both"/>
      </w:pPr>
      <w:r w:rsidRPr="00FE31A7">
        <w:rPr>
          <w:sz w:val="22"/>
          <w:szCs w:val="22"/>
        </w:rPr>
        <w:t>Dewey, J. (1933) How We Think: A Restatement of the Relation of Reflective Thinking to the Educative Process. Boston: D.C. Heath.</w:t>
      </w:r>
    </w:p>
    <w:p w14:paraId="2676525C" w14:textId="77777777" w:rsidR="00F54231" w:rsidRDefault="00974FBF" w:rsidP="00FE31A7">
      <w:pPr>
        <w:pStyle w:val="ListParagraph"/>
        <w:numPr>
          <w:ilvl w:val="0"/>
          <w:numId w:val="2"/>
        </w:numPr>
        <w:spacing w:after="120" w:line="300" w:lineRule="auto"/>
        <w:jc w:val="both"/>
      </w:pPr>
      <w:r w:rsidRPr="00FE31A7">
        <w:rPr>
          <w:sz w:val="22"/>
          <w:szCs w:val="22"/>
        </w:rPr>
        <w:t>Directorate General of Drug Administration (DGDA) (2023) Bangladesh Pharmaceutical Industry: Regulatory Overview 2022–23. Dhaka: Ministry of Health.</w:t>
      </w:r>
    </w:p>
    <w:p w14:paraId="24425104" w14:textId="77777777" w:rsidR="00F54231" w:rsidRDefault="00974FBF" w:rsidP="00FE31A7">
      <w:pPr>
        <w:pStyle w:val="ListParagraph"/>
        <w:numPr>
          <w:ilvl w:val="0"/>
          <w:numId w:val="2"/>
        </w:numPr>
        <w:spacing w:after="120" w:line="300" w:lineRule="auto"/>
        <w:jc w:val="both"/>
      </w:pPr>
      <w:r w:rsidRPr="00FE31A7">
        <w:rPr>
          <w:sz w:val="22"/>
          <w:szCs w:val="22"/>
        </w:rPr>
        <w:t>Drewry Shipping Consultants (2024) World Container Index: Weekly Reports July 2023 to October 2024. London: Drewry.</w:t>
      </w:r>
    </w:p>
    <w:p w14:paraId="1F2AC5C5" w14:textId="77777777" w:rsidR="00F54231" w:rsidRDefault="00974FBF" w:rsidP="00FE31A7">
      <w:pPr>
        <w:pStyle w:val="ListParagraph"/>
        <w:numPr>
          <w:ilvl w:val="0"/>
          <w:numId w:val="2"/>
        </w:numPr>
        <w:spacing w:after="120" w:line="300" w:lineRule="auto"/>
        <w:jc w:val="both"/>
      </w:pPr>
      <w:r w:rsidRPr="00FE31A7">
        <w:rPr>
          <w:sz w:val="22"/>
          <w:szCs w:val="22"/>
        </w:rPr>
        <w:t>Dunning, J.H. (2001) ‘The eclectic (OLI) paradigm of international production: Past, present and future’, International Journal of the Economics of Business, 8(2), pp. 173–190.</w:t>
      </w:r>
    </w:p>
    <w:p w14:paraId="46F1DCB3" w14:textId="77777777" w:rsidR="00F54231" w:rsidRDefault="00974FBF" w:rsidP="00FE31A7">
      <w:pPr>
        <w:pStyle w:val="ListParagraph"/>
        <w:numPr>
          <w:ilvl w:val="0"/>
          <w:numId w:val="2"/>
        </w:numPr>
        <w:spacing w:after="120" w:line="300" w:lineRule="auto"/>
        <w:jc w:val="both"/>
      </w:pPr>
      <w:r w:rsidRPr="00FE31A7">
        <w:rPr>
          <w:sz w:val="22"/>
          <w:szCs w:val="22"/>
        </w:rPr>
        <w:t>Dunning, J.H. and Lundan, S.M. (2008) Multinational Enterprises and the Global Economy. 2nd edn. Cheltenham: Edward Elgar.</w:t>
      </w:r>
    </w:p>
    <w:p w14:paraId="47AC9977" w14:textId="77777777" w:rsidR="00F54231" w:rsidRDefault="00974FBF" w:rsidP="00FE31A7">
      <w:pPr>
        <w:pStyle w:val="ListParagraph"/>
        <w:numPr>
          <w:ilvl w:val="0"/>
          <w:numId w:val="2"/>
        </w:numPr>
        <w:spacing w:after="120" w:line="300" w:lineRule="auto"/>
        <w:jc w:val="both"/>
      </w:pPr>
      <w:r w:rsidRPr="00FE31A7">
        <w:rPr>
          <w:sz w:val="22"/>
          <w:szCs w:val="22"/>
        </w:rPr>
        <w:t>Emmenegger, P. (2015) ‘The long arm of justice: US structural power and international banking’, Business and Politics, 17(3), pp. 473–493.</w:t>
      </w:r>
    </w:p>
    <w:p w14:paraId="43884D49" w14:textId="77777777" w:rsidR="00F54231" w:rsidRDefault="00974FBF" w:rsidP="00FE31A7">
      <w:pPr>
        <w:pStyle w:val="ListParagraph"/>
        <w:numPr>
          <w:ilvl w:val="0"/>
          <w:numId w:val="2"/>
        </w:numPr>
        <w:spacing w:after="120" w:line="300" w:lineRule="auto"/>
        <w:jc w:val="both"/>
      </w:pPr>
      <w:r w:rsidRPr="00FE31A7">
        <w:rPr>
          <w:sz w:val="22"/>
          <w:szCs w:val="22"/>
        </w:rPr>
        <w:t>European Commission (2023) Corporate Sustainability Due Diligence Directive: Impact Assessment. Brussels: European Commission.</w:t>
      </w:r>
    </w:p>
    <w:p w14:paraId="5F09C84D" w14:textId="77777777" w:rsidR="00F54231" w:rsidRDefault="00974FBF" w:rsidP="00FE31A7">
      <w:pPr>
        <w:pStyle w:val="ListParagraph"/>
        <w:numPr>
          <w:ilvl w:val="0"/>
          <w:numId w:val="2"/>
        </w:numPr>
        <w:spacing w:after="120" w:line="300" w:lineRule="auto"/>
        <w:jc w:val="both"/>
      </w:pPr>
      <w:r w:rsidRPr="00FE31A7">
        <w:rPr>
          <w:sz w:val="22"/>
          <w:szCs w:val="22"/>
        </w:rPr>
        <w:t>Export Promotion Bureau (EPB) (2024) Bangladesh Pharmaceutical Export Statistics FY2023–24. Dhaka: Ministry of Commerce.</w:t>
      </w:r>
    </w:p>
    <w:p w14:paraId="15562990" w14:textId="77777777" w:rsidR="00F54231" w:rsidRDefault="00974FBF" w:rsidP="00FE31A7">
      <w:pPr>
        <w:pStyle w:val="ListParagraph"/>
        <w:numPr>
          <w:ilvl w:val="0"/>
          <w:numId w:val="2"/>
        </w:numPr>
        <w:spacing w:after="120" w:line="300" w:lineRule="auto"/>
        <w:jc w:val="both"/>
      </w:pPr>
      <w:r w:rsidRPr="00FE31A7">
        <w:rPr>
          <w:sz w:val="22"/>
          <w:szCs w:val="22"/>
        </w:rPr>
        <w:t>Finlay, L. (2008) ‘Reflecting on reflective practice’, Practice-Based Professional Learning Centre Paper No. 52, The Open University.</w:t>
      </w:r>
    </w:p>
    <w:p w14:paraId="258528E5" w14:textId="77777777" w:rsidR="00F54231" w:rsidRDefault="00974FBF" w:rsidP="00FE31A7">
      <w:pPr>
        <w:pStyle w:val="ListParagraph"/>
        <w:numPr>
          <w:ilvl w:val="0"/>
          <w:numId w:val="2"/>
        </w:numPr>
        <w:spacing w:after="120" w:line="300" w:lineRule="auto"/>
        <w:jc w:val="both"/>
      </w:pPr>
      <w:r w:rsidRPr="00FE31A7">
        <w:rPr>
          <w:sz w:val="22"/>
          <w:szCs w:val="22"/>
        </w:rPr>
        <w:t>Fook, J. (2015) ‘Reflective practice and critical reflection’, in Lishman, J. (ed.) Handbook for Practice Learning. London: Jessica Kingsley, pp. 440–454.</w:t>
      </w:r>
    </w:p>
    <w:p w14:paraId="007E99C9" w14:textId="77777777" w:rsidR="00F54231" w:rsidRDefault="00974FBF" w:rsidP="00FE31A7">
      <w:pPr>
        <w:pStyle w:val="ListParagraph"/>
        <w:numPr>
          <w:ilvl w:val="0"/>
          <w:numId w:val="2"/>
        </w:numPr>
        <w:spacing w:after="120" w:line="300" w:lineRule="auto"/>
        <w:jc w:val="both"/>
      </w:pPr>
      <w:r w:rsidRPr="00FE31A7">
        <w:rPr>
          <w:sz w:val="22"/>
          <w:szCs w:val="22"/>
        </w:rPr>
        <w:t>Gereffi, G., Humphrey, J. and Sturgeon, T. (2005) ‘The governance of global value chains’, Review of International Political Economy, 12(1), pp. 78–104.</w:t>
      </w:r>
    </w:p>
    <w:p w14:paraId="13DE572A" w14:textId="77777777" w:rsidR="00F54231" w:rsidRDefault="00974FBF" w:rsidP="00FE31A7">
      <w:pPr>
        <w:pStyle w:val="ListParagraph"/>
        <w:numPr>
          <w:ilvl w:val="0"/>
          <w:numId w:val="2"/>
        </w:numPr>
        <w:spacing w:after="120" w:line="300" w:lineRule="auto"/>
        <w:jc w:val="both"/>
      </w:pPr>
      <w:r w:rsidRPr="00FE31A7">
        <w:rPr>
          <w:sz w:val="22"/>
          <w:szCs w:val="22"/>
        </w:rPr>
        <w:t>Ghemawat, P. (2001) ‘Distance still matters: The hard reality of global expansion’, Harvard Business Review, 79(8), pp. 137–147.</w:t>
      </w:r>
    </w:p>
    <w:p w14:paraId="53C2A100" w14:textId="77777777" w:rsidR="00F54231" w:rsidRDefault="00974FBF" w:rsidP="00FE31A7">
      <w:pPr>
        <w:pStyle w:val="ListParagraph"/>
        <w:numPr>
          <w:ilvl w:val="0"/>
          <w:numId w:val="2"/>
        </w:numPr>
        <w:spacing w:after="120" w:line="300" w:lineRule="auto"/>
        <w:jc w:val="both"/>
      </w:pPr>
      <w:r w:rsidRPr="00FE31A7">
        <w:rPr>
          <w:sz w:val="22"/>
          <w:szCs w:val="22"/>
        </w:rPr>
        <w:t>Gibbs, G. (1988) Learning by Doing: A Guide to Teaching and Learning Methods. Oxford: Oxford Polytechnic.</w:t>
      </w:r>
    </w:p>
    <w:p w14:paraId="6CA771EC" w14:textId="77777777" w:rsidR="00F54231" w:rsidRDefault="00974FBF" w:rsidP="00FE31A7">
      <w:pPr>
        <w:pStyle w:val="ListParagraph"/>
        <w:numPr>
          <w:ilvl w:val="0"/>
          <w:numId w:val="2"/>
        </w:numPr>
        <w:spacing w:after="120" w:line="300" w:lineRule="auto"/>
        <w:jc w:val="both"/>
      </w:pPr>
      <w:r w:rsidRPr="00FE31A7">
        <w:rPr>
          <w:sz w:val="22"/>
          <w:szCs w:val="22"/>
        </w:rPr>
        <w:t>Hamilton, J.D. (2009) ‘Causes and consequences of the oil shock of 2007–08’, Brookings Papers on Economic Activity, 2009(1), pp. 215–261.</w:t>
      </w:r>
    </w:p>
    <w:p w14:paraId="6ECA6910" w14:textId="77777777" w:rsidR="00F54231" w:rsidRDefault="00974FBF" w:rsidP="00FE31A7">
      <w:pPr>
        <w:pStyle w:val="ListParagraph"/>
        <w:numPr>
          <w:ilvl w:val="0"/>
          <w:numId w:val="2"/>
        </w:numPr>
        <w:spacing w:after="120" w:line="300" w:lineRule="auto"/>
        <w:jc w:val="both"/>
      </w:pPr>
      <w:r w:rsidRPr="00FE31A7">
        <w:rPr>
          <w:sz w:val="22"/>
          <w:szCs w:val="22"/>
        </w:rPr>
        <w:t>Helpman, E. (2011) Understanding Global Trade. Cambridge, MA: Harvard University Press.</w:t>
      </w:r>
    </w:p>
    <w:p w14:paraId="662D6E3E" w14:textId="77777777" w:rsidR="00F54231" w:rsidRDefault="00974FBF" w:rsidP="00FE31A7">
      <w:pPr>
        <w:pStyle w:val="ListParagraph"/>
        <w:numPr>
          <w:ilvl w:val="0"/>
          <w:numId w:val="2"/>
        </w:numPr>
        <w:spacing w:after="120" w:line="300" w:lineRule="auto"/>
        <w:jc w:val="both"/>
      </w:pPr>
      <w:r w:rsidRPr="00FE31A7">
        <w:rPr>
          <w:sz w:val="22"/>
          <w:szCs w:val="22"/>
        </w:rPr>
        <w:t>Henisz, W.J. (2000) ‘The institutional environment for multinational investment’, Journal of Law, Economics, and Organization, 16(2), pp. 334–364.</w:t>
      </w:r>
    </w:p>
    <w:p w14:paraId="77EB1BDC" w14:textId="77777777" w:rsidR="00F54231" w:rsidRDefault="00974FBF" w:rsidP="00FE31A7">
      <w:pPr>
        <w:pStyle w:val="ListParagraph"/>
        <w:numPr>
          <w:ilvl w:val="0"/>
          <w:numId w:val="2"/>
        </w:numPr>
        <w:spacing w:after="120" w:line="300" w:lineRule="auto"/>
        <w:jc w:val="both"/>
      </w:pPr>
      <w:r w:rsidRPr="00FE31A7">
        <w:rPr>
          <w:sz w:val="22"/>
          <w:szCs w:val="22"/>
        </w:rPr>
        <w:t>Hennart, J.F. (2009) ‘Down with MNE-centric theories! Market entry and expansion as the bundling of MNE and local assets’, Journal of International Business Studies, 40(9), pp. 1432–1454.</w:t>
      </w:r>
    </w:p>
    <w:p w14:paraId="1198B0E0" w14:textId="77777777" w:rsidR="00F54231" w:rsidRDefault="00974FBF" w:rsidP="00FE31A7">
      <w:pPr>
        <w:pStyle w:val="ListParagraph"/>
        <w:numPr>
          <w:ilvl w:val="0"/>
          <w:numId w:val="2"/>
        </w:numPr>
        <w:spacing w:after="120" w:line="300" w:lineRule="auto"/>
        <w:jc w:val="both"/>
      </w:pPr>
      <w:r w:rsidRPr="00FE31A7">
        <w:rPr>
          <w:sz w:val="22"/>
          <w:szCs w:val="22"/>
        </w:rPr>
        <w:t>Hennart, J.F. (2012) ‘Emerging market multinationals and the theory of the multinational enterprise’, Global Strategy Journal, 2(3), pp. 168–187.</w:t>
      </w:r>
    </w:p>
    <w:p w14:paraId="29C62EDC" w14:textId="77777777" w:rsidR="00F54231" w:rsidRDefault="00974FBF" w:rsidP="00FE31A7">
      <w:pPr>
        <w:pStyle w:val="ListParagraph"/>
        <w:numPr>
          <w:ilvl w:val="0"/>
          <w:numId w:val="2"/>
        </w:numPr>
        <w:spacing w:after="120" w:line="300" w:lineRule="auto"/>
        <w:jc w:val="both"/>
      </w:pPr>
      <w:r w:rsidRPr="00FE31A7">
        <w:rPr>
          <w:sz w:val="22"/>
          <w:szCs w:val="22"/>
        </w:rPr>
        <w:t>Hofstede, G. (2011) ‘Dimensionalizing cultures: The Hofstede model in context’, Online Readings in Psychology and Culture, 2(1), Article 8.</w:t>
      </w:r>
    </w:p>
    <w:p w14:paraId="33006B37" w14:textId="77777777" w:rsidR="00F54231" w:rsidRDefault="00974FBF" w:rsidP="00FE31A7">
      <w:pPr>
        <w:pStyle w:val="ListParagraph"/>
        <w:numPr>
          <w:ilvl w:val="0"/>
          <w:numId w:val="2"/>
        </w:numPr>
        <w:spacing w:after="120" w:line="300" w:lineRule="auto"/>
        <w:jc w:val="both"/>
      </w:pPr>
      <w:r w:rsidRPr="00FE31A7">
        <w:rPr>
          <w:sz w:val="22"/>
          <w:szCs w:val="22"/>
        </w:rPr>
        <w:t>Hofstede Insights (2024) Country Comparison: France and Bangladesh. Available at: https://www.hofstede-insights.com (Accessed: 12 March 2025).</w:t>
      </w:r>
    </w:p>
    <w:p w14:paraId="321DE6C9" w14:textId="77777777" w:rsidR="00F54231" w:rsidRDefault="00974FBF" w:rsidP="00FE31A7">
      <w:pPr>
        <w:pStyle w:val="ListParagraph"/>
        <w:numPr>
          <w:ilvl w:val="0"/>
          <w:numId w:val="2"/>
        </w:numPr>
        <w:spacing w:after="120" w:line="300" w:lineRule="auto"/>
        <w:jc w:val="both"/>
      </w:pPr>
      <w:r w:rsidRPr="00FE31A7">
        <w:rPr>
          <w:sz w:val="22"/>
          <w:szCs w:val="22"/>
        </w:rPr>
        <w:t>Holburn, G.L. and Zelner, B.A. (2010) ‘Political capabilities, policy risk, and international investment strategy’, Strategic Management Journal, 31(12), pp. 1290–1315.</w:t>
      </w:r>
    </w:p>
    <w:p w14:paraId="402B83A3" w14:textId="77777777" w:rsidR="00F54231" w:rsidRDefault="00974FBF" w:rsidP="00FE31A7">
      <w:pPr>
        <w:pStyle w:val="ListParagraph"/>
        <w:numPr>
          <w:ilvl w:val="0"/>
          <w:numId w:val="2"/>
        </w:numPr>
        <w:spacing w:after="120" w:line="300" w:lineRule="auto"/>
        <w:jc w:val="both"/>
      </w:pPr>
      <w:r w:rsidRPr="00FE31A7">
        <w:rPr>
          <w:sz w:val="22"/>
          <w:szCs w:val="22"/>
        </w:rPr>
        <w:t>House, R.J., Hanges, P.J., Javidan, M., Dorfman, P.W. and Gupta, V. (2004) Culture, Leadership, and Organizations: The GLOBE Study of 62 Societies. Thousand Oaks: Sage.</w:t>
      </w:r>
    </w:p>
    <w:p w14:paraId="6065DD27" w14:textId="77777777" w:rsidR="00F54231" w:rsidRDefault="00974FBF" w:rsidP="00FE31A7">
      <w:pPr>
        <w:pStyle w:val="ListParagraph"/>
        <w:numPr>
          <w:ilvl w:val="0"/>
          <w:numId w:val="2"/>
        </w:numPr>
        <w:spacing w:after="120" w:line="300" w:lineRule="auto"/>
        <w:jc w:val="both"/>
      </w:pPr>
      <w:r w:rsidRPr="00FE31A7">
        <w:rPr>
          <w:sz w:val="22"/>
          <w:szCs w:val="22"/>
        </w:rPr>
        <w:t>International Diabetes Federation (IDF) (2023) IDF Diabetes Atlas. 10th edn. Brussels: IDF.</w:t>
      </w:r>
    </w:p>
    <w:p w14:paraId="3EE2124F" w14:textId="77777777" w:rsidR="00F54231" w:rsidRDefault="00974FBF" w:rsidP="00FE31A7">
      <w:pPr>
        <w:pStyle w:val="ListParagraph"/>
        <w:numPr>
          <w:ilvl w:val="0"/>
          <w:numId w:val="2"/>
        </w:numPr>
        <w:spacing w:after="120" w:line="300" w:lineRule="auto"/>
        <w:jc w:val="both"/>
      </w:pPr>
      <w:r w:rsidRPr="00FE31A7">
        <w:rPr>
          <w:sz w:val="22"/>
          <w:szCs w:val="22"/>
        </w:rPr>
        <w:t>International Monetary Fund (IMF) (2024) World Economic Outlook Update and IMF Commodity Price Monitor. Washington DC: IMF.</w:t>
      </w:r>
    </w:p>
    <w:p w14:paraId="01E5452F" w14:textId="77777777" w:rsidR="00F54231" w:rsidRDefault="00974FBF" w:rsidP="00FE31A7">
      <w:pPr>
        <w:pStyle w:val="ListParagraph"/>
        <w:numPr>
          <w:ilvl w:val="0"/>
          <w:numId w:val="2"/>
        </w:numPr>
        <w:spacing w:after="120" w:line="300" w:lineRule="auto"/>
        <w:jc w:val="both"/>
      </w:pPr>
      <w:r w:rsidRPr="00FE31A7">
        <w:rPr>
          <w:sz w:val="22"/>
          <w:szCs w:val="22"/>
        </w:rPr>
        <w:t>IQVIA Bangladesh (2024) Bangladesh Pharmaceutical Market Report: FY2022–23 Full-Year Analysis. Dhaka: IQVIA.</w:t>
      </w:r>
    </w:p>
    <w:p w14:paraId="539BBF71" w14:textId="77777777" w:rsidR="00F54231" w:rsidRDefault="00974FBF" w:rsidP="00FE31A7">
      <w:pPr>
        <w:pStyle w:val="ListParagraph"/>
        <w:numPr>
          <w:ilvl w:val="0"/>
          <w:numId w:val="2"/>
        </w:numPr>
        <w:spacing w:after="120" w:line="300" w:lineRule="auto"/>
        <w:jc w:val="both"/>
      </w:pPr>
      <w:r w:rsidRPr="00FE31A7">
        <w:rPr>
          <w:sz w:val="22"/>
          <w:szCs w:val="22"/>
        </w:rPr>
        <w:t>Jamal, A. (2003) ‘Marketing in a multicultural world: The interplay of marketing, ethnicity and consumption’, European Journal of Marketing, 37(11/12), pp. 1599–1620.</w:t>
      </w:r>
    </w:p>
    <w:p w14:paraId="190C21B4" w14:textId="77777777" w:rsidR="00F54231" w:rsidRDefault="00974FBF" w:rsidP="00FE31A7">
      <w:pPr>
        <w:pStyle w:val="ListParagraph"/>
        <w:numPr>
          <w:ilvl w:val="0"/>
          <w:numId w:val="2"/>
        </w:numPr>
        <w:spacing w:after="120" w:line="300" w:lineRule="auto"/>
        <w:jc w:val="both"/>
      </w:pPr>
      <w:r w:rsidRPr="00FE31A7">
        <w:rPr>
          <w:sz w:val="22"/>
          <w:szCs w:val="22"/>
        </w:rPr>
        <w:t>Jasper, M. (2003) Beginning Reflective Practice. Cheltenham: Nelson Thornes.</w:t>
      </w:r>
    </w:p>
    <w:p w14:paraId="0175C418" w14:textId="77777777" w:rsidR="00F54231" w:rsidRDefault="00974FBF" w:rsidP="00FE31A7">
      <w:pPr>
        <w:pStyle w:val="ListParagraph"/>
        <w:numPr>
          <w:ilvl w:val="0"/>
          <w:numId w:val="2"/>
        </w:numPr>
        <w:spacing w:after="120" w:line="300" w:lineRule="auto"/>
        <w:jc w:val="both"/>
      </w:pPr>
      <w:r w:rsidRPr="00FE31A7">
        <w:rPr>
          <w:sz w:val="22"/>
          <w:szCs w:val="22"/>
        </w:rPr>
        <w:t>Johanson, J. and Vahlne, J.E. (2009) ‘The Uppsala internationalisation process model revisited’, Journal of International Business Studies, 40(9), pp. 1411–1431.</w:t>
      </w:r>
    </w:p>
    <w:p w14:paraId="1DF08E0F" w14:textId="77777777" w:rsidR="00F54231" w:rsidRDefault="00974FBF" w:rsidP="00FE31A7">
      <w:pPr>
        <w:pStyle w:val="ListParagraph"/>
        <w:numPr>
          <w:ilvl w:val="0"/>
          <w:numId w:val="2"/>
        </w:numPr>
        <w:spacing w:after="120" w:line="300" w:lineRule="auto"/>
        <w:jc w:val="both"/>
      </w:pPr>
      <w:r w:rsidRPr="00FE31A7">
        <w:rPr>
          <w:sz w:val="22"/>
          <w:szCs w:val="22"/>
        </w:rPr>
        <w:t>Johns, C. (2009) Becoming a Reflective Practitioner. 3rd edn. Oxford: Wiley-Blackwell.</w:t>
      </w:r>
    </w:p>
    <w:p w14:paraId="308697EA" w14:textId="77777777" w:rsidR="00F54231" w:rsidRDefault="00974FBF" w:rsidP="00FE31A7">
      <w:pPr>
        <w:pStyle w:val="ListParagraph"/>
        <w:numPr>
          <w:ilvl w:val="0"/>
          <w:numId w:val="2"/>
        </w:numPr>
        <w:spacing w:after="120" w:line="300" w:lineRule="auto"/>
        <w:jc w:val="both"/>
      </w:pPr>
      <w:r w:rsidRPr="00FE31A7">
        <w:rPr>
          <w:sz w:val="22"/>
          <w:szCs w:val="22"/>
        </w:rPr>
        <w:t>Karim, S.S.A., Pillai, G. and Ziqubu-Page, T.T. (2020) ‘Drug policies in South Asia: Lessons from Bangladesh’, Social Science &amp; Medicine, 245, p. 112703.</w:t>
      </w:r>
    </w:p>
    <w:p w14:paraId="367EAF68" w14:textId="77777777" w:rsidR="00F54231" w:rsidRDefault="00974FBF" w:rsidP="00FE31A7">
      <w:pPr>
        <w:pStyle w:val="ListParagraph"/>
        <w:numPr>
          <w:ilvl w:val="0"/>
          <w:numId w:val="2"/>
        </w:numPr>
        <w:spacing w:after="120" w:line="300" w:lineRule="auto"/>
        <w:jc w:val="both"/>
      </w:pPr>
      <w:r w:rsidRPr="00FE31A7">
        <w:rPr>
          <w:sz w:val="22"/>
          <w:szCs w:val="22"/>
        </w:rPr>
        <w:t>Khanna, T. and Palepu, K.G. (2010) Winning in Emerging Markets: A Road Map for Strategy and Execution. Boston: Harvard Business Press.</w:t>
      </w:r>
    </w:p>
    <w:p w14:paraId="351BFE3D" w14:textId="77777777" w:rsidR="00F54231" w:rsidRDefault="00974FBF" w:rsidP="00FE31A7">
      <w:pPr>
        <w:pStyle w:val="ListParagraph"/>
        <w:numPr>
          <w:ilvl w:val="0"/>
          <w:numId w:val="2"/>
        </w:numPr>
        <w:spacing w:after="120" w:line="300" w:lineRule="auto"/>
        <w:jc w:val="both"/>
      </w:pPr>
      <w:r w:rsidRPr="00FE31A7">
        <w:rPr>
          <w:sz w:val="22"/>
          <w:szCs w:val="22"/>
        </w:rPr>
        <w:t>Kirkman, B.L., Lowe, K.B. and Gibson, C.B. (2006) ‘A quarter century of Culture’s Consequences’, Journal of International Business Studies, 37(3), pp. 285–320.</w:t>
      </w:r>
    </w:p>
    <w:p w14:paraId="0DF5370A" w14:textId="77777777" w:rsidR="00F54231" w:rsidRDefault="00974FBF" w:rsidP="00FE31A7">
      <w:pPr>
        <w:pStyle w:val="ListParagraph"/>
        <w:numPr>
          <w:ilvl w:val="0"/>
          <w:numId w:val="2"/>
        </w:numPr>
        <w:spacing w:after="120" w:line="300" w:lineRule="auto"/>
        <w:jc w:val="both"/>
      </w:pPr>
      <w:r w:rsidRPr="00FE31A7">
        <w:rPr>
          <w:sz w:val="22"/>
          <w:szCs w:val="22"/>
        </w:rPr>
        <w:t>Kobrin, S.J. (2022) ‘How globalisation became a thing and what to do about it’, Journal of International Business Policy, 5(2), pp. 137–153.</w:t>
      </w:r>
    </w:p>
    <w:p w14:paraId="134D3C0C" w14:textId="77777777" w:rsidR="00F54231" w:rsidRDefault="00974FBF" w:rsidP="00FE31A7">
      <w:pPr>
        <w:pStyle w:val="ListParagraph"/>
        <w:numPr>
          <w:ilvl w:val="0"/>
          <w:numId w:val="2"/>
        </w:numPr>
        <w:spacing w:after="120" w:line="300" w:lineRule="auto"/>
        <w:jc w:val="both"/>
      </w:pPr>
      <w:r w:rsidRPr="00FE31A7">
        <w:rPr>
          <w:sz w:val="22"/>
          <w:szCs w:val="22"/>
        </w:rPr>
        <w:t>Kolb, D.A. (1984) Experiential Learning: Experience as the Source of Learning and Development. Englewood Cliffs: Prentice-Hall.</w:t>
      </w:r>
    </w:p>
    <w:p w14:paraId="150561CB" w14:textId="77777777" w:rsidR="00F54231" w:rsidRDefault="00974FBF" w:rsidP="00FE31A7">
      <w:pPr>
        <w:pStyle w:val="ListParagraph"/>
        <w:numPr>
          <w:ilvl w:val="0"/>
          <w:numId w:val="2"/>
        </w:numPr>
        <w:spacing w:after="120" w:line="300" w:lineRule="auto"/>
        <w:jc w:val="both"/>
      </w:pPr>
      <w:r w:rsidRPr="00FE31A7">
        <w:rPr>
          <w:sz w:val="22"/>
          <w:szCs w:val="22"/>
        </w:rPr>
        <w:t>La Porta, R., Lopez-de-Silanes, F., Shleifer, A. and Vishny, R.W. (1998) ‘Law and finance’, Journal of Political Economy, 106(6), pp. 1113–1155.</w:t>
      </w:r>
    </w:p>
    <w:p w14:paraId="0A855C86" w14:textId="77777777" w:rsidR="00F54231" w:rsidRDefault="00974FBF" w:rsidP="00FE31A7">
      <w:pPr>
        <w:pStyle w:val="ListParagraph"/>
        <w:numPr>
          <w:ilvl w:val="0"/>
          <w:numId w:val="2"/>
        </w:numPr>
        <w:spacing w:after="120" w:line="300" w:lineRule="auto"/>
        <w:jc w:val="both"/>
      </w:pPr>
      <w:r w:rsidRPr="00FE31A7">
        <w:rPr>
          <w:sz w:val="22"/>
          <w:szCs w:val="22"/>
        </w:rPr>
        <w:t>Lall, S. (2001) Competitiveness, Technology and Skills. Cheltenham: Edward Elgar.</w:t>
      </w:r>
    </w:p>
    <w:p w14:paraId="393B47DD" w14:textId="77777777" w:rsidR="00F54231" w:rsidRDefault="00974FBF" w:rsidP="00FE31A7">
      <w:pPr>
        <w:pStyle w:val="ListParagraph"/>
        <w:numPr>
          <w:ilvl w:val="0"/>
          <w:numId w:val="2"/>
        </w:numPr>
        <w:spacing w:after="120" w:line="300" w:lineRule="auto"/>
        <w:jc w:val="both"/>
      </w:pPr>
      <w:r w:rsidRPr="00FE31A7">
        <w:rPr>
          <w:sz w:val="22"/>
          <w:szCs w:val="22"/>
        </w:rPr>
        <w:t>Malerba, F. and Orsenigo, L. (2015) ‘The evolution of the pharmaceutical industry’, Business History, 57(5), pp. 664–687.</w:t>
      </w:r>
    </w:p>
    <w:p w14:paraId="3240B231" w14:textId="77777777" w:rsidR="00F54231" w:rsidRDefault="00974FBF" w:rsidP="00FE31A7">
      <w:pPr>
        <w:pStyle w:val="ListParagraph"/>
        <w:numPr>
          <w:ilvl w:val="0"/>
          <w:numId w:val="2"/>
        </w:numPr>
        <w:spacing w:after="120" w:line="300" w:lineRule="auto"/>
        <w:jc w:val="both"/>
      </w:pPr>
      <w:r w:rsidRPr="00FE31A7">
        <w:rPr>
          <w:sz w:val="22"/>
          <w:szCs w:val="22"/>
        </w:rPr>
        <w:t>Mann, K., Gordon, J. and MacLeod, A. (2009) ‘Reflection and reflective practice in health professions education’, Advances in Health Sciences Education, 14(4), pp. 595–621.</w:t>
      </w:r>
    </w:p>
    <w:p w14:paraId="7700D185" w14:textId="77777777" w:rsidR="00F54231" w:rsidRDefault="00974FBF" w:rsidP="00FE31A7">
      <w:pPr>
        <w:pStyle w:val="ListParagraph"/>
        <w:numPr>
          <w:ilvl w:val="0"/>
          <w:numId w:val="2"/>
        </w:numPr>
        <w:spacing w:after="120" w:line="300" w:lineRule="auto"/>
        <w:jc w:val="both"/>
      </w:pPr>
      <w:r w:rsidRPr="00FE31A7">
        <w:rPr>
          <w:sz w:val="22"/>
          <w:szCs w:val="22"/>
        </w:rPr>
        <w:t>Maskus, K.E. (2000) Intellectual Property Rights in the Global Economy. Washington DC: Institute for International Economics.</w:t>
      </w:r>
    </w:p>
    <w:p w14:paraId="7572E5B5" w14:textId="77777777" w:rsidR="00F54231" w:rsidRDefault="00974FBF" w:rsidP="00FE31A7">
      <w:pPr>
        <w:pStyle w:val="ListParagraph"/>
        <w:numPr>
          <w:ilvl w:val="0"/>
          <w:numId w:val="2"/>
        </w:numPr>
        <w:spacing w:after="120" w:line="300" w:lineRule="auto"/>
        <w:jc w:val="both"/>
      </w:pPr>
      <w:r w:rsidRPr="00FE31A7">
        <w:rPr>
          <w:sz w:val="22"/>
          <w:szCs w:val="22"/>
        </w:rPr>
        <w:t>Mezirow, J. (1991) Transformative Dimensions of Adult Learning. San Francisco: Jossey-Bass.</w:t>
      </w:r>
    </w:p>
    <w:p w14:paraId="53E33D79" w14:textId="77777777" w:rsidR="00F54231" w:rsidRDefault="00974FBF" w:rsidP="00FE31A7">
      <w:pPr>
        <w:pStyle w:val="ListParagraph"/>
        <w:numPr>
          <w:ilvl w:val="0"/>
          <w:numId w:val="2"/>
        </w:numPr>
        <w:spacing w:after="120" w:line="300" w:lineRule="auto"/>
        <w:jc w:val="both"/>
      </w:pPr>
      <w:r w:rsidRPr="00FE31A7">
        <w:rPr>
          <w:sz w:val="22"/>
          <w:szCs w:val="22"/>
        </w:rPr>
        <w:t>Mezirow, J. (1997) ‘Transformative learning: Theory to practice’, New Directions for Adult and Continuing Education, 1997(74), pp. 5–12.</w:t>
      </w:r>
    </w:p>
    <w:p w14:paraId="4FBA3A60" w14:textId="77777777" w:rsidR="00F54231" w:rsidRDefault="00974FBF" w:rsidP="00FE31A7">
      <w:pPr>
        <w:pStyle w:val="ListParagraph"/>
        <w:numPr>
          <w:ilvl w:val="0"/>
          <w:numId w:val="2"/>
        </w:numPr>
        <w:spacing w:after="120" w:line="300" w:lineRule="auto"/>
        <w:jc w:val="both"/>
      </w:pPr>
      <w:r w:rsidRPr="00FE31A7">
        <w:rPr>
          <w:sz w:val="22"/>
          <w:szCs w:val="22"/>
        </w:rPr>
        <w:t>Moon, B.W., Rugman, A.M. and Verbeke, A. (1998) ‘A generalized double diamond approach’, International Business Review, 7(2), pp. 135–150.</w:t>
      </w:r>
    </w:p>
    <w:p w14:paraId="365E5289" w14:textId="77777777" w:rsidR="00F54231" w:rsidRDefault="00974FBF" w:rsidP="00FE31A7">
      <w:pPr>
        <w:pStyle w:val="ListParagraph"/>
        <w:numPr>
          <w:ilvl w:val="0"/>
          <w:numId w:val="2"/>
        </w:numPr>
        <w:spacing w:after="120" w:line="300" w:lineRule="auto"/>
        <w:jc w:val="both"/>
      </w:pPr>
      <w:r w:rsidRPr="00FE31A7">
        <w:rPr>
          <w:sz w:val="22"/>
          <w:szCs w:val="22"/>
        </w:rPr>
        <w:t>Moon, J.A. (2006) Learning Journals: A Handbook for Reflective Practice. 2nd edn. London: Routledge.</w:t>
      </w:r>
    </w:p>
    <w:p w14:paraId="5B912D8E" w14:textId="77777777" w:rsidR="00F54231" w:rsidRDefault="00974FBF" w:rsidP="00FE31A7">
      <w:pPr>
        <w:pStyle w:val="ListParagraph"/>
        <w:numPr>
          <w:ilvl w:val="0"/>
          <w:numId w:val="2"/>
        </w:numPr>
        <w:spacing w:after="120" w:line="300" w:lineRule="auto"/>
        <w:jc w:val="both"/>
      </w:pPr>
      <w:r w:rsidRPr="00FE31A7">
        <w:rPr>
          <w:sz w:val="22"/>
          <w:szCs w:val="22"/>
        </w:rPr>
        <w:t>Narula, R. and Dunning, J.H. (2010) ‘Multinational enterprises, development and globalisation’, Oxford Development Studies, 38(3), pp. 263–287.</w:t>
      </w:r>
    </w:p>
    <w:p w14:paraId="6B8D8DFB" w14:textId="77777777" w:rsidR="00F54231" w:rsidRDefault="00974FBF" w:rsidP="00FE31A7">
      <w:pPr>
        <w:pStyle w:val="ListParagraph"/>
        <w:numPr>
          <w:ilvl w:val="0"/>
          <w:numId w:val="2"/>
        </w:numPr>
        <w:spacing w:after="120" w:line="300" w:lineRule="auto"/>
        <w:jc w:val="both"/>
      </w:pPr>
      <w:r w:rsidRPr="00FE31A7">
        <w:rPr>
          <w:sz w:val="22"/>
          <w:szCs w:val="22"/>
        </w:rPr>
        <w:t>North, D.C. (1990) Institutions, Institutional Change and Economic Performance. Cambridge: Cambridge University Press.</w:t>
      </w:r>
    </w:p>
    <w:p w14:paraId="308CB784" w14:textId="77777777" w:rsidR="00F54231" w:rsidRDefault="00974FBF" w:rsidP="00FE31A7">
      <w:pPr>
        <w:pStyle w:val="ListParagraph"/>
        <w:numPr>
          <w:ilvl w:val="0"/>
          <w:numId w:val="2"/>
        </w:numPr>
        <w:spacing w:after="120" w:line="300" w:lineRule="auto"/>
        <w:jc w:val="both"/>
      </w:pPr>
      <w:r w:rsidRPr="00FE31A7">
        <w:rPr>
          <w:sz w:val="22"/>
          <w:szCs w:val="22"/>
        </w:rPr>
        <w:t>Obstfeld, M., Shambaugh, J.C. and Taylor, A.M. (2005) ‘The trilemma in history’, Review of Economics and Statistics, 87(3), pp. 423–438.</w:t>
      </w:r>
    </w:p>
    <w:p w14:paraId="21691AFF" w14:textId="77777777" w:rsidR="00F54231" w:rsidRDefault="00974FBF" w:rsidP="00FE31A7">
      <w:pPr>
        <w:pStyle w:val="ListParagraph"/>
        <w:numPr>
          <w:ilvl w:val="0"/>
          <w:numId w:val="2"/>
        </w:numPr>
        <w:spacing w:after="120" w:line="300" w:lineRule="auto"/>
        <w:jc w:val="both"/>
      </w:pPr>
      <w:r w:rsidRPr="00FE31A7">
        <w:rPr>
          <w:sz w:val="22"/>
          <w:szCs w:val="22"/>
        </w:rPr>
        <w:t>Peng, M.W., Sun, S.L., Pinkham, B. and Chen, H. (2009) ‘The institution-based view as a third leg for a strategy tripod’, Academy of Management Perspectives, 23(3), pp. 63–81.</w:t>
      </w:r>
    </w:p>
    <w:p w14:paraId="583D6C85" w14:textId="77777777" w:rsidR="00F54231" w:rsidRDefault="00974FBF" w:rsidP="00FE31A7">
      <w:pPr>
        <w:pStyle w:val="ListParagraph"/>
        <w:numPr>
          <w:ilvl w:val="0"/>
          <w:numId w:val="2"/>
        </w:numPr>
        <w:spacing w:after="120" w:line="300" w:lineRule="auto"/>
        <w:jc w:val="both"/>
      </w:pPr>
      <w:r w:rsidRPr="00FE31A7">
        <w:rPr>
          <w:sz w:val="22"/>
          <w:szCs w:val="22"/>
        </w:rPr>
        <w:t>Pindyck, R.S. (2004) ‘Volatility and commodity price dynamics’, Journal of Futures Markets, 24(11), pp. 1029–1047.</w:t>
      </w:r>
    </w:p>
    <w:p w14:paraId="477919E2" w14:textId="77777777" w:rsidR="00F54231" w:rsidRDefault="00974FBF" w:rsidP="00FE31A7">
      <w:pPr>
        <w:pStyle w:val="ListParagraph"/>
        <w:numPr>
          <w:ilvl w:val="0"/>
          <w:numId w:val="2"/>
        </w:numPr>
        <w:spacing w:after="120" w:line="300" w:lineRule="auto"/>
        <w:jc w:val="both"/>
      </w:pPr>
      <w:r w:rsidRPr="00FE31A7">
        <w:rPr>
          <w:sz w:val="22"/>
          <w:szCs w:val="22"/>
        </w:rPr>
        <w:t>Pistor, K. (2019) The Code of Capital: How the Law Creates Wealth and Inequality. Princeton: Princeton University Press.</w:t>
      </w:r>
    </w:p>
    <w:p w14:paraId="0BE2DEB4" w14:textId="77777777" w:rsidR="00F54231" w:rsidRDefault="00974FBF" w:rsidP="00FE31A7">
      <w:pPr>
        <w:pStyle w:val="ListParagraph"/>
        <w:numPr>
          <w:ilvl w:val="0"/>
          <w:numId w:val="2"/>
        </w:numPr>
        <w:spacing w:after="120" w:line="300" w:lineRule="auto"/>
        <w:jc w:val="both"/>
      </w:pPr>
      <w:r w:rsidRPr="00FE31A7">
        <w:rPr>
          <w:sz w:val="22"/>
          <w:szCs w:val="22"/>
        </w:rPr>
        <w:t>Porter, M.E. (1990) The Competitive Advantage of Nations. New York: The Free Press.</w:t>
      </w:r>
    </w:p>
    <w:p w14:paraId="19864C93" w14:textId="77777777" w:rsidR="00F54231" w:rsidRDefault="00974FBF" w:rsidP="00FE31A7">
      <w:pPr>
        <w:pStyle w:val="ListParagraph"/>
        <w:numPr>
          <w:ilvl w:val="0"/>
          <w:numId w:val="2"/>
        </w:numPr>
        <w:spacing w:after="120" w:line="300" w:lineRule="auto"/>
        <w:jc w:val="both"/>
      </w:pPr>
      <w:r w:rsidRPr="00FE31A7">
        <w:rPr>
          <w:sz w:val="22"/>
          <w:szCs w:val="22"/>
        </w:rPr>
        <w:t>Porter, M.E. and Kramer, M.R. (2011) ‘Creating shared value’, Harvard Business Review, 89(1/2), pp. 62–77.</w:t>
      </w:r>
    </w:p>
    <w:p w14:paraId="50346B2F" w14:textId="77777777" w:rsidR="00F54231" w:rsidRDefault="00974FBF" w:rsidP="00FE31A7">
      <w:pPr>
        <w:pStyle w:val="ListParagraph"/>
        <w:numPr>
          <w:ilvl w:val="0"/>
          <w:numId w:val="2"/>
        </w:numPr>
        <w:spacing w:after="120" w:line="300" w:lineRule="auto"/>
        <w:jc w:val="both"/>
      </w:pPr>
      <w:r w:rsidRPr="00FE31A7">
        <w:rPr>
          <w:sz w:val="22"/>
          <w:szCs w:val="22"/>
        </w:rPr>
        <w:t>Rasiah, R., Shahrivar, R.B. and Yap, X.S. (2016) ‘Institutional support, innovation capabilities and exports: Evidence from the semiconductor industry in Taiwan’, Technological Forecasting and Social Change, 109, pp. 69–75.</w:t>
      </w:r>
    </w:p>
    <w:p w14:paraId="0600C45E" w14:textId="77777777" w:rsidR="00F54231" w:rsidRDefault="00974FBF" w:rsidP="00FE31A7">
      <w:pPr>
        <w:pStyle w:val="ListParagraph"/>
        <w:numPr>
          <w:ilvl w:val="0"/>
          <w:numId w:val="2"/>
        </w:numPr>
        <w:spacing w:after="120" w:line="300" w:lineRule="auto"/>
        <w:jc w:val="both"/>
      </w:pPr>
      <w:r w:rsidRPr="00FE31A7">
        <w:rPr>
          <w:sz w:val="22"/>
          <w:szCs w:val="22"/>
        </w:rPr>
        <w:t>Reich, M.R. (1994) ‘Bangladesh pharmaceutical policy and politics’, Health Policy and Planning, 9(2), pp. 130–143.</w:t>
      </w:r>
    </w:p>
    <w:p w14:paraId="6679F8E7" w14:textId="77777777" w:rsidR="00F54231" w:rsidRDefault="00974FBF" w:rsidP="00FE31A7">
      <w:pPr>
        <w:pStyle w:val="ListParagraph"/>
        <w:numPr>
          <w:ilvl w:val="0"/>
          <w:numId w:val="2"/>
        </w:numPr>
        <w:spacing w:after="120" w:line="300" w:lineRule="auto"/>
        <w:jc w:val="both"/>
      </w:pPr>
      <w:r w:rsidRPr="00FE31A7">
        <w:rPr>
          <w:sz w:val="22"/>
          <w:szCs w:val="22"/>
        </w:rPr>
        <w:t>Reuters (2024) Iran launches drone and missile attack against Israel. Reuters, 14 April 2024. Available at: https://www.reuters.com (Accessed: 14 March 2025).</w:t>
      </w:r>
    </w:p>
    <w:p w14:paraId="704E9CF1" w14:textId="77777777" w:rsidR="00F54231" w:rsidRDefault="00974FBF" w:rsidP="00FE31A7">
      <w:pPr>
        <w:pStyle w:val="ListParagraph"/>
        <w:numPr>
          <w:ilvl w:val="0"/>
          <w:numId w:val="2"/>
        </w:numPr>
        <w:spacing w:after="120" w:line="300" w:lineRule="auto"/>
        <w:jc w:val="both"/>
      </w:pPr>
      <w:r w:rsidRPr="00FE31A7">
        <w:rPr>
          <w:sz w:val="22"/>
          <w:szCs w:val="22"/>
        </w:rPr>
        <w:t>Rodrik, D. (2004) ‘Industrial policy for the twenty-first century’, CEPR Discussion Paper No. 4767.</w:t>
      </w:r>
    </w:p>
    <w:p w14:paraId="12E7C064" w14:textId="77777777" w:rsidR="00F54231" w:rsidRDefault="00974FBF" w:rsidP="00FE31A7">
      <w:pPr>
        <w:pStyle w:val="ListParagraph"/>
        <w:numPr>
          <w:ilvl w:val="0"/>
          <w:numId w:val="2"/>
        </w:numPr>
        <w:spacing w:after="120" w:line="300" w:lineRule="auto"/>
        <w:jc w:val="both"/>
      </w:pPr>
      <w:r w:rsidRPr="00FE31A7">
        <w:rPr>
          <w:sz w:val="22"/>
          <w:szCs w:val="22"/>
        </w:rPr>
        <w:t>Rolfe, G., Freshwater, D. and Jasper, M. (2001) Critical Reflection for Nursing and the Helping Professions. Basingstoke: Palgrave Macmillan.</w:t>
      </w:r>
    </w:p>
    <w:p w14:paraId="5FCC7319" w14:textId="77777777" w:rsidR="00F54231" w:rsidRDefault="00974FBF" w:rsidP="00FE31A7">
      <w:pPr>
        <w:pStyle w:val="ListParagraph"/>
        <w:numPr>
          <w:ilvl w:val="0"/>
          <w:numId w:val="2"/>
        </w:numPr>
        <w:spacing w:after="120" w:line="300" w:lineRule="auto"/>
        <w:jc w:val="both"/>
      </w:pPr>
      <w:r w:rsidRPr="00FE31A7">
        <w:rPr>
          <w:sz w:val="22"/>
          <w:szCs w:val="22"/>
        </w:rPr>
        <w:t>Ruggie, J.G. (2013) Just Business: Multinational Corporations and Human Rights. New York: W.W. Norton.</w:t>
      </w:r>
    </w:p>
    <w:p w14:paraId="41687DD1" w14:textId="77777777" w:rsidR="00F54231" w:rsidRDefault="00974FBF" w:rsidP="00FE31A7">
      <w:pPr>
        <w:pStyle w:val="ListParagraph"/>
        <w:numPr>
          <w:ilvl w:val="0"/>
          <w:numId w:val="2"/>
        </w:numPr>
        <w:spacing w:after="120" w:line="300" w:lineRule="auto"/>
        <w:jc w:val="both"/>
      </w:pPr>
      <w:r w:rsidRPr="00FE31A7">
        <w:rPr>
          <w:sz w:val="22"/>
          <w:szCs w:val="22"/>
        </w:rPr>
        <w:t>Rugman, A.M. and Verbeke, A. (2004) ‘A perspective on regional and global strategies of multinational enterprises’, Journal of International Business Studies, 35(1), pp. 3–18.</w:t>
      </w:r>
    </w:p>
    <w:p w14:paraId="60AF9ECE" w14:textId="77777777" w:rsidR="00F54231" w:rsidRDefault="00974FBF" w:rsidP="00FE31A7">
      <w:pPr>
        <w:pStyle w:val="ListParagraph"/>
        <w:numPr>
          <w:ilvl w:val="0"/>
          <w:numId w:val="2"/>
        </w:numPr>
        <w:spacing w:after="120" w:line="300" w:lineRule="auto"/>
        <w:jc w:val="both"/>
      </w:pPr>
      <w:r w:rsidRPr="00FE31A7">
        <w:rPr>
          <w:sz w:val="22"/>
          <w:szCs w:val="22"/>
        </w:rPr>
        <w:t>Sanofi S.A. (2023) Annual Report 2023: Universal Registration Document. Paris: Sanofi.</w:t>
      </w:r>
    </w:p>
    <w:p w14:paraId="4C6C238B" w14:textId="77777777" w:rsidR="00F54231" w:rsidRDefault="00974FBF" w:rsidP="00FE31A7">
      <w:pPr>
        <w:pStyle w:val="ListParagraph"/>
        <w:numPr>
          <w:ilvl w:val="0"/>
          <w:numId w:val="2"/>
        </w:numPr>
        <w:spacing w:after="120" w:line="300" w:lineRule="auto"/>
        <w:jc w:val="both"/>
      </w:pPr>
      <w:r w:rsidRPr="00FE31A7">
        <w:rPr>
          <w:sz w:val="22"/>
          <w:szCs w:val="22"/>
        </w:rPr>
        <w:t>Saunders, M., Lewis, P. and Thornhill, A. (2019) Research Methods for Business Students. 8th edn. Harlow: Pearson.</w:t>
      </w:r>
    </w:p>
    <w:p w14:paraId="6B9C7C1C" w14:textId="77777777" w:rsidR="00F54231" w:rsidRDefault="00974FBF" w:rsidP="00FE31A7">
      <w:pPr>
        <w:pStyle w:val="ListParagraph"/>
        <w:numPr>
          <w:ilvl w:val="0"/>
          <w:numId w:val="2"/>
        </w:numPr>
        <w:spacing w:after="120" w:line="300" w:lineRule="auto"/>
        <w:jc w:val="both"/>
      </w:pPr>
      <w:r w:rsidRPr="00FE31A7">
        <w:rPr>
          <w:sz w:val="22"/>
          <w:szCs w:val="22"/>
        </w:rPr>
        <w:t>Scherer, A.G. and Palazzo, G. (2011) ‘The new political role of business in a globalized world: A review of a new perspective on CSR’, Journal of Management Studies, 48(4), pp. 899–931.</w:t>
      </w:r>
    </w:p>
    <w:p w14:paraId="6D523E99" w14:textId="77777777" w:rsidR="00F54231" w:rsidRDefault="00974FBF" w:rsidP="00FE31A7">
      <w:pPr>
        <w:pStyle w:val="ListParagraph"/>
        <w:numPr>
          <w:ilvl w:val="0"/>
          <w:numId w:val="2"/>
        </w:numPr>
        <w:spacing w:after="120" w:line="300" w:lineRule="auto"/>
        <w:jc w:val="both"/>
      </w:pPr>
      <w:r w:rsidRPr="00FE31A7">
        <w:rPr>
          <w:sz w:val="22"/>
          <w:szCs w:val="22"/>
        </w:rPr>
        <w:t>Schön, D.A. (1983) The Reflective Practitioner: How Professionals Think in Action. New York: Basic Books.</w:t>
      </w:r>
    </w:p>
    <w:p w14:paraId="07385A50" w14:textId="77777777" w:rsidR="00F54231" w:rsidRDefault="00974FBF" w:rsidP="00FE31A7">
      <w:pPr>
        <w:pStyle w:val="ListParagraph"/>
        <w:numPr>
          <w:ilvl w:val="0"/>
          <w:numId w:val="2"/>
        </w:numPr>
        <w:spacing w:after="120" w:line="300" w:lineRule="auto"/>
        <w:jc w:val="both"/>
      </w:pPr>
      <w:r w:rsidRPr="00FE31A7">
        <w:rPr>
          <w:sz w:val="22"/>
          <w:szCs w:val="22"/>
        </w:rPr>
        <w:t>Sell, S.K. (2003) Private Power, Public Law: The Globalization of Intellectual Property Rights. Cambridge: Cambridge University Press.</w:t>
      </w:r>
    </w:p>
    <w:p w14:paraId="17ED63BD" w14:textId="77777777" w:rsidR="00F54231" w:rsidRDefault="00974FBF" w:rsidP="00FE31A7">
      <w:pPr>
        <w:pStyle w:val="ListParagraph"/>
        <w:numPr>
          <w:ilvl w:val="0"/>
          <w:numId w:val="2"/>
        </w:numPr>
        <w:spacing w:after="120" w:line="300" w:lineRule="auto"/>
        <w:jc w:val="both"/>
      </w:pPr>
      <w:r w:rsidRPr="00FE31A7">
        <w:rPr>
          <w:sz w:val="22"/>
          <w:szCs w:val="22"/>
        </w:rPr>
        <w:t>Shadlen, K.C. (2007) ‘The political economy of AIDS treatment: Intellectual property and the transformation of generic supply’, International Studies Quarterly, 51(3), pp. 559–581.</w:t>
      </w:r>
    </w:p>
    <w:p w14:paraId="091817BD" w14:textId="77777777" w:rsidR="00F54231" w:rsidRDefault="00974FBF" w:rsidP="00FE31A7">
      <w:pPr>
        <w:pStyle w:val="ListParagraph"/>
        <w:numPr>
          <w:ilvl w:val="0"/>
          <w:numId w:val="2"/>
        </w:numPr>
        <w:spacing w:after="120" w:line="300" w:lineRule="auto"/>
        <w:jc w:val="both"/>
      </w:pPr>
      <w:r w:rsidRPr="00FE31A7">
        <w:rPr>
          <w:sz w:val="22"/>
          <w:szCs w:val="22"/>
        </w:rPr>
        <w:t>Sheffi, Y. (2005) The Resilient Enterprise: Overcoming Vulnerability for Competitive Advantage. Cambridge, MA: MIT Press.</w:t>
      </w:r>
    </w:p>
    <w:p w14:paraId="7C536B79" w14:textId="77777777" w:rsidR="00F54231" w:rsidRDefault="00974FBF" w:rsidP="00FE31A7">
      <w:pPr>
        <w:pStyle w:val="ListParagraph"/>
        <w:numPr>
          <w:ilvl w:val="0"/>
          <w:numId w:val="2"/>
        </w:numPr>
        <w:spacing w:after="120" w:line="300" w:lineRule="auto"/>
        <w:jc w:val="both"/>
      </w:pPr>
      <w:r w:rsidRPr="00FE31A7">
        <w:rPr>
          <w:sz w:val="22"/>
          <w:szCs w:val="22"/>
        </w:rPr>
        <w:t>Square Pharmaceuticals Limited (2023) Annual Report 2022–23. Dhaka: Square Pharmaceuticals.</w:t>
      </w:r>
    </w:p>
    <w:p w14:paraId="274EFB8B" w14:textId="77777777" w:rsidR="00F54231" w:rsidRDefault="00974FBF" w:rsidP="00FE31A7">
      <w:pPr>
        <w:pStyle w:val="ListParagraph"/>
        <w:numPr>
          <w:ilvl w:val="0"/>
          <w:numId w:val="2"/>
        </w:numPr>
        <w:spacing w:after="120" w:line="300" w:lineRule="auto"/>
        <w:jc w:val="both"/>
      </w:pPr>
      <w:r w:rsidRPr="00FE31A7">
        <w:rPr>
          <w:sz w:val="22"/>
          <w:szCs w:val="22"/>
        </w:rPr>
        <w:t>Taras, V., Kirkman, B.L. and Steel, P. (2010) ‘Examining the impact of Culture’s Consequences’, Journal of Applied Psychology, 95(3), pp. 405–439.</w:t>
      </w:r>
    </w:p>
    <w:p w14:paraId="1C14BD45" w14:textId="77777777" w:rsidR="00F54231" w:rsidRDefault="00974FBF" w:rsidP="00FE31A7">
      <w:pPr>
        <w:pStyle w:val="ListParagraph"/>
        <w:numPr>
          <w:ilvl w:val="0"/>
          <w:numId w:val="2"/>
        </w:numPr>
        <w:spacing w:after="120" w:line="300" w:lineRule="auto"/>
        <w:jc w:val="both"/>
      </w:pPr>
      <w:r w:rsidRPr="00FE31A7">
        <w:rPr>
          <w:sz w:val="22"/>
          <w:szCs w:val="22"/>
        </w:rPr>
        <w:t>Teece, D.J. (2014) ‘A dynamic capabilities-based entrepreneurial theory of the multinational enterprise’, Journal of International Business Studies, 45(1), pp. 8–37.</w:t>
      </w:r>
    </w:p>
    <w:p w14:paraId="62ADB544" w14:textId="77777777" w:rsidR="00F54231" w:rsidRDefault="00974FBF" w:rsidP="00FE31A7">
      <w:pPr>
        <w:pStyle w:val="ListParagraph"/>
        <w:numPr>
          <w:ilvl w:val="0"/>
          <w:numId w:val="2"/>
        </w:numPr>
        <w:spacing w:after="120" w:line="300" w:lineRule="auto"/>
        <w:jc w:val="both"/>
      </w:pPr>
      <w:r w:rsidRPr="00FE31A7">
        <w:rPr>
          <w:sz w:val="22"/>
          <w:szCs w:val="22"/>
        </w:rPr>
        <w:t>Teece, D.J., Pisano, G. and Shuen, A. (1997) ‘Dynamic capabilities and strategic management’, Strategic Management Journal, 18(7), pp. 509–533.</w:t>
      </w:r>
    </w:p>
    <w:p w14:paraId="3D0FCA32" w14:textId="77777777" w:rsidR="00F54231" w:rsidRDefault="00974FBF" w:rsidP="00FE31A7">
      <w:pPr>
        <w:pStyle w:val="ListParagraph"/>
        <w:numPr>
          <w:ilvl w:val="0"/>
          <w:numId w:val="2"/>
        </w:numPr>
        <w:spacing w:after="120" w:line="300" w:lineRule="auto"/>
        <w:jc w:val="both"/>
      </w:pPr>
      <w:r w:rsidRPr="00FE31A7">
        <w:rPr>
          <w:sz w:val="22"/>
          <w:szCs w:val="22"/>
        </w:rPr>
        <w:t>U.S. Department of Justice (DOJ) (2012) HSBC Holdings Plc Deferred Prosecution Agreement. Washington DC: DOJ.</w:t>
      </w:r>
    </w:p>
    <w:p w14:paraId="21CCA77F" w14:textId="77777777" w:rsidR="00F54231" w:rsidRDefault="00974FBF" w:rsidP="00FE31A7">
      <w:pPr>
        <w:pStyle w:val="ListParagraph"/>
        <w:numPr>
          <w:ilvl w:val="0"/>
          <w:numId w:val="2"/>
        </w:numPr>
        <w:spacing w:after="120" w:line="300" w:lineRule="auto"/>
        <w:jc w:val="both"/>
      </w:pPr>
      <w:r w:rsidRPr="00FE31A7">
        <w:rPr>
          <w:sz w:val="22"/>
          <w:szCs w:val="22"/>
        </w:rPr>
        <w:t>U.S. Energy Information Administration (EIA) (2024) World Oil Transit Chokepoints: Strait of Hormuz. Washington DC: EIA.</w:t>
      </w:r>
    </w:p>
    <w:p w14:paraId="434289FB" w14:textId="77777777" w:rsidR="00F54231" w:rsidRDefault="00974FBF" w:rsidP="00FE31A7">
      <w:pPr>
        <w:pStyle w:val="ListParagraph"/>
        <w:numPr>
          <w:ilvl w:val="0"/>
          <w:numId w:val="2"/>
        </w:numPr>
        <w:spacing w:after="120" w:line="300" w:lineRule="auto"/>
        <w:jc w:val="both"/>
      </w:pPr>
      <w:r w:rsidRPr="00FE31A7">
        <w:rPr>
          <w:sz w:val="22"/>
          <w:szCs w:val="22"/>
        </w:rPr>
        <w:t>Utterback, J.M. and Abernathy, W.J. (1975) ‘A dynamic model of process and product innovation’, Omega, 3(6), pp. 639–656.</w:t>
      </w:r>
    </w:p>
    <w:p w14:paraId="6AB429AA" w14:textId="77777777" w:rsidR="00F54231" w:rsidRDefault="00974FBF" w:rsidP="00FE31A7">
      <w:pPr>
        <w:pStyle w:val="ListParagraph"/>
        <w:numPr>
          <w:ilvl w:val="0"/>
          <w:numId w:val="2"/>
        </w:numPr>
        <w:spacing w:after="120" w:line="300" w:lineRule="auto"/>
        <w:jc w:val="both"/>
      </w:pPr>
      <w:r w:rsidRPr="00FE31A7">
        <w:rPr>
          <w:sz w:val="22"/>
          <w:szCs w:val="22"/>
        </w:rPr>
        <w:t>Verbeke, A. (2013) International Business Strategy. 2nd edn. Cambridge: Cambridge University Press.</w:t>
      </w:r>
    </w:p>
    <w:p w14:paraId="1CAF438A" w14:textId="77777777" w:rsidR="00F54231" w:rsidRDefault="00974FBF" w:rsidP="00FE31A7">
      <w:pPr>
        <w:pStyle w:val="ListParagraph"/>
        <w:numPr>
          <w:ilvl w:val="0"/>
          <w:numId w:val="2"/>
        </w:numPr>
        <w:spacing w:after="120" w:line="300" w:lineRule="auto"/>
        <w:jc w:val="both"/>
      </w:pPr>
      <w:r w:rsidRPr="00FE31A7">
        <w:rPr>
          <w:sz w:val="22"/>
          <w:szCs w:val="22"/>
        </w:rPr>
        <w:t>Williamson, O.E. (1985) The Economic Institutions of Capitalism. New York: Free Press.</w:t>
      </w:r>
    </w:p>
    <w:p w14:paraId="0ABEC460" w14:textId="77777777" w:rsidR="00F54231" w:rsidRDefault="00974FBF" w:rsidP="00FE31A7">
      <w:pPr>
        <w:pStyle w:val="ListParagraph"/>
        <w:numPr>
          <w:ilvl w:val="0"/>
          <w:numId w:val="2"/>
        </w:numPr>
        <w:spacing w:after="120" w:line="300" w:lineRule="auto"/>
        <w:jc w:val="both"/>
      </w:pPr>
      <w:r w:rsidRPr="00FE31A7">
        <w:rPr>
          <w:sz w:val="22"/>
          <w:szCs w:val="22"/>
        </w:rPr>
        <w:t>Witt, M.A., Lewin, A.Y., Li, P.P. and Gaur, A. (2023) ‘Decoupling in international business’, Journal of World Business, 58(1), p. 101370.</w:t>
      </w:r>
    </w:p>
    <w:p w14:paraId="5380560A" w14:textId="77777777" w:rsidR="00F54231" w:rsidRDefault="00974FBF" w:rsidP="00FE31A7">
      <w:pPr>
        <w:pStyle w:val="ListParagraph"/>
        <w:numPr>
          <w:ilvl w:val="0"/>
          <w:numId w:val="2"/>
        </w:numPr>
        <w:spacing w:after="120" w:line="300" w:lineRule="auto"/>
        <w:jc w:val="both"/>
      </w:pPr>
      <w:r w:rsidRPr="00FE31A7">
        <w:rPr>
          <w:sz w:val="22"/>
          <w:szCs w:val="22"/>
        </w:rPr>
        <w:t>World Bank (2024) Bangladesh Development Update: Navigating Headwinds. Washington DC: World Bank Group.</w:t>
      </w:r>
    </w:p>
    <w:p w14:paraId="7D719C30" w14:textId="77777777" w:rsidR="00F54231" w:rsidRDefault="00974FBF" w:rsidP="00FE31A7">
      <w:pPr>
        <w:pStyle w:val="ListParagraph"/>
        <w:numPr>
          <w:ilvl w:val="0"/>
          <w:numId w:val="2"/>
        </w:numPr>
        <w:spacing w:after="120" w:line="300" w:lineRule="auto"/>
        <w:jc w:val="both"/>
      </w:pPr>
      <w:r w:rsidRPr="00FE31A7">
        <w:rPr>
          <w:sz w:val="22"/>
          <w:szCs w:val="22"/>
        </w:rPr>
        <w:t>World Trade Organization (WTO) (2022) Extension of the Transition Period for LDC Members under TRIPS Article 66.1. Geneva: WTO.</w:t>
      </w:r>
    </w:p>
    <w:p w14:paraId="0A81E67C" w14:textId="77777777" w:rsidR="00F54231" w:rsidRDefault="00974FBF" w:rsidP="00FE31A7">
      <w:pPr>
        <w:pStyle w:val="ListParagraph"/>
        <w:numPr>
          <w:ilvl w:val="0"/>
          <w:numId w:val="2"/>
        </w:numPr>
        <w:spacing w:after="120" w:line="300" w:lineRule="auto"/>
        <w:jc w:val="both"/>
      </w:pPr>
      <w:r w:rsidRPr="00FE31A7">
        <w:rPr>
          <w:sz w:val="22"/>
          <w:szCs w:val="22"/>
        </w:rPr>
        <w:t>Wouters, O.J., Shadlen, K.C., Salcher-Konrad, M., Pollard, A.J., Larson, H.J., Teerawattananon, Y. and Jit, M. (2020) ‘Challenges in ensuring global access to COVID-19 vaccines’, The Lancet, 397(10278), pp. 1023–1034.</w:t>
      </w:r>
    </w:p>
    <w:p w14:paraId="3473DF11" w14:textId="77777777" w:rsidR="00F54231" w:rsidRDefault="00974FBF" w:rsidP="00FE31A7">
      <w:pPr>
        <w:pStyle w:val="ListParagraph"/>
        <w:numPr>
          <w:ilvl w:val="0"/>
          <w:numId w:val="2"/>
        </w:numPr>
        <w:spacing w:after="120" w:line="300" w:lineRule="auto"/>
        <w:jc w:val="both"/>
      </w:pPr>
      <w:r w:rsidRPr="00FE31A7">
        <w:rPr>
          <w:sz w:val="22"/>
          <w:szCs w:val="22"/>
        </w:rPr>
        <w:t>Zaheer, S. (1995) ‘Overcoming the liability of foreignness’, Academy of Management Journal, 38(2), pp. 341–363.</w:t>
      </w:r>
    </w:p>
    <w:sectPr w:rsidR="00F54231">
      <w:headerReference w:type="default" r:id="rId13"/>
      <w:footerReference w:type="defaul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ACB707" w14:textId="77777777" w:rsidR="00974FBF" w:rsidRDefault="00974FBF">
      <w:r>
        <w:separator/>
      </w:r>
    </w:p>
  </w:endnote>
  <w:endnote w:type="continuationSeparator" w:id="0">
    <w:p w14:paraId="3F528C9D" w14:textId="77777777" w:rsidR="00974FBF" w:rsidRDefault="00974F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9E79BD" w14:textId="77777777" w:rsidR="00F54231" w:rsidRDefault="00974FBF">
    <w:pPr>
      <w:pBdr>
        <w:top w:val="single" w:sz="4" w:space="0" w:color="1B4F72"/>
      </w:pBdr>
      <w:jc w:val="right"/>
    </w:pPr>
    <w:r>
      <w:rPr>
        <w:color w:val="555555"/>
        <w:sz w:val="18"/>
        <w:szCs w:val="18"/>
      </w:rPr>
      <w:t xml:space="preserve">Page </w:t>
    </w:r>
    <w:r>
      <w:rPr>
        <w:color w:val="555555"/>
        <w:sz w:val="18"/>
        <w:szCs w:val="18"/>
      </w:rPr>
      <w:fldChar w:fldCharType="begin"/>
    </w:r>
    <w:r>
      <w:rPr>
        <w:color w:val="555555"/>
        <w:sz w:val="18"/>
        <w:szCs w:val="18"/>
      </w:rPr>
      <w:instrText>PAGE</w:instrText>
    </w:r>
    <w:r>
      <w:rPr>
        <w:color w:val="555555"/>
        <w:sz w:val="18"/>
        <w:szCs w:val="18"/>
      </w:rPr>
      <w:fldChar w:fldCharType="separate"/>
    </w:r>
    <w:r w:rsidR="005219B0">
      <w:rPr>
        <w:noProof/>
        <w:color w:val="555555"/>
        <w:sz w:val="18"/>
        <w:szCs w:val="18"/>
      </w:rPr>
      <w:t>2</w:t>
    </w:r>
    <w:r>
      <w:rPr>
        <w:color w:val="555555"/>
        <w:sz w:val="18"/>
        <w:szCs w:val="18"/>
      </w:rPr>
      <w:fldChar w:fldCharType="end"/>
    </w:r>
    <w:r>
      <w:rPr>
        <w:color w:val="555555"/>
        <w:sz w:val="18"/>
        <w:szCs w:val="18"/>
      </w:rPr>
      <w:t xml:space="preserve"> of </w:t>
    </w:r>
    <w:r>
      <w:rPr>
        <w:color w:val="555555"/>
        <w:sz w:val="18"/>
        <w:szCs w:val="18"/>
      </w:rPr>
      <w:fldChar w:fldCharType="begin"/>
    </w:r>
    <w:r>
      <w:rPr>
        <w:color w:val="555555"/>
        <w:sz w:val="18"/>
        <w:szCs w:val="18"/>
      </w:rPr>
      <w:instrText>NUMPAGES</w:instrText>
    </w:r>
    <w:r>
      <w:rPr>
        <w:color w:val="555555"/>
        <w:sz w:val="18"/>
        <w:szCs w:val="18"/>
      </w:rPr>
      <w:fldChar w:fldCharType="separate"/>
    </w:r>
    <w:r w:rsidR="005219B0">
      <w:rPr>
        <w:noProof/>
        <w:color w:val="555555"/>
        <w:sz w:val="18"/>
        <w:szCs w:val="18"/>
      </w:rPr>
      <w:t>3</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ABBD0" w14:textId="77777777" w:rsidR="00974FBF" w:rsidRDefault="00974FBF">
      <w:r>
        <w:separator/>
      </w:r>
    </w:p>
  </w:footnote>
  <w:footnote w:type="continuationSeparator" w:id="0">
    <w:p w14:paraId="2198B861" w14:textId="77777777" w:rsidR="00974FBF" w:rsidRDefault="00974F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8105E" w14:textId="48CA6AC8" w:rsidR="00F54231" w:rsidRDefault="007F32D2">
    <w:pPr>
      <w:pBdr>
        <w:bottom w:val="single" w:sz="4" w:space="0" w:color="1B4F72"/>
      </w:pBdr>
    </w:pPr>
    <w:r>
      <w:rPr>
        <w:noProof/>
        <w:color w:val="555555"/>
        <w:sz w:val="18"/>
        <w:szCs w:val="18"/>
      </w:rPr>
      <w:drawing>
        <wp:anchor distT="0" distB="0" distL="114300" distR="114300" simplePos="0" relativeHeight="251659264" behindDoc="0" locked="0" layoutInCell="1" allowOverlap="1" wp14:anchorId="186F48E2" wp14:editId="758869D6">
          <wp:simplePos x="0" y="0"/>
          <wp:positionH relativeFrom="column">
            <wp:posOffset>3750945</wp:posOffset>
          </wp:positionH>
          <wp:positionV relativeFrom="paragraph">
            <wp:posOffset>-396240</wp:posOffset>
          </wp:positionV>
          <wp:extent cx="1941830" cy="777240"/>
          <wp:effectExtent l="0" t="0" r="1270" b="3810"/>
          <wp:wrapThrough wrapText="bothSides">
            <wp:wrapPolygon edited="0">
              <wp:start x="0" y="0"/>
              <wp:lineTo x="0" y="21176"/>
              <wp:lineTo x="21402" y="21176"/>
              <wp:lineTo x="21402" y="0"/>
              <wp:lineTo x="0" y="0"/>
            </wp:wrapPolygon>
          </wp:wrapThrough>
          <wp:docPr id="12865885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588598" name="Picture 1286588598"/>
                  <pic:cNvPicPr/>
                </pic:nvPicPr>
                <pic:blipFill>
                  <a:blip r:embed="rId1">
                    <a:extLst>
                      <a:ext uri="{28A0092B-C50C-407E-A947-70E740481C1C}">
                        <a14:useLocalDpi xmlns:a14="http://schemas.microsoft.com/office/drawing/2010/main" val="0"/>
                      </a:ext>
                    </a:extLst>
                  </a:blip>
                  <a:stretch>
                    <a:fillRect/>
                  </a:stretch>
                </pic:blipFill>
                <pic:spPr>
                  <a:xfrm>
                    <a:off x="0" y="0"/>
                    <a:ext cx="1941830" cy="777240"/>
                  </a:xfrm>
                  <a:prstGeom prst="rect">
                    <a:avLst/>
                  </a:prstGeom>
                </pic:spPr>
              </pic:pic>
            </a:graphicData>
          </a:graphic>
          <wp14:sizeRelH relativeFrom="margin">
            <wp14:pctWidth>0</wp14:pctWidth>
          </wp14:sizeRelH>
          <wp14:sizeRelV relativeFrom="margin">
            <wp14:pctHeight>0</wp14:pctHeight>
          </wp14:sizeRelV>
        </wp:anchor>
      </w:drawing>
    </w:r>
    <w:r>
      <w:rPr>
        <w:color w:val="555555"/>
        <w:sz w:val="18"/>
        <w:szCs w:val="18"/>
      </w:rPr>
      <w:t>LCMB7034 – International Business Concepts  |  Bangladesh Pharmaceutical Industry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783817"/>
    <w:multiLevelType w:val="hybridMultilevel"/>
    <w:tmpl w:val="323813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A076A8"/>
    <w:multiLevelType w:val="hybridMultilevel"/>
    <w:tmpl w:val="250E079A"/>
    <w:lvl w:ilvl="0" w:tplc="13E0D4EE">
      <w:start w:val="1"/>
      <w:numFmt w:val="bullet"/>
      <w:lvlText w:val="●"/>
      <w:lvlJc w:val="left"/>
      <w:pPr>
        <w:ind w:left="720" w:hanging="360"/>
      </w:pPr>
    </w:lvl>
    <w:lvl w:ilvl="1" w:tplc="349CBB12">
      <w:start w:val="1"/>
      <w:numFmt w:val="bullet"/>
      <w:lvlText w:val="○"/>
      <w:lvlJc w:val="left"/>
      <w:pPr>
        <w:ind w:left="1440" w:hanging="360"/>
      </w:pPr>
    </w:lvl>
    <w:lvl w:ilvl="2" w:tplc="2D709A3E">
      <w:start w:val="1"/>
      <w:numFmt w:val="bullet"/>
      <w:lvlText w:val="■"/>
      <w:lvlJc w:val="left"/>
      <w:pPr>
        <w:ind w:left="2160" w:hanging="360"/>
      </w:pPr>
    </w:lvl>
    <w:lvl w:ilvl="3" w:tplc="E4B81814">
      <w:start w:val="1"/>
      <w:numFmt w:val="bullet"/>
      <w:lvlText w:val="●"/>
      <w:lvlJc w:val="left"/>
      <w:pPr>
        <w:ind w:left="2880" w:hanging="360"/>
      </w:pPr>
    </w:lvl>
    <w:lvl w:ilvl="4" w:tplc="0C9E48F4">
      <w:start w:val="1"/>
      <w:numFmt w:val="bullet"/>
      <w:lvlText w:val="○"/>
      <w:lvlJc w:val="left"/>
      <w:pPr>
        <w:ind w:left="3600" w:hanging="360"/>
      </w:pPr>
    </w:lvl>
    <w:lvl w:ilvl="5" w:tplc="353CAA6C">
      <w:start w:val="1"/>
      <w:numFmt w:val="bullet"/>
      <w:lvlText w:val="■"/>
      <w:lvlJc w:val="left"/>
      <w:pPr>
        <w:ind w:left="4320" w:hanging="360"/>
      </w:pPr>
    </w:lvl>
    <w:lvl w:ilvl="6" w:tplc="74486E22">
      <w:start w:val="1"/>
      <w:numFmt w:val="bullet"/>
      <w:lvlText w:val="●"/>
      <w:lvlJc w:val="left"/>
      <w:pPr>
        <w:ind w:left="5040" w:hanging="360"/>
      </w:pPr>
    </w:lvl>
    <w:lvl w:ilvl="7" w:tplc="744049A4">
      <w:start w:val="1"/>
      <w:numFmt w:val="bullet"/>
      <w:lvlText w:val="●"/>
      <w:lvlJc w:val="left"/>
      <w:pPr>
        <w:ind w:left="5760" w:hanging="360"/>
      </w:pPr>
    </w:lvl>
    <w:lvl w:ilvl="8" w:tplc="873EEAEC">
      <w:start w:val="1"/>
      <w:numFmt w:val="bullet"/>
      <w:lvlText w:val="●"/>
      <w:lvlJc w:val="left"/>
      <w:pPr>
        <w:ind w:left="6480" w:hanging="360"/>
      </w:pPr>
    </w:lvl>
  </w:abstractNum>
  <w:num w:numId="1" w16cid:durableId="254633659">
    <w:abstractNumId w:val="1"/>
    <w:lvlOverride w:ilvl="0">
      <w:startOverride w:val="1"/>
    </w:lvlOverride>
  </w:num>
  <w:num w:numId="2" w16cid:durableId="225994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displayBackgroundShap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231"/>
    <w:rsid w:val="00253D7B"/>
    <w:rsid w:val="003C2A63"/>
    <w:rsid w:val="004A6DD5"/>
    <w:rsid w:val="005219B0"/>
    <w:rsid w:val="005B77DE"/>
    <w:rsid w:val="005C0225"/>
    <w:rsid w:val="00690D37"/>
    <w:rsid w:val="007F32D2"/>
    <w:rsid w:val="00974FBF"/>
    <w:rsid w:val="009A1EFB"/>
    <w:rsid w:val="009C3A74"/>
    <w:rsid w:val="00C46977"/>
    <w:rsid w:val="00C529D5"/>
    <w:rsid w:val="00C61637"/>
    <w:rsid w:val="00CA0FF5"/>
    <w:rsid w:val="00D44419"/>
    <w:rsid w:val="00DA14B2"/>
    <w:rsid w:val="00DD38A6"/>
    <w:rsid w:val="00EC56E4"/>
    <w:rsid w:val="00F54231"/>
    <w:rsid w:val="00FE2AC1"/>
    <w:rsid w:val="00FE31A7"/>
    <w:rsid w:val="00FE4F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0FE5B7"/>
  <w15:docId w15:val="{36FF75E0-A0D2-4537-9117-F2A85EE3A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B4F72"/>
      <w:sz w:val="32"/>
      <w:szCs w:val="32"/>
    </w:rPr>
  </w:style>
  <w:style w:type="paragraph" w:styleId="Heading2">
    <w:name w:val="heading 2"/>
    <w:uiPriority w:val="9"/>
    <w:unhideWhenUsed/>
    <w:qFormat/>
    <w:pPr>
      <w:spacing w:before="240" w:after="120"/>
      <w:outlineLvl w:val="1"/>
    </w:pPr>
    <w:rPr>
      <w:b/>
      <w:bCs/>
      <w:color w:val="1B4F72"/>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5B77DE"/>
    <w:pPr>
      <w:keepNext/>
      <w:keepLines/>
      <w:spacing w:before="240" w:after="0" w:line="259" w:lineRule="auto"/>
      <w:outlineLvl w:val="9"/>
    </w:pPr>
    <w:rPr>
      <w:rFonts w:asciiTheme="majorHAnsi" w:eastAsiaTheme="majorEastAsia" w:hAnsiTheme="majorHAnsi" w:cstheme="majorBidi"/>
      <w:b w:val="0"/>
      <w:bCs w:val="0"/>
      <w:color w:val="0F4761" w:themeColor="accent1" w:themeShade="BF"/>
    </w:rPr>
  </w:style>
  <w:style w:type="paragraph" w:styleId="TOC1">
    <w:name w:val="toc 1"/>
    <w:basedOn w:val="Normal"/>
    <w:next w:val="Normal"/>
    <w:autoRedefine/>
    <w:uiPriority w:val="39"/>
    <w:unhideWhenUsed/>
    <w:rsid w:val="005B77DE"/>
    <w:pPr>
      <w:spacing w:after="100"/>
    </w:pPr>
  </w:style>
  <w:style w:type="paragraph" w:styleId="TOC2">
    <w:name w:val="toc 2"/>
    <w:basedOn w:val="Normal"/>
    <w:next w:val="Normal"/>
    <w:autoRedefine/>
    <w:uiPriority w:val="39"/>
    <w:unhideWhenUsed/>
    <w:rsid w:val="005B77DE"/>
    <w:pPr>
      <w:spacing w:after="100"/>
      <w:ind w:left="240"/>
    </w:pPr>
  </w:style>
  <w:style w:type="paragraph" w:styleId="Header">
    <w:name w:val="header"/>
    <w:basedOn w:val="Normal"/>
    <w:link w:val="HeaderChar"/>
    <w:uiPriority w:val="99"/>
    <w:unhideWhenUsed/>
    <w:rsid w:val="007F32D2"/>
    <w:pPr>
      <w:tabs>
        <w:tab w:val="center" w:pos="4680"/>
        <w:tab w:val="right" w:pos="9360"/>
      </w:tabs>
    </w:pPr>
  </w:style>
  <w:style w:type="character" w:customStyle="1" w:styleId="HeaderChar">
    <w:name w:val="Header Char"/>
    <w:basedOn w:val="DefaultParagraphFont"/>
    <w:link w:val="Header"/>
    <w:uiPriority w:val="99"/>
    <w:rsid w:val="007F32D2"/>
  </w:style>
  <w:style w:type="paragraph" w:styleId="Footer">
    <w:name w:val="footer"/>
    <w:basedOn w:val="Normal"/>
    <w:link w:val="FooterChar"/>
    <w:uiPriority w:val="99"/>
    <w:unhideWhenUsed/>
    <w:rsid w:val="007F32D2"/>
    <w:pPr>
      <w:tabs>
        <w:tab w:val="center" w:pos="4680"/>
        <w:tab w:val="right" w:pos="9360"/>
      </w:tabs>
    </w:pPr>
  </w:style>
  <w:style w:type="character" w:customStyle="1" w:styleId="FooterChar">
    <w:name w:val="Footer Char"/>
    <w:basedOn w:val="DefaultParagraphFont"/>
    <w:link w:val="Footer"/>
    <w:uiPriority w:val="99"/>
    <w:rsid w:val="007F32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345FC64-AECB-4262-ACFB-CEFB3C9108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8082</Words>
  <Characters>46071</Characters>
  <Application>Microsoft Office Word</Application>
  <DocSecurity>0</DocSecurity>
  <Lines>383</Lines>
  <Paragraphs>108</Paragraphs>
  <ScaleCrop>false</ScaleCrop>
  <Company/>
  <LinksUpToDate>false</LinksUpToDate>
  <CharactersWithSpaces>54045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Md Mohaiminul Islam Bappy (2431568)</cp:lastModifiedBy>
  <cp:revision>2</cp:revision>
  <dcterms:created xsi:type="dcterms:W3CDTF">2026-04-27T00:07:00Z</dcterms:created>
  <dcterms:modified xsi:type="dcterms:W3CDTF">2026-04-27T00:07:00Z</dcterms:modified>
</cp:coreProperties>
</file>