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ADC95" w14:textId="77777777" w:rsidR="008160DB" w:rsidRPr="00D27DEF" w:rsidRDefault="008160DB" w:rsidP="008160DB">
      <w:pPr>
        <w:pStyle w:val="Heading1"/>
        <w:spacing w:line="480" w:lineRule="auto"/>
        <w:rPr>
          <w:rFonts w:ascii="Arial" w:hAnsi="Arial" w:cs="Arial"/>
          <w:sz w:val="22"/>
          <w:szCs w:val="22"/>
        </w:rPr>
      </w:pPr>
      <w:r w:rsidRPr="00D27DEF">
        <w:rPr>
          <w:rFonts w:ascii="Arial" w:hAnsi="Arial" w:cs="Arial"/>
          <w:sz w:val="22"/>
          <w:szCs w:val="22"/>
        </w:rPr>
        <w:t xml:space="preserve">2.0 Chapter two – Literature Review </w:t>
      </w:r>
    </w:p>
    <w:p w14:paraId="1DCD19D2"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 xml:space="preserve">The purpose of this chapter aims </w:t>
      </w:r>
      <w:r>
        <w:rPr>
          <w:rFonts w:ascii="Arial" w:hAnsi="Arial" w:cs="Arial"/>
          <w:color w:val="000000" w:themeColor="text1"/>
        </w:rPr>
        <w:t xml:space="preserve">to </w:t>
      </w:r>
      <w:r w:rsidRPr="00D27DEF">
        <w:rPr>
          <w:rFonts w:ascii="Arial" w:hAnsi="Arial" w:cs="Arial"/>
          <w:color w:val="000000" w:themeColor="text1"/>
        </w:rPr>
        <w:t>fulfil the first research objective of the dissertation:</w:t>
      </w:r>
    </w:p>
    <w:p w14:paraId="60645106" w14:textId="77777777" w:rsidR="008160DB" w:rsidRPr="0038502B" w:rsidRDefault="008160DB" w:rsidP="008160DB">
      <w:pPr>
        <w:pStyle w:val="ListParagraph"/>
        <w:numPr>
          <w:ilvl w:val="0"/>
          <w:numId w:val="9"/>
        </w:numPr>
        <w:spacing w:line="480" w:lineRule="auto"/>
        <w:rPr>
          <w:rFonts w:ascii="Arial" w:hAnsi="Arial" w:cs="Arial"/>
          <w:i/>
          <w:iCs/>
        </w:rPr>
      </w:pPr>
      <w:r w:rsidRPr="0038502B">
        <w:rPr>
          <w:rFonts w:ascii="Arial" w:hAnsi="Arial" w:cs="Arial"/>
          <w:i/>
          <w:iCs/>
        </w:rPr>
        <w:t>Examine previous academic literature surrounding CSR and brand perception and analyse the impact integrating methods of CSR have had on similar organisations.</w:t>
      </w:r>
    </w:p>
    <w:p w14:paraId="038534D1"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 xml:space="preserve">To achieve this objective, a variety of </w:t>
      </w:r>
      <w:r>
        <w:rPr>
          <w:rFonts w:ascii="Arial" w:hAnsi="Arial" w:cs="Arial"/>
          <w:color w:val="000000" w:themeColor="text1"/>
        </w:rPr>
        <w:t xml:space="preserve">information </w:t>
      </w:r>
      <w:r w:rsidRPr="00D27DEF">
        <w:rPr>
          <w:rFonts w:ascii="Arial" w:hAnsi="Arial" w:cs="Arial"/>
          <w:color w:val="000000" w:themeColor="text1"/>
        </w:rPr>
        <w:t xml:space="preserve">sources </w:t>
      </w:r>
      <w:r>
        <w:rPr>
          <w:rFonts w:ascii="Arial" w:hAnsi="Arial" w:cs="Arial"/>
          <w:color w:val="000000" w:themeColor="text1"/>
        </w:rPr>
        <w:t>will be analysed these will</w:t>
      </w:r>
      <w:r w:rsidRPr="00D27DEF">
        <w:rPr>
          <w:rFonts w:ascii="Arial" w:hAnsi="Arial" w:cs="Arial"/>
          <w:color w:val="000000" w:themeColor="text1"/>
        </w:rPr>
        <w:t xml:space="preserve"> includ</w:t>
      </w:r>
      <w:r>
        <w:rPr>
          <w:rFonts w:ascii="Arial" w:hAnsi="Arial" w:cs="Arial"/>
          <w:color w:val="000000" w:themeColor="text1"/>
        </w:rPr>
        <w:t xml:space="preserve">e </w:t>
      </w:r>
      <w:r w:rsidRPr="00D27DEF">
        <w:rPr>
          <w:rFonts w:ascii="Arial" w:hAnsi="Arial" w:cs="Arial"/>
          <w:color w:val="000000" w:themeColor="text1"/>
        </w:rPr>
        <w:t>academic journals, peer-reviewed journals, relevant texts books, literature and a broad range of credible online news articles</w:t>
      </w:r>
      <w:r>
        <w:rPr>
          <w:rFonts w:ascii="Arial" w:hAnsi="Arial" w:cs="Arial"/>
          <w:color w:val="000000" w:themeColor="text1"/>
        </w:rPr>
        <w:t xml:space="preserve">. </w:t>
      </w:r>
      <w:r w:rsidRPr="00D27DEF">
        <w:rPr>
          <w:rFonts w:ascii="Arial" w:hAnsi="Arial" w:cs="Arial"/>
          <w:color w:val="000000" w:themeColor="text1"/>
        </w:rPr>
        <w:t xml:space="preserve">The academic literature within this chapter will assist the researcher in the design of an appropriate data collection method for the primary research and methodology </w:t>
      </w:r>
      <w:r>
        <w:rPr>
          <w:rFonts w:ascii="Arial" w:hAnsi="Arial" w:cs="Arial"/>
          <w:color w:val="000000" w:themeColor="text1"/>
        </w:rPr>
        <w:t>for</w:t>
      </w:r>
      <w:r w:rsidRPr="00D27DEF">
        <w:rPr>
          <w:rFonts w:ascii="Arial" w:hAnsi="Arial" w:cs="Arial"/>
          <w:color w:val="000000" w:themeColor="text1"/>
        </w:rPr>
        <w:t xml:space="preserve"> </w:t>
      </w:r>
      <w:r>
        <w:rPr>
          <w:rFonts w:ascii="Arial" w:hAnsi="Arial" w:cs="Arial"/>
          <w:color w:val="000000" w:themeColor="text1"/>
        </w:rPr>
        <w:t>C</w:t>
      </w:r>
      <w:r w:rsidRPr="00D27DEF">
        <w:rPr>
          <w:rFonts w:ascii="Arial" w:hAnsi="Arial" w:cs="Arial"/>
          <w:color w:val="000000" w:themeColor="text1"/>
        </w:rPr>
        <w:t>hapter three.</w:t>
      </w:r>
    </w:p>
    <w:p w14:paraId="2847DD0A"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This literature review will concer</w:t>
      </w:r>
      <w:r>
        <w:rPr>
          <w:rFonts w:ascii="Arial" w:hAnsi="Arial" w:cs="Arial"/>
          <w:color w:val="000000" w:themeColor="text1"/>
        </w:rPr>
        <w:t>n</w:t>
      </w:r>
      <w:r w:rsidRPr="00D27DEF">
        <w:rPr>
          <w:rFonts w:ascii="Arial" w:hAnsi="Arial" w:cs="Arial"/>
          <w:color w:val="000000" w:themeColor="text1"/>
        </w:rPr>
        <w:t xml:space="preserve"> FB brand perception and </w:t>
      </w:r>
      <w:r>
        <w:rPr>
          <w:rFonts w:ascii="Arial" w:hAnsi="Arial" w:cs="Arial"/>
          <w:color w:val="000000" w:themeColor="text1"/>
        </w:rPr>
        <w:t>CSR</w:t>
      </w:r>
      <w:r w:rsidRPr="00D27DEF">
        <w:rPr>
          <w:rFonts w:ascii="Arial" w:hAnsi="Arial" w:cs="Arial"/>
          <w:color w:val="000000" w:themeColor="text1"/>
        </w:rPr>
        <w:t xml:space="preserve"> using the conceptual framework from </w:t>
      </w:r>
      <w:r>
        <w:rPr>
          <w:rFonts w:ascii="Arial" w:hAnsi="Arial" w:cs="Arial"/>
          <w:color w:val="000000" w:themeColor="text1"/>
        </w:rPr>
        <w:t>C</w:t>
      </w:r>
      <w:r w:rsidRPr="00D27DEF">
        <w:rPr>
          <w:rFonts w:ascii="Arial" w:hAnsi="Arial" w:cs="Arial"/>
          <w:color w:val="000000" w:themeColor="text1"/>
        </w:rPr>
        <w:t xml:space="preserve">hapter one to create a structured literature review. The literature generated on CSR has been developed into many fields. The researcher will concentrate on literature produced on marketing as it focuses on how consumers perceive CSR activities at an individual level, (Fatma and Rahman, 2015) and in this instance will explore the effect this has on brand perception and attitudes towards FB. </w:t>
      </w:r>
    </w:p>
    <w:p w14:paraId="67F79B6D" w14:textId="77777777" w:rsidR="008160DB" w:rsidRPr="00D27DEF" w:rsidRDefault="008160DB" w:rsidP="008160DB">
      <w:pPr>
        <w:pStyle w:val="Heading2"/>
        <w:spacing w:line="480" w:lineRule="auto"/>
        <w:rPr>
          <w:rFonts w:ascii="Arial" w:hAnsi="Arial" w:cs="Arial"/>
          <w:sz w:val="22"/>
          <w:szCs w:val="22"/>
        </w:rPr>
      </w:pPr>
      <w:r w:rsidRPr="00D27DEF">
        <w:rPr>
          <w:rFonts w:ascii="Arial" w:hAnsi="Arial" w:cs="Arial"/>
          <w:sz w:val="22"/>
          <w:szCs w:val="22"/>
        </w:rPr>
        <w:t xml:space="preserve">2.1 Corporate Social Responsibility </w:t>
      </w:r>
    </w:p>
    <w:p w14:paraId="211299CA"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Social responsibility is important to a corporation as it demonstrates to its stakeholders that the organisation is concerned and aware with wider social issues, not just profit margins, which, in effect, can lead to greater profits for a business, (Morsing and Schultz, 2006). Literature formed on CSR has developed into two main themes, marketing</w:t>
      </w:r>
      <w:r>
        <w:rPr>
          <w:rFonts w:ascii="Arial" w:hAnsi="Arial" w:cs="Arial"/>
          <w:color w:val="000000" w:themeColor="text1"/>
        </w:rPr>
        <w:t xml:space="preserve"> (Broad CSR),</w:t>
      </w:r>
      <w:r w:rsidRPr="00D27DEF">
        <w:rPr>
          <w:rFonts w:ascii="Arial" w:hAnsi="Arial" w:cs="Arial"/>
          <w:color w:val="000000" w:themeColor="text1"/>
        </w:rPr>
        <w:t xml:space="preserve"> and management</w:t>
      </w:r>
      <w:r>
        <w:rPr>
          <w:rFonts w:ascii="Arial" w:hAnsi="Arial" w:cs="Arial"/>
          <w:color w:val="000000" w:themeColor="text1"/>
        </w:rPr>
        <w:t xml:space="preserve"> (Narrow CSR)</w:t>
      </w:r>
      <w:r w:rsidRPr="00D27DEF">
        <w:rPr>
          <w:rFonts w:ascii="Arial" w:hAnsi="Arial" w:cs="Arial"/>
          <w:color w:val="000000" w:themeColor="text1"/>
        </w:rPr>
        <w:t xml:space="preserve">. Marketing focuses on how consumers respond to CSR and management focuses on the impact CSR activities have on their financial bottom line, (Berger et al.,2007; Fatma and Rahman, 2015). In this chapter, the literature developed around marketing will be explored and evaluated in-depth to gain a better understanding of consumer perception of CSR activities which will assist in developing potential strategies </w:t>
      </w:r>
      <w:r w:rsidRPr="00D27DEF">
        <w:rPr>
          <w:rFonts w:ascii="Arial" w:hAnsi="Arial" w:cs="Arial"/>
          <w:color w:val="000000" w:themeColor="text1"/>
        </w:rPr>
        <w:lastRenderedPageBreak/>
        <w:t xml:space="preserve">that could be implemented by FB. </w:t>
      </w:r>
      <w:r>
        <w:rPr>
          <w:rFonts w:ascii="Arial" w:hAnsi="Arial" w:cs="Arial"/>
          <w:color w:val="000000" w:themeColor="text1"/>
        </w:rPr>
        <w:t>M</w:t>
      </w:r>
      <w:r w:rsidRPr="00D27DEF">
        <w:rPr>
          <w:rFonts w:ascii="Arial" w:hAnsi="Arial" w:cs="Arial"/>
          <w:color w:val="000000" w:themeColor="text1"/>
        </w:rPr>
        <w:t xml:space="preserve">anagement </w:t>
      </w:r>
      <w:r>
        <w:rPr>
          <w:rFonts w:ascii="Arial" w:hAnsi="Arial" w:cs="Arial"/>
          <w:color w:val="000000" w:themeColor="text1"/>
        </w:rPr>
        <w:t>C</w:t>
      </w:r>
      <w:r w:rsidRPr="00D27DEF">
        <w:rPr>
          <w:rFonts w:ascii="Arial" w:hAnsi="Arial" w:cs="Arial"/>
          <w:color w:val="000000" w:themeColor="text1"/>
        </w:rPr>
        <w:t xml:space="preserve">SR will be briefly explored </w:t>
      </w:r>
      <w:r>
        <w:rPr>
          <w:rFonts w:ascii="Arial" w:hAnsi="Arial" w:cs="Arial"/>
          <w:color w:val="000000" w:themeColor="text1"/>
        </w:rPr>
        <w:t>to provide the</w:t>
      </w:r>
      <w:r w:rsidRPr="00D27DEF">
        <w:rPr>
          <w:rFonts w:ascii="Arial" w:hAnsi="Arial" w:cs="Arial"/>
          <w:color w:val="000000" w:themeColor="text1"/>
        </w:rPr>
        <w:t xml:space="preserve"> researcher </w:t>
      </w:r>
      <w:r>
        <w:rPr>
          <w:rFonts w:ascii="Arial" w:hAnsi="Arial" w:cs="Arial"/>
          <w:color w:val="000000" w:themeColor="text1"/>
        </w:rPr>
        <w:t>with a whole and thorough</w:t>
      </w:r>
      <w:r w:rsidRPr="00D27DEF">
        <w:rPr>
          <w:rFonts w:ascii="Arial" w:hAnsi="Arial" w:cs="Arial"/>
          <w:color w:val="000000" w:themeColor="text1"/>
        </w:rPr>
        <w:t xml:space="preserve"> understanding of the field. </w:t>
      </w:r>
    </w:p>
    <w:p w14:paraId="61A29127"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2.1.1 Shareholder vs Stakeholder theory</w:t>
      </w:r>
    </w:p>
    <w:p w14:paraId="34A77CE8"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 xml:space="preserve">Milton Friedman developed Shareholder theory </w:t>
      </w:r>
      <w:r w:rsidRPr="00D27DEF">
        <w:rPr>
          <w:rFonts w:ascii="Arial" w:hAnsi="Arial" w:cs="Arial"/>
          <w:color w:val="000000" w:themeColor="text1"/>
          <w:shd w:val="clear" w:color="auto" w:fill="FFFFFF"/>
        </w:rPr>
        <w:t>in 1970,</w:t>
      </w:r>
      <w:r>
        <w:rPr>
          <w:rFonts w:ascii="Arial" w:hAnsi="Arial" w:cs="Arial"/>
          <w:color w:val="000000" w:themeColor="text1"/>
          <w:shd w:val="clear" w:color="auto" w:fill="FFFFFF"/>
        </w:rPr>
        <w:t xml:space="preserve"> it takes </w:t>
      </w:r>
      <w:r w:rsidRPr="00D27DEF">
        <w:rPr>
          <w:rFonts w:ascii="Arial" w:hAnsi="Arial" w:cs="Arial"/>
          <w:color w:val="000000" w:themeColor="text1"/>
          <w:shd w:val="clear" w:color="auto" w:fill="FFFFFF"/>
        </w:rPr>
        <w:t xml:space="preserve">the </w:t>
      </w:r>
      <w:r w:rsidRPr="00D27DEF">
        <w:rPr>
          <w:rFonts w:ascii="Arial" w:hAnsi="Arial" w:cs="Arial"/>
          <w:color w:val="000000" w:themeColor="text1"/>
        </w:rPr>
        <w:t>view that “</w:t>
      </w:r>
      <w:r w:rsidRPr="00D27DEF">
        <w:rPr>
          <w:rFonts w:ascii="Arial" w:hAnsi="Arial" w:cs="Arial"/>
          <w:i/>
          <w:color w:val="000000" w:themeColor="text1"/>
        </w:rPr>
        <w:t xml:space="preserve">a business needs to be run in the interests of the shareholders and relationships with other stakeholders are via legal or implied contracts” </w:t>
      </w:r>
      <w:r w:rsidRPr="00D27DEF">
        <w:rPr>
          <w:rFonts w:ascii="Arial" w:hAnsi="Arial" w:cs="Arial"/>
          <w:color w:val="000000" w:themeColor="text1"/>
          <w:shd w:val="clear" w:color="auto" w:fill="FFFFFF"/>
        </w:rPr>
        <w:t xml:space="preserve">(Moore, 1999). The theory aims to maintain relationships well enough </w:t>
      </w:r>
      <w:r>
        <w:rPr>
          <w:rFonts w:ascii="Arial" w:hAnsi="Arial" w:cs="Arial"/>
          <w:color w:val="000000" w:themeColor="text1"/>
          <w:shd w:val="clear" w:color="auto" w:fill="FFFFFF"/>
        </w:rPr>
        <w:t>to</w:t>
      </w:r>
      <w:r w:rsidRPr="00D27DEF">
        <w:rPr>
          <w:rFonts w:ascii="Arial" w:hAnsi="Arial" w:cs="Arial"/>
          <w:color w:val="000000" w:themeColor="text1"/>
          <w:shd w:val="clear" w:color="auto" w:fill="FFFFFF"/>
        </w:rPr>
        <w:t xml:space="preserve"> lead to an improved return for shareholders, </w:t>
      </w:r>
      <w:r>
        <w:rPr>
          <w:rFonts w:ascii="Arial" w:hAnsi="Arial" w:cs="Arial"/>
          <w:color w:val="000000" w:themeColor="text1"/>
          <w:shd w:val="clear" w:color="auto" w:fill="FFFFFF"/>
        </w:rPr>
        <w:t>in hope to</w:t>
      </w:r>
      <w:r w:rsidRPr="00D27DEF">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obtain </w:t>
      </w:r>
      <w:r w:rsidRPr="00D27DEF">
        <w:rPr>
          <w:rFonts w:ascii="Arial" w:hAnsi="Arial" w:cs="Arial"/>
          <w:color w:val="000000" w:themeColor="text1"/>
          <w:shd w:val="clear" w:color="auto" w:fill="FFFFFF"/>
        </w:rPr>
        <w:t>greater wealth for the organisation and therefore society, (Carson, 1993). Friedman opposes CSR</w:t>
      </w:r>
      <w:r>
        <w:rPr>
          <w:rFonts w:ascii="Arial" w:hAnsi="Arial" w:cs="Arial"/>
          <w:color w:val="000000" w:themeColor="text1"/>
          <w:shd w:val="clear" w:color="auto" w:fill="FFFFFF"/>
        </w:rPr>
        <w:t xml:space="preserve">, as </w:t>
      </w:r>
      <w:r w:rsidRPr="00D27DEF">
        <w:rPr>
          <w:rFonts w:ascii="Arial" w:hAnsi="Arial" w:cs="Arial"/>
          <w:color w:val="000000" w:themeColor="text1"/>
          <w:shd w:val="clear" w:color="auto" w:fill="FFFFFF"/>
        </w:rPr>
        <w:t xml:space="preserve">it is a direct contrast with the shareholder paradigm as it diverts resources and energy away from profit maximising behaviours. This theory contrasts with Stakeholder theory which not only seeks to create profit but also aims to satisfy the interests of all the organisation's stakeholders, (Ferrero et al, 2014). </w:t>
      </w:r>
      <w:r w:rsidRPr="00D27DEF">
        <w:rPr>
          <w:rFonts w:ascii="Arial" w:hAnsi="Arial" w:cs="Arial"/>
          <w:color w:val="000000" w:themeColor="text1"/>
        </w:rPr>
        <w:t xml:space="preserve">Stakeholders </w:t>
      </w:r>
      <w:r>
        <w:rPr>
          <w:rFonts w:ascii="Arial" w:hAnsi="Arial" w:cs="Arial"/>
          <w:color w:val="000000" w:themeColor="text1"/>
        </w:rPr>
        <w:t>are</w:t>
      </w:r>
      <w:r w:rsidRPr="00D27DEF">
        <w:rPr>
          <w:rFonts w:ascii="Arial" w:hAnsi="Arial" w:cs="Arial"/>
          <w:color w:val="000000" w:themeColor="text1"/>
        </w:rPr>
        <w:t xml:space="preserve"> defined as individuals or groups who depend on an organisation to fulfil their own goals and on whom, in turn, the organisation depends (Laplume et al 2008). Figure 2.1 </w:t>
      </w:r>
      <w:r>
        <w:rPr>
          <w:rFonts w:ascii="Arial" w:hAnsi="Arial" w:cs="Arial"/>
          <w:color w:val="000000" w:themeColor="text1"/>
        </w:rPr>
        <w:t>depicts</w:t>
      </w:r>
      <w:r w:rsidRPr="00D27DEF">
        <w:rPr>
          <w:rFonts w:ascii="Arial" w:hAnsi="Arial" w:cs="Arial"/>
          <w:color w:val="000000" w:themeColor="text1"/>
        </w:rPr>
        <w:t xml:space="preserve"> the many </w:t>
      </w:r>
      <w:r>
        <w:rPr>
          <w:rFonts w:ascii="Arial" w:hAnsi="Arial" w:cs="Arial"/>
          <w:color w:val="000000" w:themeColor="text1"/>
        </w:rPr>
        <w:t>groups of</w:t>
      </w:r>
      <w:r w:rsidRPr="00D27DEF">
        <w:rPr>
          <w:rFonts w:ascii="Arial" w:hAnsi="Arial" w:cs="Arial"/>
          <w:color w:val="000000" w:themeColor="text1"/>
        </w:rPr>
        <w:t xml:space="preserve"> stakeholders an organisation has within the stakeholder model. In 1984, R. Edward Freeman detailed Stakeholder Theory. This theory is a view of capitalism that reveals interconnected relationships between a business and its stakeholders, (Stieb, 2009). The principle notes that an organisation should generate value for all its stakeholders, not just its shareholders. This can be accomplished by integrating CSR into the day-to-day operations of the organisation</w:t>
      </w:r>
      <w:r>
        <w:rPr>
          <w:rFonts w:ascii="Arial" w:hAnsi="Arial" w:cs="Arial"/>
          <w:color w:val="000000" w:themeColor="text1"/>
        </w:rPr>
        <w:t xml:space="preserve"> (Freeman et al, 2010)</w:t>
      </w:r>
      <w:r w:rsidRPr="00D27DEF">
        <w:rPr>
          <w:rFonts w:ascii="Arial" w:hAnsi="Arial" w:cs="Arial"/>
          <w:color w:val="000000" w:themeColor="text1"/>
        </w:rPr>
        <w:t>.</w:t>
      </w:r>
    </w:p>
    <w:p w14:paraId="186F8DCD" w14:textId="77777777" w:rsidR="008160DB" w:rsidRPr="00D27DEF" w:rsidRDefault="008160DB" w:rsidP="008160DB">
      <w:pPr>
        <w:spacing w:line="480" w:lineRule="auto"/>
        <w:rPr>
          <w:rFonts w:ascii="Arial" w:hAnsi="Arial" w:cs="Arial"/>
          <w:color w:val="000000" w:themeColor="text1"/>
        </w:rPr>
      </w:pPr>
      <w:r>
        <w:rPr>
          <w:noProof/>
        </w:rPr>
        <w:lastRenderedPageBreak/>
        <mc:AlternateContent>
          <mc:Choice Requires="wps">
            <w:drawing>
              <wp:anchor distT="0" distB="0" distL="114300" distR="114300" simplePos="0" relativeHeight="251660288" behindDoc="0" locked="0" layoutInCell="1" allowOverlap="1" wp14:anchorId="06A8CCA2" wp14:editId="14BF0C5D">
                <wp:simplePos x="0" y="0"/>
                <wp:positionH relativeFrom="column">
                  <wp:posOffset>727075</wp:posOffset>
                </wp:positionH>
                <wp:positionV relativeFrom="paragraph">
                  <wp:posOffset>4004310</wp:posOffset>
                </wp:positionV>
                <wp:extent cx="427672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4276725" cy="635"/>
                        </a:xfrm>
                        <a:prstGeom prst="rect">
                          <a:avLst/>
                        </a:prstGeom>
                        <a:solidFill>
                          <a:prstClr val="white"/>
                        </a:solidFill>
                        <a:ln>
                          <a:noFill/>
                        </a:ln>
                      </wps:spPr>
                      <wps:txbx>
                        <w:txbxContent>
                          <w:p w14:paraId="2AD81437" w14:textId="77777777" w:rsidR="008160DB" w:rsidRPr="009E0270" w:rsidRDefault="008160DB" w:rsidP="008160DB">
                            <w:pPr>
                              <w:pStyle w:val="Caption"/>
                              <w:rPr>
                                <w:rFonts w:ascii="Arial" w:hAnsi="Arial" w:cs="Arial"/>
                                <w:noProof/>
                                <w:color w:val="000000" w:themeColor="text1"/>
                              </w:rPr>
                            </w:pPr>
                            <w:r>
                              <w:t xml:space="preserve">Figure 2.1 </w:t>
                            </w:r>
                            <w:r w:rsidRPr="00D27DEF">
                              <w:rPr>
                                <w:rFonts w:ascii="Arial" w:hAnsi="Arial" w:cs="Arial"/>
                                <w:i w:val="0"/>
                                <w:color w:val="000000" w:themeColor="text1"/>
                                <w:sz w:val="22"/>
                                <w:szCs w:val="22"/>
                              </w:rPr>
                              <w:t xml:space="preserve">Interaction of stakeholders with a firm, </w:t>
                            </w:r>
                            <w:r w:rsidRPr="00D27DEF">
                              <w:rPr>
                                <w:rFonts w:ascii="Arial" w:hAnsi="Arial" w:cs="Arial"/>
                                <w:color w:val="000000" w:themeColor="text1"/>
                                <w:sz w:val="22"/>
                                <w:szCs w:val="22"/>
                              </w:rPr>
                              <w:t>(Polonsky, 1995)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A8CCA2" id="_x0000_t202" coordsize="21600,21600" o:spt="202" path="m,l,21600r21600,l21600,xe">
                <v:stroke joinstyle="miter"/>
                <v:path gradientshapeok="t" o:connecttype="rect"/>
              </v:shapetype>
              <v:shape id="Text Box 4" o:spid="_x0000_s1026" type="#_x0000_t202" style="position:absolute;margin-left:57.25pt;margin-top:315.3pt;width:336.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" stroked="f">
                <v:textbox style="mso-fit-shape-to-text:t" inset="0,0,0,0">
                  <w:txbxContent>
                    <w:p w14:paraId="2AD81437" w14:textId="77777777" w:rsidR="008160DB" w:rsidRPr="009E0270" w:rsidRDefault="008160DB" w:rsidP="008160DB">
                      <w:pPr>
                        <w:pStyle w:val="Caption"/>
                        <w:rPr>
                          <w:rFonts w:ascii="Arial" w:hAnsi="Arial" w:cs="Arial"/>
                          <w:noProof/>
                          <w:color w:val="000000" w:themeColor="text1"/>
                        </w:rPr>
                      </w:pPr>
                      <w:r>
                        <w:t xml:space="preserve">Figure 2.1 </w:t>
                      </w:r>
                      <w:r w:rsidRPr="00D27DEF">
                        <w:rPr>
                          <w:rFonts w:ascii="Arial" w:hAnsi="Arial" w:cs="Arial"/>
                          <w:i w:val="0"/>
                          <w:color w:val="000000" w:themeColor="text1"/>
                          <w:sz w:val="22"/>
                          <w:szCs w:val="22"/>
                        </w:rPr>
                        <w:t xml:space="preserve">Interaction of stakeholders with a firm, </w:t>
                      </w:r>
                      <w:r w:rsidRPr="00D27DEF">
                        <w:rPr>
                          <w:rFonts w:ascii="Arial" w:hAnsi="Arial" w:cs="Arial"/>
                          <w:color w:val="000000" w:themeColor="text1"/>
                          <w:sz w:val="22"/>
                          <w:szCs w:val="22"/>
                        </w:rPr>
                        <w:t>(Polonsky, 1995)</w:t>
                      </w:r>
                    </w:p>
                  </w:txbxContent>
                </v:textbox>
                <w10:wrap type="square"/>
              </v:shape>
            </w:pict>
          </mc:Fallback>
        </mc:AlternateContent>
      </w:r>
      <w:r w:rsidRPr="00D27DEF">
        <w:rPr>
          <w:rFonts w:ascii="Arial" w:hAnsi="Arial" w:cs="Arial"/>
          <w:noProof/>
          <w:color w:val="000000" w:themeColor="text1"/>
        </w:rPr>
        <w:drawing>
          <wp:anchor distT="0" distB="0" distL="114300" distR="114300" simplePos="0" relativeHeight="251659264" behindDoc="1" locked="0" layoutInCell="1" allowOverlap="1" wp14:anchorId="004A1764" wp14:editId="3570155F">
            <wp:simplePos x="0" y="0"/>
            <wp:positionH relativeFrom="margin">
              <wp:align>center</wp:align>
            </wp:positionH>
            <wp:positionV relativeFrom="paragraph">
              <wp:posOffset>209550</wp:posOffset>
            </wp:positionV>
            <wp:extent cx="4276725" cy="37376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87630" name=""/>
                    <pic:cNvPicPr/>
                  </pic:nvPicPr>
                  <pic:blipFill>
                    <a:blip r:embed="rId6">
                      <a:extLst>
                        <a:ext uri="{28A0092B-C50C-407E-A947-70E740481C1C}">
                          <a14:useLocalDpi xmlns:a14="http://schemas.microsoft.com/office/drawing/2010/main" val="0"/>
                        </a:ext>
                      </a:extLst>
                    </a:blip>
                    <a:srcRect l="69466" t="27182" r="7600" b="36182"/>
                    <a:stretch>
                      <a:fillRect/>
                    </a:stretch>
                  </pic:blipFill>
                  <pic:spPr bwMode="auto">
                    <a:xfrm>
                      <a:off x="0" y="0"/>
                      <a:ext cx="4276725" cy="3737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7DEF">
        <w:rPr>
          <w:rFonts w:ascii="Arial" w:hAnsi="Arial" w:cs="Arial"/>
          <w:color w:val="000000" w:themeColor="text1"/>
          <w:shd w:val="clear" w:color="auto" w:fill="FFFFFF"/>
        </w:rPr>
        <w:t xml:space="preserve">      </w:t>
      </w:r>
    </w:p>
    <w:p w14:paraId="0A9FA9D3" w14:textId="77777777" w:rsidR="008160DB" w:rsidRPr="00D27DEF" w:rsidRDefault="008160DB" w:rsidP="008160DB">
      <w:pPr>
        <w:spacing w:line="480" w:lineRule="auto"/>
        <w:rPr>
          <w:rFonts w:ascii="Arial" w:hAnsi="Arial" w:cs="Arial"/>
          <w:color w:val="000000" w:themeColor="text1"/>
          <w:shd w:val="clear" w:color="auto" w:fill="FFFFFF"/>
        </w:rPr>
      </w:pPr>
    </w:p>
    <w:p w14:paraId="2A42A78B" w14:textId="77777777" w:rsidR="008160DB" w:rsidRPr="00D27DEF" w:rsidRDefault="008160DB" w:rsidP="008160DB">
      <w:pPr>
        <w:spacing w:line="480" w:lineRule="auto"/>
        <w:rPr>
          <w:rFonts w:ascii="Arial" w:hAnsi="Arial" w:cs="Arial"/>
          <w:color w:val="000000" w:themeColor="text1"/>
          <w:shd w:val="clear" w:color="auto" w:fill="FFFFFF"/>
        </w:rPr>
      </w:pPr>
    </w:p>
    <w:p w14:paraId="5A22598F" w14:textId="77777777" w:rsidR="008160DB" w:rsidRPr="00D27DEF" w:rsidRDefault="008160DB" w:rsidP="008160DB">
      <w:pPr>
        <w:spacing w:line="480" w:lineRule="auto"/>
        <w:rPr>
          <w:rFonts w:ascii="Arial" w:hAnsi="Arial" w:cs="Arial"/>
          <w:color w:val="000000" w:themeColor="text1"/>
          <w:shd w:val="clear" w:color="auto" w:fill="FFFFFF"/>
        </w:rPr>
      </w:pPr>
    </w:p>
    <w:p w14:paraId="72D2A986" w14:textId="77777777" w:rsidR="008160DB" w:rsidRPr="00D27DEF" w:rsidRDefault="008160DB" w:rsidP="008160DB">
      <w:pPr>
        <w:spacing w:line="480" w:lineRule="auto"/>
        <w:rPr>
          <w:rFonts w:ascii="Arial" w:hAnsi="Arial" w:cs="Arial"/>
          <w:color w:val="000000" w:themeColor="text1"/>
          <w:shd w:val="clear" w:color="auto" w:fill="FFFFFF"/>
        </w:rPr>
      </w:pPr>
    </w:p>
    <w:p w14:paraId="16BE6D12" w14:textId="77777777" w:rsidR="008160DB" w:rsidRPr="00D27DEF" w:rsidRDefault="008160DB" w:rsidP="008160DB">
      <w:pPr>
        <w:spacing w:line="480" w:lineRule="auto"/>
        <w:rPr>
          <w:rFonts w:ascii="Arial" w:hAnsi="Arial" w:cs="Arial"/>
          <w:color w:val="000000" w:themeColor="text1"/>
          <w:shd w:val="clear" w:color="auto" w:fill="FFFFFF"/>
        </w:rPr>
      </w:pPr>
    </w:p>
    <w:p w14:paraId="226B1AE4" w14:textId="77777777" w:rsidR="008160DB" w:rsidRPr="00D27DEF" w:rsidRDefault="008160DB" w:rsidP="008160DB">
      <w:pPr>
        <w:spacing w:line="480" w:lineRule="auto"/>
        <w:rPr>
          <w:rFonts w:ascii="Arial" w:hAnsi="Arial" w:cs="Arial"/>
          <w:color w:val="000000" w:themeColor="text1"/>
          <w:shd w:val="clear" w:color="auto" w:fill="FFFFFF"/>
        </w:rPr>
      </w:pPr>
    </w:p>
    <w:p w14:paraId="01F35E05" w14:textId="77777777" w:rsidR="008160DB" w:rsidRPr="00D27DEF" w:rsidRDefault="008160DB" w:rsidP="008160DB">
      <w:pPr>
        <w:spacing w:line="480" w:lineRule="auto"/>
        <w:rPr>
          <w:rFonts w:ascii="Arial" w:hAnsi="Arial" w:cs="Arial"/>
          <w:color w:val="000000" w:themeColor="text1"/>
          <w:shd w:val="clear" w:color="auto" w:fill="FFFFFF"/>
        </w:rPr>
      </w:pPr>
    </w:p>
    <w:p w14:paraId="706A9A57" w14:textId="77777777" w:rsidR="008160DB" w:rsidRPr="00D27DEF" w:rsidRDefault="008160DB" w:rsidP="008160DB">
      <w:pPr>
        <w:spacing w:line="480" w:lineRule="auto"/>
        <w:rPr>
          <w:rFonts w:ascii="Arial" w:hAnsi="Arial" w:cs="Arial"/>
          <w:color w:val="000000" w:themeColor="text1"/>
          <w:shd w:val="clear" w:color="auto" w:fill="FFFFFF"/>
        </w:rPr>
      </w:pPr>
    </w:p>
    <w:p w14:paraId="44AFE21C" w14:textId="77777777" w:rsidR="008160DB" w:rsidRPr="00D27DEF" w:rsidRDefault="008160DB" w:rsidP="008160DB">
      <w:pPr>
        <w:spacing w:line="480" w:lineRule="auto"/>
        <w:rPr>
          <w:rFonts w:ascii="Arial" w:hAnsi="Arial" w:cs="Arial"/>
          <w:color w:val="000000" w:themeColor="text1"/>
          <w:shd w:val="clear" w:color="auto" w:fill="FFFFFF"/>
        </w:rPr>
      </w:pPr>
    </w:p>
    <w:p w14:paraId="2A82294F" w14:textId="77777777" w:rsidR="008160DB" w:rsidRDefault="008160DB" w:rsidP="008160DB">
      <w:pPr>
        <w:spacing w:line="480" w:lineRule="auto"/>
        <w:rPr>
          <w:rFonts w:ascii="Arial" w:hAnsi="Arial" w:cs="Arial"/>
          <w:color w:val="000000" w:themeColor="text1"/>
          <w:shd w:val="clear" w:color="auto" w:fill="FFFFFF"/>
        </w:rPr>
      </w:pPr>
    </w:p>
    <w:p w14:paraId="5E778D12" w14:textId="77777777" w:rsidR="008160DB" w:rsidRDefault="008160DB" w:rsidP="008160DB">
      <w:pPr>
        <w:spacing w:line="480" w:lineRule="auto"/>
        <w:rPr>
          <w:rFonts w:ascii="Arial" w:hAnsi="Arial" w:cs="Arial"/>
          <w:color w:val="000000" w:themeColor="text1"/>
          <w:shd w:val="clear" w:color="auto" w:fill="FFFFFF"/>
        </w:rPr>
      </w:pPr>
      <w:r w:rsidRPr="00D27DEF">
        <w:rPr>
          <w:rFonts w:ascii="Arial" w:hAnsi="Arial" w:cs="Arial"/>
          <w:color w:val="000000" w:themeColor="text1"/>
        </w:rPr>
        <w:t>T</w:t>
      </w:r>
      <w:r w:rsidRPr="00D27DEF">
        <w:rPr>
          <w:rFonts w:ascii="Arial" w:hAnsi="Arial" w:cs="Arial"/>
          <w:color w:val="000000" w:themeColor="text1"/>
          <w:shd w:val="clear" w:color="auto" w:fill="FFFFFF"/>
        </w:rPr>
        <w:t>here will always be theoretical experts who will argue which theory is superior in terms of Shareholder versus Stakeholder Theory, but what cannot be dismissed is the movement toward CSR that has been called for by various groups of stakeholders, (Faucher, 2015)</w:t>
      </w:r>
      <w:r>
        <w:rPr>
          <w:rFonts w:ascii="Arial" w:hAnsi="Arial" w:cs="Arial"/>
          <w:color w:val="000000" w:themeColor="text1"/>
          <w:shd w:val="clear" w:color="auto" w:fill="FFFFFF"/>
        </w:rPr>
        <w:t>.  Mendelow’s matrix is a system which uses mapping to group together stakeholders which have the same level of interest and power towards an organisation and its activities. It helps to establish the level of relationship an organisation has with its stakeholders and assists to recognise and understand the demands and expectations these stakeholders have, (</w:t>
      </w:r>
      <w:r w:rsidRPr="00292D36">
        <w:rPr>
          <w:rFonts w:ascii="Arial" w:hAnsi="Arial" w:cs="Arial"/>
          <w:color w:val="000000"/>
          <w:sz w:val="24"/>
          <w:szCs w:val="24"/>
          <w:shd w:val="clear" w:color="auto" w:fill="FFFFFF"/>
        </w:rPr>
        <w:t>Bryson and Patton, 2010</w:t>
      </w:r>
      <w:r>
        <w:rPr>
          <w:rFonts w:ascii="Arial" w:hAnsi="Arial" w:cs="Arial"/>
          <w:color w:val="000000"/>
          <w:sz w:val="24"/>
          <w:szCs w:val="24"/>
          <w:shd w:val="clear" w:color="auto" w:fill="FFFFFF"/>
        </w:rPr>
        <w:t xml:space="preserve">; </w:t>
      </w:r>
      <w:r>
        <w:rPr>
          <w:rFonts w:ascii="Arial" w:hAnsi="Arial" w:cs="Arial"/>
          <w:color w:val="000000" w:themeColor="text1"/>
          <w:shd w:val="clear" w:color="auto" w:fill="FFFFFF"/>
        </w:rPr>
        <w:t>Kuzmin and Khilukha, 2016). Table 2.1 shows Mendelows matrix which has been applied to FB stakeholders.</w:t>
      </w:r>
    </w:p>
    <w:p w14:paraId="2B6BCF6C" w14:textId="77777777" w:rsidR="008160DB" w:rsidRDefault="008160DB" w:rsidP="008160DB">
      <w:pPr>
        <w:spacing w:line="480" w:lineRule="auto"/>
        <w:rPr>
          <w:rFonts w:ascii="Arial" w:hAnsi="Arial" w:cs="Arial"/>
          <w:color w:val="000000" w:themeColor="text1"/>
          <w:shd w:val="clear" w:color="auto" w:fill="FFFFFF"/>
        </w:rPr>
      </w:pPr>
    </w:p>
    <w:p w14:paraId="62011A94" w14:textId="77777777" w:rsidR="008160DB" w:rsidRDefault="008160DB" w:rsidP="008160DB">
      <w:pPr>
        <w:spacing w:line="480" w:lineRule="auto"/>
        <w:rPr>
          <w:rFonts w:ascii="Arial" w:hAnsi="Arial" w:cs="Arial"/>
          <w:color w:val="000000" w:themeColor="text1"/>
          <w:shd w:val="clear" w:color="auto" w:fill="FFFFFF"/>
        </w:rPr>
      </w:pPr>
    </w:p>
    <w:p w14:paraId="5F659062" w14:textId="77777777" w:rsidR="008160DB" w:rsidRDefault="008160DB" w:rsidP="008160DB">
      <w:pPr>
        <w:pStyle w:val="Caption"/>
        <w:keepNext/>
      </w:pPr>
    </w:p>
    <w:tbl>
      <w:tblPr>
        <w:tblW w:w="8996" w:type="dxa"/>
        <w:jc w:val="center"/>
        <w:tblBorders>
          <w:top w:val="outset" w:sz="6" w:space="0" w:color="auto"/>
          <w:left w:val="outset" w:sz="6" w:space="0" w:color="auto"/>
          <w:bottom w:val="outset" w:sz="6" w:space="0" w:color="auto"/>
          <w:right w:val="outset" w:sz="6" w:space="0" w:color="auto"/>
        </w:tblBorders>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2219"/>
        <w:gridCol w:w="1534"/>
        <w:gridCol w:w="2586"/>
        <w:gridCol w:w="2657"/>
      </w:tblGrid>
      <w:tr w:rsidR="008160DB" w:rsidRPr="00292D36" w14:paraId="6389F144" w14:textId="77777777" w:rsidTr="000E6A2A">
        <w:trPr>
          <w:trHeight w:val="442"/>
          <w:jc w:val="center"/>
        </w:trPr>
        <w:tc>
          <w:tcPr>
            <w:tcW w:w="3753" w:type="dxa"/>
            <w:gridSpan w:val="2"/>
            <w:vMerge w:val="restart"/>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5660D9AA" w14:textId="77777777" w:rsidR="008160DB" w:rsidRPr="00292D36" w:rsidRDefault="008160DB" w:rsidP="000E6A2A">
            <w:pPr>
              <w:spacing w:before="100" w:beforeAutospacing="1" w:after="100" w:afterAutospacing="1"/>
              <w:textAlignment w:val="baseline"/>
              <w:rPr>
                <w:rFonts w:ascii="Arial" w:eastAsia="Times New Roman" w:hAnsi="Arial" w:cs="Arial"/>
                <w:b/>
                <w:bCs/>
                <w:color w:val="FFFFFF"/>
                <w:sz w:val="24"/>
                <w:szCs w:val="24"/>
                <w:lang w:val="en-US" w:eastAsia="en-GB"/>
              </w:rPr>
            </w:pPr>
            <w:r w:rsidRPr="00292D36">
              <w:rPr>
                <w:rFonts w:ascii="Arial" w:eastAsia="Times New Roman" w:hAnsi="Arial" w:cs="Arial"/>
                <w:b/>
                <w:bCs/>
                <w:color w:val="FFFFFF"/>
                <w:sz w:val="24"/>
                <w:szCs w:val="24"/>
                <w:lang w:val="en-US" w:eastAsia="en-GB"/>
              </w:rPr>
              <w:t>​</w:t>
            </w:r>
          </w:p>
        </w:tc>
        <w:tc>
          <w:tcPr>
            <w:tcW w:w="5243" w:type="dxa"/>
            <w:gridSpan w:val="2"/>
            <w:tcBorders>
              <w:top w:val="single" w:sz="12" w:space="0" w:color="auto"/>
              <w:left w:val="single" w:sz="12" w:space="0" w:color="auto"/>
              <w:bottom w:val="single" w:sz="6" w:space="0" w:color="FFFFFF"/>
              <w:right w:val="single" w:sz="12" w:space="0" w:color="auto"/>
            </w:tcBorders>
            <w:shd w:val="clear" w:color="auto" w:fill="E7E6E6" w:themeFill="background2"/>
            <w:hideMark/>
          </w:tcPr>
          <w:p w14:paraId="5C8B3555" w14:textId="77777777" w:rsidR="008160DB" w:rsidRPr="00292D36" w:rsidRDefault="008160DB" w:rsidP="000E6A2A">
            <w:pPr>
              <w:spacing w:before="100" w:beforeAutospacing="1" w:after="100" w:afterAutospacing="1"/>
              <w:jc w:val="center"/>
              <w:textAlignment w:val="baseline"/>
              <w:rPr>
                <w:rFonts w:ascii="Arial" w:eastAsia="Times New Roman" w:hAnsi="Arial" w:cs="Arial"/>
                <w:b/>
                <w:bCs/>
                <w:color w:val="FFFFFF"/>
                <w:sz w:val="24"/>
                <w:szCs w:val="24"/>
                <w:lang w:val="en-US" w:eastAsia="en-GB"/>
              </w:rPr>
            </w:pPr>
            <w:r w:rsidRPr="00292D36">
              <w:rPr>
                <w:rFonts w:ascii="Arial" w:eastAsia="Times New Roman" w:hAnsi="Arial" w:cs="Arial"/>
                <w:b/>
                <w:bCs/>
                <w:color w:val="FFFFFF"/>
                <w:sz w:val="24"/>
                <w:szCs w:val="24"/>
                <w:lang w:val="en-US" w:eastAsia="en-GB"/>
              </w:rPr>
              <w:t>​</w:t>
            </w:r>
            <w:r w:rsidRPr="00292D36">
              <w:rPr>
                <w:rFonts w:ascii="Arial" w:eastAsia="Times New Roman" w:hAnsi="Arial" w:cs="Arial"/>
                <w:b/>
                <w:bCs/>
                <w:color w:val="000000"/>
                <w:sz w:val="24"/>
                <w:szCs w:val="24"/>
                <w:lang w:val="en-US" w:eastAsia="en-GB"/>
              </w:rPr>
              <w:t>Level of Interest</w:t>
            </w:r>
            <w:r w:rsidRPr="00292D36">
              <w:rPr>
                <w:rFonts w:ascii="Arial" w:eastAsia="Times New Roman" w:hAnsi="Arial" w:cs="Arial"/>
                <w:b/>
                <w:bCs/>
                <w:color w:val="FFFFFF"/>
                <w:sz w:val="24"/>
                <w:szCs w:val="24"/>
                <w:lang w:val="en-US" w:eastAsia="en-GB"/>
              </w:rPr>
              <w:t>​</w:t>
            </w:r>
          </w:p>
        </w:tc>
      </w:tr>
      <w:tr w:rsidR="008160DB" w:rsidRPr="00292D36" w14:paraId="40E754BF" w14:textId="77777777" w:rsidTr="000E6A2A">
        <w:trPr>
          <w:trHeight w:val="408"/>
          <w:jc w:val="center"/>
        </w:trPr>
        <w:tc>
          <w:tcPr>
            <w:tcW w:w="0" w:type="auto"/>
            <w:gridSpan w:val="2"/>
            <w:vMerge/>
            <w:tcBorders>
              <w:top w:val="single" w:sz="6" w:space="0" w:color="27CED7"/>
              <w:left w:val="single" w:sz="12" w:space="0" w:color="auto"/>
              <w:bottom w:val="single" w:sz="6" w:space="0" w:color="FFFFFF"/>
              <w:right w:val="single" w:sz="12" w:space="0" w:color="auto"/>
            </w:tcBorders>
            <w:shd w:val="clear" w:color="auto" w:fill="E7E6E6" w:themeFill="background2"/>
            <w:vAlign w:val="center"/>
            <w:hideMark/>
          </w:tcPr>
          <w:p w14:paraId="3DF9B36A" w14:textId="77777777" w:rsidR="008160DB" w:rsidRPr="00292D36" w:rsidRDefault="008160DB" w:rsidP="000E6A2A">
            <w:pPr>
              <w:spacing w:after="0"/>
              <w:rPr>
                <w:rFonts w:ascii="Arial" w:eastAsia="Times New Roman" w:hAnsi="Arial" w:cs="Arial"/>
                <w:b/>
                <w:bCs/>
                <w:color w:val="FFFFFF"/>
                <w:sz w:val="24"/>
                <w:szCs w:val="24"/>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2F64D10F" w14:textId="77777777" w:rsidR="008160DB" w:rsidRPr="00292D36" w:rsidRDefault="008160DB" w:rsidP="000E6A2A">
            <w:pPr>
              <w:spacing w:before="100" w:beforeAutospacing="1" w:after="100" w:afterAutospacing="1"/>
              <w:jc w:val="center"/>
              <w:textAlignment w:val="baseline"/>
              <w:rPr>
                <w:rFonts w:ascii="Arial" w:eastAsia="Times New Roman" w:hAnsi="Arial" w:cs="Arial"/>
                <w:sz w:val="24"/>
                <w:szCs w:val="24"/>
                <w:lang w:val="en-US" w:eastAsia="en-GB"/>
              </w:rPr>
            </w:pPr>
            <w:r w:rsidRPr="00292D36">
              <w:rPr>
                <w:rFonts w:ascii="Arial" w:eastAsia="Times New Roman" w:hAnsi="Arial" w:cs="Arial"/>
                <w:color w:val="000000"/>
                <w:sz w:val="24"/>
                <w:szCs w:val="24"/>
                <w:lang w:val="en-US" w:eastAsia="en-GB"/>
              </w:rPr>
              <w:t>​</w:t>
            </w:r>
            <w:r w:rsidRPr="00292D36">
              <w:rPr>
                <w:rFonts w:ascii="Arial" w:eastAsia="Times New Roman" w:hAnsi="Arial" w:cs="Arial"/>
                <w:b/>
                <w:bCs/>
                <w:color w:val="000000"/>
                <w:sz w:val="24"/>
                <w:szCs w:val="24"/>
                <w:lang w:val="en-US" w:eastAsia="en-GB"/>
              </w:rPr>
              <w:t>Low</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49B50756"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High</w:t>
            </w:r>
            <w:r w:rsidRPr="00292D36">
              <w:rPr>
                <w:rFonts w:ascii="Arial" w:eastAsia="Times New Roman" w:hAnsi="Arial" w:cs="Arial"/>
                <w:color w:val="000000"/>
                <w:sz w:val="24"/>
                <w:szCs w:val="24"/>
                <w:lang w:val="en-US" w:eastAsia="en-GB"/>
              </w:rPr>
              <w:t>​</w:t>
            </w:r>
          </w:p>
        </w:tc>
      </w:tr>
      <w:tr w:rsidR="008160DB" w:rsidRPr="00292D36" w14:paraId="0694634B" w14:textId="77777777" w:rsidTr="000E6A2A">
        <w:trPr>
          <w:trHeight w:val="2926"/>
          <w:jc w:val="center"/>
        </w:trPr>
        <w:tc>
          <w:tcPr>
            <w:tcW w:w="2219" w:type="dxa"/>
            <w:vMerge w:val="restart"/>
            <w:tcBorders>
              <w:top w:val="single" w:sz="12" w:space="0" w:color="auto"/>
              <w:left w:val="single" w:sz="12" w:space="0" w:color="auto"/>
              <w:bottom w:val="single" w:sz="6" w:space="0" w:color="27CED7"/>
              <w:right w:val="single" w:sz="12" w:space="0" w:color="auto"/>
            </w:tcBorders>
            <w:shd w:val="clear" w:color="auto" w:fill="E7E6E6" w:themeFill="background2"/>
            <w:hideMark/>
          </w:tcPr>
          <w:p w14:paraId="05AAE973"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08CA8DE3"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5DB1FE47"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1074C83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Level of Power</w:t>
            </w:r>
            <w:r w:rsidRPr="00292D36">
              <w:rPr>
                <w:rFonts w:ascii="Arial" w:eastAsia="Times New Roman" w:hAnsi="Arial" w:cs="Arial"/>
                <w:color w:val="000000"/>
                <w:sz w:val="24"/>
                <w:szCs w:val="24"/>
                <w:lang w:val="en-US" w:eastAsia="en-GB"/>
              </w:rPr>
              <w:t>​</w:t>
            </w: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6B3147A2"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5C95FC66" w14:textId="77777777" w:rsidR="008160DB" w:rsidRPr="00292D36" w:rsidRDefault="008160DB" w:rsidP="000E6A2A">
            <w:pPr>
              <w:spacing w:before="100" w:beforeAutospacing="1" w:after="100" w:afterAutospacing="1"/>
              <w:jc w:val="center"/>
              <w:textAlignment w:val="baseline"/>
              <w:rPr>
                <w:rFonts w:ascii="Arial" w:eastAsia="Times New Roman" w:hAnsi="Arial" w:cs="Arial"/>
                <w:b/>
                <w:bCs/>
                <w:color w:val="000000"/>
                <w:sz w:val="24"/>
                <w:szCs w:val="24"/>
                <w:lang w:val="en-US" w:eastAsia="en-GB"/>
              </w:rPr>
            </w:pPr>
          </w:p>
          <w:p w14:paraId="0100BA49"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b/>
                <w:bCs/>
                <w:color w:val="000000"/>
                <w:sz w:val="24"/>
                <w:szCs w:val="24"/>
                <w:lang w:val="en-US" w:eastAsia="en-GB"/>
              </w:rPr>
              <w:t>Low</w:t>
            </w:r>
            <w:r w:rsidRPr="00292D36">
              <w:rPr>
                <w:rFonts w:ascii="Arial" w:eastAsia="Times New Roman" w:hAnsi="Arial" w:cs="Arial"/>
                <w:color w:val="000000"/>
                <w:sz w:val="24"/>
                <w:szCs w:val="24"/>
                <w:lang w:val="en-US" w:eastAsia="en-GB"/>
              </w:rPr>
              <w:t>​</w:t>
            </w:r>
          </w:p>
          <w:p w14:paraId="13F7453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1026CF0F"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(Minimal effort) ​</w:t>
            </w:r>
          </w:p>
          <w:p w14:paraId="3BE2386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Political groups</w:t>
            </w:r>
          </w:p>
          <w:p w14:paraId="709A56E3"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6C04430A"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 </w:t>
            </w:r>
          </w:p>
          <w:p w14:paraId="7A8CCB2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065A35AB"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(Keep informed​)</w:t>
            </w:r>
          </w:p>
          <w:p w14:paraId="4DC991E6"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Investors </w:t>
            </w:r>
          </w:p>
          <w:p w14:paraId="48EF07E9"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Competitors </w:t>
            </w:r>
          </w:p>
          <w:p w14:paraId="150F49F1" w14:textId="77777777" w:rsidR="008160DB" w:rsidRPr="00292D36" w:rsidRDefault="008160DB" w:rsidP="000E6A2A">
            <w:pPr>
              <w:spacing w:before="100" w:beforeAutospacing="1" w:after="100" w:afterAutospacing="1"/>
              <w:textAlignment w:val="baseline"/>
              <w:rPr>
                <w:rFonts w:ascii="Arial" w:eastAsia="Times New Roman" w:hAnsi="Arial" w:cs="Arial"/>
                <w:color w:val="000000"/>
                <w:sz w:val="24"/>
                <w:szCs w:val="24"/>
                <w:lang w:val="en-US" w:eastAsia="en-GB"/>
              </w:rPr>
            </w:pPr>
          </w:p>
        </w:tc>
      </w:tr>
      <w:tr w:rsidR="008160DB" w:rsidRPr="00292D36" w14:paraId="6DA1D754" w14:textId="77777777" w:rsidTr="000E6A2A">
        <w:trPr>
          <w:trHeight w:val="4669"/>
          <w:jc w:val="center"/>
        </w:trPr>
        <w:tc>
          <w:tcPr>
            <w:tcW w:w="0" w:type="auto"/>
            <w:vMerge/>
            <w:tcBorders>
              <w:top w:val="single" w:sz="6" w:space="0" w:color="FFFFFF"/>
              <w:left w:val="single" w:sz="12" w:space="0" w:color="auto"/>
              <w:bottom w:val="single" w:sz="12" w:space="0" w:color="auto"/>
              <w:right w:val="single" w:sz="12" w:space="0" w:color="auto"/>
            </w:tcBorders>
            <w:shd w:val="clear" w:color="auto" w:fill="E7E6E6" w:themeFill="background2"/>
            <w:vAlign w:val="center"/>
            <w:hideMark/>
          </w:tcPr>
          <w:p w14:paraId="05B1E554" w14:textId="77777777" w:rsidR="008160DB" w:rsidRPr="00292D36" w:rsidRDefault="008160DB" w:rsidP="000E6A2A">
            <w:pPr>
              <w:spacing w:after="0"/>
              <w:rPr>
                <w:rFonts w:ascii="Arial" w:eastAsia="Times New Roman" w:hAnsi="Arial" w:cs="Arial"/>
                <w:color w:val="000000"/>
                <w:sz w:val="24"/>
                <w:szCs w:val="24"/>
                <w:lang w:val="en-US" w:eastAsia="en-GB"/>
              </w:rPr>
            </w:pPr>
          </w:p>
        </w:tc>
        <w:tc>
          <w:tcPr>
            <w:tcW w:w="1534"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14B77A0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5DD0D5A0"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2FA043BA" w14:textId="77777777" w:rsidR="008160DB" w:rsidRPr="00292D36" w:rsidRDefault="008160DB" w:rsidP="000E6A2A">
            <w:pPr>
              <w:spacing w:before="100" w:beforeAutospacing="1" w:after="100" w:afterAutospacing="1"/>
              <w:jc w:val="center"/>
              <w:textAlignment w:val="baseline"/>
              <w:rPr>
                <w:rFonts w:ascii="Arial" w:eastAsia="Times New Roman" w:hAnsi="Arial" w:cs="Arial"/>
                <w:b/>
                <w:bCs/>
                <w:color w:val="000000"/>
                <w:sz w:val="24"/>
                <w:szCs w:val="24"/>
                <w:lang w:val="en-US" w:eastAsia="en-GB"/>
              </w:rPr>
            </w:pPr>
            <w:r w:rsidRPr="00292D36">
              <w:rPr>
                <w:rFonts w:ascii="Arial" w:eastAsia="Times New Roman" w:hAnsi="Arial" w:cs="Arial"/>
                <w:b/>
                <w:bCs/>
                <w:color w:val="000000"/>
                <w:sz w:val="24"/>
                <w:szCs w:val="24"/>
                <w:lang w:val="en-US" w:eastAsia="en-GB"/>
              </w:rPr>
              <w:t>High</w:t>
            </w:r>
          </w:p>
          <w:p w14:paraId="3252FFED" w14:textId="77777777" w:rsidR="008160DB" w:rsidRPr="00292D36" w:rsidRDefault="008160DB" w:rsidP="000E6A2A">
            <w:pPr>
              <w:rPr>
                <w:rFonts w:ascii="Arial" w:eastAsia="Times New Roman" w:hAnsi="Arial" w:cs="Arial"/>
                <w:sz w:val="24"/>
                <w:szCs w:val="24"/>
                <w:lang w:val="en-US" w:eastAsia="en-GB"/>
              </w:rPr>
            </w:pPr>
          </w:p>
        </w:tc>
        <w:tc>
          <w:tcPr>
            <w:tcW w:w="2586"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3530FA45"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(Keep satisfied​)</w:t>
            </w:r>
          </w:p>
          <w:p w14:paraId="32FDF45F"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Members ​</w:t>
            </w:r>
          </w:p>
          <w:p w14:paraId="5394A90B"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 xml:space="preserve">Government and </w:t>
            </w:r>
            <w:r>
              <w:rPr>
                <w:rFonts w:ascii="Arial" w:eastAsia="Times New Roman" w:hAnsi="Arial" w:cs="Arial"/>
                <w:color w:val="000000"/>
                <w:sz w:val="24"/>
                <w:szCs w:val="24"/>
                <w:lang w:val="en-US" w:eastAsia="en-GB"/>
              </w:rPr>
              <w:t>R</w:t>
            </w:r>
            <w:r w:rsidRPr="00292D36">
              <w:rPr>
                <w:rFonts w:ascii="Arial" w:eastAsia="Times New Roman" w:hAnsi="Arial" w:cs="Arial"/>
                <w:color w:val="000000"/>
                <w:sz w:val="24"/>
                <w:szCs w:val="24"/>
                <w:lang w:val="en-US" w:eastAsia="en-GB"/>
              </w:rPr>
              <w:t>egulator</w:t>
            </w:r>
            <w:r>
              <w:rPr>
                <w:rFonts w:ascii="Arial" w:eastAsia="Times New Roman" w:hAnsi="Arial" w:cs="Arial"/>
                <w:color w:val="000000"/>
                <w:sz w:val="24"/>
                <w:szCs w:val="24"/>
                <w:lang w:val="en-US" w:eastAsia="en-GB"/>
              </w:rPr>
              <w:t>y bodies</w:t>
            </w:r>
          </w:p>
          <w:p w14:paraId="0925DE3F"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p>
          <w:p w14:paraId="0CCBC2CC"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p w14:paraId="7FFCD084"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w:t>
            </w:r>
          </w:p>
        </w:tc>
        <w:tc>
          <w:tcPr>
            <w:tcW w:w="2657" w:type="dxa"/>
            <w:tcBorders>
              <w:top w:val="single" w:sz="12" w:space="0" w:color="auto"/>
              <w:left w:val="single" w:sz="12" w:space="0" w:color="auto"/>
              <w:bottom w:val="single" w:sz="12" w:space="0" w:color="auto"/>
              <w:right w:val="single" w:sz="12" w:space="0" w:color="auto"/>
            </w:tcBorders>
            <w:shd w:val="clear" w:color="auto" w:fill="E7E6E6" w:themeFill="background2"/>
            <w:hideMark/>
          </w:tcPr>
          <w:p w14:paraId="20D851F0"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(Key players​)</w:t>
            </w:r>
          </w:p>
          <w:p w14:paraId="25CC32F0"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​Advertisers​</w:t>
            </w:r>
          </w:p>
          <w:p w14:paraId="25CAF75B"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Employees​</w:t>
            </w:r>
          </w:p>
          <w:p w14:paraId="7680338C"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Unions</w:t>
            </w:r>
          </w:p>
          <w:p w14:paraId="2F468BBB" w14:textId="77777777" w:rsidR="008160DB" w:rsidRPr="00292D36" w:rsidRDefault="008160DB" w:rsidP="000E6A2A">
            <w:pPr>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Owners</w:t>
            </w:r>
          </w:p>
          <w:p w14:paraId="406B40CD" w14:textId="77777777" w:rsidR="008160DB" w:rsidRPr="00292D36" w:rsidRDefault="008160DB" w:rsidP="000E6A2A">
            <w:pPr>
              <w:keepNext/>
              <w:spacing w:before="100" w:beforeAutospacing="1" w:after="100" w:afterAutospacing="1"/>
              <w:jc w:val="center"/>
              <w:textAlignment w:val="baseline"/>
              <w:rPr>
                <w:rFonts w:ascii="Arial" w:eastAsia="Times New Roman" w:hAnsi="Arial" w:cs="Arial"/>
                <w:color w:val="000000"/>
                <w:sz w:val="24"/>
                <w:szCs w:val="24"/>
                <w:lang w:val="en-US" w:eastAsia="en-GB"/>
              </w:rPr>
            </w:pPr>
            <w:r w:rsidRPr="00292D36">
              <w:rPr>
                <w:rFonts w:ascii="Arial" w:eastAsia="Times New Roman" w:hAnsi="Arial" w:cs="Arial"/>
                <w:color w:val="000000"/>
                <w:sz w:val="24"/>
                <w:szCs w:val="24"/>
                <w:lang w:val="en-US" w:eastAsia="en-GB"/>
              </w:rPr>
              <w:t>Shareholders</w:t>
            </w:r>
          </w:p>
        </w:tc>
      </w:tr>
    </w:tbl>
    <w:p w14:paraId="74CEB011" w14:textId="77777777" w:rsidR="008160DB" w:rsidRDefault="008160DB" w:rsidP="008160DB">
      <w:pPr>
        <w:pStyle w:val="Caption"/>
        <w:rPr>
          <w:rFonts w:ascii="Arial" w:hAnsi="Arial" w:cs="Arial"/>
          <w:sz w:val="22"/>
          <w:szCs w:val="22"/>
        </w:rPr>
      </w:pPr>
      <w:r>
        <w:t>Table 2.2 FB stakeholder matrix</w:t>
      </w:r>
    </w:p>
    <w:p w14:paraId="38457470"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2.1.2 Ethical C</w:t>
      </w:r>
      <w:r>
        <w:rPr>
          <w:rFonts w:ascii="Arial" w:hAnsi="Arial" w:cs="Arial"/>
          <w:sz w:val="22"/>
          <w:szCs w:val="22"/>
        </w:rPr>
        <w:t>SR</w:t>
      </w:r>
    </w:p>
    <w:p w14:paraId="5B90B4B1" w14:textId="77777777" w:rsidR="008160DB" w:rsidRPr="00D27DEF" w:rsidRDefault="008160DB" w:rsidP="008160DB">
      <w:pPr>
        <w:spacing w:line="480" w:lineRule="auto"/>
        <w:rPr>
          <w:rFonts w:ascii="Arial" w:hAnsi="Arial" w:cs="Arial"/>
          <w:color w:val="000000" w:themeColor="text1"/>
          <w:shd w:val="clear" w:color="auto" w:fill="FFFFFF"/>
        </w:rPr>
      </w:pPr>
      <w:r w:rsidRPr="00D27DEF">
        <w:rPr>
          <w:rFonts w:ascii="Arial" w:hAnsi="Arial" w:cs="Arial"/>
          <w:color w:val="000000" w:themeColor="text1"/>
        </w:rPr>
        <w:t>Ethical CSR ensures consumers</w:t>
      </w:r>
      <w:r>
        <w:rPr>
          <w:rFonts w:ascii="Arial" w:hAnsi="Arial" w:cs="Arial"/>
          <w:color w:val="000000" w:themeColor="text1"/>
        </w:rPr>
        <w:t>,</w:t>
      </w:r>
      <w:r w:rsidRPr="00D27DEF">
        <w:rPr>
          <w:rFonts w:ascii="Arial" w:hAnsi="Arial" w:cs="Arial"/>
          <w:color w:val="000000" w:themeColor="text1"/>
        </w:rPr>
        <w:t xml:space="preserve"> that their needs are part of the</w:t>
      </w:r>
      <w:r>
        <w:rPr>
          <w:rFonts w:ascii="Arial" w:hAnsi="Arial" w:cs="Arial"/>
          <w:color w:val="000000" w:themeColor="text1"/>
        </w:rPr>
        <w:t xml:space="preserve"> organisation’s</w:t>
      </w:r>
      <w:r w:rsidRPr="00D27DEF">
        <w:rPr>
          <w:rFonts w:ascii="Arial" w:hAnsi="Arial" w:cs="Arial"/>
          <w:color w:val="000000" w:themeColor="text1"/>
        </w:rPr>
        <w:t xml:space="preserve"> principles. Applying ethical CSR is an important means of establishing stable relationships with stakeholders and maintaining the requisite conditions for long-term sustainability and growth, (Adams and Zutshi, 2004).  Ethical Corporate marketing broadens stakeholder theory by considering past, current, and potential stakeholders, an approach that has been stated to be essential for organisations </w:t>
      </w:r>
      <w:r>
        <w:rPr>
          <w:rFonts w:ascii="Arial" w:hAnsi="Arial" w:cs="Arial"/>
          <w:color w:val="000000" w:themeColor="text1"/>
        </w:rPr>
        <w:t>as it develops an</w:t>
      </w:r>
      <w:r w:rsidRPr="00D27DEF">
        <w:rPr>
          <w:rFonts w:ascii="Arial" w:hAnsi="Arial" w:cs="Arial"/>
          <w:color w:val="000000" w:themeColor="text1"/>
        </w:rPr>
        <w:t xml:space="preserve"> authentic ethical corporate identity, (Balmer et al.,2011).  </w:t>
      </w:r>
      <w:r>
        <w:rPr>
          <w:rFonts w:ascii="Arial" w:hAnsi="Arial" w:cs="Arial"/>
          <w:color w:val="000000" w:themeColor="text1"/>
        </w:rPr>
        <w:t>T</w:t>
      </w:r>
      <w:r w:rsidRPr="00D27DEF">
        <w:rPr>
          <w:rFonts w:ascii="Arial" w:hAnsi="Arial" w:cs="Arial"/>
          <w:color w:val="000000" w:themeColor="text1"/>
        </w:rPr>
        <w:t xml:space="preserve">he FB-CA scandal, has created concerns in the ethical principles and CSR of organisations involved </w:t>
      </w:r>
      <w:r>
        <w:rPr>
          <w:rFonts w:ascii="Arial" w:hAnsi="Arial" w:cs="Arial"/>
          <w:color w:val="000000" w:themeColor="text1"/>
        </w:rPr>
        <w:t>with</w:t>
      </w:r>
      <w:r w:rsidRPr="00D27DEF">
        <w:rPr>
          <w:rFonts w:ascii="Arial" w:hAnsi="Arial" w:cs="Arial"/>
          <w:color w:val="000000" w:themeColor="text1"/>
        </w:rPr>
        <w:t>in their marketing activities</w:t>
      </w:r>
      <w:r>
        <w:rPr>
          <w:rFonts w:ascii="Arial" w:hAnsi="Arial" w:cs="Arial"/>
          <w:color w:val="000000" w:themeColor="text1"/>
        </w:rPr>
        <w:t xml:space="preserve"> and has </w:t>
      </w:r>
      <w:r w:rsidRPr="00D27DEF">
        <w:rPr>
          <w:rFonts w:ascii="Arial" w:hAnsi="Arial" w:cs="Arial"/>
          <w:color w:val="000000" w:themeColor="text1"/>
        </w:rPr>
        <w:t>giv</w:t>
      </w:r>
      <w:r>
        <w:rPr>
          <w:rFonts w:ascii="Arial" w:hAnsi="Arial" w:cs="Arial"/>
          <w:color w:val="000000" w:themeColor="text1"/>
        </w:rPr>
        <w:t>en</w:t>
      </w:r>
      <w:r w:rsidRPr="00D27DEF">
        <w:rPr>
          <w:rFonts w:ascii="Arial" w:hAnsi="Arial" w:cs="Arial"/>
          <w:color w:val="000000" w:themeColor="text1"/>
        </w:rPr>
        <w:t xml:space="preserve"> rise to the opinion that </w:t>
      </w:r>
      <w:r w:rsidRPr="00D27DEF">
        <w:rPr>
          <w:rFonts w:ascii="Arial" w:hAnsi="Arial" w:cs="Arial"/>
          <w:color w:val="000000" w:themeColor="text1"/>
        </w:rPr>
        <w:lastRenderedPageBreak/>
        <w:t xml:space="preserve">corporations need to be more accountable for the impact </w:t>
      </w:r>
      <w:r>
        <w:rPr>
          <w:rFonts w:ascii="Arial" w:hAnsi="Arial" w:cs="Arial"/>
          <w:color w:val="000000" w:themeColor="text1"/>
        </w:rPr>
        <w:t xml:space="preserve">they have </w:t>
      </w:r>
      <w:r w:rsidRPr="00D27DEF">
        <w:rPr>
          <w:rFonts w:ascii="Arial" w:hAnsi="Arial" w:cs="Arial"/>
          <w:color w:val="000000" w:themeColor="text1"/>
        </w:rPr>
        <w:t>on society, (Swift, 2001; Porter and Kramer, 2006; Baur and Schmitz,2012). Corporate marketing allows companies to understand that corporate identities can be</w:t>
      </w:r>
      <w:r>
        <w:rPr>
          <w:rFonts w:ascii="Arial" w:hAnsi="Arial" w:cs="Arial"/>
          <w:color w:val="000000" w:themeColor="text1"/>
        </w:rPr>
        <w:t xml:space="preserve"> a</w:t>
      </w:r>
      <w:r w:rsidRPr="00D27DEF">
        <w:rPr>
          <w:rFonts w:ascii="Arial" w:hAnsi="Arial" w:cs="Arial"/>
          <w:color w:val="000000" w:themeColor="text1"/>
        </w:rPr>
        <w:t xml:space="preserve"> valuable source</w:t>
      </w:r>
      <w:r>
        <w:rPr>
          <w:rFonts w:ascii="Arial" w:hAnsi="Arial" w:cs="Arial"/>
          <w:color w:val="000000" w:themeColor="text1"/>
        </w:rPr>
        <w:t xml:space="preserve"> for</w:t>
      </w:r>
      <w:r w:rsidRPr="00D27DEF">
        <w:rPr>
          <w:rFonts w:ascii="Arial" w:hAnsi="Arial" w:cs="Arial"/>
          <w:color w:val="000000" w:themeColor="text1"/>
        </w:rPr>
        <w:t xml:space="preserve"> distinction </w:t>
      </w:r>
      <w:r>
        <w:rPr>
          <w:rFonts w:ascii="Arial" w:hAnsi="Arial" w:cs="Arial"/>
          <w:color w:val="000000" w:themeColor="text1"/>
        </w:rPr>
        <w:t xml:space="preserve">which </w:t>
      </w:r>
      <w:r w:rsidRPr="00D27DEF">
        <w:rPr>
          <w:rFonts w:ascii="Arial" w:hAnsi="Arial" w:cs="Arial"/>
          <w:color w:val="000000" w:themeColor="text1"/>
        </w:rPr>
        <w:t>need</w:t>
      </w:r>
      <w:r>
        <w:rPr>
          <w:rFonts w:ascii="Arial" w:hAnsi="Arial" w:cs="Arial"/>
          <w:color w:val="000000" w:themeColor="text1"/>
        </w:rPr>
        <w:t>s</w:t>
      </w:r>
      <w:r w:rsidRPr="00D27DEF">
        <w:rPr>
          <w:rFonts w:ascii="Arial" w:hAnsi="Arial" w:cs="Arial"/>
          <w:color w:val="000000" w:themeColor="text1"/>
        </w:rPr>
        <w:t xml:space="preserve"> to be active on multi-lateral relationships regarding customers, stakeholders, and society at large</w:t>
      </w:r>
      <w:r>
        <w:rPr>
          <w:rFonts w:ascii="Arial" w:hAnsi="Arial" w:cs="Arial"/>
          <w:color w:val="000000" w:themeColor="text1"/>
        </w:rPr>
        <w:t>.</w:t>
      </w:r>
      <w:r w:rsidRPr="00D27DEF">
        <w:rPr>
          <w:rFonts w:ascii="Arial" w:hAnsi="Arial" w:cs="Arial"/>
          <w:color w:val="000000" w:themeColor="text1"/>
        </w:rPr>
        <w:t xml:space="preserve"> </w:t>
      </w:r>
      <w:r>
        <w:rPr>
          <w:rFonts w:ascii="Arial" w:hAnsi="Arial" w:cs="Arial"/>
          <w:color w:val="000000" w:themeColor="text1"/>
        </w:rPr>
        <w:t>A</w:t>
      </w:r>
      <w:r w:rsidRPr="00D27DEF">
        <w:rPr>
          <w:rFonts w:ascii="Arial" w:hAnsi="Arial" w:cs="Arial"/>
          <w:color w:val="000000" w:themeColor="text1"/>
        </w:rPr>
        <w:t xml:space="preserve"> significant characteristic of corporate marketing is that organisations should be aware of their social responsibilities</w:t>
      </w:r>
      <w:r>
        <w:rPr>
          <w:rFonts w:ascii="Arial" w:hAnsi="Arial" w:cs="Arial"/>
          <w:color w:val="000000" w:themeColor="text1"/>
        </w:rPr>
        <w:t xml:space="preserve"> and </w:t>
      </w:r>
      <w:r w:rsidRPr="00D27DEF">
        <w:rPr>
          <w:rFonts w:ascii="Arial" w:hAnsi="Arial" w:cs="Arial"/>
          <w:color w:val="000000" w:themeColor="text1"/>
        </w:rPr>
        <w:t xml:space="preserve">not </w:t>
      </w:r>
      <w:r>
        <w:rPr>
          <w:rFonts w:ascii="Arial" w:hAnsi="Arial" w:cs="Arial"/>
          <w:color w:val="000000" w:themeColor="text1"/>
        </w:rPr>
        <w:t xml:space="preserve">just </w:t>
      </w:r>
      <w:r w:rsidRPr="00D27DEF">
        <w:rPr>
          <w:rFonts w:ascii="Arial" w:hAnsi="Arial" w:cs="Arial"/>
          <w:color w:val="000000" w:themeColor="text1"/>
        </w:rPr>
        <w:t xml:space="preserve">their </w:t>
      </w:r>
      <w:r>
        <w:rPr>
          <w:rFonts w:ascii="Arial" w:hAnsi="Arial" w:cs="Arial"/>
          <w:color w:val="000000" w:themeColor="text1"/>
        </w:rPr>
        <w:t>economic</w:t>
      </w:r>
      <w:r w:rsidRPr="00D27DEF">
        <w:rPr>
          <w:rFonts w:ascii="Arial" w:hAnsi="Arial" w:cs="Arial"/>
          <w:color w:val="000000" w:themeColor="text1"/>
        </w:rPr>
        <w:t>, (Balmer and Powell, 2011). Corporate marketing provides a comprehensive insight into brand perception as a wider concept of stakeholder</w:t>
      </w:r>
      <w:r>
        <w:rPr>
          <w:rFonts w:ascii="Arial" w:hAnsi="Arial" w:cs="Arial"/>
          <w:color w:val="000000" w:themeColor="text1"/>
        </w:rPr>
        <w:t xml:space="preserve"> is considered, this includes</w:t>
      </w:r>
      <w:r w:rsidRPr="00D27DEF">
        <w:rPr>
          <w:rFonts w:ascii="Arial" w:hAnsi="Arial" w:cs="Arial"/>
          <w:color w:val="000000" w:themeColor="text1"/>
        </w:rPr>
        <w:t xml:space="preserve"> past</w:t>
      </w:r>
      <w:r>
        <w:rPr>
          <w:rFonts w:ascii="Arial" w:hAnsi="Arial" w:cs="Arial"/>
          <w:color w:val="000000" w:themeColor="text1"/>
        </w:rPr>
        <w:t xml:space="preserve"> as well as present</w:t>
      </w:r>
      <w:r w:rsidRPr="00D27DEF">
        <w:rPr>
          <w:rFonts w:ascii="Arial" w:hAnsi="Arial" w:cs="Arial"/>
          <w:color w:val="000000" w:themeColor="text1"/>
        </w:rPr>
        <w:t xml:space="preserve"> stakeholders</w:t>
      </w:r>
      <w:r>
        <w:rPr>
          <w:rFonts w:ascii="Arial" w:hAnsi="Arial" w:cs="Arial"/>
          <w:color w:val="000000" w:themeColor="text1"/>
        </w:rPr>
        <w:t xml:space="preserve"> and</w:t>
      </w:r>
      <w:r w:rsidRPr="00D27DEF">
        <w:rPr>
          <w:rFonts w:ascii="Arial" w:hAnsi="Arial" w:cs="Arial"/>
          <w:color w:val="000000" w:themeColor="text1"/>
        </w:rPr>
        <w:t xml:space="preserve"> incorporates their expectations and perceptions of brand</w:t>
      </w:r>
      <w:r>
        <w:rPr>
          <w:rFonts w:ascii="Arial" w:hAnsi="Arial" w:cs="Arial"/>
          <w:color w:val="000000" w:themeColor="text1"/>
        </w:rPr>
        <w:t xml:space="preserve"> </w:t>
      </w:r>
      <w:r w:rsidRPr="00D27DEF">
        <w:rPr>
          <w:rFonts w:ascii="Arial" w:hAnsi="Arial" w:cs="Arial"/>
          <w:color w:val="000000" w:themeColor="text1"/>
        </w:rPr>
        <w:t xml:space="preserve">identity and corporate image, (Gregory, 2007). Ethical marketing enables organisations to market their good and services by concentrating on how their products benefit consumers </w:t>
      </w:r>
      <w:r>
        <w:rPr>
          <w:rFonts w:ascii="Arial" w:hAnsi="Arial" w:cs="Arial"/>
          <w:color w:val="000000" w:themeColor="text1"/>
        </w:rPr>
        <w:t>and</w:t>
      </w:r>
      <w:r w:rsidRPr="00D27DEF">
        <w:rPr>
          <w:rFonts w:ascii="Arial" w:hAnsi="Arial" w:cs="Arial"/>
          <w:color w:val="000000" w:themeColor="text1"/>
        </w:rPr>
        <w:t xml:space="preserve"> also how they support socially responsible causes. A business needs to be consistent with its ethical decision-making process because its implications influence all facets of the company's system, (Ardichvili et al.,2009). Virtue ethics is an ethical marketing strategy that could be implemented by FB. This is a modern approach, based on the concepts of Aristotle’s philosophy, requiring decisions</w:t>
      </w:r>
      <w:r>
        <w:rPr>
          <w:rFonts w:ascii="Arial" w:hAnsi="Arial" w:cs="Arial"/>
          <w:color w:val="000000" w:themeColor="text1"/>
        </w:rPr>
        <w:t xml:space="preserve"> to</w:t>
      </w:r>
      <w:r w:rsidRPr="00D27DEF">
        <w:rPr>
          <w:rFonts w:ascii="Arial" w:hAnsi="Arial" w:cs="Arial"/>
          <w:color w:val="000000" w:themeColor="text1"/>
        </w:rPr>
        <w:t xml:space="preserve"> be made in accordance with the knowledge of a person’s character and moral virtue in contrast to the approach that emphasises obligations (deontology) or consequences of actions (consequentialism), (Crisp and Slote, 1997; Hursthouse, 1999). If FB were to implement this set of ethical standards, they must question how they want their platform to be perceived based on the decisions they make. Haagen-Dazs is an example of an organisation that has successfully incorporated ethical marketing with CSR into their brand image. For the past ten years, they have put efforts into helping revive the bee population. The companies director Elizabeth Marquez stated, </w:t>
      </w:r>
      <w:r w:rsidRPr="00D27DEF">
        <w:rPr>
          <w:rFonts w:ascii="Arial" w:hAnsi="Arial" w:cs="Arial"/>
          <w:color w:val="000000" w:themeColor="text1"/>
          <w:shd w:val="clear" w:color="auto" w:fill="FFFFFF"/>
        </w:rPr>
        <w:t>“</w:t>
      </w:r>
      <w:r w:rsidRPr="00D27DEF">
        <w:rPr>
          <w:rFonts w:ascii="Arial" w:hAnsi="Arial" w:cs="Arial"/>
          <w:i/>
          <w:iCs/>
          <w:color w:val="000000" w:themeColor="text1"/>
          <w:shd w:val="clear" w:color="auto" w:fill="FFFFFF"/>
        </w:rPr>
        <w:t>There are three important ways we can help bees: bring them flowers, protect their homes and spread the word, the past 10 years, HÄAGEN-DAZS has supported each of these components, by donating over £ 1million to research and working with suppliers to grow ingredients in bee-friendly environments</w:t>
      </w:r>
      <w:r w:rsidRPr="00D27DEF">
        <w:rPr>
          <w:rFonts w:ascii="Arial" w:hAnsi="Arial" w:cs="Arial"/>
          <w:color w:val="000000" w:themeColor="text1"/>
          <w:shd w:val="clear" w:color="auto" w:fill="FFFFFF"/>
        </w:rPr>
        <w:t xml:space="preserve">”, (Save the Honey Bees | Häagen-Dazs, 2020). This mission has seen such success as the organisation has incorporated it into all aspects of the business. Their </w:t>
      </w:r>
      <w:r w:rsidRPr="00D27DEF">
        <w:rPr>
          <w:rFonts w:ascii="Arial" w:hAnsi="Arial" w:cs="Arial"/>
          <w:color w:val="000000" w:themeColor="text1"/>
          <w:shd w:val="clear" w:color="auto" w:fill="FFFFFF"/>
        </w:rPr>
        <w:lastRenderedPageBreak/>
        <w:t>webpage illustrates its efforts, the honeybee logo is printed onto the packaging of their products and also integrated into advertising campaigns.</w:t>
      </w:r>
    </w:p>
    <w:p w14:paraId="5970D97E"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2.1.3 Legal C</w:t>
      </w:r>
      <w:r>
        <w:rPr>
          <w:rFonts w:ascii="Arial" w:hAnsi="Arial" w:cs="Arial"/>
          <w:sz w:val="22"/>
          <w:szCs w:val="22"/>
        </w:rPr>
        <w:t>SR</w:t>
      </w:r>
      <w:r w:rsidRPr="00D27DEF">
        <w:rPr>
          <w:rFonts w:ascii="Arial" w:hAnsi="Arial" w:cs="Arial"/>
          <w:sz w:val="22"/>
          <w:szCs w:val="22"/>
        </w:rPr>
        <w:t xml:space="preserve"> </w:t>
      </w:r>
    </w:p>
    <w:p w14:paraId="5954A5E4"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Society has changed in the way that accountability for actions is becoming a priority in all aspects of life including business, legal CSR refers to a corporation that is free to enter into business, however, it wishes to do so, but as long as it is within the limits and rules of the law. Companies may voluntarily go beyond what is necessary by law to achieve social goals during their day-to-day business activities,</w:t>
      </w:r>
      <w:r w:rsidRPr="00D27DEF">
        <w:rPr>
          <w:rFonts w:ascii="Arial" w:hAnsi="Arial" w:cs="Arial"/>
          <w:color w:val="000000" w:themeColor="text1"/>
          <w:shd w:val="clear" w:color="auto" w:fill="FFFFFF"/>
        </w:rPr>
        <w:t xml:space="preserve"> (George, 2019; Li, 2019)</w:t>
      </w:r>
      <w:r w:rsidRPr="00D27DEF">
        <w:rPr>
          <w:rFonts w:ascii="Arial" w:hAnsi="Arial" w:cs="Arial"/>
          <w:color w:val="000000" w:themeColor="text1"/>
        </w:rPr>
        <w:t>. FB has come under fire in recent years after breaching the Data Protection Act. The data protection act has six data protection principles, everyone responsible for using personal data has to follow these principles, FB, however, failed to do this and therefore failed to safeguard its user's information and was not transparent with what and how data was being collected, (</w:t>
      </w:r>
      <w:r w:rsidRPr="00D27DEF">
        <w:rPr>
          <w:rFonts w:ascii="Arial" w:hAnsi="Arial" w:cs="Arial"/>
          <w:color w:val="000000" w:themeColor="text1"/>
          <w:shd w:val="clear" w:color="auto" w:fill="FFFFFF"/>
        </w:rPr>
        <w:t>Hern and Pegg, 2018; Waterson, 2018; Data protection, 2020).</w:t>
      </w:r>
      <w:r w:rsidRPr="00D27DEF">
        <w:rPr>
          <w:rFonts w:ascii="Arial" w:hAnsi="Arial" w:cs="Arial"/>
          <w:color w:val="000000" w:themeColor="text1"/>
        </w:rPr>
        <w:t xml:space="preserve"> The Cambridge-Analytica data scandal was a major political scandal which exposed FB of exploiting over 50 million members and their social networks by subjecting them to commercialization, </w:t>
      </w:r>
      <w:r w:rsidRPr="00D27DEF">
        <w:rPr>
          <w:rFonts w:ascii="Arial" w:hAnsi="Arial" w:cs="Arial"/>
          <w:color w:val="000000" w:themeColor="text1"/>
          <w:shd w:val="clear" w:color="auto" w:fill="FFFFFF"/>
        </w:rPr>
        <w:t xml:space="preserve">(Lilley and Gumbus, 2012; Cadwalladr and Graham-Harrison, 2018).  </w:t>
      </w:r>
      <w:r w:rsidRPr="00D27DEF">
        <w:rPr>
          <w:rFonts w:ascii="Arial" w:hAnsi="Arial" w:cs="Arial"/>
          <w:color w:val="000000" w:themeColor="text1"/>
        </w:rPr>
        <w:t>FB violated the law by allowing third parties access to user’s data as well as advertising through the use of phone numbers that were wrongly demanded as a security necessity, Lindsey Barrett, a staff attorney for Georgetown communication and technology clinic deemed the actions of the platform as “</w:t>
      </w:r>
      <w:r w:rsidRPr="00D27DEF">
        <w:rPr>
          <w:rFonts w:ascii="Arial" w:hAnsi="Arial" w:cs="Arial"/>
          <w:i/>
          <w:iCs/>
          <w:color w:val="000000" w:themeColor="text1"/>
        </w:rPr>
        <w:t>putting growth and profits above designing a platform that predicated on the needs of its users</w:t>
      </w:r>
      <w:r w:rsidRPr="00D27DEF">
        <w:rPr>
          <w:rFonts w:ascii="Arial" w:hAnsi="Arial" w:cs="Arial"/>
          <w:color w:val="000000" w:themeColor="text1"/>
        </w:rPr>
        <w:t xml:space="preserve">”, </w:t>
      </w:r>
      <w:r w:rsidRPr="00D27DEF">
        <w:rPr>
          <w:rFonts w:ascii="Arial" w:hAnsi="Arial" w:cs="Arial"/>
          <w:color w:val="000000" w:themeColor="text1"/>
          <w:shd w:val="clear" w:color="auto" w:fill="FFFFFF"/>
        </w:rPr>
        <w:t>(Wong, 2019)</w:t>
      </w:r>
      <w:r w:rsidRPr="00D27DEF">
        <w:rPr>
          <w:rFonts w:ascii="Arial" w:hAnsi="Arial" w:cs="Arial"/>
          <w:color w:val="000000" w:themeColor="text1"/>
        </w:rPr>
        <w:t xml:space="preserve">. As a result of this FB has received negative press globally and the internet has become flooded with articles describing FB inexistent respect for its users, BBC News alone has 18 articles depicting the scandal, </w:t>
      </w:r>
      <w:r w:rsidRPr="00D27DEF">
        <w:rPr>
          <w:rFonts w:ascii="Arial" w:hAnsi="Arial" w:cs="Arial"/>
          <w:color w:val="000000" w:themeColor="text1"/>
          <w:shd w:val="clear" w:color="auto" w:fill="FFFFFF"/>
        </w:rPr>
        <w:t xml:space="preserve">(BBC News, 2020). The platform has received a £4 billion fine in the US (The largest fine to be handed out by the Federal Trade Commission), £500,000 fine within the UK and an ongoing settlement with Australia for violation of the 300,000 citizens privacy agreement, which laws carry a maximum fine of £860,000 for every serious interference with privacy, (Davies and Rushe, 2019; Woodcock, 2019; Australia sues </w:t>
      </w:r>
      <w:r w:rsidRPr="00D27DEF">
        <w:rPr>
          <w:rFonts w:ascii="Arial" w:hAnsi="Arial" w:cs="Arial"/>
          <w:color w:val="000000" w:themeColor="text1"/>
          <w:shd w:val="clear" w:color="auto" w:fill="FFFFFF"/>
        </w:rPr>
        <w:lastRenderedPageBreak/>
        <w:t xml:space="preserve">FB over Cambridge Analytica, 2020). The impact of not abiding by the law has had an enormous negative impact on FB, it has adversely impacted their financial situation and created a stigma around their corporate image. A week after the scandal arose it was reported that trust in FB had dropped by 66%, overcoming this requires a revaluation of what the company objectives are and how they want to be perceived by their stakeholders, (Weisbaum, 2018).  </w:t>
      </w:r>
    </w:p>
    <w:p w14:paraId="1F6D03FB"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2.1.4 Economic Corporate Social Responsibility</w:t>
      </w:r>
    </w:p>
    <w:p w14:paraId="343E7A18"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A credible explanation of economic CSR states, “</w:t>
      </w:r>
      <w:r w:rsidRPr="00D27DEF">
        <w:rPr>
          <w:rFonts w:ascii="Arial" w:hAnsi="Arial" w:cs="Arial"/>
          <w:i/>
          <w:iCs/>
          <w:color w:val="000000" w:themeColor="text1"/>
        </w:rPr>
        <w:t>Organisations have an economic responsibility to the society that permitted them to be created and sustained</w:t>
      </w:r>
      <w:r w:rsidRPr="00D27DEF">
        <w:rPr>
          <w:rFonts w:ascii="Arial" w:hAnsi="Arial" w:cs="Arial"/>
          <w:color w:val="000000" w:themeColor="text1"/>
        </w:rPr>
        <w:t xml:space="preserve">”, (Carroll, 2016, pg.3). Carroll's pyramid is one of the more popular constructs of CSR which incorporates four sections CSR those being, Economic, Legal, Ethical and Philanthropic, (Nalband and Kelabi, 2014; Carroll, 2016; Ehie, 2016). Economic is placed at the base of the pyramid as it is the basic necessity of business, </w:t>
      </w:r>
      <w:r>
        <w:rPr>
          <w:rFonts w:ascii="Arial" w:hAnsi="Arial" w:cs="Arial"/>
          <w:color w:val="000000" w:themeColor="text1"/>
        </w:rPr>
        <w:t xml:space="preserve">observed in </w:t>
      </w:r>
      <w:r w:rsidRPr="00D27DEF">
        <w:rPr>
          <w:rFonts w:ascii="Arial" w:hAnsi="Arial" w:cs="Arial"/>
          <w:color w:val="000000" w:themeColor="text1"/>
        </w:rPr>
        <w:t>figure</w:t>
      </w:r>
      <w:r>
        <w:rPr>
          <w:rFonts w:ascii="Arial" w:hAnsi="Arial" w:cs="Arial"/>
          <w:color w:val="000000" w:themeColor="text1"/>
        </w:rPr>
        <w:t xml:space="preserve"> 2.2.</w:t>
      </w:r>
      <w:r w:rsidRPr="00D27DEF">
        <w:rPr>
          <w:rFonts w:ascii="Arial" w:hAnsi="Arial" w:cs="Arial"/>
          <w:color w:val="000000" w:themeColor="text1"/>
        </w:rPr>
        <w:t xml:space="preserve"> </w:t>
      </w:r>
    </w:p>
    <w:p w14:paraId="5BDEB040" w14:textId="77777777" w:rsidR="008160DB" w:rsidRDefault="008160DB" w:rsidP="008160DB">
      <w:pPr>
        <w:keepNext/>
        <w:spacing w:line="480" w:lineRule="auto"/>
        <w:jc w:val="center"/>
      </w:pPr>
      <w:r w:rsidRPr="00D27DEF">
        <w:rPr>
          <w:rFonts w:ascii="Arial" w:hAnsi="Arial" w:cs="Arial"/>
          <w:noProof/>
          <w:color w:val="000000" w:themeColor="text1"/>
        </w:rPr>
        <w:drawing>
          <wp:inline distT="0" distB="0" distL="0" distR="0" wp14:anchorId="27F0A047" wp14:editId="55417F96">
            <wp:extent cx="6018028" cy="3261922"/>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01229" name=""/>
                    <pic:cNvPicPr/>
                  </pic:nvPicPr>
                  <pic:blipFill>
                    <a:blip r:embed="rId7"/>
                    <a:srcRect l="9278" t="34313" r="57518" b="33677"/>
                    <a:stretch>
                      <a:fillRect/>
                    </a:stretch>
                  </pic:blipFill>
                  <pic:spPr bwMode="auto">
                    <a:xfrm>
                      <a:off x="0" y="0"/>
                      <a:ext cx="6075552" cy="3293101"/>
                    </a:xfrm>
                    <a:prstGeom prst="rect">
                      <a:avLst/>
                    </a:prstGeom>
                    <a:ln>
                      <a:noFill/>
                    </a:ln>
                    <a:extLst>
                      <a:ext uri="{53640926-AAD7-44D8-BBD7-CCE9431645EC}">
                        <a14:shadowObscured xmlns:a14="http://schemas.microsoft.com/office/drawing/2010/main"/>
                      </a:ext>
                    </a:extLst>
                  </pic:spPr>
                </pic:pic>
              </a:graphicData>
            </a:graphic>
          </wp:inline>
        </w:drawing>
      </w:r>
    </w:p>
    <w:p w14:paraId="091C76AC" w14:textId="77777777" w:rsidR="008160DB" w:rsidRDefault="008160DB" w:rsidP="008160DB">
      <w:pPr>
        <w:pStyle w:val="Caption"/>
      </w:pPr>
      <w:r>
        <w:t>Figure 2.2 The pyramid of CSR, (Carroll, 1991)</w:t>
      </w:r>
    </w:p>
    <w:p w14:paraId="24015BC9" w14:textId="77777777" w:rsidR="008160DB" w:rsidRPr="006571B1" w:rsidRDefault="008160DB" w:rsidP="008160DB">
      <w:pPr>
        <w:spacing w:line="480" w:lineRule="auto"/>
        <w:rPr>
          <w:rFonts w:ascii="Arial" w:hAnsi="Arial" w:cs="Arial"/>
        </w:rPr>
      </w:pPr>
      <w:r w:rsidRPr="006571B1">
        <w:rPr>
          <w:rFonts w:ascii="Arial" w:hAnsi="Arial" w:cs="Arial"/>
        </w:rPr>
        <w:t xml:space="preserve">The CSR-Universal model is based on Carroll’s pyramid but is extended to include the environment, the beliefs, values, and assumptions of an organisation and then proceeds to </w:t>
      </w:r>
      <w:r w:rsidRPr="006571B1">
        <w:rPr>
          <w:rFonts w:ascii="Arial" w:hAnsi="Arial" w:cs="Arial"/>
        </w:rPr>
        <w:lastRenderedPageBreak/>
        <w:t>include the legal, economic, ethical, and philanthropic responsibilities</w:t>
      </w:r>
      <w:r>
        <w:rPr>
          <w:rFonts w:ascii="Arial" w:hAnsi="Arial" w:cs="Arial"/>
        </w:rPr>
        <w:t xml:space="preserve"> (See appendix 1)</w:t>
      </w:r>
      <w:r w:rsidRPr="006571B1">
        <w:rPr>
          <w:rFonts w:ascii="Arial" w:hAnsi="Arial" w:cs="Arial"/>
        </w:rPr>
        <w:t xml:space="preserve">. Legal is classed as the basic responsibility instead of economic as placing economic as the basic responsibility contradicts CSR and shows favour to Friedman’s shareholder theory, (Visser, 2006).                                                                          </w:t>
      </w:r>
      <w:r>
        <w:rPr>
          <w:rFonts w:ascii="Arial" w:hAnsi="Arial" w:cs="Arial"/>
        </w:rPr>
        <w:t xml:space="preserve">                                          </w:t>
      </w:r>
      <w:r w:rsidRPr="006571B1">
        <w:rPr>
          <w:rFonts w:ascii="Arial" w:hAnsi="Arial" w:cs="Arial"/>
        </w:rPr>
        <w:t xml:space="preserve">              </w:t>
      </w:r>
      <w:r w:rsidRPr="006571B1">
        <w:rPr>
          <w:rFonts w:ascii="Arial" w:hAnsi="Arial" w:cs="Arial"/>
          <w:color w:val="000000" w:themeColor="text1"/>
        </w:rPr>
        <w:t>FB has an economic responsibility is to their stakeholders. FB has a diverse range of online stakeholders as a result of the size and nature of its platform. On their community standards page the platform identifies their stakeholders as "all organisations and individuals who are impacted by, and therefore have a stake in, FB's community standards"</w:t>
      </w:r>
      <w:r w:rsidRPr="006571B1">
        <w:rPr>
          <w:rFonts w:ascii="Arial" w:hAnsi="Arial" w:cs="Arial"/>
          <w:color w:val="000000" w:themeColor="text1"/>
          <w:shd w:val="clear" w:color="auto" w:fill="FFFFFF"/>
        </w:rPr>
        <w:t xml:space="preserve"> (Community Standards | Facebook, 2020)</w:t>
      </w:r>
      <w:r w:rsidRPr="006571B1">
        <w:rPr>
          <w:rFonts w:ascii="Arial" w:hAnsi="Arial" w:cs="Arial"/>
          <w:color w:val="000000" w:themeColor="text1"/>
        </w:rPr>
        <w:t xml:space="preserve">, however they go onto explain that as this covers 2.7 billion active users that they focus on influential stakeholders which they list as civil society organisations, activist groups, thought leaders and academics. As of 2019 FB has claimed to be open about sharing their community standards and how they come to decide on the rules for what content is and isn't permitted on their platform, this has largely been down to the 2016 Cambridge Analytica scandal, </w:t>
      </w:r>
      <w:r w:rsidRPr="006571B1">
        <w:rPr>
          <w:rFonts w:ascii="Arial" w:hAnsi="Arial" w:cs="Arial"/>
          <w:color w:val="000000" w:themeColor="text1"/>
          <w:shd w:val="clear" w:color="auto" w:fill="FFFFFF"/>
        </w:rPr>
        <w:t>(Writing Facebook's Rulebook, 2019; Community Standards | Facebook, 2020)</w:t>
      </w:r>
      <w:r w:rsidRPr="006571B1">
        <w:rPr>
          <w:rFonts w:ascii="Arial" w:hAnsi="Arial" w:cs="Arial"/>
          <w:color w:val="000000" w:themeColor="text1"/>
        </w:rPr>
        <w:t>. The platform, however, has been accused of not being as transparent as they claim as they have refused independent researchers to study how political disinformation flows across their advertising platform,</w:t>
      </w:r>
      <w:r w:rsidRPr="006571B1">
        <w:rPr>
          <w:rFonts w:ascii="Arial" w:hAnsi="Arial" w:cs="Arial"/>
          <w:color w:val="000000" w:themeColor="text1"/>
          <w:shd w:val="clear" w:color="auto" w:fill="FFFFFF"/>
        </w:rPr>
        <w:t xml:space="preserve"> (Siddiqui, 2019)</w:t>
      </w:r>
      <w:r w:rsidRPr="006571B1">
        <w:rPr>
          <w:rFonts w:ascii="Arial" w:hAnsi="Arial" w:cs="Arial"/>
          <w:color w:val="000000" w:themeColor="text1"/>
        </w:rPr>
        <w:t xml:space="preserve">. Alongside this FB has also been criticized for failing to provide information on target advertising and user engagement which would inform researchers how much advertisers are paying the platform as well as how effective these adverts are, </w:t>
      </w:r>
      <w:r w:rsidRPr="006571B1">
        <w:rPr>
          <w:rFonts w:ascii="Arial" w:hAnsi="Arial" w:cs="Arial"/>
          <w:color w:val="000000" w:themeColor="text1"/>
          <w:shd w:val="clear" w:color="auto" w:fill="FFFFFF"/>
        </w:rPr>
        <w:t>(Lomas, 2019)</w:t>
      </w:r>
      <w:r w:rsidRPr="006571B1">
        <w:rPr>
          <w:rFonts w:ascii="Arial" w:hAnsi="Arial" w:cs="Arial"/>
          <w:color w:val="000000" w:themeColor="text1"/>
        </w:rPr>
        <w:t xml:space="preserve">. A lack of transparency and trust can stunt a company’s growth </w:t>
      </w:r>
      <w:r w:rsidRPr="006571B1">
        <w:rPr>
          <w:rFonts w:ascii="Arial" w:hAnsi="Arial" w:cs="Arial"/>
          <w:color w:val="000000" w:themeColor="text1"/>
          <w:shd w:val="clear" w:color="auto" w:fill="FFFFFF"/>
        </w:rPr>
        <w:t xml:space="preserve">If FB was to allow their users access to credible environmental, ethical and social data this would enable the company to make more informed decisions sustaining the future of their platform, (Corporate transparency: why honesty is the best policy, 2014). By doing this FB could strike a balance between business, environmental and philanthropic practise establishing economic responsibility. </w:t>
      </w:r>
    </w:p>
    <w:p w14:paraId="632AE371" w14:textId="77777777" w:rsidR="008160DB" w:rsidRPr="00D27DEF" w:rsidRDefault="008160DB" w:rsidP="008160DB">
      <w:pPr>
        <w:pStyle w:val="Heading2"/>
        <w:spacing w:line="480" w:lineRule="auto"/>
        <w:rPr>
          <w:rFonts w:ascii="Arial" w:hAnsi="Arial" w:cs="Arial"/>
          <w:sz w:val="22"/>
          <w:szCs w:val="22"/>
        </w:rPr>
      </w:pPr>
      <w:r w:rsidRPr="00D27DEF">
        <w:rPr>
          <w:rFonts w:ascii="Arial" w:hAnsi="Arial" w:cs="Arial"/>
          <w:sz w:val="22"/>
          <w:szCs w:val="22"/>
        </w:rPr>
        <w:lastRenderedPageBreak/>
        <w:t>2.2 Brand equity</w:t>
      </w:r>
    </w:p>
    <w:p w14:paraId="7F645371" w14:textId="77777777" w:rsidR="008160DB" w:rsidRPr="00D27DEF" w:rsidRDefault="008160DB" w:rsidP="008160DB">
      <w:pPr>
        <w:spacing w:line="480" w:lineRule="auto"/>
        <w:rPr>
          <w:rFonts w:ascii="Arial" w:hAnsi="Arial" w:cs="Arial"/>
          <w:color w:val="000000" w:themeColor="text1"/>
          <w:shd w:val="clear" w:color="auto" w:fill="FFFFFF"/>
        </w:rPr>
      </w:pPr>
      <w:r w:rsidRPr="00D27DEF">
        <w:rPr>
          <w:rFonts w:ascii="Arial" w:hAnsi="Arial" w:cs="Arial"/>
          <w:color w:val="000000" w:themeColor="text1"/>
        </w:rPr>
        <w:t xml:space="preserve">Brand equity is a relatively modern concept and in its simplest terms can be defined as being, "the public valuation of a brand", </w:t>
      </w:r>
      <w:r w:rsidRPr="00D27DEF">
        <w:rPr>
          <w:rFonts w:ascii="Arial" w:hAnsi="Arial" w:cs="Arial"/>
          <w:color w:val="000000" w:themeColor="text1"/>
          <w:shd w:val="clear" w:color="auto" w:fill="FFFFFF"/>
        </w:rPr>
        <w:t>(Barwise, 1993; Building Brand Equity, 2017). This concept serves as a basis for managers to understand the influence consumers emotions have concerning the position of the organisation. For this research, the researcher will explore Brand equity subcategories in relation to FB which is taken from chapter one figure1.2. A conceptual framework for research. These subcategories will be:</w:t>
      </w:r>
    </w:p>
    <w:p w14:paraId="46E21DBF" w14:textId="77777777" w:rsidR="008160DB" w:rsidRPr="00D27DEF" w:rsidRDefault="008160DB" w:rsidP="008160DB">
      <w:pPr>
        <w:pStyle w:val="ListParagraph"/>
        <w:numPr>
          <w:ilvl w:val="0"/>
          <w:numId w:val="8"/>
        </w:numPr>
        <w:spacing w:line="480" w:lineRule="auto"/>
        <w:rPr>
          <w:rFonts w:ascii="Arial" w:hAnsi="Arial" w:cs="Arial"/>
          <w:color w:val="000000" w:themeColor="text1"/>
          <w:shd w:val="clear" w:color="auto" w:fill="FFFFFF"/>
        </w:rPr>
      </w:pPr>
      <w:r w:rsidRPr="00D27DEF">
        <w:rPr>
          <w:rFonts w:ascii="Arial" w:hAnsi="Arial" w:cs="Arial"/>
          <w:color w:val="000000" w:themeColor="text1"/>
          <w:shd w:val="clear" w:color="auto" w:fill="FFFFFF"/>
        </w:rPr>
        <w:t>Perceived quality</w:t>
      </w:r>
    </w:p>
    <w:p w14:paraId="6B9C006D" w14:textId="77777777" w:rsidR="008160DB" w:rsidRPr="00D27DEF" w:rsidRDefault="008160DB" w:rsidP="008160DB">
      <w:pPr>
        <w:pStyle w:val="ListParagraph"/>
        <w:numPr>
          <w:ilvl w:val="0"/>
          <w:numId w:val="9"/>
        </w:numPr>
        <w:spacing w:line="480" w:lineRule="auto"/>
        <w:rPr>
          <w:rFonts w:ascii="Arial" w:hAnsi="Arial" w:cs="Arial"/>
          <w:color w:val="000000" w:themeColor="text1"/>
          <w:shd w:val="clear" w:color="auto" w:fill="FFFFFF"/>
        </w:rPr>
      </w:pPr>
      <w:r w:rsidRPr="00D27DEF">
        <w:rPr>
          <w:rFonts w:ascii="Arial" w:hAnsi="Arial" w:cs="Arial"/>
          <w:color w:val="000000" w:themeColor="text1"/>
          <w:shd w:val="clear" w:color="auto" w:fill="FFFFFF"/>
        </w:rPr>
        <w:t>Brand Awareness</w:t>
      </w:r>
    </w:p>
    <w:p w14:paraId="5AC93FD8" w14:textId="77777777" w:rsidR="008160DB" w:rsidRPr="00D27DEF" w:rsidRDefault="008160DB" w:rsidP="008160DB">
      <w:pPr>
        <w:pStyle w:val="ListParagraph"/>
        <w:numPr>
          <w:ilvl w:val="0"/>
          <w:numId w:val="9"/>
        </w:numPr>
        <w:spacing w:line="480" w:lineRule="auto"/>
        <w:rPr>
          <w:rFonts w:ascii="Arial" w:hAnsi="Arial" w:cs="Arial"/>
          <w:color w:val="000000" w:themeColor="text1"/>
          <w:shd w:val="clear" w:color="auto" w:fill="FFFFFF"/>
        </w:rPr>
      </w:pPr>
      <w:r w:rsidRPr="00D27DEF">
        <w:rPr>
          <w:rFonts w:ascii="Arial" w:hAnsi="Arial" w:cs="Arial"/>
          <w:color w:val="000000" w:themeColor="text1"/>
          <w:shd w:val="clear" w:color="auto" w:fill="FFFFFF"/>
        </w:rPr>
        <w:t>Brand Association</w:t>
      </w:r>
    </w:p>
    <w:p w14:paraId="75A3312F" w14:textId="77777777" w:rsidR="008160DB" w:rsidRPr="00D27DEF" w:rsidRDefault="008160DB" w:rsidP="008160DB">
      <w:pPr>
        <w:pStyle w:val="ListParagraph"/>
        <w:numPr>
          <w:ilvl w:val="0"/>
          <w:numId w:val="9"/>
        </w:numPr>
        <w:spacing w:line="480" w:lineRule="auto"/>
        <w:rPr>
          <w:rFonts w:ascii="Arial" w:hAnsi="Arial" w:cs="Arial"/>
          <w:color w:val="000000" w:themeColor="text1"/>
          <w:shd w:val="clear" w:color="auto" w:fill="FFFFFF"/>
        </w:rPr>
      </w:pPr>
      <w:r w:rsidRPr="00D27DEF">
        <w:rPr>
          <w:rFonts w:ascii="Arial" w:hAnsi="Arial" w:cs="Arial"/>
          <w:color w:val="000000" w:themeColor="text1"/>
          <w:shd w:val="clear" w:color="auto" w:fill="FFFFFF"/>
        </w:rPr>
        <w:t>Brand loyalty</w:t>
      </w:r>
    </w:p>
    <w:p w14:paraId="10A2D19C"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 xml:space="preserve">2.2.1 Perceived quality </w:t>
      </w:r>
    </w:p>
    <w:p w14:paraId="51501920"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 xml:space="preserve">Aaker stated brand equity was made up of five elements and one of the main elements was perceived quality and defines it as </w:t>
      </w:r>
      <w:r w:rsidRPr="00D27DEF">
        <w:rPr>
          <w:rFonts w:ascii="Arial" w:hAnsi="Arial" w:cs="Arial"/>
          <w:i/>
          <w:iCs/>
          <w:color w:val="000000" w:themeColor="text1"/>
        </w:rPr>
        <w:t>"The consumer's judgement about products overall excellence or superiority”</w:t>
      </w:r>
      <w:r w:rsidRPr="00D27DEF">
        <w:rPr>
          <w:rFonts w:ascii="Arial" w:hAnsi="Arial" w:cs="Arial"/>
          <w:color w:val="000000" w:themeColor="text1"/>
        </w:rPr>
        <w:t xml:space="preserve">, (Kirmani and Zeithaml, 1993. pg.144). This is an attribute which impacts the way the brand image is perceived through consumer attitude which can be altered depending on how the company portrays itself through actions. If an organisation such as FB wants to better their brand image, they must enhance consumer perception by leaving a positive impression on their target market, by improving perceived quality has a positive effect on brand trust, (Tsiotsou, 2006; Rahmatulloh et al, 2019). A study carried out for the journal of business and management found that perceived quality has a significant positive effect on brand trust but also brand image, (Alhaddad, 2015). to changed quality perceptions advertising campaigns can be put into place to target specific consumers. The literature produced on advertising and the effect it has on perceived quality separates into the impacts of adverting on quality rather than perceived quality and the impact of advertising components on brand beliefs and attitudes, (Kirmani and Zeithaml, 1993). Here the researcher will examine the later. Coca-cola is a prime example of a company whose </w:t>
      </w:r>
      <w:r w:rsidRPr="00D27DEF">
        <w:rPr>
          <w:rFonts w:ascii="Arial" w:hAnsi="Arial" w:cs="Arial"/>
          <w:color w:val="000000" w:themeColor="text1"/>
        </w:rPr>
        <w:lastRenderedPageBreak/>
        <w:t xml:space="preserve">advertising strategies are changing perceptions. The company's products are associated with being unhealthy and are linked to obesity, to change this view coke has changed their brand campaign by uniting all drinks and giving them all the same slogan which is now "taste the feeling", </w:t>
      </w:r>
      <w:r w:rsidRPr="00D27DEF">
        <w:rPr>
          <w:rFonts w:ascii="Arial" w:hAnsi="Arial" w:cs="Arial"/>
          <w:color w:val="000000" w:themeColor="text1"/>
          <w:shd w:val="clear" w:color="auto" w:fill="FFFFFF"/>
        </w:rPr>
        <w:t>(Coca-Cola Slogans Through the Years, 2020)</w:t>
      </w:r>
      <w:r w:rsidRPr="00D27DEF">
        <w:rPr>
          <w:rFonts w:ascii="Arial" w:hAnsi="Arial" w:cs="Arial"/>
          <w:color w:val="000000" w:themeColor="text1"/>
        </w:rPr>
        <w:t xml:space="preserve">. Enhancing the product experience through an emotional storytelling theme. What this has highlighted is that if FB wants to enhance user’s perception of their brand equity, they need to ensure throughout the company that all employees understand the importance of relaying a positive brand image. </w:t>
      </w:r>
    </w:p>
    <w:p w14:paraId="08E0B719"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t>2.2.2 Brand Awareness</w:t>
      </w:r>
    </w:p>
    <w:p w14:paraId="2FDCDEB9" w14:textId="77777777" w:rsidR="008160DB" w:rsidRPr="00D27DEF" w:rsidRDefault="008160DB" w:rsidP="008160DB">
      <w:pPr>
        <w:spacing w:line="480" w:lineRule="auto"/>
        <w:rPr>
          <w:rFonts w:ascii="Arial" w:hAnsi="Arial" w:cs="Arial"/>
          <w:color w:val="000000" w:themeColor="text1"/>
        </w:rPr>
      </w:pPr>
      <w:r w:rsidRPr="00D27DEF">
        <w:rPr>
          <w:rFonts w:ascii="Arial" w:hAnsi="Arial" w:cs="Arial"/>
          <w:color w:val="000000" w:themeColor="text1"/>
        </w:rPr>
        <w:t>Aaker defines brand awareness as “</w:t>
      </w:r>
      <w:r w:rsidRPr="00D27DEF">
        <w:rPr>
          <w:rFonts w:ascii="Arial" w:hAnsi="Arial" w:cs="Arial"/>
          <w:i/>
          <w:iCs/>
          <w:color w:val="000000" w:themeColor="text1"/>
        </w:rPr>
        <w:t>the durability of a brand that embedded in the customer memory</w:t>
      </w:r>
      <w:r w:rsidRPr="00D27DEF">
        <w:rPr>
          <w:rFonts w:ascii="Arial" w:hAnsi="Arial" w:cs="Arial"/>
          <w:color w:val="000000" w:themeColor="text1"/>
        </w:rPr>
        <w:t xml:space="preserve">”, (Severi and Ling, 2013, p.g.126). This means it whether consumers can recognize a brand, as FB is the world's largest social media platform, they already have a very well-recognised brand. Brand awareness often sways a consumer in the direction of a purchase decision or FB case a service use. If the brand has a bad reputation this could put consumers off from choosing that brand and stunt brand market performance, (Huang and Sarigollu, 2014). It is important to note that the literature discussing the link between brand awareness and brand equity also incorporates brand association. Brand association is defined as products and firms which have specific and clear values and characteristics that are unique to them which differentiates themselves from the competition, (Yoo and Donthu, 2001; Dew and Kwon, 2010). However, this will be discussed in further detail in section 2.2.3. Brand awareness is measured by brand recognition. This means that consumers should recall the brand name when giving the needs that the organisation aims to fulfil, (Dew and Kwon, 2010). Looking at the number of users FB has and the number of active advertisers monthly, this figure being 7 million, </w:t>
      </w:r>
      <w:r w:rsidRPr="00D27DEF">
        <w:rPr>
          <w:rFonts w:ascii="Arial" w:hAnsi="Arial" w:cs="Arial"/>
          <w:color w:val="000000" w:themeColor="text1"/>
          <w:shd w:val="clear" w:color="auto" w:fill="FFFFFF"/>
        </w:rPr>
        <w:t>(Facebook active advertisers 2019 | Statista, 2019).</w:t>
      </w:r>
      <w:r w:rsidRPr="00D27DEF">
        <w:rPr>
          <w:rFonts w:ascii="Arial" w:hAnsi="Arial" w:cs="Arial"/>
          <w:color w:val="000000" w:themeColor="text1"/>
        </w:rPr>
        <w:t xml:space="preserve"> The researcher can conclude that FB has very strong brand recognition and therefore brand awareness.</w:t>
      </w:r>
    </w:p>
    <w:p w14:paraId="4759323A"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lastRenderedPageBreak/>
        <w:t>2.2.3 Brand Association</w:t>
      </w:r>
    </w:p>
    <w:p w14:paraId="43E8BECD" w14:textId="77777777" w:rsidR="008160DB" w:rsidRPr="00D27DEF" w:rsidRDefault="008160DB" w:rsidP="008160DB">
      <w:pPr>
        <w:spacing w:line="480" w:lineRule="auto"/>
        <w:rPr>
          <w:rFonts w:ascii="Arial" w:hAnsi="Arial" w:cs="Arial"/>
          <w:color w:val="000000" w:themeColor="text1"/>
        </w:rPr>
      </w:pPr>
      <w:r>
        <w:rPr>
          <w:rFonts w:ascii="Arial" w:hAnsi="Arial" w:cs="Arial"/>
          <w:color w:val="000000" w:themeColor="text1"/>
        </w:rPr>
        <w:t>B</w:t>
      </w:r>
      <w:r w:rsidRPr="00D27DEF">
        <w:rPr>
          <w:rFonts w:ascii="Arial" w:hAnsi="Arial" w:cs="Arial"/>
          <w:color w:val="000000" w:themeColor="text1"/>
        </w:rPr>
        <w:t>rand association previously defined in section 2.2.2. as products and firms, which have specific and clear values and characteristics that are unique to them which differentiates themselves from the competition. These are not reasons to buy into a brand but provide differentiation that’s not replicable by a competing brand. Brand association also is said to “</w:t>
      </w:r>
      <w:r w:rsidRPr="00D27DEF">
        <w:rPr>
          <w:rFonts w:ascii="Arial" w:hAnsi="Arial" w:cs="Arial"/>
          <w:i/>
          <w:iCs/>
          <w:color w:val="000000" w:themeColor="text1"/>
        </w:rPr>
        <w:t>act as an information collecting tool to execute brand differentiation and brand equity”</w:t>
      </w:r>
      <w:r w:rsidRPr="00D27DEF">
        <w:rPr>
          <w:rFonts w:ascii="Arial" w:hAnsi="Arial" w:cs="Arial"/>
          <w:color w:val="000000" w:themeColor="text1"/>
        </w:rPr>
        <w:t xml:space="preserve">, (Severi and Ling, 2013, p.g.127). Brand association should be linked to a positive viewpoint with the brand. While FB is widely recognised as a forum for connecting friends and family their brand association could improve their positive brand affiliation. FB has been credited for providing a good social support system within their platform and this has been associated with the brand, (Janh et al., 2016). However, FB is experiencing a negative brand association when it comes to mental health. The brand is associated with addiction, body image, depression, anxiety and disordered drinking and eating conditions as well as additional mental health problems, (Frost and Rickwood, 2017). Studies have also concluded that FB users are experiencing high stress and anxiety levels in comparison to non-users, (Farahani et al, 2011). Although the company recognises this and has admitted that the material on their platform can pose a mental health risk, they also claim that the site can improve people’s wellbeing through engagement, </w:t>
      </w:r>
      <w:r w:rsidRPr="00D27DEF">
        <w:rPr>
          <w:rFonts w:ascii="Arial" w:hAnsi="Arial" w:cs="Arial"/>
          <w:color w:val="000000" w:themeColor="text1"/>
          <w:shd w:val="clear" w:color="auto" w:fill="FFFFFF"/>
        </w:rPr>
        <w:t>(Levin, 2020). However, this acknowledgement is not enough to change consumers association between the brand and mental health and instead they should seek to find a way to steer themselves towards a positive association with mental health.  One platform which is attempting to change their association with mental health is Instagram. They have changed their platform so that under any user under 18 can no longer see posts related to cosmetic surgery or content related to dieting as well as removing any content which is considered dangerous to the public health, (Manavis, 2019).</w:t>
      </w:r>
    </w:p>
    <w:p w14:paraId="52EC8F3F" w14:textId="77777777" w:rsidR="008160DB" w:rsidRPr="00D27DEF" w:rsidRDefault="008160DB" w:rsidP="008160DB">
      <w:pPr>
        <w:pStyle w:val="Heading3"/>
        <w:spacing w:line="480" w:lineRule="auto"/>
        <w:rPr>
          <w:rFonts w:ascii="Arial" w:hAnsi="Arial" w:cs="Arial"/>
          <w:sz w:val="22"/>
          <w:szCs w:val="22"/>
        </w:rPr>
      </w:pPr>
      <w:r w:rsidRPr="00D27DEF">
        <w:rPr>
          <w:rFonts w:ascii="Arial" w:hAnsi="Arial" w:cs="Arial"/>
          <w:sz w:val="22"/>
          <w:szCs w:val="22"/>
        </w:rPr>
        <w:lastRenderedPageBreak/>
        <w:t xml:space="preserve">2.2.4 Brand loyalty </w:t>
      </w:r>
    </w:p>
    <w:p w14:paraId="58403662" w14:textId="64547A11" w:rsidR="008160DB" w:rsidRPr="00D27DEF" w:rsidRDefault="008160DB" w:rsidP="008160DB">
      <w:pPr>
        <w:spacing w:line="480" w:lineRule="auto"/>
        <w:rPr>
          <w:rFonts w:ascii="Arial" w:hAnsi="Arial" w:cs="Arial"/>
          <w:color w:val="000000"/>
          <w:shd w:val="clear" w:color="auto" w:fill="FFFFFF"/>
        </w:rPr>
      </w:pPr>
      <w:r w:rsidRPr="00D27DEF">
        <w:rPr>
          <w:rFonts w:ascii="Arial" w:hAnsi="Arial" w:cs="Arial"/>
          <w:color w:val="000000" w:themeColor="text1"/>
        </w:rPr>
        <w:t>Brand loyalty is defined by Aaker (1991) as “</w:t>
      </w:r>
      <w:r w:rsidRPr="00D27DEF">
        <w:rPr>
          <w:rFonts w:ascii="Arial" w:hAnsi="Arial" w:cs="Arial"/>
          <w:i/>
          <w:iCs/>
          <w:color w:val="000000" w:themeColor="text1"/>
        </w:rPr>
        <w:t>a constructive mindset toward a brand that leading to constant purchasing of the brand over time”</w:t>
      </w:r>
      <w:r w:rsidRPr="00D27DEF">
        <w:rPr>
          <w:rFonts w:ascii="Arial" w:hAnsi="Arial" w:cs="Arial"/>
          <w:color w:val="000000" w:themeColor="text1"/>
        </w:rPr>
        <w:t xml:space="preserve">, (Severi and Ling, 2013. P.g.127). It is said to be the core of a brands equity, (Aaker, 2009) and a study into the detriments of brand equity for brand loyalty as the most influential dimension of brand equity, (Atigan et al., 2005). Brand loyalty for a social media platform can be measured through studying the levels of community commitment, attitude and behaviour and positive word-of-mouth, (Schivinski and Dabrowski, 2015). Researching FB user brand loyalty, it was reported that FB came under the brands with the greatest loyalty erosion observing a drop in consumer loyalty by 16 per cent, </w:t>
      </w:r>
      <w:r w:rsidRPr="00D27DEF">
        <w:rPr>
          <w:rFonts w:ascii="Arial" w:hAnsi="Arial" w:cs="Arial"/>
          <w:color w:val="000000" w:themeColor="text1"/>
          <w:shd w:val="clear" w:color="auto" w:fill="FFFFFF"/>
        </w:rPr>
        <w:t>(Brand Keys 2019 Loyalty Leaders, 2019). Robert Passikoff founder of brand keys which is a system developed to measure brand equity claimed, “</w:t>
      </w:r>
      <w:r w:rsidRPr="00D27DEF">
        <w:rPr>
          <w:rFonts w:ascii="Arial" w:hAnsi="Arial" w:cs="Arial"/>
          <w:i/>
          <w:iCs/>
          <w:color w:val="000000" w:themeColor="text1"/>
          <w:shd w:val="clear" w:color="auto" w:fill="FFFFFF"/>
        </w:rPr>
        <w:t>Trust is an engagement factor in every service category, it has become the indispensable connective tissue between brands and customer loyalty</w:t>
      </w:r>
      <w:r w:rsidRPr="00D27DEF">
        <w:rPr>
          <w:rFonts w:ascii="Arial" w:hAnsi="Arial" w:cs="Arial"/>
          <w:color w:val="000000" w:themeColor="text1"/>
          <w:shd w:val="clear" w:color="auto" w:fill="FFFFFF"/>
        </w:rPr>
        <w:t xml:space="preserve">”, </w:t>
      </w:r>
      <w:r w:rsidRPr="00D27DEF">
        <w:rPr>
          <w:rFonts w:ascii="Arial" w:hAnsi="Arial" w:cs="Arial"/>
          <w:color w:val="000000"/>
          <w:shd w:val="clear" w:color="auto" w:fill="FFFFFF"/>
        </w:rPr>
        <w:t xml:space="preserve">(Brand keys customer loyalty engagement index, 2019). For FB users trust has been a rising concern as they have failed to successfully address security, privacy and transparency measures that need to take place following the 2016 FB-Cambridge Analytica scandal. FB needs to meet their consumer's expectations and alter the values of the organisation to improve Brand </w:t>
      </w:r>
      <w:r w:rsidR="00DD4E23" w:rsidRPr="00D27DEF">
        <w:rPr>
          <w:rFonts w:ascii="Arial" w:hAnsi="Arial" w:cs="Arial"/>
          <w:color w:val="000000"/>
          <w:shd w:val="clear" w:color="auto" w:fill="FFFFFF"/>
        </w:rPr>
        <w:t>loyalty</w:t>
      </w:r>
      <w:r w:rsidRPr="00D27DEF">
        <w:rPr>
          <w:rFonts w:ascii="Arial" w:hAnsi="Arial" w:cs="Arial"/>
          <w:color w:val="000000"/>
          <w:shd w:val="clear" w:color="auto" w:fill="FFFFFF"/>
        </w:rPr>
        <w:t xml:space="preserve">. </w:t>
      </w:r>
    </w:p>
    <w:p w14:paraId="327326EB" w14:textId="77777777" w:rsidR="008160DB" w:rsidRPr="00D27DEF" w:rsidRDefault="008160DB" w:rsidP="008160DB">
      <w:pPr>
        <w:spacing w:line="480" w:lineRule="auto"/>
        <w:rPr>
          <w:rFonts w:ascii="Arial" w:hAnsi="Arial" w:cs="Arial"/>
          <w:color w:val="000000"/>
          <w:shd w:val="clear" w:color="auto" w:fill="FFFFFF"/>
        </w:rPr>
      </w:pPr>
      <w:r w:rsidRPr="00D27DEF">
        <w:rPr>
          <w:rFonts w:ascii="Arial" w:hAnsi="Arial" w:cs="Arial"/>
          <w:color w:val="000000"/>
          <w:shd w:val="clear" w:color="auto" w:fill="FFFFFF"/>
        </w:rPr>
        <w:t>In conclusion, extensive research has shown that there is a need for FB to incorporate corporate social responsibility within their organisation to improve its current brand's perception. The consumers association of the brand as it is now is overwhelmingly negative and if FB continues to acknowledge these negative associations but choose not to act, they should expect to observe a continuing drop in brand loyalty. However, if they choose to act upon this information using CSR the research indicates that this incorporation will lead to an association with positive brand perception. This research, therefore, fills an evident gap on research concerning CSR and brand perception in the case of FB bringing these two concepts into unison.</w:t>
      </w:r>
    </w:p>
    <w:p w14:paraId="4633631F" w14:textId="77777777" w:rsidR="00317C7A" w:rsidRPr="008160DB" w:rsidRDefault="0084184B" w:rsidP="008160DB">
      <w:r w:rsidRPr="008160DB">
        <w:t xml:space="preserve"> </w:t>
      </w:r>
    </w:p>
    <w:sectPr w:rsidR="00317C7A" w:rsidRPr="00816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F27"/>
    <w:multiLevelType w:val="hybridMultilevel"/>
    <w:tmpl w:val="0440593C"/>
    <w:lvl w:ilvl="0" w:tplc="2F285750">
      <w:start w:val="1"/>
      <w:numFmt w:val="decimal"/>
      <w:lvlText w:val="%1."/>
      <w:lvlJc w:val="left"/>
      <w:pPr>
        <w:ind w:left="720" w:hanging="360"/>
      </w:pPr>
      <w:rPr>
        <w:rFonts w:hint="default"/>
      </w:rPr>
    </w:lvl>
    <w:lvl w:ilvl="1" w:tplc="2E34DDB6" w:tentative="1">
      <w:start w:val="1"/>
      <w:numFmt w:val="lowerLetter"/>
      <w:lvlText w:val="%2."/>
      <w:lvlJc w:val="left"/>
      <w:pPr>
        <w:ind w:left="1440" w:hanging="360"/>
      </w:pPr>
    </w:lvl>
    <w:lvl w:ilvl="2" w:tplc="2B5AAA98" w:tentative="1">
      <w:start w:val="1"/>
      <w:numFmt w:val="lowerRoman"/>
      <w:lvlText w:val="%3."/>
      <w:lvlJc w:val="right"/>
      <w:pPr>
        <w:ind w:left="2160" w:hanging="180"/>
      </w:pPr>
    </w:lvl>
    <w:lvl w:ilvl="3" w:tplc="F364DB84" w:tentative="1">
      <w:start w:val="1"/>
      <w:numFmt w:val="decimal"/>
      <w:lvlText w:val="%4."/>
      <w:lvlJc w:val="left"/>
      <w:pPr>
        <w:ind w:left="2880" w:hanging="360"/>
      </w:pPr>
    </w:lvl>
    <w:lvl w:ilvl="4" w:tplc="15085196" w:tentative="1">
      <w:start w:val="1"/>
      <w:numFmt w:val="lowerLetter"/>
      <w:lvlText w:val="%5."/>
      <w:lvlJc w:val="left"/>
      <w:pPr>
        <w:ind w:left="3600" w:hanging="360"/>
      </w:pPr>
    </w:lvl>
    <w:lvl w:ilvl="5" w:tplc="5B4E3AE8" w:tentative="1">
      <w:start w:val="1"/>
      <w:numFmt w:val="lowerRoman"/>
      <w:lvlText w:val="%6."/>
      <w:lvlJc w:val="right"/>
      <w:pPr>
        <w:ind w:left="4320" w:hanging="180"/>
      </w:pPr>
    </w:lvl>
    <w:lvl w:ilvl="6" w:tplc="227C5084" w:tentative="1">
      <w:start w:val="1"/>
      <w:numFmt w:val="decimal"/>
      <w:lvlText w:val="%7."/>
      <w:lvlJc w:val="left"/>
      <w:pPr>
        <w:ind w:left="5040" w:hanging="360"/>
      </w:pPr>
    </w:lvl>
    <w:lvl w:ilvl="7" w:tplc="2E64192C" w:tentative="1">
      <w:start w:val="1"/>
      <w:numFmt w:val="lowerLetter"/>
      <w:lvlText w:val="%8."/>
      <w:lvlJc w:val="left"/>
      <w:pPr>
        <w:ind w:left="5760" w:hanging="360"/>
      </w:pPr>
    </w:lvl>
    <w:lvl w:ilvl="8" w:tplc="2F8C899E" w:tentative="1">
      <w:start w:val="1"/>
      <w:numFmt w:val="lowerRoman"/>
      <w:lvlText w:val="%9."/>
      <w:lvlJc w:val="right"/>
      <w:pPr>
        <w:ind w:left="6480" w:hanging="180"/>
      </w:pPr>
    </w:lvl>
  </w:abstractNum>
  <w:abstractNum w:abstractNumId="1" w15:restartNumberingAfterBreak="0">
    <w:nsid w:val="06CD18D4"/>
    <w:multiLevelType w:val="hybridMultilevel"/>
    <w:tmpl w:val="1F02F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8D75B1"/>
    <w:multiLevelType w:val="multilevel"/>
    <w:tmpl w:val="C49288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6F30A4"/>
    <w:multiLevelType w:val="hybridMultilevel"/>
    <w:tmpl w:val="320C7D94"/>
    <w:lvl w:ilvl="0" w:tplc="F66E962E">
      <w:start w:val="1"/>
      <w:numFmt w:val="decimal"/>
      <w:lvlText w:val="%1."/>
      <w:lvlJc w:val="left"/>
      <w:pPr>
        <w:ind w:left="720" w:hanging="360"/>
      </w:pPr>
    </w:lvl>
    <w:lvl w:ilvl="1" w:tplc="FD44A19E">
      <w:start w:val="1"/>
      <w:numFmt w:val="lowerLetter"/>
      <w:lvlText w:val="%2."/>
      <w:lvlJc w:val="left"/>
      <w:pPr>
        <w:ind w:left="1440" w:hanging="360"/>
      </w:pPr>
    </w:lvl>
    <w:lvl w:ilvl="2" w:tplc="A76EAB4C">
      <w:start w:val="1"/>
      <w:numFmt w:val="lowerRoman"/>
      <w:lvlText w:val="%3."/>
      <w:lvlJc w:val="right"/>
      <w:pPr>
        <w:ind w:left="2160" w:hanging="180"/>
      </w:pPr>
    </w:lvl>
    <w:lvl w:ilvl="3" w:tplc="089A7138">
      <w:start w:val="1"/>
      <w:numFmt w:val="decimal"/>
      <w:lvlText w:val="%4."/>
      <w:lvlJc w:val="left"/>
      <w:pPr>
        <w:ind w:left="2880" w:hanging="360"/>
      </w:pPr>
    </w:lvl>
    <w:lvl w:ilvl="4" w:tplc="13E479CE">
      <w:start w:val="1"/>
      <w:numFmt w:val="lowerLetter"/>
      <w:lvlText w:val="%5."/>
      <w:lvlJc w:val="left"/>
      <w:pPr>
        <w:ind w:left="3600" w:hanging="360"/>
      </w:pPr>
    </w:lvl>
    <w:lvl w:ilvl="5" w:tplc="52CE1FBA">
      <w:start w:val="1"/>
      <w:numFmt w:val="lowerRoman"/>
      <w:lvlText w:val="%6."/>
      <w:lvlJc w:val="right"/>
      <w:pPr>
        <w:ind w:left="4320" w:hanging="180"/>
      </w:pPr>
    </w:lvl>
    <w:lvl w:ilvl="6" w:tplc="82A21FA6">
      <w:start w:val="1"/>
      <w:numFmt w:val="decimal"/>
      <w:lvlText w:val="%7."/>
      <w:lvlJc w:val="left"/>
      <w:pPr>
        <w:ind w:left="5040" w:hanging="360"/>
      </w:pPr>
    </w:lvl>
    <w:lvl w:ilvl="7" w:tplc="7AEADFBE">
      <w:start w:val="1"/>
      <w:numFmt w:val="lowerLetter"/>
      <w:lvlText w:val="%8."/>
      <w:lvlJc w:val="left"/>
      <w:pPr>
        <w:ind w:left="5760" w:hanging="360"/>
      </w:pPr>
    </w:lvl>
    <w:lvl w:ilvl="8" w:tplc="23AA76F8">
      <w:start w:val="1"/>
      <w:numFmt w:val="lowerRoman"/>
      <w:lvlText w:val="%9."/>
      <w:lvlJc w:val="right"/>
      <w:pPr>
        <w:ind w:left="6480" w:hanging="180"/>
      </w:pPr>
    </w:lvl>
  </w:abstractNum>
  <w:abstractNum w:abstractNumId="4" w15:restartNumberingAfterBreak="0">
    <w:nsid w:val="32BB7493"/>
    <w:multiLevelType w:val="multilevel"/>
    <w:tmpl w:val="ED927E18"/>
    <w:lvl w:ilvl="0">
      <w:start w:val="1"/>
      <w:numFmt w:val="decimal"/>
      <w:lvlText w:val="%1.0"/>
      <w:lvlJc w:val="left"/>
      <w:pPr>
        <w:ind w:left="405" w:hanging="405"/>
      </w:pPr>
    </w:lvl>
    <w:lvl w:ilvl="1">
      <w:start w:val="1"/>
      <w:numFmt w:val="decimal"/>
      <w:lvlText w:val="%1.%2"/>
      <w:lvlJc w:val="left"/>
      <w:pPr>
        <w:ind w:left="1125" w:hanging="40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5" w15:restartNumberingAfterBreak="0">
    <w:nsid w:val="34B65DCE"/>
    <w:multiLevelType w:val="multilevel"/>
    <w:tmpl w:val="095A1870"/>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1947398"/>
    <w:multiLevelType w:val="hybridMultilevel"/>
    <w:tmpl w:val="C298D562"/>
    <w:lvl w:ilvl="0" w:tplc="D474120C">
      <w:start w:val="1"/>
      <w:numFmt w:val="bullet"/>
      <w:lvlText w:val="•"/>
      <w:lvlJc w:val="left"/>
      <w:pPr>
        <w:tabs>
          <w:tab w:val="num" w:pos="720"/>
        </w:tabs>
        <w:ind w:left="720" w:hanging="360"/>
      </w:pPr>
      <w:rPr>
        <w:rFonts w:ascii="Arial" w:hAnsi="Arial" w:hint="default"/>
      </w:rPr>
    </w:lvl>
    <w:lvl w:ilvl="1" w:tplc="C2085F9E" w:tentative="1">
      <w:start w:val="1"/>
      <w:numFmt w:val="bullet"/>
      <w:lvlText w:val="•"/>
      <w:lvlJc w:val="left"/>
      <w:pPr>
        <w:tabs>
          <w:tab w:val="num" w:pos="1440"/>
        </w:tabs>
        <w:ind w:left="1440" w:hanging="360"/>
      </w:pPr>
      <w:rPr>
        <w:rFonts w:ascii="Arial" w:hAnsi="Arial" w:hint="default"/>
      </w:rPr>
    </w:lvl>
    <w:lvl w:ilvl="2" w:tplc="A2B44D40" w:tentative="1">
      <w:start w:val="1"/>
      <w:numFmt w:val="bullet"/>
      <w:lvlText w:val="•"/>
      <w:lvlJc w:val="left"/>
      <w:pPr>
        <w:tabs>
          <w:tab w:val="num" w:pos="2160"/>
        </w:tabs>
        <w:ind w:left="2160" w:hanging="360"/>
      </w:pPr>
      <w:rPr>
        <w:rFonts w:ascii="Arial" w:hAnsi="Arial" w:hint="default"/>
      </w:rPr>
    </w:lvl>
    <w:lvl w:ilvl="3" w:tplc="E86290A8" w:tentative="1">
      <w:start w:val="1"/>
      <w:numFmt w:val="bullet"/>
      <w:lvlText w:val="•"/>
      <w:lvlJc w:val="left"/>
      <w:pPr>
        <w:tabs>
          <w:tab w:val="num" w:pos="2880"/>
        </w:tabs>
        <w:ind w:left="2880" w:hanging="360"/>
      </w:pPr>
      <w:rPr>
        <w:rFonts w:ascii="Arial" w:hAnsi="Arial" w:hint="default"/>
      </w:rPr>
    </w:lvl>
    <w:lvl w:ilvl="4" w:tplc="DF566250" w:tentative="1">
      <w:start w:val="1"/>
      <w:numFmt w:val="bullet"/>
      <w:lvlText w:val="•"/>
      <w:lvlJc w:val="left"/>
      <w:pPr>
        <w:tabs>
          <w:tab w:val="num" w:pos="3600"/>
        </w:tabs>
        <w:ind w:left="3600" w:hanging="360"/>
      </w:pPr>
      <w:rPr>
        <w:rFonts w:ascii="Arial" w:hAnsi="Arial" w:hint="default"/>
      </w:rPr>
    </w:lvl>
    <w:lvl w:ilvl="5" w:tplc="FBC0983A" w:tentative="1">
      <w:start w:val="1"/>
      <w:numFmt w:val="bullet"/>
      <w:lvlText w:val="•"/>
      <w:lvlJc w:val="left"/>
      <w:pPr>
        <w:tabs>
          <w:tab w:val="num" w:pos="4320"/>
        </w:tabs>
        <w:ind w:left="4320" w:hanging="360"/>
      </w:pPr>
      <w:rPr>
        <w:rFonts w:ascii="Arial" w:hAnsi="Arial" w:hint="default"/>
      </w:rPr>
    </w:lvl>
    <w:lvl w:ilvl="6" w:tplc="6F22C834" w:tentative="1">
      <w:start w:val="1"/>
      <w:numFmt w:val="bullet"/>
      <w:lvlText w:val="•"/>
      <w:lvlJc w:val="left"/>
      <w:pPr>
        <w:tabs>
          <w:tab w:val="num" w:pos="5040"/>
        </w:tabs>
        <w:ind w:left="5040" w:hanging="360"/>
      </w:pPr>
      <w:rPr>
        <w:rFonts w:ascii="Arial" w:hAnsi="Arial" w:hint="default"/>
      </w:rPr>
    </w:lvl>
    <w:lvl w:ilvl="7" w:tplc="29CCF284" w:tentative="1">
      <w:start w:val="1"/>
      <w:numFmt w:val="bullet"/>
      <w:lvlText w:val="•"/>
      <w:lvlJc w:val="left"/>
      <w:pPr>
        <w:tabs>
          <w:tab w:val="num" w:pos="5760"/>
        </w:tabs>
        <w:ind w:left="5760" w:hanging="360"/>
      </w:pPr>
      <w:rPr>
        <w:rFonts w:ascii="Arial" w:hAnsi="Arial" w:hint="default"/>
      </w:rPr>
    </w:lvl>
    <w:lvl w:ilvl="8" w:tplc="739814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1EC5DD3"/>
    <w:multiLevelType w:val="hybridMultilevel"/>
    <w:tmpl w:val="6C5C63E8"/>
    <w:lvl w:ilvl="0" w:tplc="394EAF8A">
      <w:start w:val="1"/>
      <w:numFmt w:val="decimal"/>
      <w:lvlText w:val="%1."/>
      <w:lvlJc w:val="left"/>
      <w:pPr>
        <w:ind w:left="720" w:hanging="360"/>
      </w:pPr>
      <w:rPr>
        <w:rFonts w:hint="default"/>
      </w:rPr>
    </w:lvl>
    <w:lvl w:ilvl="1" w:tplc="DBE0BF06" w:tentative="1">
      <w:start w:val="1"/>
      <w:numFmt w:val="lowerLetter"/>
      <w:lvlText w:val="%2."/>
      <w:lvlJc w:val="left"/>
      <w:pPr>
        <w:ind w:left="1440" w:hanging="360"/>
      </w:pPr>
    </w:lvl>
    <w:lvl w:ilvl="2" w:tplc="FB1E4858" w:tentative="1">
      <w:start w:val="1"/>
      <w:numFmt w:val="lowerRoman"/>
      <w:lvlText w:val="%3."/>
      <w:lvlJc w:val="right"/>
      <w:pPr>
        <w:ind w:left="2160" w:hanging="180"/>
      </w:pPr>
    </w:lvl>
    <w:lvl w:ilvl="3" w:tplc="CF90637E" w:tentative="1">
      <w:start w:val="1"/>
      <w:numFmt w:val="decimal"/>
      <w:lvlText w:val="%4."/>
      <w:lvlJc w:val="left"/>
      <w:pPr>
        <w:ind w:left="2880" w:hanging="360"/>
      </w:pPr>
    </w:lvl>
    <w:lvl w:ilvl="4" w:tplc="726E73C8" w:tentative="1">
      <w:start w:val="1"/>
      <w:numFmt w:val="lowerLetter"/>
      <w:lvlText w:val="%5."/>
      <w:lvlJc w:val="left"/>
      <w:pPr>
        <w:ind w:left="3600" w:hanging="360"/>
      </w:pPr>
    </w:lvl>
    <w:lvl w:ilvl="5" w:tplc="44DE66F8" w:tentative="1">
      <w:start w:val="1"/>
      <w:numFmt w:val="lowerRoman"/>
      <w:lvlText w:val="%6."/>
      <w:lvlJc w:val="right"/>
      <w:pPr>
        <w:ind w:left="4320" w:hanging="180"/>
      </w:pPr>
    </w:lvl>
    <w:lvl w:ilvl="6" w:tplc="8E62B558" w:tentative="1">
      <w:start w:val="1"/>
      <w:numFmt w:val="decimal"/>
      <w:lvlText w:val="%7."/>
      <w:lvlJc w:val="left"/>
      <w:pPr>
        <w:ind w:left="5040" w:hanging="360"/>
      </w:pPr>
    </w:lvl>
    <w:lvl w:ilvl="7" w:tplc="977C1E40" w:tentative="1">
      <w:start w:val="1"/>
      <w:numFmt w:val="lowerLetter"/>
      <w:lvlText w:val="%8."/>
      <w:lvlJc w:val="left"/>
      <w:pPr>
        <w:ind w:left="5760" w:hanging="360"/>
      </w:pPr>
    </w:lvl>
    <w:lvl w:ilvl="8" w:tplc="DEA63262" w:tentative="1">
      <w:start w:val="1"/>
      <w:numFmt w:val="lowerRoman"/>
      <w:lvlText w:val="%9."/>
      <w:lvlJc w:val="right"/>
      <w:pPr>
        <w:ind w:left="6480" w:hanging="180"/>
      </w:pPr>
    </w:lvl>
  </w:abstractNum>
  <w:abstractNum w:abstractNumId="8" w15:restartNumberingAfterBreak="0">
    <w:nsid w:val="76963656"/>
    <w:multiLevelType w:val="multilevel"/>
    <w:tmpl w:val="9ED4D5A8"/>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2"/>
  </w:num>
  <w:num w:numId="7">
    <w:abstractNumId w:val="7"/>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71"/>
    <w:rsid w:val="0002245F"/>
    <w:rsid w:val="00053E3A"/>
    <w:rsid w:val="00054246"/>
    <w:rsid w:val="000563B9"/>
    <w:rsid w:val="0008041B"/>
    <w:rsid w:val="00082179"/>
    <w:rsid w:val="00087096"/>
    <w:rsid w:val="00097508"/>
    <w:rsid w:val="000A3D53"/>
    <w:rsid w:val="000A5B5B"/>
    <w:rsid w:val="000A7716"/>
    <w:rsid w:val="000C29F8"/>
    <w:rsid w:val="000F21CD"/>
    <w:rsid w:val="00121859"/>
    <w:rsid w:val="00124607"/>
    <w:rsid w:val="001459B1"/>
    <w:rsid w:val="00151874"/>
    <w:rsid w:val="001657CF"/>
    <w:rsid w:val="00173DF4"/>
    <w:rsid w:val="0017577F"/>
    <w:rsid w:val="00182F29"/>
    <w:rsid w:val="00185C30"/>
    <w:rsid w:val="001906A8"/>
    <w:rsid w:val="00194735"/>
    <w:rsid w:val="001A752F"/>
    <w:rsid w:val="001B06B5"/>
    <w:rsid w:val="001C0BF0"/>
    <w:rsid w:val="001F4FF5"/>
    <w:rsid w:val="002170E6"/>
    <w:rsid w:val="00233046"/>
    <w:rsid w:val="00256CFF"/>
    <w:rsid w:val="0027094E"/>
    <w:rsid w:val="002837B1"/>
    <w:rsid w:val="002B0971"/>
    <w:rsid w:val="002C143E"/>
    <w:rsid w:val="002C56E4"/>
    <w:rsid w:val="002E17F7"/>
    <w:rsid w:val="002F109A"/>
    <w:rsid w:val="00317C7A"/>
    <w:rsid w:val="00341B15"/>
    <w:rsid w:val="003539A0"/>
    <w:rsid w:val="003551BF"/>
    <w:rsid w:val="00362E30"/>
    <w:rsid w:val="0038371A"/>
    <w:rsid w:val="003B0C23"/>
    <w:rsid w:val="003C2453"/>
    <w:rsid w:val="003F6896"/>
    <w:rsid w:val="003F7F83"/>
    <w:rsid w:val="00413269"/>
    <w:rsid w:val="0044484C"/>
    <w:rsid w:val="00447054"/>
    <w:rsid w:val="00460C9F"/>
    <w:rsid w:val="00471083"/>
    <w:rsid w:val="004746EC"/>
    <w:rsid w:val="004954B7"/>
    <w:rsid w:val="004A4E3C"/>
    <w:rsid w:val="004C6B91"/>
    <w:rsid w:val="004D1624"/>
    <w:rsid w:val="004E1FD3"/>
    <w:rsid w:val="004E4631"/>
    <w:rsid w:val="0051765D"/>
    <w:rsid w:val="005320A0"/>
    <w:rsid w:val="005663DD"/>
    <w:rsid w:val="00590E9C"/>
    <w:rsid w:val="00595752"/>
    <w:rsid w:val="00596858"/>
    <w:rsid w:val="005D0D01"/>
    <w:rsid w:val="005F11CB"/>
    <w:rsid w:val="005F682E"/>
    <w:rsid w:val="006033BE"/>
    <w:rsid w:val="00612CB2"/>
    <w:rsid w:val="00635912"/>
    <w:rsid w:val="006B311B"/>
    <w:rsid w:val="006B7D92"/>
    <w:rsid w:val="006C71C3"/>
    <w:rsid w:val="006F1DA0"/>
    <w:rsid w:val="00704F74"/>
    <w:rsid w:val="00716688"/>
    <w:rsid w:val="007214D8"/>
    <w:rsid w:val="00741B76"/>
    <w:rsid w:val="007470B4"/>
    <w:rsid w:val="007508A9"/>
    <w:rsid w:val="00762473"/>
    <w:rsid w:val="00772E0D"/>
    <w:rsid w:val="00774276"/>
    <w:rsid w:val="007925BA"/>
    <w:rsid w:val="007A3584"/>
    <w:rsid w:val="007C7CF7"/>
    <w:rsid w:val="007E47F3"/>
    <w:rsid w:val="007E7283"/>
    <w:rsid w:val="007F4E17"/>
    <w:rsid w:val="00807AAF"/>
    <w:rsid w:val="008152CD"/>
    <w:rsid w:val="008160DB"/>
    <w:rsid w:val="008309CB"/>
    <w:rsid w:val="0084184B"/>
    <w:rsid w:val="008647FC"/>
    <w:rsid w:val="00877B13"/>
    <w:rsid w:val="00880B35"/>
    <w:rsid w:val="008816D3"/>
    <w:rsid w:val="00883A0C"/>
    <w:rsid w:val="008D5FE3"/>
    <w:rsid w:val="008E3539"/>
    <w:rsid w:val="008E562E"/>
    <w:rsid w:val="008F3C01"/>
    <w:rsid w:val="00927BDE"/>
    <w:rsid w:val="00931A62"/>
    <w:rsid w:val="00935C0C"/>
    <w:rsid w:val="009410E5"/>
    <w:rsid w:val="00970D36"/>
    <w:rsid w:val="009712D0"/>
    <w:rsid w:val="0097492A"/>
    <w:rsid w:val="00985935"/>
    <w:rsid w:val="0099234D"/>
    <w:rsid w:val="00995069"/>
    <w:rsid w:val="009C1F78"/>
    <w:rsid w:val="009C74D2"/>
    <w:rsid w:val="009D2372"/>
    <w:rsid w:val="009D7FE5"/>
    <w:rsid w:val="009F78F7"/>
    <w:rsid w:val="00A129AE"/>
    <w:rsid w:val="00A43B50"/>
    <w:rsid w:val="00A536AD"/>
    <w:rsid w:val="00A604CD"/>
    <w:rsid w:val="00A85F15"/>
    <w:rsid w:val="00A9067E"/>
    <w:rsid w:val="00AA5DD8"/>
    <w:rsid w:val="00AC1326"/>
    <w:rsid w:val="00AE16E2"/>
    <w:rsid w:val="00AF5B69"/>
    <w:rsid w:val="00B014EC"/>
    <w:rsid w:val="00B217EA"/>
    <w:rsid w:val="00B3380B"/>
    <w:rsid w:val="00B359F0"/>
    <w:rsid w:val="00B407BC"/>
    <w:rsid w:val="00B55BCA"/>
    <w:rsid w:val="00B74064"/>
    <w:rsid w:val="00BA47D7"/>
    <w:rsid w:val="00BB512C"/>
    <w:rsid w:val="00BB5BB3"/>
    <w:rsid w:val="00BB77FD"/>
    <w:rsid w:val="00BE41C5"/>
    <w:rsid w:val="00C00407"/>
    <w:rsid w:val="00C11CAD"/>
    <w:rsid w:val="00C3027F"/>
    <w:rsid w:val="00C5086A"/>
    <w:rsid w:val="00C50F65"/>
    <w:rsid w:val="00C74DBE"/>
    <w:rsid w:val="00C95602"/>
    <w:rsid w:val="00CD55CC"/>
    <w:rsid w:val="00CF025F"/>
    <w:rsid w:val="00CF143C"/>
    <w:rsid w:val="00CF631C"/>
    <w:rsid w:val="00D0597B"/>
    <w:rsid w:val="00D142E9"/>
    <w:rsid w:val="00D21CFF"/>
    <w:rsid w:val="00D30098"/>
    <w:rsid w:val="00D52735"/>
    <w:rsid w:val="00D539F6"/>
    <w:rsid w:val="00D7791A"/>
    <w:rsid w:val="00D92FC9"/>
    <w:rsid w:val="00DA39EC"/>
    <w:rsid w:val="00DA56EB"/>
    <w:rsid w:val="00DB08DF"/>
    <w:rsid w:val="00DC1C80"/>
    <w:rsid w:val="00DD4E23"/>
    <w:rsid w:val="00E06175"/>
    <w:rsid w:val="00E07347"/>
    <w:rsid w:val="00E07DF7"/>
    <w:rsid w:val="00E26AC6"/>
    <w:rsid w:val="00E4188C"/>
    <w:rsid w:val="00E534F1"/>
    <w:rsid w:val="00E536C8"/>
    <w:rsid w:val="00E72534"/>
    <w:rsid w:val="00E7394F"/>
    <w:rsid w:val="00EB26C1"/>
    <w:rsid w:val="00EB32B4"/>
    <w:rsid w:val="00EB470B"/>
    <w:rsid w:val="00ED5996"/>
    <w:rsid w:val="00EF043D"/>
    <w:rsid w:val="00F01813"/>
    <w:rsid w:val="00F07FBE"/>
    <w:rsid w:val="00F10B5A"/>
    <w:rsid w:val="00F47A20"/>
    <w:rsid w:val="00F67EB2"/>
    <w:rsid w:val="00F82978"/>
    <w:rsid w:val="00F86497"/>
    <w:rsid w:val="00F9627D"/>
    <w:rsid w:val="00FA6114"/>
    <w:rsid w:val="00FB0F7D"/>
    <w:rsid w:val="00FC0545"/>
    <w:rsid w:val="00FD5737"/>
    <w:rsid w:val="00FE3F79"/>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963DE"/>
  <w15:chartTrackingRefBased/>
  <w15:docId w15:val="{D671C1BF-6E45-4435-B4ED-98CE34586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0971"/>
    <w:pPr>
      <w:spacing w:line="256" w:lineRule="auto"/>
    </w:pPr>
  </w:style>
  <w:style w:type="paragraph" w:styleId="Heading1">
    <w:name w:val="heading 1"/>
    <w:basedOn w:val="Normal"/>
    <w:next w:val="Normal"/>
    <w:link w:val="Heading1Char"/>
    <w:uiPriority w:val="9"/>
    <w:qFormat/>
    <w:rsid w:val="002B09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097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B09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97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B097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B0971"/>
    <w:pPr>
      <w:ind w:left="720"/>
      <w:contextualSpacing/>
    </w:pPr>
  </w:style>
  <w:style w:type="character" w:customStyle="1" w:styleId="Heading3Char">
    <w:name w:val="Heading 3 Char"/>
    <w:basedOn w:val="DefaultParagraphFont"/>
    <w:link w:val="Heading3"/>
    <w:uiPriority w:val="9"/>
    <w:rsid w:val="002B097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459B1"/>
    <w:rPr>
      <w:color w:val="0000FF"/>
      <w:u w:val="single"/>
    </w:rPr>
  </w:style>
  <w:style w:type="paragraph" w:styleId="TOCHeading">
    <w:name w:val="TOC Heading"/>
    <w:basedOn w:val="Heading1"/>
    <w:next w:val="Normal"/>
    <w:uiPriority w:val="39"/>
    <w:unhideWhenUsed/>
    <w:qFormat/>
    <w:rsid w:val="00D21CFF"/>
    <w:pPr>
      <w:spacing w:line="259" w:lineRule="auto"/>
      <w:outlineLvl w:val="9"/>
    </w:pPr>
    <w:rPr>
      <w:lang w:val="en-US"/>
    </w:rPr>
  </w:style>
  <w:style w:type="paragraph" w:styleId="TOC1">
    <w:name w:val="toc 1"/>
    <w:basedOn w:val="Normal"/>
    <w:next w:val="Normal"/>
    <w:autoRedefine/>
    <w:uiPriority w:val="39"/>
    <w:unhideWhenUsed/>
    <w:rsid w:val="00D21CFF"/>
    <w:pPr>
      <w:spacing w:after="100"/>
    </w:pPr>
  </w:style>
  <w:style w:type="paragraph" w:styleId="TOC2">
    <w:name w:val="toc 2"/>
    <w:basedOn w:val="Normal"/>
    <w:next w:val="Normal"/>
    <w:autoRedefine/>
    <w:uiPriority w:val="39"/>
    <w:unhideWhenUsed/>
    <w:rsid w:val="00D21CFF"/>
    <w:pPr>
      <w:spacing w:after="100"/>
      <w:ind w:left="220"/>
    </w:pPr>
  </w:style>
  <w:style w:type="paragraph" w:styleId="TOC3">
    <w:name w:val="toc 3"/>
    <w:basedOn w:val="Normal"/>
    <w:next w:val="Normal"/>
    <w:autoRedefine/>
    <w:uiPriority w:val="39"/>
    <w:unhideWhenUsed/>
    <w:rsid w:val="00D21CFF"/>
    <w:pPr>
      <w:spacing w:after="100"/>
      <w:ind w:left="440"/>
    </w:pPr>
  </w:style>
  <w:style w:type="paragraph" w:styleId="BalloonText">
    <w:name w:val="Balloon Text"/>
    <w:basedOn w:val="Normal"/>
    <w:link w:val="BalloonTextChar"/>
    <w:uiPriority w:val="99"/>
    <w:semiHidden/>
    <w:unhideWhenUsed/>
    <w:rsid w:val="00927B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7BDE"/>
    <w:rPr>
      <w:rFonts w:ascii="Segoe UI" w:hAnsi="Segoe UI" w:cs="Segoe UI"/>
      <w:sz w:val="18"/>
      <w:szCs w:val="18"/>
    </w:rPr>
  </w:style>
  <w:style w:type="paragraph" w:styleId="Caption">
    <w:name w:val="caption"/>
    <w:basedOn w:val="Normal"/>
    <w:next w:val="Normal"/>
    <w:uiPriority w:val="35"/>
    <w:unhideWhenUsed/>
    <w:qFormat/>
    <w:rsid w:val="008160D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30644-8353-4639-BD62-A7876026C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12</Pages>
  <Words>3313</Words>
  <Characters>18887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Miller (1706535)</dc:creator>
  <cp:lastModifiedBy>Emily Miller (1706535)</cp:lastModifiedBy>
  <cp:revision>9</cp:revision>
  <dcterms:created xsi:type="dcterms:W3CDTF">2020-04-07T11:52:00Z</dcterms:created>
  <dcterms:modified xsi:type="dcterms:W3CDTF">2020-05-20T10:32:00Z</dcterms:modified>
</cp:coreProperties>
</file>