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FCB" w14:textId="1527EC33" w:rsidR="00B4127B" w:rsidRDefault="0038713F" w:rsidP="00061AA5">
      <w:pPr>
        <w:pStyle w:val="NormalWeb"/>
        <w:spacing w:line="360" w:lineRule="auto"/>
        <w:rPr>
          <w:rFonts w:ascii="Arial" w:hAnsi="Arial" w:cs="Arial"/>
        </w:rPr>
      </w:pPr>
      <w:bookmarkStart w:id="0" w:name="_Hlk202793908"/>
      <w:r w:rsidRPr="00B4127B">
        <w:rPr>
          <w:rFonts w:ascii="Arial" w:hAnsi="Arial" w:cs="Arial"/>
        </w:rPr>
        <w:t xml:space="preserve">Good Afternoon. My name is Chelsey Imms and this afternoon I will be presenting to you my personal refection on my scrapbook and critically evaluate how it links to sustainability in the early years. My scrapbook was based on our </w:t>
      </w:r>
      <w:r w:rsidR="00CC32E4">
        <w:rPr>
          <w:rFonts w:ascii="Arial" w:hAnsi="Arial" w:cs="Arial"/>
        </w:rPr>
        <w:t xml:space="preserve">garden at our </w:t>
      </w:r>
      <w:r w:rsidRPr="00B4127B">
        <w:rPr>
          <w:rFonts w:ascii="Arial" w:hAnsi="Arial" w:cs="Arial"/>
        </w:rPr>
        <w:t xml:space="preserve">family farm which has been in our family for over 100 years. The farm holds a really special place in my heart as it’s where I spent most of my childhood and with my great-grandmother who sadly isn’t here with us anymore. Our farm is based in </w:t>
      </w:r>
      <w:proofErr w:type="spellStart"/>
      <w:r w:rsidRPr="00B4127B">
        <w:rPr>
          <w:rFonts w:ascii="Arial" w:hAnsi="Arial" w:cs="Arial"/>
        </w:rPr>
        <w:t>Gilwern</w:t>
      </w:r>
      <w:proofErr w:type="spellEnd"/>
      <w:r w:rsidRPr="00B4127B">
        <w:rPr>
          <w:rFonts w:ascii="Arial" w:hAnsi="Arial" w:cs="Arial"/>
        </w:rPr>
        <w:t>, Monmouthshire, and holds almost 100 acres of land. We are very lucky to have a very large garden, where we are able to grow our own fruit and vegetables; as a family we feel very passionate about growing our own fruits and vegetables and putting “farm to fork”. As a child, I learnt very early on how growing your own fruit and vegetables is important for sustainable living because it reduces the need for packaging and transportation, lowers your carbon footprint, and helps you eat fresh, healthy food. It also saves money and promotes self-reliance.</w:t>
      </w:r>
      <w:r w:rsidR="00B4127B" w:rsidRPr="00B4127B">
        <w:rPr>
          <w:rFonts w:ascii="Arial" w:hAnsi="Arial" w:cs="Arial"/>
        </w:rPr>
        <w:t xml:space="preserve"> Taking on the John Muir award and creating a scrapbook made me fall in love with our garden all over again and allowed me to appreciate it as an adult as </w:t>
      </w:r>
      <w:r w:rsidR="00B4127B">
        <w:rPr>
          <w:rFonts w:ascii="Arial" w:hAnsi="Arial" w:cs="Arial"/>
        </w:rPr>
        <w:t xml:space="preserve">much as </w:t>
      </w:r>
      <w:r w:rsidR="00B4127B" w:rsidRPr="00B4127B">
        <w:rPr>
          <w:rFonts w:ascii="Arial" w:hAnsi="Arial" w:cs="Arial"/>
        </w:rPr>
        <w:t xml:space="preserve">it did when I was a child. This experience deepened my connection to the garden because it made me slow down and really notice the details I might have overlooked before </w:t>
      </w:r>
      <w:r w:rsidR="00B4127B">
        <w:rPr>
          <w:rFonts w:ascii="Arial" w:hAnsi="Arial" w:cs="Arial"/>
        </w:rPr>
        <w:t>such as</w:t>
      </w:r>
      <w:r w:rsidR="00B4127B" w:rsidRPr="00B4127B">
        <w:rPr>
          <w:rFonts w:ascii="Arial" w:hAnsi="Arial" w:cs="Arial"/>
        </w:rPr>
        <w:t xml:space="preserve"> the different insects visiting the plants, the changing seasons, and the ways the garden supports local wildlife. It also reminded me how important it is to care for this space, not just as a source of food, but as a vibrant ecosystem that contributes to sustainability.</w:t>
      </w:r>
    </w:p>
    <w:p w14:paraId="66795E1F" w14:textId="77777777" w:rsidR="00FC500E" w:rsidRPr="00FC500E" w:rsidRDefault="00FC500E" w:rsidP="00061AA5">
      <w:pPr>
        <w:pStyle w:val="NormalWeb"/>
        <w:spacing w:line="360" w:lineRule="auto"/>
        <w:rPr>
          <w:rFonts w:ascii="Arial" w:hAnsi="Arial" w:cs="Arial"/>
        </w:rPr>
      </w:pPr>
      <w:r w:rsidRPr="00FC500E">
        <w:rPr>
          <w:rFonts w:ascii="Arial" w:hAnsi="Arial" w:cs="Arial"/>
        </w:rPr>
        <w:t xml:space="preserve">One memory that stands out to me is helping my great-grandmother pick raspberries from the garden each summer. I remember how carefully she showed me which berries were ripe and how important it was not to damage the plants so they could keep producing. That simple experience taught me patience, respect for nature, and the value of food grown with care. It also made me realise how much effort goes into growing fruit and vegetables </w:t>
      </w:r>
      <w:r w:rsidR="00423499">
        <w:rPr>
          <w:rFonts w:ascii="Arial" w:hAnsi="Arial" w:cs="Arial"/>
        </w:rPr>
        <w:t xml:space="preserve">- </w:t>
      </w:r>
      <w:r w:rsidRPr="00FC500E">
        <w:rPr>
          <w:rFonts w:ascii="Arial" w:hAnsi="Arial" w:cs="Arial"/>
        </w:rPr>
        <w:t>something you don’t always see when food comes from a supermarket. These early lessons truly shaped how I think about sustainability and where our food comes from.</w:t>
      </w:r>
      <w:r>
        <w:rPr>
          <w:rFonts w:ascii="Arial" w:hAnsi="Arial" w:cs="Arial"/>
        </w:rPr>
        <w:t xml:space="preserve"> It also helps me to realise how lucky I was as a child to have experienced this and how it can promote curiosity for young children.</w:t>
      </w:r>
    </w:p>
    <w:p w14:paraId="591CC35F" w14:textId="77777777" w:rsidR="00B4127B" w:rsidRPr="00FC500E" w:rsidRDefault="00B4127B" w:rsidP="00061AA5">
      <w:pPr>
        <w:pStyle w:val="NormalWeb"/>
        <w:spacing w:line="360" w:lineRule="auto"/>
        <w:rPr>
          <w:rFonts w:ascii="Arial" w:hAnsi="Arial" w:cs="Arial"/>
        </w:rPr>
      </w:pPr>
      <w:r w:rsidRPr="00FC500E">
        <w:rPr>
          <w:rFonts w:ascii="Arial" w:hAnsi="Arial" w:cs="Arial"/>
        </w:rPr>
        <w:lastRenderedPageBreak/>
        <w:t xml:space="preserve">The John Muir Award helped me see the garden as a living classroom, a place where children can learn about the environment hands-on, </w:t>
      </w:r>
      <w:r w:rsidR="00FC500E" w:rsidRPr="00FC500E">
        <w:rPr>
          <w:rFonts w:ascii="Arial" w:hAnsi="Arial" w:cs="Arial"/>
        </w:rPr>
        <w:t xml:space="preserve">just like I did as a child, as also </w:t>
      </w:r>
      <w:r w:rsidRPr="00FC500E">
        <w:rPr>
          <w:rFonts w:ascii="Arial" w:hAnsi="Arial" w:cs="Arial"/>
        </w:rPr>
        <w:t>develop a sense of responsibility, and feel inspired to protect the natural world. It reinforced my belief that fostering these connections early in life is essential for building a more sustainable future.</w:t>
      </w:r>
    </w:p>
    <w:p w14:paraId="3F7FF3DF" w14:textId="003030FD" w:rsidR="00B4127B" w:rsidRPr="00B4127B" w:rsidRDefault="00B4127B" w:rsidP="00061AA5">
      <w:pPr>
        <w:pStyle w:val="NormalWeb"/>
        <w:spacing w:line="360" w:lineRule="auto"/>
        <w:rPr>
          <w:rFonts w:ascii="Arial" w:hAnsi="Arial" w:cs="Arial"/>
        </w:rPr>
      </w:pPr>
      <w:r w:rsidRPr="00B4127B">
        <w:rPr>
          <w:rFonts w:ascii="Arial" w:hAnsi="Arial" w:cs="Arial"/>
        </w:rPr>
        <w:t>As an adult revisiting the garden, I feel a deeper appreciation for the knowledge and skills involved in sustainable farming</w:t>
      </w:r>
      <w:r w:rsidR="00D37F20">
        <w:rPr>
          <w:rFonts w:ascii="Arial" w:hAnsi="Arial" w:cs="Arial"/>
        </w:rPr>
        <w:t xml:space="preserve"> - </w:t>
      </w:r>
      <w:r w:rsidRPr="00B4127B">
        <w:rPr>
          <w:rFonts w:ascii="Arial" w:hAnsi="Arial" w:cs="Arial"/>
        </w:rPr>
        <w:t>the patience required to nurture plants, the seasonal cycles, and the delicate balance of nature that supports growth. I also appreciate how the garden represents more than just food; it’s a place of history, family stories, and traditions passed down through generations.</w:t>
      </w:r>
    </w:p>
    <w:p w14:paraId="2ABB7C1E" w14:textId="77777777" w:rsidR="00B4127B" w:rsidRPr="00B4127B" w:rsidRDefault="00B4127B" w:rsidP="00061AA5">
      <w:pPr>
        <w:pStyle w:val="NormalWeb"/>
        <w:spacing w:line="360" w:lineRule="auto"/>
        <w:rPr>
          <w:rFonts w:ascii="Arial" w:hAnsi="Arial" w:cs="Arial"/>
        </w:rPr>
      </w:pPr>
      <w:r w:rsidRPr="00B4127B">
        <w:rPr>
          <w:rFonts w:ascii="Arial" w:hAnsi="Arial" w:cs="Arial"/>
        </w:rPr>
        <w:t>There’s so much more I could learn about the garden now, such as the biodiversity it supports, the soil health, and the ways we can improve sustainability practices to protect the environment for future generations. Exploring these topics makes me think about how children can connect with nature not just through play, but by understanding the impact of their actions and the importance of caring for the earth.</w:t>
      </w:r>
    </w:p>
    <w:p w14:paraId="75955706" w14:textId="77777777" w:rsidR="00B4127B" w:rsidRDefault="00B4127B" w:rsidP="00061AA5">
      <w:pPr>
        <w:pStyle w:val="NormalWeb"/>
        <w:spacing w:line="360" w:lineRule="auto"/>
        <w:rPr>
          <w:rFonts w:ascii="Arial" w:hAnsi="Arial" w:cs="Arial"/>
        </w:rPr>
      </w:pPr>
      <w:r w:rsidRPr="00B4127B">
        <w:rPr>
          <w:rFonts w:ascii="Arial" w:hAnsi="Arial" w:cs="Arial"/>
        </w:rPr>
        <w:t>The garden reminds me of my childhood by bringing back memories of discovery, wonder, and the joy of being outdoors. It inspires me to encourage children to build their own connections with nature, to nurture their curiosity, and to develop a sense of responsibility for the world around them. By fostering these values early on, we can help raise a generation that is more aware, compassionate, and proactive about sustainability.</w:t>
      </w:r>
    </w:p>
    <w:p w14:paraId="1107EA44" w14:textId="7A978B35" w:rsidR="00B95BEF" w:rsidRDefault="00B95BEF" w:rsidP="00061AA5">
      <w:pPr>
        <w:pStyle w:val="NormalWeb"/>
        <w:spacing w:line="360" w:lineRule="auto"/>
        <w:rPr>
          <w:rFonts w:ascii="Arial" w:hAnsi="Arial" w:cs="Arial"/>
        </w:rPr>
      </w:pPr>
      <w:r w:rsidRPr="00B95BEF">
        <w:rPr>
          <w:rFonts w:ascii="Arial" w:hAnsi="Arial" w:cs="Arial"/>
        </w:rPr>
        <w:t xml:space="preserve">Looking back now, I realise that my connection to the garden has not only shaped how I understand sustainability but also how I see myself as a future early </w:t>
      </w:r>
      <w:proofErr w:type="gramStart"/>
      <w:r w:rsidRPr="00B95BEF">
        <w:rPr>
          <w:rFonts w:ascii="Arial" w:hAnsi="Arial" w:cs="Arial"/>
        </w:rPr>
        <w:t>years</w:t>
      </w:r>
      <w:proofErr w:type="gramEnd"/>
      <w:r w:rsidRPr="00B95BEF">
        <w:rPr>
          <w:rFonts w:ascii="Arial" w:hAnsi="Arial" w:cs="Arial"/>
        </w:rPr>
        <w:t xml:space="preserve"> practitioner. It has made me reflect more deeply on my role</w:t>
      </w:r>
      <w:r>
        <w:rPr>
          <w:rFonts w:ascii="Arial" w:hAnsi="Arial" w:cs="Arial"/>
        </w:rPr>
        <w:t xml:space="preserve"> - </w:t>
      </w:r>
      <w:r w:rsidRPr="00B95BEF">
        <w:rPr>
          <w:rFonts w:ascii="Arial" w:hAnsi="Arial" w:cs="Arial"/>
        </w:rPr>
        <w:t xml:space="preserve">not just as someone who supports children's learning, but as someone who can advocate for a more sustainable way of living. I’ve come to understand that fostering environmental awareness in children isn't just about creating moments of joy or wonder in nature, but also about helping them build habits, values, and attitudes that last. I want to be the kind of practitioner who gives children the space to explore, ask questions, and feel empowered to make small changes, whether that’s through composting, growing herbs in a windowsill pot, or simply learning how their actions affect the world around </w:t>
      </w:r>
      <w:r w:rsidRPr="00B95BEF">
        <w:rPr>
          <w:rFonts w:ascii="Arial" w:hAnsi="Arial" w:cs="Arial"/>
        </w:rPr>
        <w:lastRenderedPageBreak/>
        <w:t>them. My scrapbook reminded me that meaningful learning often starts from a personal place</w:t>
      </w:r>
      <w:r>
        <w:rPr>
          <w:rFonts w:ascii="Arial" w:hAnsi="Arial" w:cs="Arial"/>
        </w:rPr>
        <w:t xml:space="preserve"> - </w:t>
      </w:r>
      <w:r w:rsidRPr="00B95BEF">
        <w:rPr>
          <w:rFonts w:ascii="Arial" w:hAnsi="Arial" w:cs="Arial"/>
        </w:rPr>
        <w:t>and it’s in those personal, hands-on experiences that we can begin to inspire broader change. That realisation has stayed with me and will continue to guide how I approach sustainability in practice.</w:t>
      </w:r>
    </w:p>
    <w:p w14:paraId="7AFF82AB" w14:textId="7777777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The goal of sustainability is to responsibly handle the environment, people, and resources so that we can live comfortably now without endangering the ability of future generations to do the same. It includes preserving the environment, making equitable use of resources, and considering long-term effects on local and global communities (Brundtland Report, 1987). "Meeting the needs of the present without compromising the ability of future generations to meet their own needs" is how the Brundtland Report defines sustainable development. The United Nations Sustainable Development Goals (SDGs) and the 1992 Earth Summit are two significant global agreements and policies that have been influenced by this concept. One of the objectives, SDG 4.7, emphasises how education may assist students in acquiring the values, attitudes, knowledge, and skills necessary to uphold human rights, advance gender equality, live sustainably, and be engaged global citizens (UNESCO, 2017; Davis, 2015).</w:t>
      </w:r>
    </w:p>
    <w:p w14:paraId="690DC196" w14:textId="143D99F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In early childhood education, ambitious goals like teaching children about sustainability must be suitable for their ages. This means utilising teaching methods that align with the ways in which young children learn</w:t>
      </w:r>
      <w:r w:rsidR="00061AA5">
        <w:rPr>
          <w:rFonts w:ascii="Arial" w:eastAsia="Times New Roman" w:hAnsi="Arial" w:cs="Arial"/>
          <w:sz w:val="24"/>
          <w:szCs w:val="24"/>
          <w:lang w:eastAsia="en-GB"/>
        </w:rPr>
        <w:t xml:space="preserve"> - </w:t>
      </w:r>
      <w:r w:rsidRPr="006D5360">
        <w:rPr>
          <w:rFonts w:ascii="Arial" w:eastAsia="Times New Roman" w:hAnsi="Arial" w:cs="Arial"/>
          <w:sz w:val="24"/>
          <w:szCs w:val="24"/>
          <w:lang w:eastAsia="en-GB"/>
        </w:rPr>
        <w:t>through play, practical experiences, and exploration of their surroundings (Cutter-Mackenzie et al., 2014). ESDGC, or education for sustainable development and global citizenship (</w:t>
      </w:r>
      <w:proofErr w:type="spellStart"/>
      <w:proofErr w:type="gramStart"/>
      <w:r w:rsidRPr="006D5360">
        <w:rPr>
          <w:rFonts w:ascii="Arial" w:eastAsia="Times New Roman" w:hAnsi="Arial" w:cs="Arial"/>
          <w:sz w:val="24"/>
          <w:szCs w:val="24"/>
          <w:lang w:eastAsia="en-GB"/>
        </w:rPr>
        <w:t>gov.wales</w:t>
      </w:r>
      <w:proofErr w:type="spellEnd"/>
      <w:proofErr w:type="gramEnd"/>
      <w:r w:rsidRPr="006D5360">
        <w:rPr>
          <w:rFonts w:ascii="Arial" w:eastAsia="Times New Roman" w:hAnsi="Arial" w:cs="Arial"/>
          <w:sz w:val="24"/>
          <w:szCs w:val="24"/>
          <w:lang w:eastAsia="en-GB"/>
        </w:rPr>
        <w:t>, 2012), is embedded within the curriculum in Wales (2022). The Curriculum for Non-Maintained Settings and the Curriculum for Wales both support children's development into responsible adults, a sense of belonging (</w:t>
      </w:r>
      <w:proofErr w:type="spellStart"/>
      <w:r w:rsidRPr="006D5360">
        <w:rPr>
          <w:rFonts w:ascii="Arial" w:eastAsia="Times New Roman" w:hAnsi="Arial" w:cs="Arial"/>
          <w:sz w:val="24"/>
          <w:szCs w:val="24"/>
          <w:lang w:eastAsia="en-GB"/>
        </w:rPr>
        <w:t>Cynefin</w:t>
      </w:r>
      <w:proofErr w:type="spellEnd"/>
      <w:r w:rsidRPr="006D5360">
        <w:rPr>
          <w:rFonts w:ascii="Arial" w:eastAsia="Times New Roman" w:hAnsi="Arial" w:cs="Arial"/>
          <w:sz w:val="24"/>
          <w:szCs w:val="24"/>
          <w:lang w:eastAsia="en-GB"/>
        </w:rPr>
        <w:t>), and an awareness of the global connections between people and places (Siraj-Blatchford et al., 2018). Policies such as the Well-being of Future Generations (Wales) Act (2015), which requires public organisations to consider the long-term future and the welfare of both present and future generations, also supports those goals. Additionally, according to Articles 12, 13, and 29 of the United Nations Convention on the Rights of the Child (UNCRC, 1989), children have the right to be heard, to learn about the environment, and to grow up in a safe and healthy world (Davies et al., 2009).</w:t>
      </w:r>
    </w:p>
    <w:p w14:paraId="5C8783CF" w14:textId="35007716"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lastRenderedPageBreak/>
        <w:t>Taking part in the John Muir Award and spending time in the farm garden gave me a meaningful chance to think about how Education for Sustainable Development and Global Citizenship (ESDGC) can be embedded in early years education. Being actively involved in observing the growth of rhubarb, blackcurrants, raspberries, lettuce, onions, peas, beans, and various flowers helped me develop a much deeper, personal connection with nature. These kinds of hands-on experiences capture some of the core principles of ESDGC</w:t>
      </w:r>
      <w:r w:rsidR="00CC32E4">
        <w:rPr>
          <w:rFonts w:ascii="Arial" w:eastAsia="Times New Roman" w:hAnsi="Arial" w:cs="Arial"/>
          <w:sz w:val="24"/>
          <w:szCs w:val="24"/>
          <w:lang w:eastAsia="en-GB"/>
        </w:rPr>
        <w:t xml:space="preserve"> - </w:t>
      </w:r>
      <w:r w:rsidRPr="006D5360">
        <w:rPr>
          <w:rFonts w:ascii="Arial" w:eastAsia="Times New Roman" w:hAnsi="Arial" w:cs="Arial"/>
          <w:sz w:val="24"/>
          <w:szCs w:val="24"/>
          <w:lang w:eastAsia="en-GB"/>
        </w:rPr>
        <w:t>learning that is practical, led by the interests of the child, rooted in the local environment, and designed to encourage a sense of care and responsibility for the world around us (UNESCO, 2017; MacQuarrie et al., 2015).</w:t>
      </w:r>
    </w:p>
    <w:p w14:paraId="702BE1A6" w14:textId="77777777" w:rsid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Early childhood education for sustainability should involve more than just allowing children to spend time outdoors. They should be able to think critically about nature, take action to protect it, and comprehend how it relates to broader global and societal issues. Activities like discovering, exploring, conserving nature, and sharing what has been discovered are all part of the John Muir Award. This promotes children's involvement and voice, which are the core values of contemporary educational theory as well as the United Nations Convention on the Rights of the Child (UNCRC, 1989) (Samuelsson and Park, 2017). However, there is a chance that early nature-based learning could become overly portrayed or simplified, as </w:t>
      </w:r>
      <w:proofErr w:type="spellStart"/>
      <w:r w:rsidRPr="006D5360">
        <w:rPr>
          <w:rFonts w:ascii="Arial" w:eastAsia="Times New Roman" w:hAnsi="Arial" w:cs="Arial"/>
          <w:sz w:val="24"/>
          <w:szCs w:val="24"/>
          <w:lang w:eastAsia="en-GB"/>
        </w:rPr>
        <w:t>Hedefalk</w:t>
      </w:r>
      <w:proofErr w:type="spellEnd"/>
      <w:r w:rsidRPr="006D5360">
        <w:rPr>
          <w:rFonts w:ascii="Arial" w:eastAsia="Times New Roman" w:hAnsi="Arial" w:cs="Arial"/>
          <w:sz w:val="24"/>
          <w:szCs w:val="24"/>
          <w:lang w:eastAsia="en-GB"/>
        </w:rPr>
        <w:t>, Almqvist, and Östman (2015) caution. The opportunity to teach children how environmental issues are linked to social issues, the economy, and justice may be lost if the focus is solely on encouraging them to "care for nature" without further consideration. This echoes the warnings by Prince (2010) who critiques "light green" sustainability practices that neglect systemic understanding.</w:t>
      </w:r>
    </w:p>
    <w:p w14:paraId="3403C101" w14:textId="77777777" w:rsidR="00B95BEF" w:rsidRPr="00B95BEF" w:rsidRDefault="00B95BEF" w:rsidP="00061AA5">
      <w:pPr>
        <w:spacing w:line="360" w:lineRule="auto"/>
        <w:rPr>
          <w:rFonts w:ascii="Arial" w:eastAsia="Times New Roman" w:hAnsi="Arial" w:cs="Arial"/>
          <w:sz w:val="24"/>
          <w:szCs w:val="24"/>
          <w:lang w:eastAsia="en-GB"/>
        </w:rPr>
      </w:pPr>
      <w:r w:rsidRPr="00B95BEF">
        <w:rPr>
          <w:rFonts w:ascii="Arial" w:eastAsia="Times New Roman" w:hAnsi="Arial" w:cs="Arial"/>
          <w:sz w:val="24"/>
          <w:szCs w:val="24"/>
          <w:lang w:eastAsia="en-GB"/>
        </w:rPr>
        <w:t xml:space="preserve">Although it is generally acknowledged that teaching children about sustainability is important, there is sometimes a significant gap between the goals of policy and the reality of early childhood education. The misunderstanding of high-level curriculum frameworks, including the Well-being of Future Generations (Wales) Act (2015) and the Curriculum for Wales (2022), with the realities of early childhood settings is one ongoing issue. Although they support aspirational ideas of sustainable education, they usually ignore the practical limitations that practitioners have, such as a lack of staff, time, and resources. Activities like gardening or recycling could turn meaningless in the absence of sufficient resources, acting more as basic tasks than </w:t>
      </w:r>
      <w:r w:rsidRPr="00B95BEF">
        <w:rPr>
          <w:rFonts w:ascii="Arial" w:eastAsia="Times New Roman" w:hAnsi="Arial" w:cs="Arial"/>
          <w:sz w:val="24"/>
          <w:szCs w:val="24"/>
          <w:lang w:eastAsia="en-GB"/>
        </w:rPr>
        <w:lastRenderedPageBreak/>
        <w:t>as chances for in-depth learning, as Elliott and Young (2016) point out.</w:t>
      </w:r>
      <w:r>
        <w:rPr>
          <w:rFonts w:ascii="Arial" w:eastAsia="Times New Roman" w:hAnsi="Arial" w:cs="Arial"/>
          <w:sz w:val="24"/>
          <w:szCs w:val="24"/>
          <w:lang w:eastAsia="en-GB"/>
        </w:rPr>
        <w:t xml:space="preserve"> </w:t>
      </w:r>
      <w:r w:rsidRPr="00B95BEF">
        <w:rPr>
          <w:rFonts w:ascii="Arial" w:eastAsia="Times New Roman" w:hAnsi="Arial" w:cs="Arial"/>
          <w:sz w:val="24"/>
          <w:szCs w:val="24"/>
          <w:lang w:eastAsia="en-GB"/>
        </w:rPr>
        <w:t xml:space="preserve">Similar to this, </w:t>
      </w:r>
      <w:proofErr w:type="spellStart"/>
      <w:r w:rsidRPr="00B95BEF">
        <w:rPr>
          <w:rFonts w:ascii="Arial" w:eastAsia="Times New Roman" w:hAnsi="Arial" w:cs="Arial"/>
          <w:sz w:val="24"/>
          <w:szCs w:val="24"/>
          <w:lang w:eastAsia="en-GB"/>
        </w:rPr>
        <w:t>Hedefalk</w:t>
      </w:r>
      <w:proofErr w:type="spellEnd"/>
      <w:r w:rsidRPr="00B95BEF">
        <w:rPr>
          <w:rFonts w:ascii="Arial" w:eastAsia="Times New Roman" w:hAnsi="Arial" w:cs="Arial"/>
          <w:sz w:val="24"/>
          <w:szCs w:val="24"/>
          <w:lang w:eastAsia="en-GB"/>
        </w:rPr>
        <w:t>, Almqvist, and Östman (2015) warn that the inclusion of sustainability in curricula does not always translate into successful implementation, especially when practitioners are left to interpret ambitious goals without enough support or clear direction. On the other hand, Davis (2015) and Cutter-Mackenzie et al. (2014) take a more positive approach, arguing that regular activities and child-led experiences can help integrate sustainability into daily life. These viewpoints, however, can ignore the widespread problem of persistent underfunding in early childhood education. Many environments have little funding, which makes it difficult to implement rewarding sustainability projects that call for supplies, outside space, or staff. All of the best intentions are undermined by this lack of investment, which also reveals a gap between idealistic policy frameworks and the practical financial realities.</w:t>
      </w:r>
      <w:r>
        <w:rPr>
          <w:rFonts w:ascii="Arial" w:eastAsia="Times New Roman" w:hAnsi="Arial" w:cs="Arial"/>
          <w:sz w:val="24"/>
          <w:szCs w:val="24"/>
          <w:lang w:eastAsia="en-GB"/>
        </w:rPr>
        <w:t xml:space="preserve"> </w:t>
      </w:r>
      <w:r w:rsidRPr="00B95BEF">
        <w:rPr>
          <w:rFonts w:ascii="Arial" w:eastAsia="Times New Roman" w:hAnsi="Arial" w:cs="Arial"/>
          <w:sz w:val="24"/>
          <w:szCs w:val="24"/>
          <w:lang w:eastAsia="en-GB"/>
        </w:rPr>
        <w:t>Early childhood education initiatives run the risk of being superficial or inaccessible until funding levels align with the importance of sustainability education, especially in more deprived areas.</w:t>
      </w:r>
    </w:p>
    <w:p w14:paraId="2ED1B55D" w14:textId="0F10065A" w:rsidR="00B95BEF" w:rsidRPr="006D5360" w:rsidRDefault="00B95BEF" w:rsidP="00061AA5">
      <w:pPr>
        <w:spacing w:line="360" w:lineRule="auto"/>
        <w:rPr>
          <w:rFonts w:ascii="Arial" w:eastAsia="Times New Roman" w:hAnsi="Arial" w:cs="Arial"/>
          <w:sz w:val="24"/>
          <w:szCs w:val="24"/>
          <w:lang w:eastAsia="en-GB"/>
        </w:rPr>
      </w:pPr>
    </w:p>
    <w:p w14:paraId="6E17F185" w14:textId="7777777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For young children, nature and outdoor learning are essential, as demonstrated by numerous theorists. Froebel (1826), who created the concept of kindergarten, thought that children learn about themselves and the world by spending time in nature. His description of nature as the "living garment of God" (Froebel, 1826) highlights his strong belief in the importance of exploring the outdoors for children’s emotional and personal development. An important believer of learning through experience, particularly in natural settings, was Maria Montessori. When children are allowed to utilise all of their senses and explore and make their own discoveries, she claimed that they learn best (Montessori, 1966). Along with adults and other children, the environment is seen as the "third teacher" in Loris Malaguzzi's Reggio Emilia approach because it is claimed that a thoughtfully designed, engaging place can capture children's attention and foster their creativity (Malaguzzi, 1993; Edwards, Gandini &amp; Forman, 2011). All of these methods are based on the idea that children learn best when they are actively engaged with their environment, particularly in natural settings where they can see, feel, and investigate real objects (Barrable, 2019).</w:t>
      </w:r>
    </w:p>
    <w:p w14:paraId="43CBAA2B" w14:textId="7777777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lastRenderedPageBreak/>
        <w:t xml:space="preserve">There is strong evidence that children who regularly spend time in nature are more likely to grow up to be compassionate, empathetic, and environmentally conscious. According to studies by Davis (2015), Elliott and Davis (2020), and Sobel (2014), early exposures in natural environments support children's development of emotional bonds with their environment. It is believed that these healthy connections with nature provide the groundwork for future concerns about the environment (Davis, 2010; </w:t>
      </w:r>
      <w:proofErr w:type="spellStart"/>
      <w:r w:rsidRPr="006D5360">
        <w:rPr>
          <w:rFonts w:ascii="Arial" w:eastAsia="Times New Roman" w:hAnsi="Arial" w:cs="Arial"/>
          <w:sz w:val="24"/>
          <w:szCs w:val="24"/>
          <w:lang w:eastAsia="en-GB"/>
        </w:rPr>
        <w:t>Ärlemalm-Hagsér</w:t>
      </w:r>
      <w:proofErr w:type="spellEnd"/>
      <w:r w:rsidRPr="006D5360">
        <w:rPr>
          <w:rFonts w:ascii="Arial" w:eastAsia="Times New Roman" w:hAnsi="Arial" w:cs="Arial"/>
          <w:sz w:val="24"/>
          <w:szCs w:val="24"/>
          <w:lang w:eastAsia="en-GB"/>
        </w:rPr>
        <w:t>, 2013). This is demonstrated well in my scrapbook from the John Muir Award. It shows how taking notes on what I observed in the garden, including changes in the seasons, various plants and wildlife, and the growth of different fruits and vegetables, can contribute to a deeper awareness of the natural world. This type of education includes more than just facts; it also involves meaningfully observing, experiencing, and relating to nature (David, 2010).</w:t>
      </w:r>
    </w:p>
    <w:p w14:paraId="3A8AE69A" w14:textId="7777777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As an element of children's holistic development as well as understanding of their place in the world, sustainability should be emphasised in early childhood education, according to an increasing number of early childhood researchers and authors. According to Davis (2015), when explored through real-life experiences, young children can gain a better understanding of complicated concepts like fairness, caring for living things, and community responsibility. Growing fruits and vegetables is one activity that teaches children about the origins of food, the functioning of natural systems, and the need of preserving lives. According to Edwards and Cutter-Mackenzie (2013), sustainability is not just a subject that should be taught; rather, it is a way of thinking and doing that can be applied to daily activities like planting, harvesting, and composting, which helps children better understand more abstract concepts (Davis et al., 2014; Miller, 2012).</w:t>
      </w:r>
    </w:p>
    <w:p w14:paraId="6856EA4B" w14:textId="77777777"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Some authors, however, disagree with the way sustainability is frequently handled in early childhood settings. Although sustainability is becoming more and more emphasised in curriculum and policy documents, </w:t>
      </w:r>
      <w:proofErr w:type="spellStart"/>
      <w:r w:rsidRPr="006D5360">
        <w:rPr>
          <w:rFonts w:ascii="Arial" w:eastAsia="Times New Roman" w:hAnsi="Arial" w:cs="Arial"/>
          <w:sz w:val="24"/>
          <w:szCs w:val="24"/>
          <w:lang w:eastAsia="en-GB"/>
        </w:rPr>
        <w:t>Hedefalk</w:t>
      </w:r>
      <w:proofErr w:type="spellEnd"/>
      <w:r w:rsidRPr="006D5360">
        <w:rPr>
          <w:rFonts w:ascii="Arial" w:eastAsia="Times New Roman" w:hAnsi="Arial" w:cs="Arial"/>
          <w:sz w:val="24"/>
          <w:szCs w:val="24"/>
          <w:lang w:eastAsia="en-GB"/>
        </w:rPr>
        <w:t xml:space="preserve">, Almqvist, and Östman (2015) note that educators are not always fully aware of or competent at implementing it. "Light green" methods run the risk of teaching children to recycle, for example, without requiring them to think critically or understand systems more deeply. Additionally, Elliott and Young (2016) claim that rather than serving as rich learning opportunities, gardening activities are sometimes used more for routine or behaviour control. They emphasise the value of purposeful education, in which </w:t>
      </w:r>
      <w:r w:rsidRPr="006D5360">
        <w:rPr>
          <w:rFonts w:ascii="Arial" w:eastAsia="Times New Roman" w:hAnsi="Arial" w:cs="Arial"/>
          <w:sz w:val="24"/>
          <w:szCs w:val="24"/>
          <w:lang w:eastAsia="en-GB"/>
        </w:rPr>
        <w:lastRenderedPageBreak/>
        <w:t>adults assist children in drawing links between their garden activities and more general concepts of the environment and food systems (Dyment et al., 2014; Korkmaz and Guler Yildiz, 2017). This critique highlights the need for professional development to boost educators' confidence and knowledge in sustainability education (Dyment et al., 2014).</w:t>
      </w:r>
    </w:p>
    <w:p w14:paraId="37CEFDE6" w14:textId="6B08A2BA" w:rsidR="006D5360" w:rsidRPr="006D5360"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Growing food is still a great way for young children to get started with sustainability, even with these obstacles. UNESCO (2017) states that it promotes the growth of respect for life, patience, and responsibility</w:t>
      </w:r>
      <w:r w:rsidR="00CC32E4">
        <w:rPr>
          <w:rFonts w:ascii="Arial" w:eastAsia="Times New Roman" w:hAnsi="Arial" w:cs="Arial"/>
          <w:sz w:val="24"/>
          <w:szCs w:val="24"/>
          <w:lang w:eastAsia="en-GB"/>
        </w:rPr>
        <w:t xml:space="preserve"> - </w:t>
      </w:r>
      <w:r w:rsidRPr="006D5360">
        <w:rPr>
          <w:rFonts w:ascii="Arial" w:eastAsia="Times New Roman" w:hAnsi="Arial" w:cs="Arial"/>
          <w:sz w:val="24"/>
          <w:szCs w:val="24"/>
          <w:lang w:eastAsia="en-GB"/>
        </w:rPr>
        <w:t>all of which are essential components of education for sustainable development. Children can observe the effects of their actions over time when they plant a seed, take care of it, and finally harvest the food in place-based and experiential learning activities like gardening. An "emotional ecology"</w:t>
      </w:r>
      <w:r w:rsidR="00CC32E4">
        <w:rPr>
          <w:rFonts w:ascii="Arial" w:eastAsia="Times New Roman" w:hAnsi="Arial" w:cs="Arial"/>
          <w:sz w:val="24"/>
          <w:szCs w:val="24"/>
          <w:lang w:eastAsia="en-GB"/>
        </w:rPr>
        <w:t xml:space="preserve"> - </w:t>
      </w:r>
      <w:r w:rsidRPr="006D5360">
        <w:rPr>
          <w:rFonts w:ascii="Arial" w:eastAsia="Times New Roman" w:hAnsi="Arial" w:cs="Arial"/>
          <w:sz w:val="24"/>
          <w:szCs w:val="24"/>
          <w:lang w:eastAsia="en-GB"/>
        </w:rPr>
        <w:t>the relationship between the child and the environment that may encourage lifetime environmental care</w:t>
      </w:r>
      <w:r w:rsidR="00CC32E4">
        <w:rPr>
          <w:rFonts w:ascii="Arial" w:eastAsia="Times New Roman" w:hAnsi="Arial" w:cs="Arial"/>
          <w:sz w:val="24"/>
          <w:szCs w:val="24"/>
          <w:lang w:eastAsia="en-GB"/>
        </w:rPr>
        <w:t xml:space="preserve"> - </w:t>
      </w:r>
      <w:r w:rsidRPr="006D5360">
        <w:rPr>
          <w:rFonts w:ascii="Arial" w:eastAsia="Times New Roman" w:hAnsi="Arial" w:cs="Arial"/>
          <w:sz w:val="24"/>
          <w:szCs w:val="24"/>
          <w:lang w:eastAsia="en-GB"/>
        </w:rPr>
        <w:t>is created by this hands-on interaction, according to Sobel (2014). Growing fruits and vegetables can be much more than just a gardening activity when guided by educated adults and integrated into a larger curriculum of critical thinking and global citizenship (Engdahl, 2015; Hägglund and Samuelsson, 2009).</w:t>
      </w:r>
    </w:p>
    <w:p w14:paraId="58919F7F" w14:textId="678BBBC2" w:rsidR="00354D6B" w:rsidRPr="00354D6B" w:rsidRDefault="006D5360" w:rsidP="00061AA5">
      <w:pPr>
        <w:spacing w:line="360" w:lineRule="auto"/>
        <w:rPr>
          <w:rFonts w:ascii="Arial" w:eastAsia="Times New Roman" w:hAnsi="Arial" w:cs="Arial"/>
          <w:sz w:val="24"/>
          <w:szCs w:val="24"/>
          <w:lang w:eastAsia="en-GB"/>
        </w:rPr>
      </w:pPr>
      <w:r w:rsidRPr="006D5360">
        <w:rPr>
          <w:rFonts w:ascii="Arial" w:eastAsia="Times New Roman" w:hAnsi="Arial" w:cs="Arial"/>
          <w:sz w:val="24"/>
          <w:szCs w:val="24"/>
          <w:lang w:eastAsia="en-GB"/>
        </w:rPr>
        <w:t>In conclusion, experiences such as the John Muir Award scrapbook and gardening activities provide rich, practical opportunities to enact the principles of early childhood education for sustainability. They allow young children to build meaningful, emotional connections with the natural world and to develop critical thinking skills about their place within global environmental and social systems. However, careful attention must be paid to ensure such experiences move beyond simple ‘caring for nature’ towards fostering systemic understanding and action, requiring skilled educators who are confident in delivering sustainability education. Embedding these experiences within policy frameworks and curricula, as seen in Wales, further supports the long-term goal of cultivating responsible, engaged global citizens committed to sustainable futures (Prince, 2010; Siraj-Blatchford et al., 2018; Tinney and Merriman, 2018).</w:t>
      </w:r>
    </w:p>
    <w:p w14:paraId="1338AA7A" w14:textId="77777777" w:rsidR="00354D6B" w:rsidRPr="00FA1728" w:rsidRDefault="00354D6B" w:rsidP="00FA1728">
      <w:pPr>
        <w:rPr>
          <w:rFonts w:ascii="Times New Roman" w:eastAsia="Times New Roman" w:hAnsi="Times New Roman" w:cs="Times New Roman"/>
          <w:sz w:val="24"/>
          <w:szCs w:val="24"/>
          <w:lang w:eastAsia="en-GB"/>
        </w:rPr>
      </w:pPr>
    </w:p>
    <w:bookmarkEnd w:id="0"/>
    <w:p w14:paraId="77D2A3E5" w14:textId="77777777" w:rsidR="00FA1728" w:rsidRPr="00FA1728" w:rsidRDefault="00FA1728" w:rsidP="00FA1728">
      <w:pPr>
        <w:spacing w:after="0" w:line="240" w:lineRule="auto"/>
        <w:rPr>
          <w:rFonts w:ascii="Arial" w:eastAsia="Times New Roman" w:hAnsi="Arial" w:cs="Arial"/>
          <w:sz w:val="24"/>
          <w:szCs w:val="24"/>
          <w:lang w:eastAsia="en-GB"/>
        </w:rPr>
      </w:pPr>
    </w:p>
    <w:p w14:paraId="66E69175" w14:textId="77777777" w:rsidR="00FA1728" w:rsidRPr="00FA1728" w:rsidRDefault="00FA1728" w:rsidP="00FA1728">
      <w:pPr>
        <w:spacing w:after="0" w:line="240" w:lineRule="auto"/>
        <w:rPr>
          <w:rFonts w:ascii="Arial" w:eastAsia="Times New Roman" w:hAnsi="Arial" w:cs="Arial"/>
          <w:sz w:val="24"/>
          <w:szCs w:val="24"/>
          <w:lang w:eastAsia="en-GB"/>
        </w:rPr>
      </w:pPr>
    </w:p>
    <w:p w14:paraId="36672CB7" w14:textId="77777777" w:rsidR="006D5360" w:rsidRDefault="006D5360"/>
    <w:p w14:paraId="2F2B41F2" w14:textId="77777777" w:rsidR="0050164A" w:rsidRDefault="0050164A"/>
    <w:p w14:paraId="298DB61C" w14:textId="77777777" w:rsidR="0050164A" w:rsidRDefault="0050164A"/>
    <w:p w14:paraId="3C9017CE" w14:textId="77777777" w:rsidR="0050164A" w:rsidRDefault="0050164A"/>
    <w:p w14:paraId="7EEE062F" w14:textId="77777777" w:rsidR="0050164A" w:rsidRDefault="0050164A"/>
    <w:p w14:paraId="0C703CCD" w14:textId="77777777" w:rsidR="0050164A" w:rsidRDefault="0050164A"/>
    <w:p w14:paraId="48D94489" w14:textId="77777777" w:rsidR="0050164A" w:rsidRDefault="0050164A"/>
    <w:p w14:paraId="52272139" w14:textId="77777777" w:rsidR="0050164A" w:rsidRDefault="0050164A"/>
    <w:p w14:paraId="42325F4C" w14:textId="77777777" w:rsidR="0050164A" w:rsidRDefault="0050164A"/>
    <w:p w14:paraId="217ECD6A" w14:textId="77777777" w:rsidR="0050164A" w:rsidRDefault="0050164A"/>
    <w:p w14:paraId="189B1714" w14:textId="77777777" w:rsidR="0050164A" w:rsidRDefault="0050164A"/>
    <w:p w14:paraId="10D11D41" w14:textId="77777777" w:rsidR="0050164A" w:rsidRDefault="0050164A"/>
    <w:p w14:paraId="415C08ED" w14:textId="77777777" w:rsidR="0050164A" w:rsidRDefault="0050164A"/>
    <w:p w14:paraId="02CF3C6D" w14:textId="77777777" w:rsidR="0050164A" w:rsidRDefault="0050164A"/>
    <w:p w14:paraId="634DCA48" w14:textId="77777777" w:rsidR="0050164A" w:rsidRDefault="0050164A"/>
    <w:p w14:paraId="3A561E33" w14:textId="77777777" w:rsidR="0050164A" w:rsidRDefault="0050164A"/>
    <w:p w14:paraId="14D1668B" w14:textId="77777777" w:rsidR="0050164A" w:rsidRDefault="0050164A"/>
    <w:p w14:paraId="40579812" w14:textId="77777777" w:rsidR="0050164A" w:rsidRDefault="0050164A"/>
    <w:p w14:paraId="7B71BF81" w14:textId="77777777" w:rsidR="0050164A" w:rsidRDefault="0050164A"/>
    <w:p w14:paraId="5E836498" w14:textId="77777777" w:rsidR="00E70765" w:rsidRDefault="00E70765"/>
    <w:p w14:paraId="2E28F833" w14:textId="77777777" w:rsidR="006D5360" w:rsidRDefault="006D5360"/>
    <w:p w14:paraId="02245E95" w14:textId="77777777" w:rsidR="006D5360" w:rsidRDefault="006D5360"/>
    <w:p w14:paraId="53B8E689" w14:textId="77777777" w:rsidR="006D5360" w:rsidRDefault="006D5360"/>
    <w:p w14:paraId="41EFED7E" w14:textId="77777777" w:rsidR="006D5360" w:rsidRDefault="006D5360"/>
    <w:p w14:paraId="6462ECBE" w14:textId="77777777" w:rsidR="006D5360" w:rsidRDefault="006D5360"/>
    <w:p w14:paraId="0B0A3187" w14:textId="77777777" w:rsidR="006D5360" w:rsidRDefault="006D5360"/>
    <w:p w14:paraId="19AFADF5" w14:textId="77777777" w:rsidR="006D5360" w:rsidRDefault="006D5360"/>
    <w:p w14:paraId="64834932" w14:textId="77777777" w:rsidR="00061AA5" w:rsidRDefault="00061AA5">
      <w:pPr>
        <w:rPr>
          <w:rFonts w:ascii="Arial" w:hAnsi="Arial" w:cs="Arial"/>
          <w:sz w:val="24"/>
          <w:szCs w:val="24"/>
          <w:u w:val="single"/>
        </w:rPr>
      </w:pPr>
    </w:p>
    <w:p w14:paraId="4AE3C2B3" w14:textId="77777777" w:rsidR="00061AA5" w:rsidRDefault="00061AA5">
      <w:pPr>
        <w:rPr>
          <w:rFonts w:ascii="Arial" w:hAnsi="Arial" w:cs="Arial"/>
          <w:sz w:val="24"/>
          <w:szCs w:val="24"/>
          <w:u w:val="single"/>
        </w:rPr>
      </w:pPr>
    </w:p>
    <w:p w14:paraId="0E63565B" w14:textId="77777777" w:rsidR="00061AA5" w:rsidRDefault="00061AA5">
      <w:pPr>
        <w:rPr>
          <w:rFonts w:ascii="Arial" w:hAnsi="Arial" w:cs="Arial"/>
          <w:sz w:val="24"/>
          <w:szCs w:val="24"/>
          <w:u w:val="single"/>
        </w:rPr>
      </w:pPr>
    </w:p>
    <w:p w14:paraId="2B2C43D6" w14:textId="77777777" w:rsidR="00061AA5" w:rsidRDefault="00061AA5">
      <w:pPr>
        <w:rPr>
          <w:rFonts w:ascii="Arial" w:hAnsi="Arial" w:cs="Arial"/>
          <w:sz w:val="24"/>
          <w:szCs w:val="24"/>
          <w:u w:val="single"/>
        </w:rPr>
      </w:pPr>
    </w:p>
    <w:p w14:paraId="33F0326D" w14:textId="77777777" w:rsidR="00061AA5" w:rsidRDefault="00061AA5">
      <w:pPr>
        <w:rPr>
          <w:rFonts w:ascii="Arial" w:hAnsi="Arial" w:cs="Arial"/>
          <w:sz w:val="24"/>
          <w:szCs w:val="24"/>
          <w:u w:val="single"/>
        </w:rPr>
      </w:pPr>
    </w:p>
    <w:p w14:paraId="21695263" w14:textId="5C3337CA" w:rsidR="006D5360" w:rsidRDefault="006D5360" w:rsidP="00061AA5">
      <w:pPr>
        <w:spacing w:line="360" w:lineRule="auto"/>
        <w:rPr>
          <w:rFonts w:ascii="Arial" w:hAnsi="Arial" w:cs="Arial"/>
          <w:sz w:val="24"/>
          <w:szCs w:val="24"/>
          <w:u w:val="single"/>
        </w:rPr>
      </w:pPr>
      <w:r w:rsidRPr="006D5360">
        <w:rPr>
          <w:rFonts w:ascii="Arial" w:hAnsi="Arial" w:cs="Arial"/>
          <w:sz w:val="24"/>
          <w:szCs w:val="24"/>
          <w:u w:val="single"/>
        </w:rPr>
        <w:lastRenderedPageBreak/>
        <w:t>Reference List</w:t>
      </w:r>
    </w:p>
    <w:p w14:paraId="60E68677"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Barrable, A. (2019) ‘Refocusing environmental education in the early years: A brief introduction to a pedagogy for connection’, </w:t>
      </w:r>
      <w:r w:rsidRPr="006D5360">
        <w:rPr>
          <w:rFonts w:ascii="Arial" w:hAnsi="Arial" w:cs="Arial"/>
          <w:i/>
          <w:iCs/>
          <w:sz w:val="24"/>
          <w:szCs w:val="24"/>
        </w:rPr>
        <w:t>Education Sciences</w:t>
      </w:r>
      <w:r w:rsidRPr="006D5360">
        <w:rPr>
          <w:rFonts w:ascii="Arial" w:hAnsi="Arial" w:cs="Arial"/>
          <w:sz w:val="24"/>
          <w:szCs w:val="24"/>
        </w:rPr>
        <w:t>, 9(1), p. 61.</w:t>
      </w:r>
    </w:p>
    <w:p w14:paraId="06C15B6D"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Brundtland Report (1987) </w:t>
      </w:r>
      <w:r w:rsidRPr="006D5360">
        <w:rPr>
          <w:rFonts w:ascii="Arial" w:hAnsi="Arial" w:cs="Arial"/>
          <w:i/>
          <w:iCs/>
          <w:sz w:val="24"/>
          <w:szCs w:val="24"/>
        </w:rPr>
        <w:t>Our common future: Report of the World Commission on Environment and Development</w:t>
      </w:r>
      <w:r w:rsidRPr="006D5360">
        <w:rPr>
          <w:rFonts w:ascii="Arial" w:hAnsi="Arial" w:cs="Arial"/>
          <w:sz w:val="24"/>
          <w:szCs w:val="24"/>
        </w:rPr>
        <w:t>. Oxford: Oxford University Press.</w:t>
      </w:r>
    </w:p>
    <w:p w14:paraId="42DD100E"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Cutter-Mackenzie, A., Boyd, W., Moore, D. and Edwards, S. (2014) </w:t>
      </w:r>
      <w:r w:rsidRPr="006D5360">
        <w:rPr>
          <w:rFonts w:ascii="Arial" w:hAnsi="Arial" w:cs="Arial"/>
          <w:i/>
          <w:iCs/>
          <w:sz w:val="24"/>
          <w:szCs w:val="24"/>
        </w:rPr>
        <w:t>Young children’s play and environmental education in early childhood education</w:t>
      </w:r>
      <w:r w:rsidRPr="006D5360">
        <w:rPr>
          <w:rFonts w:ascii="Arial" w:hAnsi="Arial" w:cs="Arial"/>
          <w:sz w:val="24"/>
          <w:szCs w:val="24"/>
        </w:rPr>
        <w:t>. Cham: Springer.</w:t>
      </w:r>
    </w:p>
    <w:p w14:paraId="35BDD06A"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Davies, J., Engdahl, I., Otieno, L., </w:t>
      </w:r>
      <w:proofErr w:type="spellStart"/>
      <w:r w:rsidRPr="006D5360">
        <w:rPr>
          <w:rFonts w:ascii="Arial" w:hAnsi="Arial" w:cs="Arial"/>
          <w:sz w:val="24"/>
          <w:szCs w:val="24"/>
        </w:rPr>
        <w:t>Pramling</w:t>
      </w:r>
      <w:proofErr w:type="spellEnd"/>
      <w:r w:rsidRPr="006D5360">
        <w:rPr>
          <w:rFonts w:ascii="Arial" w:hAnsi="Arial" w:cs="Arial"/>
          <w:sz w:val="24"/>
          <w:szCs w:val="24"/>
        </w:rPr>
        <w:t xml:space="preserve">-Samuelson, I., Siraj-Blatchford, J. and Vallabh, P. (2009) ‘Early childhood education for sustainability: Recommendations for development’, </w:t>
      </w:r>
      <w:r w:rsidRPr="006D5360">
        <w:rPr>
          <w:rFonts w:ascii="Arial" w:hAnsi="Arial" w:cs="Arial"/>
          <w:i/>
          <w:iCs/>
          <w:sz w:val="24"/>
          <w:szCs w:val="24"/>
        </w:rPr>
        <w:t>International Journal of Early Childhood</w:t>
      </w:r>
      <w:r w:rsidRPr="006D5360">
        <w:rPr>
          <w:rFonts w:ascii="Arial" w:hAnsi="Arial" w:cs="Arial"/>
          <w:sz w:val="24"/>
          <w:szCs w:val="24"/>
        </w:rPr>
        <w:t>, 41(2), pp. 113–118.</w:t>
      </w:r>
    </w:p>
    <w:p w14:paraId="4DF1387E"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Davis, J. M. (2010) </w:t>
      </w:r>
      <w:r w:rsidRPr="006D5360">
        <w:rPr>
          <w:rFonts w:ascii="Arial" w:hAnsi="Arial" w:cs="Arial"/>
          <w:i/>
          <w:iCs/>
          <w:sz w:val="24"/>
          <w:szCs w:val="24"/>
        </w:rPr>
        <w:t>Young children and the environment: Early education for sustainability</w:t>
      </w:r>
      <w:r w:rsidRPr="006D5360">
        <w:rPr>
          <w:rFonts w:ascii="Arial" w:hAnsi="Arial" w:cs="Arial"/>
          <w:sz w:val="24"/>
          <w:szCs w:val="24"/>
        </w:rPr>
        <w:t xml:space="preserve">. 2nd </w:t>
      </w:r>
      <w:proofErr w:type="spellStart"/>
      <w:r w:rsidRPr="006D5360">
        <w:rPr>
          <w:rFonts w:ascii="Arial" w:hAnsi="Arial" w:cs="Arial"/>
          <w:sz w:val="24"/>
          <w:szCs w:val="24"/>
        </w:rPr>
        <w:t>edn</w:t>
      </w:r>
      <w:proofErr w:type="spellEnd"/>
      <w:r w:rsidRPr="006D5360">
        <w:rPr>
          <w:rFonts w:ascii="Arial" w:hAnsi="Arial" w:cs="Arial"/>
          <w:sz w:val="24"/>
          <w:szCs w:val="24"/>
        </w:rPr>
        <w:t>. Port Melbourne, Victoria: Cambridge University Press.</w:t>
      </w:r>
    </w:p>
    <w:p w14:paraId="3A110647"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David, A. (2010) </w:t>
      </w:r>
      <w:r w:rsidRPr="006D5360">
        <w:rPr>
          <w:rFonts w:ascii="Arial" w:hAnsi="Arial" w:cs="Arial"/>
          <w:i/>
          <w:iCs/>
          <w:sz w:val="24"/>
          <w:szCs w:val="24"/>
        </w:rPr>
        <w:t xml:space="preserve">Sustainability: A step-by-step guide to creating a </w:t>
      </w:r>
      <w:proofErr w:type="gramStart"/>
      <w:r w:rsidRPr="006D5360">
        <w:rPr>
          <w:rFonts w:ascii="Arial" w:hAnsi="Arial" w:cs="Arial"/>
          <w:i/>
          <w:iCs/>
          <w:sz w:val="24"/>
          <w:szCs w:val="24"/>
        </w:rPr>
        <w:t>sustainable early years</w:t>
      </w:r>
      <w:proofErr w:type="gramEnd"/>
      <w:r w:rsidRPr="006D5360">
        <w:rPr>
          <w:rFonts w:ascii="Arial" w:hAnsi="Arial" w:cs="Arial"/>
          <w:i/>
          <w:iCs/>
          <w:sz w:val="24"/>
          <w:szCs w:val="24"/>
        </w:rPr>
        <w:t xml:space="preserve"> setting</w:t>
      </w:r>
      <w:r w:rsidRPr="006D5360">
        <w:rPr>
          <w:rFonts w:ascii="Arial" w:hAnsi="Arial" w:cs="Arial"/>
          <w:sz w:val="24"/>
          <w:szCs w:val="24"/>
        </w:rPr>
        <w:t>. London: Practical Pre-School Books.</w:t>
      </w:r>
    </w:p>
    <w:p w14:paraId="3A2A96BA"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Dyment, J. E., Davis, J. M., Nailon, D., Emery, S., </w:t>
      </w:r>
      <w:proofErr w:type="spellStart"/>
      <w:r w:rsidRPr="006D5360">
        <w:rPr>
          <w:rFonts w:ascii="Arial" w:hAnsi="Arial" w:cs="Arial"/>
          <w:sz w:val="24"/>
          <w:szCs w:val="24"/>
        </w:rPr>
        <w:t>Getenet</w:t>
      </w:r>
      <w:proofErr w:type="spellEnd"/>
      <w:r w:rsidRPr="006D5360">
        <w:rPr>
          <w:rFonts w:ascii="Arial" w:hAnsi="Arial" w:cs="Arial"/>
          <w:sz w:val="24"/>
          <w:szCs w:val="24"/>
        </w:rPr>
        <w:t xml:space="preserve">, S., McCrea, N. and Hill, A. (2014) ‘The impact of professional development on early childhood educators’ confidence, understanding and knowledge of education for sustainability’, </w:t>
      </w:r>
      <w:r w:rsidRPr="006D5360">
        <w:rPr>
          <w:rFonts w:ascii="Arial" w:hAnsi="Arial" w:cs="Arial"/>
          <w:i/>
          <w:iCs/>
          <w:sz w:val="24"/>
          <w:szCs w:val="24"/>
        </w:rPr>
        <w:t>Environmental Education Research</w:t>
      </w:r>
      <w:r w:rsidRPr="006D5360">
        <w:rPr>
          <w:rFonts w:ascii="Arial" w:hAnsi="Arial" w:cs="Arial"/>
          <w:sz w:val="24"/>
          <w:szCs w:val="24"/>
        </w:rPr>
        <w:t>, 20(5), pp. 660–680.</w:t>
      </w:r>
    </w:p>
    <w:p w14:paraId="0EE53B9C"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Edwards, S. and Cutter-Mackenzie, A. (2013) ‘Researching early childhood education for sustainability: challenging assumptions and orthodoxies’, </w:t>
      </w:r>
      <w:r w:rsidRPr="006D5360">
        <w:rPr>
          <w:rFonts w:ascii="Arial" w:hAnsi="Arial" w:cs="Arial"/>
          <w:i/>
          <w:iCs/>
          <w:sz w:val="24"/>
          <w:szCs w:val="24"/>
        </w:rPr>
        <w:t>Environmental Education Research</w:t>
      </w:r>
      <w:r w:rsidRPr="006D5360">
        <w:rPr>
          <w:rFonts w:ascii="Arial" w:hAnsi="Arial" w:cs="Arial"/>
          <w:sz w:val="24"/>
          <w:szCs w:val="24"/>
        </w:rPr>
        <w:t>, 19(5), pp. 658–677.</w:t>
      </w:r>
    </w:p>
    <w:p w14:paraId="0B2C8194"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Elliott, S. and Davis, J. (2020) </w:t>
      </w:r>
      <w:r w:rsidRPr="006D5360">
        <w:rPr>
          <w:rFonts w:ascii="Arial" w:hAnsi="Arial" w:cs="Arial"/>
          <w:i/>
          <w:iCs/>
          <w:sz w:val="24"/>
          <w:szCs w:val="24"/>
        </w:rPr>
        <w:t>Research in early childhood education for sustainability: International perspectives and provocations</w:t>
      </w:r>
      <w:r w:rsidRPr="006D5360">
        <w:rPr>
          <w:rFonts w:ascii="Arial" w:hAnsi="Arial" w:cs="Arial"/>
          <w:sz w:val="24"/>
          <w:szCs w:val="24"/>
        </w:rPr>
        <w:t>. Abingdon: Routledge.</w:t>
      </w:r>
    </w:p>
    <w:p w14:paraId="4573BD31"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Engdahl, I. (2015) ‘Early childhood education for sustainability: The OMEP World Project’, </w:t>
      </w:r>
      <w:r w:rsidRPr="006D5360">
        <w:rPr>
          <w:rFonts w:ascii="Arial" w:hAnsi="Arial" w:cs="Arial"/>
          <w:i/>
          <w:iCs/>
          <w:sz w:val="24"/>
          <w:szCs w:val="24"/>
        </w:rPr>
        <w:t>International Journal of Early Childhood</w:t>
      </w:r>
      <w:r w:rsidRPr="006D5360">
        <w:rPr>
          <w:rFonts w:ascii="Arial" w:hAnsi="Arial" w:cs="Arial"/>
          <w:sz w:val="24"/>
          <w:szCs w:val="24"/>
        </w:rPr>
        <w:t>, 47(3), pp. 347–367.</w:t>
      </w:r>
    </w:p>
    <w:p w14:paraId="042DE403"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Froebel, F. (1826) </w:t>
      </w:r>
      <w:r w:rsidRPr="006D5360">
        <w:rPr>
          <w:rFonts w:ascii="Arial" w:hAnsi="Arial" w:cs="Arial"/>
          <w:i/>
          <w:iCs/>
          <w:sz w:val="24"/>
          <w:szCs w:val="24"/>
        </w:rPr>
        <w:t>The education of man</w:t>
      </w:r>
      <w:r w:rsidRPr="006D5360">
        <w:rPr>
          <w:rFonts w:ascii="Arial" w:hAnsi="Arial" w:cs="Arial"/>
          <w:sz w:val="24"/>
          <w:szCs w:val="24"/>
        </w:rPr>
        <w:t xml:space="preserve">. Translated by W. N. </w:t>
      </w:r>
      <w:proofErr w:type="spellStart"/>
      <w:r w:rsidRPr="006D5360">
        <w:rPr>
          <w:rFonts w:ascii="Arial" w:hAnsi="Arial" w:cs="Arial"/>
          <w:sz w:val="24"/>
          <w:szCs w:val="24"/>
        </w:rPr>
        <w:t>Hailmann</w:t>
      </w:r>
      <w:proofErr w:type="spellEnd"/>
      <w:r w:rsidRPr="006D5360">
        <w:rPr>
          <w:rFonts w:ascii="Arial" w:hAnsi="Arial" w:cs="Arial"/>
          <w:sz w:val="24"/>
          <w:szCs w:val="24"/>
        </w:rPr>
        <w:t>. New York: D. Appleton &amp; Company.</w:t>
      </w:r>
    </w:p>
    <w:p w14:paraId="6F90E715" w14:textId="77777777" w:rsidR="006D5360" w:rsidRPr="006D5360" w:rsidRDefault="006D5360" w:rsidP="00061AA5">
      <w:pPr>
        <w:spacing w:line="360" w:lineRule="auto"/>
        <w:rPr>
          <w:rFonts w:ascii="Arial" w:hAnsi="Arial" w:cs="Arial"/>
          <w:sz w:val="24"/>
          <w:szCs w:val="24"/>
        </w:rPr>
      </w:pPr>
      <w:proofErr w:type="spellStart"/>
      <w:r w:rsidRPr="006D5360">
        <w:rPr>
          <w:rFonts w:ascii="Arial" w:hAnsi="Arial" w:cs="Arial"/>
          <w:sz w:val="24"/>
          <w:szCs w:val="24"/>
        </w:rPr>
        <w:t>Gov.Wales</w:t>
      </w:r>
      <w:proofErr w:type="spellEnd"/>
      <w:r w:rsidRPr="006D5360">
        <w:rPr>
          <w:rFonts w:ascii="Arial" w:hAnsi="Arial" w:cs="Arial"/>
          <w:sz w:val="24"/>
          <w:szCs w:val="24"/>
        </w:rPr>
        <w:t xml:space="preserve"> (2012) </w:t>
      </w:r>
      <w:r w:rsidRPr="006D5360">
        <w:rPr>
          <w:rFonts w:ascii="Arial" w:hAnsi="Arial" w:cs="Arial"/>
          <w:i/>
          <w:iCs/>
          <w:sz w:val="24"/>
          <w:szCs w:val="24"/>
        </w:rPr>
        <w:t>Education for sustainable development and global citizenship: A common understanding for the adult and community learning sector</w:t>
      </w:r>
      <w:r w:rsidRPr="006D5360">
        <w:rPr>
          <w:rFonts w:ascii="Arial" w:hAnsi="Arial" w:cs="Arial"/>
          <w:sz w:val="24"/>
          <w:szCs w:val="24"/>
        </w:rPr>
        <w:t xml:space="preserve">. Cardiff: Welsh </w:t>
      </w:r>
      <w:r w:rsidRPr="006D5360">
        <w:rPr>
          <w:rFonts w:ascii="Arial" w:hAnsi="Arial" w:cs="Arial"/>
          <w:sz w:val="24"/>
          <w:szCs w:val="24"/>
        </w:rPr>
        <w:lastRenderedPageBreak/>
        <w:t xml:space="preserve">Government. Available at: </w:t>
      </w:r>
      <w:hyperlink r:id="rId6" w:tgtFrame="_new" w:history="1">
        <w:r w:rsidRPr="006D5360">
          <w:rPr>
            <w:rStyle w:val="Hyperlink"/>
            <w:rFonts w:ascii="Arial" w:hAnsi="Arial" w:cs="Arial"/>
            <w:sz w:val="24"/>
            <w:szCs w:val="24"/>
            <w:u w:val="none"/>
          </w:rPr>
          <w:t>https://www.gov.wales/sites/default/files/publications/2018-02/education-for-sustainable-development-and-global-citizenship-a-common-understanding-for-the-adult-and-community-learning-sector.pdf</w:t>
        </w:r>
      </w:hyperlink>
      <w:r w:rsidRPr="006D5360">
        <w:rPr>
          <w:rFonts w:ascii="Arial" w:hAnsi="Arial" w:cs="Arial"/>
          <w:sz w:val="24"/>
          <w:szCs w:val="24"/>
        </w:rPr>
        <w:t xml:space="preserve"> [Accessed: 5 July 2025].</w:t>
      </w:r>
    </w:p>
    <w:p w14:paraId="24FDFFF9"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Hägglund, S. and Samuelsson, I. P. (2009) ‘Early childhood education and learning for sustainable development and citizenship’, </w:t>
      </w:r>
      <w:r w:rsidRPr="006D5360">
        <w:rPr>
          <w:rFonts w:ascii="Arial" w:hAnsi="Arial" w:cs="Arial"/>
          <w:i/>
          <w:iCs/>
          <w:sz w:val="24"/>
          <w:szCs w:val="24"/>
        </w:rPr>
        <w:t>International Journal of Early Childhood</w:t>
      </w:r>
      <w:r w:rsidRPr="006D5360">
        <w:rPr>
          <w:rFonts w:ascii="Arial" w:hAnsi="Arial" w:cs="Arial"/>
          <w:sz w:val="24"/>
          <w:szCs w:val="24"/>
        </w:rPr>
        <w:t>, 41(2), pp. 49–64.</w:t>
      </w:r>
    </w:p>
    <w:p w14:paraId="3F51CA4D" w14:textId="77777777" w:rsidR="006D5360" w:rsidRPr="006D5360" w:rsidRDefault="006D5360" w:rsidP="00061AA5">
      <w:pPr>
        <w:spacing w:line="360" w:lineRule="auto"/>
        <w:rPr>
          <w:rFonts w:ascii="Arial" w:hAnsi="Arial" w:cs="Arial"/>
          <w:sz w:val="24"/>
          <w:szCs w:val="24"/>
        </w:rPr>
      </w:pPr>
      <w:proofErr w:type="spellStart"/>
      <w:r w:rsidRPr="006D5360">
        <w:rPr>
          <w:rFonts w:ascii="Arial" w:hAnsi="Arial" w:cs="Arial"/>
          <w:sz w:val="24"/>
          <w:szCs w:val="24"/>
        </w:rPr>
        <w:t>Hedefalk</w:t>
      </w:r>
      <w:proofErr w:type="spellEnd"/>
      <w:r w:rsidRPr="006D5360">
        <w:rPr>
          <w:rFonts w:ascii="Arial" w:hAnsi="Arial" w:cs="Arial"/>
          <w:sz w:val="24"/>
          <w:szCs w:val="24"/>
        </w:rPr>
        <w:t xml:space="preserve">, M., Almqvist, J. and Östman, L. (2015) ‘Education for sustainable development in early childhood education: A review of the research literature’, </w:t>
      </w:r>
      <w:r w:rsidRPr="006D5360">
        <w:rPr>
          <w:rFonts w:ascii="Arial" w:hAnsi="Arial" w:cs="Arial"/>
          <w:i/>
          <w:iCs/>
          <w:sz w:val="24"/>
          <w:szCs w:val="24"/>
        </w:rPr>
        <w:t>Environmental Education Research</w:t>
      </w:r>
      <w:r w:rsidRPr="006D5360">
        <w:rPr>
          <w:rFonts w:ascii="Arial" w:hAnsi="Arial" w:cs="Arial"/>
          <w:sz w:val="24"/>
          <w:szCs w:val="24"/>
        </w:rPr>
        <w:t>, 21(7), pp. 975–991.</w:t>
      </w:r>
    </w:p>
    <w:p w14:paraId="3FCAB374"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Korkmaz, A. and Guler Yildiz, T. (2017) ‘Assessing preschools using the Eco-Schools program in terms of educating for sustainable development in early childhood education’, </w:t>
      </w:r>
      <w:r w:rsidRPr="006D5360">
        <w:rPr>
          <w:rFonts w:ascii="Arial" w:hAnsi="Arial" w:cs="Arial"/>
          <w:i/>
          <w:iCs/>
          <w:sz w:val="24"/>
          <w:szCs w:val="24"/>
        </w:rPr>
        <w:t>European Early Childhood Education Research Journal</w:t>
      </w:r>
      <w:r w:rsidRPr="006D5360">
        <w:rPr>
          <w:rFonts w:ascii="Arial" w:hAnsi="Arial" w:cs="Arial"/>
          <w:sz w:val="24"/>
          <w:szCs w:val="24"/>
        </w:rPr>
        <w:t>, 25(4), pp. 595–612.</w:t>
      </w:r>
    </w:p>
    <w:p w14:paraId="5E534DEB"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MacQuarrie, S., Nugent, C. and Warden, C. (2015) ‘Learning with nature and learning from others: Nature as setting and resource for early childhood education’, </w:t>
      </w:r>
      <w:r w:rsidRPr="006D5360">
        <w:rPr>
          <w:rFonts w:ascii="Arial" w:hAnsi="Arial" w:cs="Arial"/>
          <w:i/>
          <w:iCs/>
          <w:sz w:val="24"/>
          <w:szCs w:val="24"/>
        </w:rPr>
        <w:t>Journal of Adventure Education &amp; Outdoor Learning</w:t>
      </w:r>
      <w:r w:rsidRPr="006D5360">
        <w:rPr>
          <w:rFonts w:ascii="Arial" w:hAnsi="Arial" w:cs="Arial"/>
          <w:sz w:val="24"/>
          <w:szCs w:val="24"/>
        </w:rPr>
        <w:t>, 15(1), pp. 1–24.</w:t>
      </w:r>
    </w:p>
    <w:p w14:paraId="3CE115F9"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Malaguzzi, L. (1993) ‘History, ideas and basic philosophy: An interview with Loris Malaguzzi’, </w:t>
      </w:r>
      <w:r w:rsidRPr="006D5360">
        <w:rPr>
          <w:rFonts w:ascii="Arial" w:hAnsi="Arial" w:cs="Arial"/>
          <w:i/>
          <w:iCs/>
          <w:sz w:val="24"/>
          <w:szCs w:val="24"/>
        </w:rPr>
        <w:t>In C. Edwards, L. Gandini and G. Forman (eds.) The hundred languages of children: The Reggio Emilia approach to early childhood education</w:t>
      </w:r>
      <w:r w:rsidRPr="006D5360">
        <w:rPr>
          <w:rFonts w:ascii="Arial" w:hAnsi="Arial" w:cs="Arial"/>
          <w:sz w:val="24"/>
          <w:szCs w:val="24"/>
        </w:rPr>
        <w:t xml:space="preserve">. Norwood, NJ: </w:t>
      </w:r>
      <w:proofErr w:type="spellStart"/>
      <w:r w:rsidRPr="006D5360">
        <w:rPr>
          <w:rFonts w:ascii="Arial" w:hAnsi="Arial" w:cs="Arial"/>
          <w:sz w:val="24"/>
          <w:szCs w:val="24"/>
        </w:rPr>
        <w:t>Ablex</w:t>
      </w:r>
      <w:proofErr w:type="spellEnd"/>
      <w:r w:rsidRPr="006D5360">
        <w:rPr>
          <w:rFonts w:ascii="Arial" w:hAnsi="Arial" w:cs="Arial"/>
          <w:sz w:val="24"/>
          <w:szCs w:val="24"/>
        </w:rPr>
        <w:t xml:space="preserve"> Publishing Corporation, pp. 41–89.</w:t>
      </w:r>
    </w:p>
    <w:p w14:paraId="2214D6FD"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Miller, M. (2012) ‘Sustainability initiatives in early years settings’, </w:t>
      </w:r>
      <w:r w:rsidRPr="006D5360">
        <w:rPr>
          <w:rFonts w:ascii="Arial" w:hAnsi="Arial" w:cs="Arial"/>
          <w:i/>
          <w:iCs/>
          <w:sz w:val="24"/>
          <w:szCs w:val="24"/>
        </w:rPr>
        <w:t>Educating Young Children: Learning &amp; Teaching in the Early Childhood Years</w:t>
      </w:r>
      <w:r w:rsidRPr="006D5360">
        <w:rPr>
          <w:rFonts w:ascii="Arial" w:hAnsi="Arial" w:cs="Arial"/>
          <w:sz w:val="24"/>
          <w:szCs w:val="24"/>
        </w:rPr>
        <w:t>, 18(1), pp. 39–42.</w:t>
      </w:r>
    </w:p>
    <w:p w14:paraId="1488601C"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Montessori, M. (1966) </w:t>
      </w:r>
      <w:r w:rsidRPr="006D5360">
        <w:rPr>
          <w:rFonts w:ascii="Arial" w:hAnsi="Arial" w:cs="Arial"/>
          <w:i/>
          <w:iCs/>
          <w:sz w:val="24"/>
          <w:szCs w:val="24"/>
        </w:rPr>
        <w:t>The secret of childhood</w:t>
      </w:r>
      <w:r w:rsidRPr="006D5360">
        <w:rPr>
          <w:rFonts w:ascii="Arial" w:hAnsi="Arial" w:cs="Arial"/>
          <w:sz w:val="24"/>
          <w:szCs w:val="24"/>
        </w:rPr>
        <w:t>. New York: Ballantine Books.</w:t>
      </w:r>
    </w:p>
    <w:p w14:paraId="4EDBCE7D"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Prince, C. (2010) ‘Sowing the seeds: Education for sustainability within the early years curriculum’, </w:t>
      </w:r>
      <w:r w:rsidRPr="006D5360">
        <w:rPr>
          <w:rFonts w:ascii="Arial" w:hAnsi="Arial" w:cs="Arial"/>
          <w:i/>
          <w:iCs/>
          <w:sz w:val="24"/>
          <w:szCs w:val="24"/>
        </w:rPr>
        <w:t>European Early Childhood Education Research Journal</w:t>
      </w:r>
      <w:r w:rsidRPr="006D5360">
        <w:rPr>
          <w:rFonts w:ascii="Arial" w:hAnsi="Arial" w:cs="Arial"/>
          <w:sz w:val="24"/>
          <w:szCs w:val="24"/>
        </w:rPr>
        <w:t>, 18(3), pp. 273–285.</w:t>
      </w:r>
    </w:p>
    <w:p w14:paraId="618D73B7"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Samuelsson, I. and Park, E. (2017) ‘How to educate children for sustainable learning and for a sustainable world’, </w:t>
      </w:r>
      <w:r w:rsidRPr="006D5360">
        <w:rPr>
          <w:rFonts w:ascii="Arial" w:hAnsi="Arial" w:cs="Arial"/>
          <w:i/>
          <w:iCs/>
          <w:sz w:val="24"/>
          <w:szCs w:val="24"/>
        </w:rPr>
        <w:t>International Journal of Early Childhood</w:t>
      </w:r>
      <w:r w:rsidRPr="006D5360">
        <w:rPr>
          <w:rFonts w:ascii="Arial" w:hAnsi="Arial" w:cs="Arial"/>
          <w:sz w:val="24"/>
          <w:szCs w:val="24"/>
        </w:rPr>
        <w:t>, 49(3), pp. 273–286.</w:t>
      </w:r>
    </w:p>
    <w:p w14:paraId="0A9D1950"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lastRenderedPageBreak/>
        <w:t xml:space="preserve">Siraj-Blatchford, J., Hirst, N. and Boyd, D. (2018) </w:t>
      </w:r>
      <w:r w:rsidRPr="006D5360">
        <w:rPr>
          <w:rFonts w:ascii="Arial" w:hAnsi="Arial" w:cs="Arial"/>
          <w:i/>
          <w:iCs/>
          <w:sz w:val="24"/>
          <w:szCs w:val="24"/>
        </w:rPr>
        <w:t>Understanding sustainability in early childhood education: Case studies and approaches from across the UK</w:t>
      </w:r>
      <w:r w:rsidRPr="006D5360">
        <w:rPr>
          <w:rFonts w:ascii="Arial" w:hAnsi="Arial" w:cs="Arial"/>
          <w:sz w:val="24"/>
          <w:szCs w:val="24"/>
        </w:rPr>
        <w:t>. Abingdon: Routledge.</w:t>
      </w:r>
    </w:p>
    <w:p w14:paraId="47E0BFC5"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Sobel, D. (2014) </w:t>
      </w:r>
      <w:r w:rsidRPr="006D5360">
        <w:rPr>
          <w:rFonts w:ascii="Arial" w:hAnsi="Arial" w:cs="Arial"/>
          <w:i/>
          <w:iCs/>
          <w:sz w:val="24"/>
          <w:szCs w:val="24"/>
        </w:rPr>
        <w:t>Nature preschools and forest kindergartens: The handbook for outdoor learning</w:t>
      </w:r>
      <w:r w:rsidRPr="006D5360">
        <w:rPr>
          <w:rFonts w:ascii="Arial" w:hAnsi="Arial" w:cs="Arial"/>
          <w:sz w:val="24"/>
          <w:szCs w:val="24"/>
        </w:rPr>
        <w:t>. St Paul, MN: Redleaf Press.</w:t>
      </w:r>
    </w:p>
    <w:p w14:paraId="1429BAC4" w14:textId="7777777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 xml:space="preserve">Tinney, G. and Merriman, E. (2018) ‘Early years education and education for sustainable development and global citizenship (ESDGC) – Two sides of the same coin?’, </w:t>
      </w:r>
      <w:r w:rsidRPr="006D5360">
        <w:rPr>
          <w:rFonts w:ascii="Arial" w:hAnsi="Arial" w:cs="Arial"/>
          <w:i/>
          <w:iCs/>
          <w:sz w:val="24"/>
          <w:szCs w:val="24"/>
        </w:rPr>
        <w:t>Education 3-13</w:t>
      </w:r>
      <w:r w:rsidRPr="006D5360">
        <w:rPr>
          <w:rFonts w:ascii="Arial" w:hAnsi="Arial" w:cs="Arial"/>
          <w:sz w:val="24"/>
          <w:szCs w:val="24"/>
        </w:rPr>
        <w:t>, 46(7), pp. 800–810.</w:t>
      </w:r>
    </w:p>
    <w:p w14:paraId="1FEEAEA6" w14:textId="57D9FBC7"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UNESCO</w:t>
      </w:r>
      <w:r>
        <w:rPr>
          <w:rFonts w:ascii="Arial" w:hAnsi="Arial" w:cs="Arial"/>
          <w:sz w:val="24"/>
          <w:szCs w:val="24"/>
        </w:rPr>
        <w:t>.</w:t>
      </w:r>
      <w:r w:rsidRPr="006D5360">
        <w:rPr>
          <w:rFonts w:ascii="Arial" w:hAnsi="Arial" w:cs="Arial"/>
          <w:sz w:val="24"/>
          <w:szCs w:val="24"/>
        </w:rPr>
        <w:t xml:space="preserve"> (2017) </w:t>
      </w:r>
      <w:r w:rsidRPr="006D5360">
        <w:rPr>
          <w:rFonts w:ascii="Arial" w:hAnsi="Arial" w:cs="Arial"/>
          <w:i/>
          <w:iCs/>
          <w:sz w:val="24"/>
          <w:szCs w:val="24"/>
        </w:rPr>
        <w:t>Education for sustainable development goals: Learning objectives</w:t>
      </w:r>
      <w:r w:rsidRPr="006D5360">
        <w:rPr>
          <w:rFonts w:ascii="Arial" w:hAnsi="Arial" w:cs="Arial"/>
          <w:sz w:val="24"/>
          <w:szCs w:val="24"/>
        </w:rPr>
        <w:t>. Paris: UNESCO Publishing.</w:t>
      </w:r>
    </w:p>
    <w:p w14:paraId="22AEC7AF" w14:textId="609CE146"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UNCRC</w:t>
      </w:r>
      <w:r>
        <w:rPr>
          <w:rFonts w:ascii="Arial" w:hAnsi="Arial" w:cs="Arial"/>
          <w:sz w:val="24"/>
          <w:szCs w:val="24"/>
        </w:rPr>
        <w:t>.</w:t>
      </w:r>
      <w:r w:rsidRPr="006D5360">
        <w:rPr>
          <w:rFonts w:ascii="Arial" w:hAnsi="Arial" w:cs="Arial"/>
          <w:sz w:val="24"/>
          <w:szCs w:val="24"/>
        </w:rPr>
        <w:t xml:space="preserve"> (1989) </w:t>
      </w:r>
      <w:r w:rsidRPr="006D5360">
        <w:rPr>
          <w:rFonts w:ascii="Arial" w:hAnsi="Arial" w:cs="Arial"/>
          <w:i/>
          <w:iCs/>
          <w:sz w:val="24"/>
          <w:szCs w:val="24"/>
        </w:rPr>
        <w:t>United Nations Convention on the Rights of the Child</w:t>
      </w:r>
      <w:r w:rsidRPr="006D5360">
        <w:rPr>
          <w:rFonts w:ascii="Arial" w:hAnsi="Arial" w:cs="Arial"/>
          <w:sz w:val="24"/>
          <w:szCs w:val="24"/>
        </w:rPr>
        <w:t>. Available at: https://www.ohchr.org/en/instruments-mechanisms/instruments/convention-rights-child [Accessed: 6 July 2025].</w:t>
      </w:r>
    </w:p>
    <w:p w14:paraId="262F52F3" w14:textId="7D7B2E6A" w:rsidR="006D5360" w:rsidRPr="006D5360" w:rsidRDefault="006D5360" w:rsidP="00061AA5">
      <w:pPr>
        <w:spacing w:line="360" w:lineRule="auto"/>
        <w:rPr>
          <w:rFonts w:ascii="Arial" w:hAnsi="Arial" w:cs="Arial"/>
          <w:sz w:val="24"/>
          <w:szCs w:val="24"/>
        </w:rPr>
      </w:pPr>
      <w:r w:rsidRPr="006D5360">
        <w:rPr>
          <w:rFonts w:ascii="Arial" w:hAnsi="Arial" w:cs="Arial"/>
          <w:sz w:val="24"/>
          <w:szCs w:val="24"/>
        </w:rPr>
        <w:t>Welsh Government</w:t>
      </w:r>
      <w:r>
        <w:rPr>
          <w:rFonts w:ascii="Arial" w:hAnsi="Arial" w:cs="Arial"/>
          <w:sz w:val="24"/>
          <w:szCs w:val="24"/>
        </w:rPr>
        <w:t>.</w:t>
      </w:r>
      <w:r w:rsidRPr="006D5360">
        <w:rPr>
          <w:rFonts w:ascii="Arial" w:hAnsi="Arial" w:cs="Arial"/>
          <w:sz w:val="24"/>
          <w:szCs w:val="24"/>
        </w:rPr>
        <w:t xml:space="preserve"> (2015) </w:t>
      </w:r>
      <w:r w:rsidRPr="006D5360">
        <w:rPr>
          <w:rFonts w:ascii="Arial" w:hAnsi="Arial" w:cs="Arial"/>
          <w:i/>
          <w:iCs/>
          <w:sz w:val="24"/>
          <w:szCs w:val="24"/>
        </w:rPr>
        <w:t>Well-being of Future Generations (Wales) Act</w:t>
      </w:r>
      <w:r w:rsidRPr="006D5360">
        <w:rPr>
          <w:rFonts w:ascii="Arial" w:hAnsi="Arial" w:cs="Arial"/>
          <w:sz w:val="24"/>
          <w:szCs w:val="24"/>
        </w:rPr>
        <w:t>. Available at: https://www.futuregenerations.wales/wp-content/uploads/2017/02/150623-guide-to-the-fg-act-en.pdf [Accessed: 6 July 2025].</w:t>
      </w:r>
    </w:p>
    <w:p w14:paraId="3A45FA72" w14:textId="77777777" w:rsidR="006D5360" w:rsidRPr="006D5360" w:rsidRDefault="006D5360">
      <w:pPr>
        <w:rPr>
          <w:rFonts w:ascii="Arial" w:hAnsi="Arial" w:cs="Arial"/>
          <w:sz w:val="24"/>
          <w:szCs w:val="24"/>
          <w:u w:val="single"/>
        </w:rPr>
      </w:pPr>
    </w:p>
    <w:sectPr w:rsidR="006D5360" w:rsidRPr="006D53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E9924" w14:textId="77777777" w:rsidR="00061AA5" w:rsidRDefault="00061AA5" w:rsidP="00061AA5">
      <w:pPr>
        <w:spacing w:after="0" w:line="240" w:lineRule="auto"/>
      </w:pPr>
      <w:r>
        <w:separator/>
      </w:r>
    </w:p>
  </w:endnote>
  <w:endnote w:type="continuationSeparator" w:id="0">
    <w:p w14:paraId="4A93A74D" w14:textId="77777777" w:rsidR="00061AA5" w:rsidRDefault="00061AA5" w:rsidP="00061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226868"/>
      <w:docPartObj>
        <w:docPartGallery w:val="Page Numbers (Bottom of Page)"/>
        <w:docPartUnique/>
      </w:docPartObj>
    </w:sdtPr>
    <w:sdtEndPr>
      <w:rPr>
        <w:noProof/>
      </w:rPr>
    </w:sdtEndPr>
    <w:sdtContent>
      <w:p w14:paraId="1D43E0BD" w14:textId="47E6CE9C" w:rsidR="00061AA5" w:rsidRDefault="00061AA5">
        <w:pPr>
          <w:pStyle w:val="Footer"/>
        </w:pPr>
        <w:r>
          <w:fldChar w:fldCharType="begin"/>
        </w:r>
        <w:r>
          <w:instrText xml:space="preserve"> PAGE   \* MERGEFORMAT </w:instrText>
        </w:r>
        <w:r>
          <w:fldChar w:fldCharType="separate"/>
        </w:r>
        <w:r>
          <w:rPr>
            <w:noProof/>
          </w:rPr>
          <w:t>2</w:t>
        </w:r>
        <w:r>
          <w:rPr>
            <w:noProof/>
          </w:rPr>
          <w:fldChar w:fldCharType="end"/>
        </w:r>
      </w:p>
    </w:sdtContent>
  </w:sdt>
  <w:p w14:paraId="64AE445C" w14:textId="77777777" w:rsidR="00061AA5" w:rsidRDefault="00061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B4754" w14:textId="77777777" w:rsidR="00061AA5" w:rsidRDefault="00061AA5" w:rsidP="00061AA5">
      <w:pPr>
        <w:spacing w:after="0" w:line="240" w:lineRule="auto"/>
      </w:pPr>
      <w:r>
        <w:separator/>
      </w:r>
    </w:p>
  </w:footnote>
  <w:footnote w:type="continuationSeparator" w:id="0">
    <w:p w14:paraId="25991A4C" w14:textId="77777777" w:rsidR="00061AA5" w:rsidRDefault="00061AA5" w:rsidP="00061A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BE5D" w14:textId="41C9264C" w:rsidR="00061AA5" w:rsidRDefault="00061AA5" w:rsidP="00061AA5">
    <w:pPr>
      <w:pStyle w:val="Header"/>
      <w:jc w:val="right"/>
    </w:pPr>
    <w:r>
      <w:t>ECEY6005</w:t>
    </w:r>
  </w:p>
  <w:p w14:paraId="1035F296" w14:textId="67147656" w:rsidR="00061AA5" w:rsidRDefault="00061AA5" w:rsidP="00061AA5">
    <w:pPr>
      <w:pStyle w:val="Header"/>
      <w:jc w:val="right"/>
    </w:pPr>
    <w:r>
      <w:t>1400404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3F"/>
    <w:rsid w:val="00061AA5"/>
    <w:rsid w:val="00354D6B"/>
    <w:rsid w:val="0038713F"/>
    <w:rsid w:val="00423499"/>
    <w:rsid w:val="004F4303"/>
    <w:rsid w:val="0050164A"/>
    <w:rsid w:val="005278DD"/>
    <w:rsid w:val="00636CE5"/>
    <w:rsid w:val="006868AC"/>
    <w:rsid w:val="006D5360"/>
    <w:rsid w:val="00905B65"/>
    <w:rsid w:val="00A613FC"/>
    <w:rsid w:val="00A74DF4"/>
    <w:rsid w:val="00B11309"/>
    <w:rsid w:val="00B4127B"/>
    <w:rsid w:val="00B95BEF"/>
    <w:rsid w:val="00BB63D5"/>
    <w:rsid w:val="00BD4663"/>
    <w:rsid w:val="00CC32E4"/>
    <w:rsid w:val="00D37F20"/>
    <w:rsid w:val="00D522A9"/>
    <w:rsid w:val="00E70765"/>
    <w:rsid w:val="00FA1728"/>
    <w:rsid w:val="00FC5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034F4A"/>
  <w15:chartTrackingRefBased/>
  <w15:docId w15:val="{44BC3F8F-71DF-4E73-8C58-440B639B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2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0765"/>
    <w:rPr>
      <w:color w:val="0563C1" w:themeColor="hyperlink"/>
      <w:u w:val="single"/>
    </w:rPr>
  </w:style>
  <w:style w:type="character" w:styleId="UnresolvedMention">
    <w:name w:val="Unresolved Mention"/>
    <w:basedOn w:val="DefaultParagraphFont"/>
    <w:uiPriority w:val="99"/>
    <w:semiHidden/>
    <w:unhideWhenUsed/>
    <w:rsid w:val="00E70765"/>
    <w:rPr>
      <w:color w:val="605E5C"/>
      <w:shd w:val="clear" w:color="auto" w:fill="E1DFDD"/>
    </w:rPr>
  </w:style>
  <w:style w:type="character" w:styleId="Emphasis">
    <w:name w:val="Emphasis"/>
    <w:basedOn w:val="DefaultParagraphFont"/>
    <w:uiPriority w:val="20"/>
    <w:qFormat/>
    <w:rsid w:val="00E70765"/>
    <w:rPr>
      <w:i/>
      <w:iCs/>
    </w:rPr>
  </w:style>
  <w:style w:type="paragraph" w:styleId="Header">
    <w:name w:val="header"/>
    <w:basedOn w:val="Normal"/>
    <w:link w:val="HeaderChar"/>
    <w:uiPriority w:val="99"/>
    <w:unhideWhenUsed/>
    <w:rsid w:val="00061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AA5"/>
  </w:style>
  <w:style w:type="paragraph" w:styleId="Footer">
    <w:name w:val="footer"/>
    <w:basedOn w:val="Normal"/>
    <w:link w:val="FooterChar"/>
    <w:uiPriority w:val="99"/>
    <w:unhideWhenUsed/>
    <w:rsid w:val="00061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A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2700">
      <w:bodyDiv w:val="1"/>
      <w:marLeft w:val="0"/>
      <w:marRight w:val="0"/>
      <w:marTop w:val="0"/>
      <w:marBottom w:val="0"/>
      <w:divBdr>
        <w:top w:val="none" w:sz="0" w:space="0" w:color="auto"/>
        <w:left w:val="none" w:sz="0" w:space="0" w:color="auto"/>
        <w:bottom w:val="none" w:sz="0" w:space="0" w:color="auto"/>
        <w:right w:val="none" w:sz="0" w:space="0" w:color="auto"/>
      </w:divBdr>
    </w:div>
    <w:div w:id="54402484">
      <w:bodyDiv w:val="1"/>
      <w:marLeft w:val="0"/>
      <w:marRight w:val="0"/>
      <w:marTop w:val="0"/>
      <w:marBottom w:val="0"/>
      <w:divBdr>
        <w:top w:val="none" w:sz="0" w:space="0" w:color="auto"/>
        <w:left w:val="none" w:sz="0" w:space="0" w:color="auto"/>
        <w:bottom w:val="none" w:sz="0" w:space="0" w:color="auto"/>
        <w:right w:val="none" w:sz="0" w:space="0" w:color="auto"/>
      </w:divBdr>
    </w:div>
    <w:div w:id="80953591">
      <w:bodyDiv w:val="1"/>
      <w:marLeft w:val="0"/>
      <w:marRight w:val="0"/>
      <w:marTop w:val="0"/>
      <w:marBottom w:val="0"/>
      <w:divBdr>
        <w:top w:val="none" w:sz="0" w:space="0" w:color="auto"/>
        <w:left w:val="none" w:sz="0" w:space="0" w:color="auto"/>
        <w:bottom w:val="none" w:sz="0" w:space="0" w:color="auto"/>
        <w:right w:val="none" w:sz="0" w:space="0" w:color="auto"/>
      </w:divBdr>
    </w:div>
    <w:div w:id="199707043">
      <w:bodyDiv w:val="1"/>
      <w:marLeft w:val="0"/>
      <w:marRight w:val="0"/>
      <w:marTop w:val="0"/>
      <w:marBottom w:val="0"/>
      <w:divBdr>
        <w:top w:val="none" w:sz="0" w:space="0" w:color="auto"/>
        <w:left w:val="none" w:sz="0" w:space="0" w:color="auto"/>
        <w:bottom w:val="none" w:sz="0" w:space="0" w:color="auto"/>
        <w:right w:val="none" w:sz="0" w:space="0" w:color="auto"/>
      </w:divBdr>
    </w:div>
    <w:div w:id="203449698">
      <w:bodyDiv w:val="1"/>
      <w:marLeft w:val="0"/>
      <w:marRight w:val="0"/>
      <w:marTop w:val="0"/>
      <w:marBottom w:val="0"/>
      <w:divBdr>
        <w:top w:val="none" w:sz="0" w:space="0" w:color="auto"/>
        <w:left w:val="none" w:sz="0" w:space="0" w:color="auto"/>
        <w:bottom w:val="none" w:sz="0" w:space="0" w:color="auto"/>
        <w:right w:val="none" w:sz="0" w:space="0" w:color="auto"/>
      </w:divBdr>
    </w:div>
    <w:div w:id="346637664">
      <w:bodyDiv w:val="1"/>
      <w:marLeft w:val="0"/>
      <w:marRight w:val="0"/>
      <w:marTop w:val="0"/>
      <w:marBottom w:val="0"/>
      <w:divBdr>
        <w:top w:val="none" w:sz="0" w:space="0" w:color="auto"/>
        <w:left w:val="none" w:sz="0" w:space="0" w:color="auto"/>
        <w:bottom w:val="none" w:sz="0" w:space="0" w:color="auto"/>
        <w:right w:val="none" w:sz="0" w:space="0" w:color="auto"/>
      </w:divBdr>
    </w:div>
    <w:div w:id="445469459">
      <w:bodyDiv w:val="1"/>
      <w:marLeft w:val="0"/>
      <w:marRight w:val="0"/>
      <w:marTop w:val="0"/>
      <w:marBottom w:val="0"/>
      <w:divBdr>
        <w:top w:val="none" w:sz="0" w:space="0" w:color="auto"/>
        <w:left w:val="none" w:sz="0" w:space="0" w:color="auto"/>
        <w:bottom w:val="none" w:sz="0" w:space="0" w:color="auto"/>
        <w:right w:val="none" w:sz="0" w:space="0" w:color="auto"/>
      </w:divBdr>
    </w:div>
    <w:div w:id="447624787">
      <w:bodyDiv w:val="1"/>
      <w:marLeft w:val="0"/>
      <w:marRight w:val="0"/>
      <w:marTop w:val="0"/>
      <w:marBottom w:val="0"/>
      <w:divBdr>
        <w:top w:val="none" w:sz="0" w:space="0" w:color="auto"/>
        <w:left w:val="none" w:sz="0" w:space="0" w:color="auto"/>
        <w:bottom w:val="none" w:sz="0" w:space="0" w:color="auto"/>
        <w:right w:val="none" w:sz="0" w:space="0" w:color="auto"/>
      </w:divBdr>
    </w:div>
    <w:div w:id="463668495">
      <w:bodyDiv w:val="1"/>
      <w:marLeft w:val="0"/>
      <w:marRight w:val="0"/>
      <w:marTop w:val="0"/>
      <w:marBottom w:val="0"/>
      <w:divBdr>
        <w:top w:val="none" w:sz="0" w:space="0" w:color="auto"/>
        <w:left w:val="none" w:sz="0" w:space="0" w:color="auto"/>
        <w:bottom w:val="none" w:sz="0" w:space="0" w:color="auto"/>
        <w:right w:val="none" w:sz="0" w:space="0" w:color="auto"/>
      </w:divBdr>
    </w:div>
    <w:div w:id="465321233">
      <w:bodyDiv w:val="1"/>
      <w:marLeft w:val="0"/>
      <w:marRight w:val="0"/>
      <w:marTop w:val="0"/>
      <w:marBottom w:val="0"/>
      <w:divBdr>
        <w:top w:val="none" w:sz="0" w:space="0" w:color="auto"/>
        <w:left w:val="none" w:sz="0" w:space="0" w:color="auto"/>
        <w:bottom w:val="none" w:sz="0" w:space="0" w:color="auto"/>
        <w:right w:val="none" w:sz="0" w:space="0" w:color="auto"/>
      </w:divBdr>
    </w:div>
    <w:div w:id="494303866">
      <w:bodyDiv w:val="1"/>
      <w:marLeft w:val="0"/>
      <w:marRight w:val="0"/>
      <w:marTop w:val="0"/>
      <w:marBottom w:val="0"/>
      <w:divBdr>
        <w:top w:val="none" w:sz="0" w:space="0" w:color="auto"/>
        <w:left w:val="none" w:sz="0" w:space="0" w:color="auto"/>
        <w:bottom w:val="none" w:sz="0" w:space="0" w:color="auto"/>
        <w:right w:val="none" w:sz="0" w:space="0" w:color="auto"/>
      </w:divBdr>
    </w:div>
    <w:div w:id="556279000">
      <w:bodyDiv w:val="1"/>
      <w:marLeft w:val="0"/>
      <w:marRight w:val="0"/>
      <w:marTop w:val="0"/>
      <w:marBottom w:val="0"/>
      <w:divBdr>
        <w:top w:val="none" w:sz="0" w:space="0" w:color="auto"/>
        <w:left w:val="none" w:sz="0" w:space="0" w:color="auto"/>
        <w:bottom w:val="none" w:sz="0" w:space="0" w:color="auto"/>
        <w:right w:val="none" w:sz="0" w:space="0" w:color="auto"/>
      </w:divBdr>
    </w:div>
    <w:div w:id="570315682">
      <w:bodyDiv w:val="1"/>
      <w:marLeft w:val="0"/>
      <w:marRight w:val="0"/>
      <w:marTop w:val="0"/>
      <w:marBottom w:val="0"/>
      <w:divBdr>
        <w:top w:val="none" w:sz="0" w:space="0" w:color="auto"/>
        <w:left w:val="none" w:sz="0" w:space="0" w:color="auto"/>
        <w:bottom w:val="none" w:sz="0" w:space="0" w:color="auto"/>
        <w:right w:val="none" w:sz="0" w:space="0" w:color="auto"/>
      </w:divBdr>
    </w:div>
    <w:div w:id="579481521">
      <w:bodyDiv w:val="1"/>
      <w:marLeft w:val="0"/>
      <w:marRight w:val="0"/>
      <w:marTop w:val="0"/>
      <w:marBottom w:val="0"/>
      <w:divBdr>
        <w:top w:val="none" w:sz="0" w:space="0" w:color="auto"/>
        <w:left w:val="none" w:sz="0" w:space="0" w:color="auto"/>
        <w:bottom w:val="none" w:sz="0" w:space="0" w:color="auto"/>
        <w:right w:val="none" w:sz="0" w:space="0" w:color="auto"/>
      </w:divBdr>
    </w:div>
    <w:div w:id="601646950">
      <w:bodyDiv w:val="1"/>
      <w:marLeft w:val="0"/>
      <w:marRight w:val="0"/>
      <w:marTop w:val="0"/>
      <w:marBottom w:val="0"/>
      <w:divBdr>
        <w:top w:val="none" w:sz="0" w:space="0" w:color="auto"/>
        <w:left w:val="none" w:sz="0" w:space="0" w:color="auto"/>
        <w:bottom w:val="none" w:sz="0" w:space="0" w:color="auto"/>
        <w:right w:val="none" w:sz="0" w:space="0" w:color="auto"/>
      </w:divBdr>
    </w:div>
    <w:div w:id="717121794">
      <w:bodyDiv w:val="1"/>
      <w:marLeft w:val="0"/>
      <w:marRight w:val="0"/>
      <w:marTop w:val="0"/>
      <w:marBottom w:val="0"/>
      <w:divBdr>
        <w:top w:val="none" w:sz="0" w:space="0" w:color="auto"/>
        <w:left w:val="none" w:sz="0" w:space="0" w:color="auto"/>
        <w:bottom w:val="none" w:sz="0" w:space="0" w:color="auto"/>
        <w:right w:val="none" w:sz="0" w:space="0" w:color="auto"/>
      </w:divBdr>
    </w:div>
    <w:div w:id="867984091">
      <w:bodyDiv w:val="1"/>
      <w:marLeft w:val="0"/>
      <w:marRight w:val="0"/>
      <w:marTop w:val="0"/>
      <w:marBottom w:val="0"/>
      <w:divBdr>
        <w:top w:val="none" w:sz="0" w:space="0" w:color="auto"/>
        <w:left w:val="none" w:sz="0" w:space="0" w:color="auto"/>
        <w:bottom w:val="none" w:sz="0" w:space="0" w:color="auto"/>
        <w:right w:val="none" w:sz="0" w:space="0" w:color="auto"/>
      </w:divBdr>
    </w:div>
    <w:div w:id="918825862">
      <w:bodyDiv w:val="1"/>
      <w:marLeft w:val="0"/>
      <w:marRight w:val="0"/>
      <w:marTop w:val="0"/>
      <w:marBottom w:val="0"/>
      <w:divBdr>
        <w:top w:val="none" w:sz="0" w:space="0" w:color="auto"/>
        <w:left w:val="none" w:sz="0" w:space="0" w:color="auto"/>
        <w:bottom w:val="none" w:sz="0" w:space="0" w:color="auto"/>
        <w:right w:val="none" w:sz="0" w:space="0" w:color="auto"/>
      </w:divBdr>
    </w:div>
    <w:div w:id="943534179">
      <w:bodyDiv w:val="1"/>
      <w:marLeft w:val="0"/>
      <w:marRight w:val="0"/>
      <w:marTop w:val="0"/>
      <w:marBottom w:val="0"/>
      <w:divBdr>
        <w:top w:val="none" w:sz="0" w:space="0" w:color="auto"/>
        <w:left w:val="none" w:sz="0" w:space="0" w:color="auto"/>
        <w:bottom w:val="none" w:sz="0" w:space="0" w:color="auto"/>
        <w:right w:val="none" w:sz="0" w:space="0" w:color="auto"/>
      </w:divBdr>
    </w:div>
    <w:div w:id="951785968">
      <w:bodyDiv w:val="1"/>
      <w:marLeft w:val="0"/>
      <w:marRight w:val="0"/>
      <w:marTop w:val="0"/>
      <w:marBottom w:val="0"/>
      <w:divBdr>
        <w:top w:val="none" w:sz="0" w:space="0" w:color="auto"/>
        <w:left w:val="none" w:sz="0" w:space="0" w:color="auto"/>
        <w:bottom w:val="none" w:sz="0" w:space="0" w:color="auto"/>
        <w:right w:val="none" w:sz="0" w:space="0" w:color="auto"/>
      </w:divBdr>
    </w:div>
    <w:div w:id="968630486">
      <w:bodyDiv w:val="1"/>
      <w:marLeft w:val="0"/>
      <w:marRight w:val="0"/>
      <w:marTop w:val="0"/>
      <w:marBottom w:val="0"/>
      <w:divBdr>
        <w:top w:val="none" w:sz="0" w:space="0" w:color="auto"/>
        <w:left w:val="none" w:sz="0" w:space="0" w:color="auto"/>
        <w:bottom w:val="none" w:sz="0" w:space="0" w:color="auto"/>
        <w:right w:val="none" w:sz="0" w:space="0" w:color="auto"/>
      </w:divBdr>
    </w:div>
    <w:div w:id="1166628121">
      <w:bodyDiv w:val="1"/>
      <w:marLeft w:val="0"/>
      <w:marRight w:val="0"/>
      <w:marTop w:val="0"/>
      <w:marBottom w:val="0"/>
      <w:divBdr>
        <w:top w:val="none" w:sz="0" w:space="0" w:color="auto"/>
        <w:left w:val="none" w:sz="0" w:space="0" w:color="auto"/>
        <w:bottom w:val="none" w:sz="0" w:space="0" w:color="auto"/>
        <w:right w:val="none" w:sz="0" w:space="0" w:color="auto"/>
      </w:divBdr>
    </w:div>
    <w:div w:id="1334334935">
      <w:bodyDiv w:val="1"/>
      <w:marLeft w:val="0"/>
      <w:marRight w:val="0"/>
      <w:marTop w:val="0"/>
      <w:marBottom w:val="0"/>
      <w:divBdr>
        <w:top w:val="none" w:sz="0" w:space="0" w:color="auto"/>
        <w:left w:val="none" w:sz="0" w:space="0" w:color="auto"/>
        <w:bottom w:val="none" w:sz="0" w:space="0" w:color="auto"/>
        <w:right w:val="none" w:sz="0" w:space="0" w:color="auto"/>
      </w:divBdr>
    </w:div>
    <w:div w:id="1391078698">
      <w:bodyDiv w:val="1"/>
      <w:marLeft w:val="0"/>
      <w:marRight w:val="0"/>
      <w:marTop w:val="0"/>
      <w:marBottom w:val="0"/>
      <w:divBdr>
        <w:top w:val="none" w:sz="0" w:space="0" w:color="auto"/>
        <w:left w:val="none" w:sz="0" w:space="0" w:color="auto"/>
        <w:bottom w:val="none" w:sz="0" w:space="0" w:color="auto"/>
        <w:right w:val="none" w:sz="0" w:space="0" w:color="auto"/>
      </w:divBdr>
    </w:div>
    <w:div w:id="1498575790">
      <w:bodyDiv w:val="1"/>
      <w:marLeft w:val="0"/>
      <w:marRight w:val="0"/>
      <w:marTop w:val="0"/>
      <w:marBottom w:val="0"/>
      <w:divBdr>
        <w:top w:val="none" w:sz="0" w:space="0" w:color="auto"/>
        <w:left w:val="none" w:sz="0" w:space="0" w:color="auto"/>
        <w:bottom w:val="none" w:sz="0" w:space="0" w:color="auto"/>
        <w:right w:val="none" w:sz="0" w:space="0" w:color="auto"/>
      </w:divBdr>
    </w:div>
    <w:div w:id="1547251183">
      <w:bodyDiv w:val="1"/>
      <w:marLeft w:val="0"/>
      <w:marRight w:val="0"/>
      <w:marTop w:val="0"/>
      <w:marBottom w:val="0"/>
      <w:divBdr>
        <w:top w:val="none" w:sz="0" w:space="0" w:color="auto"/>
        <w:left w:val="none" w:sz="0" w:space="0" w:color="auto"/>
        <w:bottom w:val="none" w:sz="0" w:space="0" w:color="auto"/>
        <w:right w:val="none" w:sz="0" w:space="0" w:color="auto"/>
      </w:divBdr>
    </w:div>
    <w:div w:id="1572498413">
      <w:bodyDiv w:val="1"/>
      <w:marLeft w:val="0"/>
      <w:marRight w:val="0"/>
      <w:marTop w:val="0"/>
      <w:marBottom w:val="0"/>
      <w:divBdr>
        <w:top w:val="none" w:sz="0" w:space="0" w:color="auto"/>
        <w:left w:val="none" w:sz="0" w:space="0" w:color="auto"/>
        <w:bottom w:val="none" w:sz="0" w:space="0" w:color="auto"/>
        <w:right w:val="none" w:sz="0" w:space="0" w:color="auto"/>
      </w:divBdr>
    </w:div>
    <w:div w:id="1686321361">
      <w:bodyDiv w:val="1"/>
      <w:marLeft w:val="0"/>
      <w:marRight w:val="0"/>
      <w:marTop w:val="0"/>
      <w:marBottom w:val="0"/>
      <w:divBdr>
        <w:top w:val="none" w:sz="0" w:space="0" w:color="auto"/>
        <w:left w:val="none" w:sz="0" w:space="0" w:color="auto"/>
        <w:bottom w:val="none" w:sz="0" w:space="0" w:color="auto"/>
        <w:right w:val="none" w:sz="0" w:space="0" w:color="auto"/>
      </w:divBdr>
    </w:div>
    <w:div w:id="1740246824">
      <w:bodyDiv w:val="1"/>
      <w:marLeft w:val="0"/>
      <w:marRight w:val="0"/>
      <w:marTop w:val="0"/>
      <w:marBottom w:val="0"/>
      <w:divBdr>
        <w:top w:val="none" w:sz="0" w:space="0" w:color="auto"/>
        <w:left w:val="none" w:sz="0" w:space="0" w:color="auto"/>
        <w:bottom w:val="none" w:sz="0" w:space="0" w:color="auto"/>
        <w:right w:val="none" w:sz="0" w:space="0" w:color="auto"/>
      </w:divBdr>
    </w:div>
    <w:div w:id="1768385632">
      <w:bodyDiv w:val="1"/>
      <w:marLeft w:val="0"/>
      <w:marRight w:val="0"/>
      <w:marTop w:val="0"/>
      <w:marBottom w:val="0"/>
      <w:divBdr>
        <w:top w:val="none" w:sz="0" w:space="0" w:color="auto"/>
        <w:left w:val="none" w:sz="0" w:space="0" w:color="auto"/>
        <w:bottom w:val="none" w:sz="0" w:space="0" w:color="auto"/>
        <w:right w:val="none" w:sz="0" w:space="0" w:color="auto"/>
      </w:divBdr>
    </w:div>
    <w:div w:id="1790127961">
      <w:bodyDiv w:val="1"/>
      <w:marLeft w:val="0"/>
      <w:marRight w:val="0"/>
      <w:marTop w:val="0"/>
      <w:marBottom w:val="0"/>
      <w:divBdr>
        <w:top w:val="none" w:sz="0" w:space="0" w:color="auto"/>
        <w:left w:val="none" w:sz="0" w:space="0" w:color="auto"/>
        <w:bottom w:val="none" w:sz="0" w:space="0" w:color="auto"/>
        <w:right w:val="none" w:sz="0" w:space="0" w:color="auto"/>
      </w:divBdr>
    </w:div>
    <w:div w:id="1836795337">
      <w:bodyDiv w:val="1"/>
      <w:marLeft w:val="0"/>
      <w:marRight w:val="0"/>
      <w:marTop w:val="0"/>
      <w:marBottom w:val="0"/>
      <w:divBdr>
        <w:top w:val="none" w:sz="0" w:space="0" w:color="auto"/>
        <w:left w:val="none" w:sz="0" w:space="0" w:color="auto"/>
        <w:bottom w:val="none" w:sz="0" w:space="0" w:color="auto"/>
        <w:right w:val="none" w:sz="0" w:space="0" w:color="auto"/>
      </w:divBdr>
    </w:div>
    <w:div w:id="1902982578">
      <w:bodyDiv w:val="1"/>
      <w:marLeft w:val="0"/>
      <w:marRight w:val="0"/>
      <w:marTop w:val="0"/>
      <w:marBottom w:val="0"/>
      <w:divBdr>
        <w:top w:val="none" w:sz="0" w:space="0" w:color="auto"/>
        <w:left w:val="none" w:sz="0" w:space="0" w:color="auto"/>
        <w:bottom w:val="none" w:sz="0" w:space="0" w:color="auto"/>
        <w:right w:val="none" w:sz="0" w:space="0" w:color="auto"/>
      </w:divBdr>
    </w:div>
    <w:div w:id="1937403969">
      <w:bodyDiv w:val="1"/>
      <w:marLeft w:val="0"/>
      <w:marRight w:val="0"/>
      <w:marTop w:val="0"/>
      <w:marBottom w:val="0"/>
      <w:divBdr>
        <w:top w:val="none" w:sz="0" w:space="0" w:color="auto"/>
        <w:left w:val="none" w:sz="0" w:space="0" w:color="auto"/>
        <w:bottom w:val="none" w:sz="0" w:space="0" w:color="auto"/>
        <w:right w:val="none" w:sz="0" w:space="0" w:color="auto"/>
      </w:divBdr>
    </w:div>
    <w:div w:id="1990819497">
      <w:bodyDiv w:val="1"/>
      <w:marLeft w:val="0"/>
      <w:marRight w:val="0"/>
      <w:marTop w:val="0"/>
      <w:marBottom w:val="0"/>
      <w:divBdr>
        <w:top w:val="none" w:sz="0" w:space="0" w:color="auto"/>
        <w:left w:val="none" w:sz="0" w:space="0" w:color="auto"/>
        <w:bottom w:val="none" w:sz="0" w:space="0" w:color="auto"/>
        <w:right w:val="none" w:sz="0" w:space="0" w:color="auto"/>
      </w:divBdr>
    </w:div>
    <w:div w:id="207631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11</Pages>
  <Words>3378</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USK.CImms</dc:creator>
  <cp:keywords/>
  <dc:description/>
  <cp:lastModifiedBy>Chelsey Imms</cp:lastModifiedBy>
  <cp:revision>4</cp:revision>
  <dcterms:created xsi:type="dcterms:W3CDTF">2025-07-06T20:20:00Z</dcterms:created>
  <dcterms:modified xsi:type="dcterms:W3CDTF">2025-07-07T15:27:00Z</dcterms:modified>
</cp:coreProperties>
</file>