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D57" w:rsidRDefault="00DB3570">
      <w:pPr>
        <w:rPr>
          <w:i/>
        </w:rPr>
      </w:pPr>
      <w:r>
        <w:rPr>
          <w:i/>
        </w:rPr>
        <w:t xml:space="preserve">The </w:t>
      </w:r>
      <w:r w:rsidR="003E5155">
        <w:rPr>
          <w:i/>
        </w:rPr>
        <w:t>significant of religion in reference to community places high value on</w:t>
      </w:r>
      <w:r>
        <w:rPr>
          <w:i/>
        </w:rPr>
        <w:t xml:space="preserve"> the household in antiquity </w:t>
      </w:r>
      <w:r w:rsidR="003E5155">
        <w:rPr>
          <w:i/>
        </w:rPr>
        <w:t xml:space="preserve">as it marks the foundation of ordinary life, with the household also proving to be the centre of societal construct within the city. Outside of the city in the </w:t>
      </w:r>
      <w:r w:rsidR="00B7249B">
        <w:rPr>
          <w:i/>
        </w:rPr>
        <w:t>ancient world</w:t>
      </w:r>
      <w:r w:rsidR="003E5155">
        <w:rPr>
          <w:i/>
        </w:rPr>
        <w:t xml:space="preserve">, </w:t>
      </w:r>
      <w:r w:rsidR="00FA36F6">
        <w:rPr>
          <w:i/>
        </w:rPr>
        <w:t>the connotation of community is then reflected through</w:t>
      </w:r>
      <w:r w:rsidR="003E5155">
        <w:rPr>
          <w:i/>
        </w:rPr>
        <w:t xml:space="preserve"> </w:t>
      </w:r>
      <w:r w:rsidR="00FA36F6">
        <w:rPr>
          <w:i/>
        </w:rPr>
        <w:t>voluntary associations whilst</w:t>
      </w:r>
      <w:r w:rsidR="003E5155">
        <w:rPr>
          <w:i/>
        </w:rPr>
        <w:t xml:space="preserve"> still pertain</w:t>
      </w:r>
      <w:r w:rsidR="00FA36F6">
        <w:rPr>
          <w:i/>
        </w:rPr>
        <w:t>ing</w:t>
      </w:r>
      <w:r w:rsidR="003E5155">
        <w:rPr>
          <w:i/>
        </w:rPr>
        <w:t xml:space="preserve"> to the philosophy that religion was one of the most crucial aspects of ordinary life in antiquity</w:t>
      </w:r>
      <w:r w:rsidR="00FA36F6">
        <w:rPr>
          <w:i/>
        </w:rPr>
        <w:t>.</w:t>
      </w:r>
    </w:p>
    <w:p w:rsidR="007F30CF" w:rsidRDefault="00FA36F6">
      <w:r>
        <w:t xml:space="preserve">The community in ancient antiquity meant that it was heavily expected by </w:t>
      </w:r>
      <w:r w:rsidR="00CE7273">
        <w:t>society</w:t>
      </w:r>
      <w:r>
        <w:t xml:space="preserve"> to worship dei</w:t>
      </w:r>
      <w:r w:rsidR="00CE7273">
        <w:t>ties accepted within the</w:t>
      </w:r>
      <w:r>
        <w:t xml:space="preserve"> community and </w:t>
      </w:r>
      <w:r w:rsidR="00CE7273">
        <w:t xml:space="preserve">to also participate in </w:t>
      </w:r>
      <w:r>
        <w:t>festivals, rituals and even its sacrifices</w:t>
      </w:r>
      <w:r w:rsidR="00CE7273">
        <w:rPr>
          <w:rStyle w:val="FootnoteReference"/>
        </w:rPr>
        <w:footnoteReference w:id="1"/>
      </w:r>
      <w:r w:rsidR="00CE7273">
        <w:t>.</w:t>
      </w:r>
      <w:r w:rsidR="00956153">
        <w:t xml:space="preserve"> Within the community</w:t>
      </w:r>
      <w:r w:rsidR="00B7249B">
        <w:t>, according to Rives,</w:t>
      </w:r>
      <w:r w:rsidR="00956153">
        <w:t xml:space="preserve"> the collective identity proves to be largel</w:t>
      </w:r>
      <w:r w:rsidR="00B7249B">
        <w:t>y crucial</w:t>
      </w:r>
      <w:r w:rsidR="00956153">
        <w:t xml:space="preserve">, especially </w:t>
      </w:r>
      <w:r w:rsidR="00B7249B">
        <w:t>considering</w:t>
      </w:r>
      <w:r w:rsidR="00956153">
        <w:t xml:space="preserve"> t</w:t>
      </w:r>
      <w:r w:rsidR="00B7249B">
        <w:t xml:space="preserve">he diversity </w:t>
      </w:r>
      <w:r w:rsidR="00D87CF6">
        <w:t xml:space="preserve">of </w:t>
      </w:r>
      <w:r w:rsidR="00B7249B">
        <w:t>ancient cultures in antiquity</w:t>
      </w:r>
      <w:r w:rsidR="00D87CF6">
        <w:t>.</w:t>
      </w:r>
      <w:r w:rsidR="00391499">
        <w:t xml:space="preserve"> Within the household the religious worship of the gods was considered a domestic affair, however particular attention will be paid to the significance of the household and how it reflects ordinary life. To support this, evidence from Cicero’s ‘</w:t>
      </w:r>
      <w:r w:rsidR="00391499">
        <w:rPr>
          <w:i/>
        </w:rPr>
        <w:t>On the Laws’</w:t>
      </w:r>
      <w:r w:rsidR="00391499">
        <w:t xml:space="preserve"> (2.19) will be referred to in order to highlight the importance of family identity</w:t>
      </w:r>
      <w:r w:rsidR="00B6520E">
        <w:t>. This paper shall</w:t>
      </w:r>
      <w:r w:rsidR="00391499">
        <w:t xml:space="preserve"> also</w:t>
      </w:r>
      <w:r w:rsidR="00B6520E">
        <w:t xml:space="preserve"> examine the importance of religion in reference to the</w:t>
      </w:r>
      <w:r w:rsidR="007F30CF">
        <w:t xml:space="preserve"> identity of a community whether it be the city state, the</w:t>
      </w:r>
      <w:r w:rsidR="00B6520E">
        <w:t xml:space="preserve"> household </w:t>
      </w:r>
      <w:r w:rsidR="007F30CF">
        <w:t>or voluntary associations and how ordinary life is affected through the social construct of the community</w:t>
      </w:r>
      <w:r w:rsidR="00B6520E">
        <w:t>.</w:t>
      </w:r>
    </w:p>
    <w:p w:rsidR="007F30CF" w:rsidRDefault="007F30CF">
      <w:r w:rsidRPr="007F30CF">
        <w:t xml:space="preserve"> </w:t>
      </w:r>
      <w:r>
        <w:t xml:space="preserve">From Rives chapter four, </w:t>
      </w:r>
      <w:r w:rsidR="00B7249B">
        <w:t>the division of three main factors alludes to the idea that they are in fact the foundation of what it means to be in a community. Firstly the city traditionally had its own patron deity whom was worshipped by the entire community</w:t>
      </w:r>
      <w:r w:rsidR="00B7249B">
        <w:rPr>
          <w:rStyle w:val="FootnoteReference"/>
        </w:rPr>
        <w:footnoteReference w:id="2"/>
      </w:r>
      <w:r w:rsidR="00121730">
        <w:t xml:space="preserve"> and examples of this are Athena in Athens, Artemis in Ephesus, </w:t>
      </w:r>
      <w:proofErr w:type="spellStart"/>
      <w:r w:rsidR="00121730">
        <w:t>Melqart</w:t>
      </w:r>
      <w:proofErr w:type="spellEnd"/>
      <w:r w:rsidR="00121730">
        <w:t>/</w:t>
      </w:r>
      <w:proofErr w:type="spellStart"/>
      <w:r w:rsidR="00121730">
        <w:t>Herakles</w:t>
      </w:r>
      <w:proofErr w:type="spellEnd"/>
      <w:r w:rsidR="00121730">
        <w:t xml:space="preserve"> in Tyre, </w:t>
      </w:r>
      <w:proofErr w:type="spellStart"/>
      <w:proofErr w:type="gramStart"/>
      <w:r w:rsidR="00121730">
        <w:t>Caelestis</w:t>
      </w:r>
      <w:proofErr w:type="spellEnd"/>
      <w:proofErr w:type="gramEnd"/>
      <w:r w:rsidR="00121730">
        <w:t xml:space="preserve"> in Carthage and Jupiter in Rome</w:t>
      </w:r>
      <w:r w:rsidR="00121730">
        <w:rPr>
          <w:rStyle w:val="FootnoteReference"/>
        </w:rPr>
        <w:footnoteReference w:id="3"/>
      </w:r>
      <w:r w:rsidR="00121730">
        <w:t>. With this in mind Rives notes that identification of a city was predominantly seen through its devotion to its chief deity</w:t>
      </w:r>
      <w:r w:rsidR="00121730">
        <w:rPr>
          <w:rStyle w:val="FootnoteReference"/>
        </w:rPr>
        <w:footnoteReference w:id="4"/>
      </w:r>
      <w:r w:rsidR="00121730">
        <w:t xml:space="preserve"> which suggests that the worship of the main deity built a large connection between ordinary life and the community of the city as </w:t>
      </w:r>
      <w:r w:rsidR="00D94F52">
        <w:t xml:space="preserve">its influence assisted in solidifying national identity. Evidence from coinage can further prove that the relationship between communal identity and </w:t>
      </w:r>
      <w:r w:rsidR="00D12400">
        <w:t>the significance of divine figures, such as the depiction of Artemis upon Ephesian coins which appear in abundance.</w:t>
      </w:r>
      <w:r w:rsidR="00162EF4">
        <w:t xml:space="preserve"> The idiosyncratic image of Artemis </w:t>
      </w:r>
      <w:r w:rsidR="009A2BC3">
        <w:t xml:space="preserve">suggests a deeper connection to her than to any other deity as she is specified to be the patron goddess of Ephesus. In addition to being minted on coins, the </w:t>
      </w:r>
      <w:proofErr w:type="gramStart"/>
      <w:r w:rsidR="009A2BC3">
        <w:t>Ephesians</w:t>
      </w:r>
      <w:proofErr w:type="gramEnd"/>
      <w:r w:rsidR="009A2BC3">
        <w:t xml:space="preserve"> further show their devotion by declaring the month of </w:t>
      </w:r>
      <w:proofErr w:type="spellStart"/>
      <w:r w:rsidR="009A2BC3">
        <w:t>Artemision</w:t>
      </w:r>
      <w:proofErr w:type="spellEnd"/>
      <w:r w:rsidR="009A2BC3">
        <w:t xml:space="preserve"> be sacred</w:t>
      </w:r>
      <w:r w:rsidR="009A2BC3">
        <w:rPr>
          <w:rStyle w:val="FootnoteReference"/>
        </w:rPr>
        <w:footnoteReference w:id="5"/>
      </w:r>
      <w:r w:rsidR="00D12400">
        <w:t xml:space="preserve"> </w:t>
      </w:r>
      <w:r w:rsidR="00FA3A04">
        <w:t xml:space="preserve">which further stresses her importance. </w:t>
      </w:r>
      <w:r w:rsidR="00D12400">
        <w:t>Coins today are used to display images and emblems that symbolise national identity and it is the same in antiquity, again highlighting the connection between identity and the community</w:t>
      </w:r>
      <w:r w:rsidR="00FA3A04">
        <w:t xml:space="preserve"> with the religious factor having critical influence over ordinary life</w:t>
      </w:r>
      <w:r w:rsidR="00D12400">
        <w:t xml:space="preserve">. </w:t>
      </w:r>
      <w:r w:rsidR="00FA3A04">
        <w:t>With the cities of the ancient world being so closely identifiable with their patron gods or goddesses, it can be said that rather than religion having an influence over ordinary life, it is more accurate to say that within the community religion is a solid part of everyday life for the community. For people in antiquity to not worship these deities and show their dedication through offerings and rituals, it would have been considered highly insulting to the gods and went against the expectations of society, meaning that it would not typically be accepted to not participate within a religious group, again connoting the importance religion had in relation to public identity.</w:t>
      </w:r>
    </w:p>
    <w:p w:rsidR="006B51D2" w:rsidRDefault="0073562C">
      <w:r>
        <w:t>Concerning the household most</w:t>
      </w:r>
      <w:r w:rsidR="00B6520E">
        <w:t xml:space="preserve"> religious influence surrounds the importance of household gods and the family dead</w:t>
      </w:r>
      <w:r w:rsidR="00B6520E">
        <w:rPr>
          <w:rStyle w:val="FootnoteReference"/>
        </w:rPr>
        <w:footnoteReference w:id="6"/>
      </w:r>
      <w:r w:rsidR="00B6520E">
        <w:t xml:space="preserve"> as the former is a social standard constructed to </w:t>
      </w:r>
      <w:r w:rsidR="004B58D2">
        <w:t xml:space="preserve">form the basic building block of </w:t>
      </w:r>
      <w:r w:rsidR="004B58D2">
        <w:lastRenderedPageBreak/>
        <w:t>the city state</w:t>
      </w:r>
      <w:r w:rsidR="004B58D2">
        <w:rPr>
          <w:rStyle w:val="FootnoteReference"/>
        </w:rPr>
        <w:footnoteReference w:id="7"/>
      </w:r>
      <w:r w:rsidR="004B58D2">
        <w:t xml:space="preserve"> and the latter had high importance in maintaining the identity of the family over time</w:t>
      </w:r>
      <w:r w:rsidR="004B58D2">
        <w:rPr>
          <w:rStyle w:val="FootnoteReference"/>
        </w:rPr>
        <w:footnoteReference w:id="8"/>
      </w:r>
      <w:r w:rsidR="004B58D2">
        <w:t xml:space="preserve">. With these two facts alone it is understandable that </w:t>
      </w:r>
      <w:r w:rsidR="007F30CF">
        <w:t>in everyday life for the ancient antiquarian household there is a large significance concerning religion and its foundation in society.</w:t>
      </w:r>
      <w:r>
        <w:t xml:space="preserve"> Referring to Warrior, the religion of the family is identified by Cicero that every Roman family worshipped its own household deity or deities</w:t>
      </w:r>
      <w:r>
        <w:rPr>
          <w:rStyle w:val="FootnoteReference"/>
        </w:rPr>
        <w:footnoteReference w:id="9"/>
      </w:r>
      <w:r w:rsidR="002D54B8">
        <w:t xml:space="preserve"> as each family would have their own shrine known as a </w:t>
      </w:r>
      <w:proofErr w:type="spellStart"/>
      <w:r w:rsidR="002D54B8">
        <w:t>Lararium</w:t>
      </w:r>
      <w:proofErr w:type="spellEnd"/>
      <w:r w:rsidR="002D54B8">
        <w:rPr>
          <w:rStyle w:val="FootnoteReference"/>
        </w:rPr>
        <w:footnoteReference w:id="10"/>
      </w:r>
      <w:r w:rsidR="002D54B8">
        <w:t xml:space="preserve"> which protected </w:t>
      </w:r>
      <w:r w:rsidR="00D013DD">
        <w:t>the home and its occupants.</w:t>
      </w:r>
      <w:r w:rsidR="005929F0">
        <w:t xml:space="preserve"> Concerning the household gods, the role of the patriarch or the ‘pater familias’ was to tend these shrines in order to maintain favour with their patron gods, which ensured prosperity and protection</w:t>
      </w:r>
      <w:r w:rsidR="005929F0">
        <w:rPr>
          <w:rStyle w:val="FootnoteReference"/>
        </w:rPr>
        <w:footnoteReference w:id="11"/>
      </w:r>
      <w:r w:rsidR="005929F0">
        <w:t xml:space="preserve">. </w:t>
      </w:r>
      <w:r w:rsidR="00260089">
        <w:t>This practice was considered private and usually the deities that are worshipped within the household have been inherited from their ancestors, which again ties with the argument that ordinary life greatly concerns identity which is solidified through religion.</w:t>
      </w:r>
      <w:r w:rsidR="00556C2A">
        <w:t xml:space="preserve"> In Cicero’s ‘</w:t>
      </w:r>
      <w:r w:rsidR="00556C2A">
        <w:rPr>
          <w:i/>
        </w:rPr>
        <w:t>On the Laws</w:t>
      </w:r>
      <w:r w:rsidR="00556C2A">
        <w:t>’ he specifies that no one shall have gods for himself or alien gods</w:t>
      </w:r>
      <w:r w:rsidR="00556C2A">
        <w:rPr>
          <w:rStyle w:val="FootnoteReference"/>
        </w:rPr>
        <w:footnoteReference w:id="12"/>
      </w:r>
      <w:r w:rsidR="004B6065">
        <w:t xml:space="preserve">, suggesting that the worship of deities was a serious practice even in the home. It is also </w:t>
      </w:r>
      <w:r w:rsidR="00916B69">
        <w:t>noted that within the household the worship is private and the gods have been received from the family’s ancestors</w:t>
      </w:r>
      <w:r w:rsidR="00916B69">
        <w:rPr>
          <w:rStyle w:val="FootnoteReference"/>
        </w:rPr>
        <w:footnoteReference w:id="13"/>
      </w:r>
      <w:r w:rsidR="00916B69">
        <w:t xml:space="preserve">, again highlighting the close identity within the household but also gives an insight to ordinary life within the home. </w:t>
      </w:r>
      <w:r w:rsidR="00260089">
        <w:t>To support this the poet Martial</w:t>
      </w:r>
      <w:r w:rsidR="00B24F81">
        <w:t>,</w:t>
      </w:r>
      <w:r w:rsidR="00260089">
        <w:t xml:space="preserve"> </w:t>
      </w:r>
      <w:r w:rsidR="00B24F81">
        <w:t>as explained by Warrior, addresses his family’s patron gods as he leaves the home of his parents, also noting that he will be seeking out other household gods</w:t>
      </w:r>
      <w:r w:rsidR="00B24F81">
        <w:rPr>
          <w:rStyle w:val="FootnoteReference"/>
        </w:rPr>
        <w:footnoteReference w:id="14"/>
      </w:r>
      <w:r w:rsidR="00B24F81">
        <w:t xml:space="preserve"> again depicting the implication that religion is not only crucial to the community as a whole but within the family home as well. As well as family gods, we must also consider the dead and how they were treated in relation to religion. The expectation was that the family of the deceased were responsible not only for ensuring that the dead received a proper burial but also that offerings were regularly made at their grave</w:t>
      </w:r>
      <w:r w:rsidR="00B24F81">
        <w:rPr>
          <w:rStyle w:val="FootnoteReference"/>
        </w:rPr>
        <w:footnoteReference w:id="15"/>
      </w:r>
      <w:r w:rsidR="00B24F81">
        <w:t>. Ritual offerings could also be made with the accompaniment of a meal, binding together both the living and deceased members of the family</w:t>
      </w:r>
      <w:r w:rsidR="00B24F81">
        <w:rPr>
          <w:rStyle w:val="FootnoteReference"/>
        </w:rPr>
        <w:footnoteReference w:id="16"/>
      </w:r>
      <w:r w:rsidR="00B24F81">
        <w:t xml:space="preserve"> in a means to prolong their identity as a household.</w:t>
      </w:r>
      <w:r w:rsidR="00EF1DFF">
        <w:t xml:space="preserve"> In addition to death, birth and marriage also made up a large part of the household’s identity and again had close relations to the religious aspect of the rituals surrounding these factors. </w:t>
      </w:r>
      <w:r w:rsidR="002E5865">
        <w:t>In reference to</w:t>
      </w:r>
      <w:r w:rsidR="00EF1DFF">
        <w:t xml:space="preserve"> marriage, it was considered unsuitable for either a widow or a maid to marry</w:t>
      </w:r>
      <w:r w:rsidR="00EF1DFF">
        <w:rPr>
          <w:rStyle w:val="FootnoteReference"/>
        </w:rPr>
        <w:footnoteReference w:id="17"/>
      </w:r>
      <w:r w:rsidR="00EF1DFF">
        <w:t xml:space="preserve"> according to Ovid, suggesting that with the dedication of certain days to the </w:t>
      </w:r>
      <w:r w:rsidR="002E5865">
        <w:t>dead, the religious aspect of ordinary life had an impact upon individuals within society.</w:t>
      </w:r>
    </w:p>
    <w:p w:rsidR="00AF37AC" w:rsidRDefault="006B51D2">
      <w:r>
        <w:t>In continuation, t</w:t>
      </w:r>
      <w:r w:rsidR="002E5865">
        <w:t xml:space="preserve">he idea of religion and community </w:t>
      </w:r>
      <w:r>
        <w:t>is said by Rives to be interconnected between the household and the city</w:t>
      </w:r>
      <w:r>
        <w:rPr>
          <w:rStyle w:val="FootnoteReference"/>
        </w:rPr>
        <w:footnoteReference w:id="18"/>
      </w:r>
      <w:r>
        <w:t xml:space="preserve"> due to the fact that the city functioned as a larger household itself, allowing the traditional cults of the individual households to exist within society</w:t>
      </w:r>
      <w:r>
        <w:rPr>
          <w:rStyle w:val="FootnoteReference"/>
        </w:rPr>
        <w:footnoteReference w:id="19"/>
      </w:r>
      <w:r>
        <w:t xml:space="preserve">. </w:t>
      </w:r>
      <w:r w:rsidR="00143C25">
        <w:t>Notably in Greek cities, there was a public cult dedicated to Hestia</w:t>
      </w:r>
      <w:r w:rsidR="00036957">
        <w:t xml:space="preserve"> which was represented through a communal hearth</w:t>
      </w:r>
      <w:r w:rsidR="00036957">
        <w:rPr>
          <w:rStyle w:val="FootnoteReference"/>
        </w:rPr>
        <w:footnoteReference w:id="20"/>
      </w:r>
      <w:r w:rsidR="00171A61">
        <w:t xml:space="preserve"> and </w:t>
      </w:r>
      <w:r w:rsidR="00036957">
        <w:t>this is reflected in Roman society through the dedication of a public cult to Vesta where the Vestal Virgins ensured that the central flame never died</w:t>
      </w:r>
      <w:r w:rsidR="00036957">
        <w:rPr>
          <w:rStyle w:val="FootnoteReference"/>
        </w:rPr>
        <w:footnoteReference w:id="21"/>
      </w:r>
      <w:r w:rsidR="00171A61">
        <w:t>.</w:t>
      </w:r>
      <w:r w:rsidR="005B61BB">
        <w:t xml:space="preserve"> Religion, ordinary life and national </w:t>
      </w:r>
      <w:r w:rsidR="005B61BB">
        <w:lastRenderedPageBreak/>
        <w:t xml:space="preserve">identity intermingle to form the basis of the ancient world, the religious cults of families or societies </w:t>
      </w:r>
      <w:r w:rsidR="002D54CD">
        <w:t>being the foundation of their entire lives.</w:t>
      </w:r>
      <w:r w:rsidR="00CD3AD0">
        <w:t xml:space="preserve"> Although there are noteworthy links between household cults and civic cults they do not necessarily embrace one another entirely</w:t>
      </w:r>
      <w:r w:rsidR="00CD3AD0">
        <w:rPr>
          <w:rStyle w:val="FootnoteReference"/>
        </w:rPr>
        <w:footnoteReference w:id="22"/>
      </w:r>
      <w:r w:rsidR="00CD3AD0">
        <w:t xml:space="preserve"> as individuals were able to pursue their own religious ideals without authoritarian interference</w:t>
      </w:r>
      <w:r w:rsidR="00CD3AD0">
        <w:rPr>
          <w:rStyle w:val="FootnoteReference"/>
        </w:rPr>
        <w:footnoteReference w:id="23"/>
      </w:r>
      <w:r w:rsidR="00CD3AD0">
        <w:t xml:space="preserve">. </w:t>
      </w:r>
      <w:r w:rsidR="001E6056">
        <w:t>Similarly to domestic and civic cults it can be seen that what Rives describes as voluntary associations also form for the sake of a shared identity. Rives notes that these groups were formed for a number of reasons however it is limited to three overall types of associations, ethnic, occupational and cultic</w:t>
      </w:r>
      <w:r w:rsidR="001E6056">
        <w:rPr>
          <w:rStyle w:val="FootnoteReference"/>
        </w:rPr>
        <w:footnoteReference w:id="24"/>
      </w:r>
      <w:r w:rsidR="001E6056">
        <w:t xml:space="preserve">. </w:t>
      </w:r>
      <w:r w:rsidR="00D445FA">
        <w:t>As previously established the intertwining of social identity and religious devotion are shared within households and cities</w:t>
      </w:r>
      <w:r w:rsidR="00D445FA">
        <w:rPr>
          <w:rStyle w:val="FootnoteReference"/>
        </w:rPr>
        <w:footnoteReference w:id="25"/>
      </w:r>
      <w:r w:rsidR="00D445FA">
        <w:t xml:space="preserve"> which can also be applied to voluntary associations as they established fellowship, mutual support and common worship</w:t>
      </w:r>
      <w:r w:rsidR="00D445FA">
        <w:rPr>
          <w:rStyle w:val="FootnoteReference"/>
        </w:rPr>
        <w:footnoteReference w:id="26"/>
      </w:r>
      <w:r w:rsidR="00D445FA">
        <w:t xml:space="preserve"> among its participants. </w:t>
      </w:r>
      <w:r w:rsidR="00AB276B">
        <w:t>These associations had varying impacts upon ordinary life within the community, ranging from being virtually official civic bodies</w:t>
      </w:r>
      <w:r w:rsidR="00AB276B">
        <w:rPr>
          <w:rStyle w:val="FootnoteReference"/>
        </w:rPr>
        <w:footnoteReference w:id="27"/>
      </w:r>
      <w:r w:rsidR="00AB276B">
        <w:t>, being identified as dissimilar from society but not unaccepted</w:t>
      </w:r>
      <w:r w:rsidR="00AB276B">
        <w:rPr>
          <w:rStyle w:val="FootnoteReference"/>
        </w:rPr>
        <w:footnoteReference w:id="28"/>
      </w:r>
      <w:r w:rsidR="00AB276B">
        <w:t xml:space="preserve"> or in more extreme cases, they were essentially opposed by the community and were considered a radical alternative</w:t>
      </w:r>
      <w:r w:rsidR="00AB276B">
        <w:rPr>
          <w:rStyle w:val="FootnoteReference"/>
        </w:rPr>
        <w:footnoteReference w:id="29"/>
      </w:r>
      <w:r w:rsidR="00AB276B">
        <w:t>.</w:t>
      </w:r>
      <w:r w:rsidR="007766C0">
        <w:t xml:space="preserve"> The impact of these groups depended on their location, though evidence shows of some of these immigrants setting up permanent locations and bringing their cult religion with them</w:t>
      </w:r>
      <w:r w:rsidR="007766C0">
        <w:rPr>
          <w:rStyle w:val="FootnoteReference"/>
        </w:rPr>
        <w:footnoteReference w:id="30"/>
      </w:r>
      <w:r w:rsidR="007766C0">
        <w:t xml:space="preserve">, such as the </w:t>
      </w:r>
      <w:proofErr w:type="spellStart"/>
      <w:r w:rsidR="007766C0">
        <w:t>Tyrians</w:t>
      </w:r>
      <w:proofErr w:type="spellEnd"/>
      <w:r w:rsidR="007766C0">
        <w:t xml:space="preserve"> who transferred a statue of </w:t>
      </w:r>
      <w:proofErr w:type="spellStart"/>
      <w:r w:rsidR="007766C0">
        <w:t>Sarepta</w:t>
      </w:r>
      <w:proofErr w:type="spellEnd"/>
      <w:r w:rsidR="007766C0">
        <w:t xml:space="preserve"> from Tyre to </w:t>
      </w:r>
      <w:proofErr w:type="spellStart"/>
      <w:r w:rsidR="007766C0">
        <w:t>Puteoli</w:t>
      </w:r>
      <w:proofErr w:type="spellEnd"/>
      <w:r w:rsidR="007766C0">
        <w:t xml:space="preserve"> in the year 79 CE and existed there for another century</w:t>
      </w:r>
      <w:r w:rsidR="007766C0">
        <w:rPr>
          <w:rStyle w:val="FootnoteReference"/>
        </w:rPr>
        <w:footnoteReference w:id="31"/>
      </w:r>
      <w:r w:rsidR="007766C0">
        <w:t>.</w:t>
      </w:r>
      <w:r w:rsidR="00114478">
        <w:t xml:space="preserve"> Despite the movement of people in the ancient world, religion appeared to be the key factor that maintained their sense of identity as they continually practiced their worship of their own deities even when faced with opposition, again supporting the notion that ordinary life surrounds the religion of the community.</w:t>
      </w:r>
    </w:p>
    <w:p w:rsidR="000210FC" w:rsidRDefault="000210FC">
      <w:r>
        <w:t>From reading this chapter and reflecting on the extent to which religion affects so much of ordinary life in antiquity, it greatly altered my perspective on its importance to the domestic and civic lifestyle of the Greco-Roman world.</w:t>
      </w:r>
      <w:r w:rsidR="005C4D57">
        <w:t xml:space="preserve"> Additionally through class discussion it was beneficial to hear the perspective of other’s to contemplate, such as </w:t>
      </w:r>
      <w:r w:rsidR="00E83317">
        <w:t xml:space="preserve">how the lives of the people in the ancient world were practically overruled by their fears of the supernatural, making offerings and performing rituals in order to retain the favour of the gods </w:t>
      </w:r>
      <w:r w:rsidR="002141AE">
        <w:t>yet despite this, there was large acceptance of new deific gods when cultures met either due to expansionism or trade.</w:t>
      </w:r>
      <w:r w:rsidR="000033FE">
        <w:t xml:space="preserve"> With national identity being pivotal and vital to a person in the ancient world, it is my suspicion that the reason why it was considered so important was due to the fact that there was a great deal of immigration which meant that for those moving far away from their homes, their religion was perhaps the only part of their old life that remained constant, therefore it would make sense that they would take their worship so seriously.</w:t>
      </w:r>
    </w:p>
    <w:p w:rsidR="00954237" w:rsidRPr="00A82C81" w:rsidRDefault="00C72532" w:rsidP="00954237">
      <w:pPr>
        <w:rPr>
          <w:rFonts w:ascii="Times New Roman" w:hAnsi="Times New Roman" w:cs="Times New Roman"/>
          <w:sz w:val="24"/>
        </w:rPr>
      </w:pPr>
      <w:r>
        <w:t>Thus to conclud</w:t>
      </w:r>
      <w:r w:rsidR="00320BAE">
        <w:t xml:space="preserve">e it is evident that ordinary life is reflected predominantly through the </w:t>
      </w:r>
      <w:r w:rsidR="009718C3">
        <w:t xml:space="preserve">family home and its household due to the strong connection the family holds to its ancestral identity, maintained through the devotion of worship to its household gods and also through the regular offerings made to deceased family members. </w:t>
      </w:r>
      <w:r w:rsidR="00E71067">
        <w:t xml:space="preserve">Identity is fixated through social construct, focused predominantly on the patron deities of cities which solidify the shared communal distinction which is supported through the representation of divine figures in coinage and within the domestic shrines known as </w:t>
      </w:r>
      <w:proofErr w:type="spellStart"/>
      <w:r w:rsidR="00E71067">
        <w:lastRenderedPageBreak/>
        <w:t>Larariums</w:t>
      </w:r>
      <w:proofErr w:type="spellEnd"/>
      <w:r w:rsidR="00E71067">
        <w:t>. In addition to this, voluntary associations also prove their individuality from being alternative to the ordinary community in ancient antiquity, worshipping deities otherwise considered alien to those in Greco-Roman city states.</w:t>
      </w:r>
      <w:r w:rsidR="00261DC3">
        <w:t xml:space="preserve"> On a whole, Rives effectively encases the </w:t>
      </w:r>
      <w:r w:rsidR="005E0567">
        <w:t>idea</w:t>
      </w:r>
      <w:r w:rsidR="00261DC3">
        <w:t xml:space="preserve"> that religion and the identity of the community are closely connected, reflecting on the fact that in antiquity the worship and devotion of people to their patron gods was a factor in ordinary life that was permanent and </w:t>
      </w:r>
      <w:r w:rsidR="005E0567">
        <w:t>completely normal, therefore it was a central part of their national identity and everyday life.</w:t>
      </w:r>
      <w:r w:rsidR="00954237">
        <w:t xml:space="preserve"> From reading this chapter and through discussion in class</w:t>
      </w:r>
      <w:r w:rsidR="00954237" w:rsidRPr="00954237">
        <w:t xml:space="preserve"> I </w:t>
      </w:r>
      <w:r w:rsidR="00954237">
        <w:t>was able to understand that</w:t>
      </w:r>
      <w:r w:rsidR="00954237" w:rsidRPr="00954237">
        <w:t xml:space="preserve"> religion </w:t>
      </w:r>
      <w:r w:rsidR="00954237">
        <w:t xml:space="preserve">in antiquity </w:t>
      </w:r>
      <w:r w:rsidR="00954237" w:rsidRPr="00954237">
        <w:t xml:space="preserve">from a domestic and </w:t>
      </w:r>
      <w:r w:rsidR="00954237">
        <w:t>civic</w:t>
      </w:r>
      <w:r w:rsidR="00954237" w:rsidRPr="00954237">
        <w:t xml:space="preserve"> </w:t>
      </w:r>
      <w:r w:rsidR="00954237">
        <w:t>perspective</w:t>
      </w:r>
      <w:r w:rsidR="00BE1E53">
        <w:t xml:space="preserve"> held more influence due to the fact that the community centred itself around religion, making it a pivotal aspect of ordinary life.</w:t>
      </w:r>
    </w:p>
    <w:p w:rsidR="00114478" w:rsidRDefault="00114478"/>
    <w:p w:rsidR="009A2BC3" w:rsidRDefault="009A2BC3"/>
    <w:p w:rsidR="009A2BC3" w:rsidRDefault="009A2BC3"/>
    <w:p w:rsidR="009A2BC3" w:rsidRDefault="009A2BC3"/>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p w:rsidR="00BE0D4B" w:rsidRDefault="00BE0D4B">
      <w:r>
        <w:lastRenderedPageBreak/>
        <w:t>Reference List:</w:t>
      </w:r>
    </w:p>
    <w:p w:rsidR="009A2BC3" w:rsidRDefault="00BE0D4B">
      <w:r>
        <w:t>Rives, J. B. 2007. Religion in the Roman Empire. Oxford: Blackwell Publishing.</w:t>
      </w:r>
    </w:p>
    <w:p w:rsidR="00162EF4" w:rsidRPr="00AF37AC" w:rsidRDefault="00BE0D4B" w:rsidP="00BE0D4B">
      <w:r>
        <w:t>Warrior, V. A. 2002. Roman Religion – A Sourcebook. Newburyport MA: Focus Publishing</w:t>
      </w:r>
      <w:bookmarkStart w:id="0" w:name="_GoBack"/>
      <w:bookmarkEnd w:id="0"/>
    </w:p>
    <w:sectPr w:rsidR="00162EF4" w:rsidRPr="00AF37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43A4" w:rsidRDefault="006F43A4" w:rsidP="00B6520E">
      <w:pPr>
        <w:spacing w:after="0" w:line="240" w:lineRule="auto"/>
      </w:pPr>
      <w:r>
        <w:separator/>
      </w:r>
    </w:p>
  </w:endnote>
  <w:endnote w:type="continuationSeparator" w:id="0">
    <w:p w:rsidR="006F43A4" w:rsidRDefault="006F43A4" w:rsidP="00B65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43A4" w:rsidRDefault="006F43A4" w:rsidP="00B6520E">
      <w:pPr>
        <w:spacing w:after="0" w:line="240" w:lineRule="auto"/>
      </w:pPr>
      <w:r>
        <w:separator/>
      </w:r>
    </w:p>
  </w:footnote>
  <w:footnote w:type="continuationSeparator" w:id="0">
    <w:p w:rsidR="006F43A4" w:rsidRDefault="006F43A4" w:rsidP="00B6520E">
      <w:pPr>
        <w:spacing w:after="0" w:line="240" w:lineRule="auto"/>
      </w:pPr>
      <w:r>
        <w:continuationSeparator/>
      </w:r>
    </w:p>
  </w:footnote>
  <w:footnote w:id="1">
    <w:p w:rsidR="005C4D57" w:rsidRDefault="005C4D57">
      <w:pPr>
        <w:pStyle w:val="FootnoteText"/>
      </w:pPr>
      <w:r>
        <w:rPr>
          <w:rStyle w:val="FootnoteReference"/>
        </w:rPr>
        <w:footnoteRef/>
      </w:r>
      <w:r>
        <w:t xml:space="preserve"> Rives 2007: 128</w:t>
      </w:r>
    </w:p>
  </w:footnote>
  <w:footnote w:id="2">
    <w:p w:rsidR="005C4D57" w:rsidRDefault="005C4D57">
      <w:pPr>
        <w:pStyle w:val="FootnoteText"/>
      </w:pPr>
      <w:r>
        <w:rPr>
          <w:rStyle w:val="FootnoteReference"/>
        </w:rPr>
        <w:footnoteRef/>
      </w:r>
      <w:r>
        <w:t xml:space="preserve"> Rives 2007: 108</w:t>
      </w:r>
    </w:p>
  </w:footnote>
  <w:footnote w:id="3">
    <w:p w:rsidR="005C4D57" w:rsidRDefault="005C4D57">
      <w:pPr>
        <w:pStyle w:val="FootnoteText"/>
      </w:pPr>
      <w:r>
        <w:rPr>
          <w:rStyle w:val="FootnoteReference"/>
        </w:rPr>
        <w:footnoteRef/>
      </w:r>
      <w:r>
        <w:t xml:space="preserve"> Rives 2007: 108</w:t>
      </w:r>
    </w:p>
  </w:footnote>
  <w:footnote w:id="4">
    <w:p w:rsidR="005C4D57" w:rsidRDefault="005C4D57">
      <w:pPr>
        <w:pStyle w:val="FootnoteText"/>
      </w:pPr>
      <w:r>
        <w:rPr>
          <w:rStyle w:val="FootnoteReference"/>
        </w:rPr>
        <w:footnoteRef/>
      </w:r>
      <w:r>
        <w:t xml:space="preserve"> Rives 2007: 108</w:t>
      </w:r>
    </w:p>
  </w:footnote>
  <w:footnote w:id="5">
    <w:p w:rsidR="005C4D57" w:rsidRDefault="005C4D57">
      <w:pPr>
        <w:pStyle w:val="FootnoteText"/>
      </w:pPr>
      <w:r>
        <w:rPr>
          <w:rStyle w:val="FootnoteReference"/>
        </w:rPr>
        <w:footnoteRef/>
      </w:r>
      <w:r>
        <w:t xml:space="preserve"> Rives 2007: 108</w:t>
      </w:r>
    </w:p>
  </w:footnote>
  <w:footnote w:id="6">
    <w:p w:rsidR="005C4D57" w:rsidRDefault="005C4D57">
      <w:pPr>
        <w:pStyle w:val="FootnoteText"/>
      </w:pPr>
      <w:r>
        <w:rPr>
          <w:rStyle w:val="FootnoteReference"/>
        </w:rPr>
        <w:footnoteRef/>
      </w:r>
      <w:r>
        <w:t xml:space="preserve"> Rives 2007: 117</w:t>
      </w:r>
    </w:p>
  </w:footnote>
  <w:footnote w:id="7">
    <w:p w:rsidR="005C4D57" w:rsidRDefault="005C4D57">
      <w:pPr>
        <w:pStyle w:val="FootnoteText"/>
      </w:pPr>
      <w:r>
        <w:rPr>
          <w:rStyle w:val="FootnoteReference"/>
        </w:rPr>
        <w:footnoteRef/>
      </w:r>
      <w:r>
        <w:t xml:space="preserve"> Rives 2007: 119</w:t>
      </w:r>
    </w:p>
  </w:footnote>
  <w:footnote w:id="8">
    <w:p w:rsidR="005C4D57" w:rsidRDefault="005C4D57">
      <w:pPr>
        <w:pStyle w:val="FootnoteText"/>
      </w:pPr>
      <w:r>
        <w:rPr>
          <w:rStyle w:val="FootnoteReference"/>
        </w:rPr>
        <w:footnoteRef/>
      </w:r>
      <w:r>
        <w:t xml:space="preserve"> Rives 2007: 118</w:t>
      </w:r>
    </w:p>
  </w:footnote>
  <w:footnote w:id="9">
    <w:p w:rsidR="005C4D57" w:rsidRDefault="005C4D57">
      <w:pPr>
        <w:pStyle w:val="FootnoteText"/>
      </w:pPr>
      <w:r>
        <w:rPr>
          <w:rStyle w:val="FootnoteReference"/>
        </w:rPr>
        <w:footnoteRef/>
      </w:r>
      <w:r>
        <w:t xml:space="preserve"> Warrior 25</w:t>
      </w:r>
    </w:p>
  </w:footnote>
  <w:footnote w:id="10">
    <w:p w:rsidR="005C4D57" w:rsidRDefault="005C4D57">
      <w:pPr>
        <w:pStyle w:val="FootnoteText"/>
      </w:pPr>
      <w:r>
        <w:rPr>
          <w:rStyle w:val="FootnoteReference"/>
        </w:rPr>
        <w:footnoteRef/>
      </w:r>
      <w:r>
        <w:t xml:space="preserve"> Warrior 2002: 25</w:t>
      </w:r>
    </w:p>
  </w:footnote>
  <w:footnote w:id="11">
    <w:p w:rsidR="005C4D57" w:rsidRDefault="005C4D57">
      <w:pPr>
        <w:pStyle w:val="FootnoteText"/>
      </w:pPr>
      <w:r>
        <w:rPr>
          <w:rStyle w:val="FootnoteReference"/>
        </w:rPr>
        <w:footnoteRef/>
      </w:r>
      <w:r>
        <w:t xml:space="preserve"> Warrior 2002: 25</w:t>
      </w:r>
    </w:p>
  </w:footnote>
  <w:footnote w:id="12">
    <w:p w:rsidR="005C4D57" w:rsidRDefault="005C4D57">
      <w:pPr>
        <w:pStyle w:val="FootnoteText"/>
      </w:pPr>
      <w:r>
        <w:rPr>
          <w:rStyle w:val="FootnoteReference"/>
        </w:rPr>
        <w:footnoteRef/>
      </w:r>
      <w:r>
        <w:t xml:space="preserve"> Warrior 2002: 25</w:t>
      </w:r>
    </w:p>
  </w:footnote>
  <w:footnote w:id="13">
    <w:p w:rsidR="005C4D57" w:rsidRDefault="005C4D57">
      <w:pPr>
        <w:pStyle w:val="FootnoteText"/>
      </w:pPr>
      <w:r>
        <w:rPr>
          <w:rStyle w:val="FootnoteReference"/>
        </w:rPr>
        <w:footnoteRef/>
      </w:r>
      <w:r>
        <w:t xml:space="preserve"> Warrior 2002: 25</w:t>
      </w:r>
    </w:p>
  </w:footnote>
  <w:footnote w:id="14">
    <w:p w:rsidR="005C4D57" w:rsidRDefault="005C4D57">
      <w:pPr>
        <w:pStyle w:val="FootnoteText"/>
      </w:pPr>
      <w:r>
        <w:rPr>
          <w:rStyle w:val="FootnoteReference"/>
        </w:rPr>
        <w:footnoteRef/>
      </w:r>
      <w:r>
        <w:t xml:space="preserve"> Warrior 2002: 26</w:t>
      </w:r>
    </w:p>
  </w:footnote>
  <w:footnote w:id="15">
    <w:p w:rsidR="005C4D57" w:rsidRDefault="005C4D57">
      <w:pPr>
        <w:pStyle w:val="FootnoteText"/>
      </w:pPr>
      <w:r>
        <w:rPr>
          <w:rStyle w:val="FootnoteReference"/>
        </w:rPr>
        <w:footnoteRef/>
      </w:r>
      <w:r>
        <w:t xml:space="preserve"> Rives 2007: 117</w:t>
      </w:r>
    </w:p>
  </w:footnote>
  <w:footnote w:id="16">
    <w:p w:rsidR="005C4D57" w:rsidRDefault="005C4D57" w:rsidP="00B24F81">
      <w:pPr>
        <w:pStyle w:val="FootnoteText"/>
      </w:pPr>
      <w:r>
        <w:rPr>
          <w:rStyle w:val="FootnoteReference"/>
        </w:rPr>
        <w:footnoteRef/>
      </w:r>
      <w:r>
        <w:t xml:space="preserve"> Rives 2007: 117</w:t>
      </w:r>
    </w:p>
  </w:footnote>
  <w:footnote w:id="17">
    <w:p w:rsidR="005C4D57" w:rsidRDefault="005C4D57">
      <w:pPr>
        <w:pStyle w:val="FootnoteText"/>
      </w:pPr>
      <w:r>
        <w:rPr>
          <w:rStyle w:val="FootnoteReference"/>
        </w:rPr>
        <w:footnoteRef/>
      </w:r>
      <w:r>
        <w:t xml:space="preserve"> Warrior 2002: 28</w:t>
      </w:r>
    </w:p>
  </w:footnote>
  <w:footnote w:id="18">
    <w:p w:rsidR="005C4D57" w:rsidRDefault="005C4D57">
      <w:pPr>
        <w:pStyle w:val="FootnoteText"/>
      </w:pPr>
      <w:r>
        <w:rPr>
          <w:rStyle w:val="FootnoteReference"/>
        </w:rPr>
        <w:footnoteRef/>
      </w:r>
      <w:r>
        <w:t xml:space="preserve"> Rives 2007: 119</w:t>
      </w:r>
    </w:p>
  </w:footnote>
  <w:footnote w:id="19">
    <w:p w:rsidR="005C4D57" w:rsidRDefault="005C4D57">
      <w:pPr>
        <w:pStyle w:val="FootnoteText"/>
      </w:pPr>
      <w:r>
        <w:rPr>
          <w:rStyle w:val="FootnoteReference"/>
        </w:rPr>
        <w:footnoteRef/>
      </w:r>
      <w:r>
        <w:t xml:space="preserve"> Rives 2007: 119</w:t>
      </w:r>
    </w:p>
  </w:footnote>
  <w:footnote w:id="20">
    <w:p w:rsidR="005C4D57" w:rsidRDefault="005C4D57">
      <w:pPr>
        <w:pStyle w:val="FootnoteText"/>
      </w:pPr>
      <w:r>
        <w:rPr>
          <w:rStyle w:val="FootnoteReference"/>
        </w:rPr>
        <w:footnoteRef/>
      </w:r>
      <w:r>
        <w:t xml:space="preserve"> Rives 2007: 119</w:t>
      </w:r>
    </w:p>
  </w:footnote>
  <w:footnote w:id="21">
    <w:p w:rsidR="005C4D57" w:rsidRDefault="005C4D57">
      <w:pPr>
        <w:pStyle w:val="FootnoteText"/>
      </w:pPr>
      <w:r>
        <w:rPr>
          <w:rStyle w:val="FootnoteReference"/>
        </w:rPr>
        <w:footnoteRef/>
      </w:r>
      <w:r>
        <w:t xml:space="preserve"> Rives 2007: 119</w:t>
      </w:r>
    </w:p>
  </w:footnote>
  <w:footnote w:id="22">
    <w:p w:rsidR="005C4D57" w:rsidRDefault="005C4D57">
      <w:pPr>
        <w:pStyle w:val="FootnoteText"/>
      </w:pPr>
      <w:r>
        <w:rPr>
          <w:rStyle w:val="FootnoteReference"/>
        </w:rPr>
        <w:footnoteRef/>
      </w:r>
      <w:r>
        <w:t xml:space="preserve"> Rives 2007: 121</w:t>
      </w:r>
    </w:p>
  </w:footnote>
  <w:footnote w:id="23">
    <w:p w:rsidR="005C4D57" w:rsidRDefault="005C4D57">
      <w:pPr>
        <w:pStyle w:val="FootnoteText"/>
      </w:pPr>
      <w:r>
        <w:rPr>
          <w:rStyle w:val="FootnoteReference"/>
        </w:rPr>
        <w:footnoteRef/>
      </w:r>
      <w:r>
        <w:t xml:space="preserve"> Rives 2007: 121</w:t>
      </w:r>
    </w:p>
  </w:footnote>
  <w:footnote w:id="24">
    <w:p w:rsidR="005C4D57" w:rsidRDefault="005C4D57">
      <w:pPr>
        <w:pStyle w:val="FootnoteText"/>
      </w:pPr>
      <w:r>
        <w:rPr>
          <w:rStyle w:val="FootnoteReference"/>
        </w:rPr>
        <w:footnoteRef/>
      </w:r>
      <w:r>
        <w:t xml:space="preserve"> Rives 2007: 122</w:t>
      </w:r>
    </w:p>
  </w:footnote>
  <w:footnote w:id="25">
    <w:p w:rsidR="005C4D57" w:rsidRDefault="005C4D57">
      <w:pPr>
        <w:pStyle w:val="FootnoteText"/>
      </w:pPr>
      <w:r>
        <w:rPr>
          <w:rStyle w:val="FootnoteReference"/>
        </w:rPr>
        <w:footnoteRef/>
      </w:r>
      <w:r>
        <w:t xml:space="preserve"> Rives 2007: 122</w:t>
      </w:r>
    </w:p>
  </w:footnote>
  <w:footnote w:id="26">
    <w:p w:rsidR="005C4D57" w:rsidRDefault="005C4D57">
      <w:pPr>
        <w:pStyle w:val="FootnoteText"/>
      </w:pPr>
      <w:r>
        <w:rPr>
          <w:rStyle w:val="FootnoteReference"/>
        </w:rPr>
        <w:footnoteRef/>
      </w:r>
      <w:r>
        <w:t xml:space="preserve"> Rives 2007: 122</w:t>
      </w:r>
    </w:p>
  </w:footnote>
  <w:footnote w:id="27">
    <w:p w:rsidR="005C4D57" w:rsidRDefault="005C4D57">
      <w:pPr>
        <w:pStyle w:val="FootnoteText"/>
      </w:pPr>
      <w:r>
        <w:rPr>
          <w:rStyle w:val="FootnoteReference"/>
        </w:rPr>
        <w:footnoteRef/>
      </w:r>
      <w:r>
        <w:t xml:space="preserve"> Rives 2007: 122</w:t>
      </w:r>
    </w:p>
  </w:footnote>
  <w:footnote w:id="28">
    <w:p w:rsidR="005C4D57" w:rsidRDefault="005C4D57">
      <w:pPr>
        <w:pStyle w:val="FootnoteText"/>
      </w:pPr>
      <w:r>
        <w:rPr>
          <w:rStyle w:val="FootnoteReference"/>
        </w:rPr>
        <w:footnoteRef/>
      </w:r>
      <w:r>
        <w:t xml:space="preserve"> Rives 2007: 122</w:t>
      </w:r>
    </w:p>
  </w:footnote>
  <w:footnote w:id="29">
    <w:p w:rsidR="005C4D57" w:rsidRDefault="005C4D57">
      <w:pPr>
        <w:pStyle w:val="FootnoteText"/>
      </w:pPr>
      <w:r>
        <w:rPr>
          <w:rStyle w:val="FootnoteReference"/>
        </w:rPr>
        <w:footnoteRef/>
      </w:r>
      <w:r>
        <w:t xml:space="preserve"> Rives 2007: 122</w:t>
      </w:r>
    </w:p>
  </w:footnote>
  <w:footnote w:id="30">
    <w:p w:rsidR="005C4D57" w:rsidRDefault="005C4D57">
      <w:pPr>
        <w:pStyle w:val="FootnoteText"/>
      </w:pPr>
      <w:r>
        <w:rPr>
          <w:rStyle w:val="FootnoteReference"/>
        </w:rPr>
        <w:footnoteRef/>
      </w:r>
      <w:r>
        <w:t xml:space="preserve"> Rives 2007: 123</w:t>
      </w:r>
    </w:p>
  </w:footnote>
  <w:footnote w:id="31">
    <w:p w:rsidR="005C4D57" w:rsidRDefault="005C4D57" w:rsidP="007766C0">
      <w:pPr>
        <w:pStyle w:val="FootnoteText"/>
      </w:pPr>
      <w:r>
        <w:rPr>
          <w:rStyle w:val="FootnoteReference"/>
        </w:rPr>
        <w:footnoteRef/>
      </w:r>
      <w:r>
        <w:t xml:space="preserve"> Rives 2007: 123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570"/>
    <w:rsid w:val="000033FE"/>
    <w:rsid w:val="000210FC"/>
    <w:rsid w:val="00036957"/>
    <w:rsid w:val="00114478"/>
    <w:rsid w:val="00121730"/>
    <w:rsid w:val="00143C25"/>
    <w:rsid w:val="00162EF4"/>
    <w:rsid w:val="00171A61"/>
    <w:rsid w:val="001E6056"/>
    <w:rsid w:val="002141AE"/>
    <w:rsid w:val="00214DE6"/>
    <w:rsid w:val="00237090"/>
    <w:rsid w:val="00260089"/>
    <w:rsid w:val="00261DC3"/>
    <w:rsid w:val="002D54B8"/>
    <w:rsid w:val="002D54CD"/>
    <w:rsid w:val="002E5865"/>
    <w:rsid w:val="00320BAE"/>
    <w:rsid w:val="00391499"/>
    <w:rsid w:val="003E5155"/>
    <w:rsid w:val="004900B0"/>
    <w:rsid w:val="004B58D2"/>
    <w:rsid w:val="004B6065"/>
    <w:rsid w:val="005474AA"/>
    <w:rsid w:val="00556C2A"/>
    <w:rsid w:val="005929F0"/>
    <w:rsid w:val="005B61BB"/>
    <w:rsid w:val="005C4D57"/>
    <w:rsid w:val="005E0567"/>
    <w:rsid w:val="006B51D2"/>
    <w:rsid w:val="006F43A4"/>
    <w:rsid w:val="007306D4"/>
    <w:rsid w:val="0073562C"/>
    <w:rsid w:val="007766C0"/>
    <w:rsid w:val="007F30CF"/>
    <w:rsid w:val="0089407B"/>
    <w:rsid w:val="00916B69"/>
    <w:rsid w:val="00954237"/>
    <w:rsid w:val="00956153"/>
    <w:rsid w:val="009718C3"/>
    <w:rsid w:val="009A2BC3"/>
    <w:rsid w:val="00AB276B"/>
    <w:rsid w:val="00AF37AC"/>
    <w:rsid w:val="00B24F81"/>
    <w:rsid w:val="00B44598"/>
    <w:rsid w:val="00B6520E"/>
    <w:rsid w:val="00B7249B"/>
    <w:rsid w:val="00BE0D4B"/>
    <w:rsid w:val="00BE1E53"/>
    <w:rsid w:val="00C72532"/>
    <w:rsid w:val="00CD3AD0"/>
    <w:rsid w:val="00CE7273"/>
    <w:rsid w:val="00CF6D6C"/>
    <w:rsid w:val="00D013DD"/>
    <w:rsid w:val="00D12400"/>
    <w:rsid w:val="00D445FA"/>
    <w:rsid w:val="00D65AA6"/>
    <w:rsid w:val="00D87CF6"/>
    <w:rsid w:val="00D94F52"/>
    <w:rsid w:val="00DB3570"/>
    <w:rsid w:val="00DF7858"/>
    <w:rsid w:val="00E276C8"/>
    <w:rsid w:val="00E71067"/>
    <w:rsid w:val="00E83317"/>
    <w:rsid w:val="00EF1DFF"/>
    <w:rsid w:val="00FA36F6"/>
    <w:rsid w:val="00FA3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9825E4D-8D86-4748-BC6F-701BE22C1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652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520E"/>
    <w:rPr>
      <w:sz w:val="20"/>
      <w:szCs w:val="20"/>
    </w:rPr>
  </w:style>
  <w:style w:type="character" w:styleId="FootnoteReference">
    <w:name w:val="footnote reference"/>
    <w:basedOn w:val="DefaultParagraphFont"/>
    <w:uiPriority w:val="99"/>
    <w:semiHidden/>
    <w:unhideWhenUsed/>
    <w:rsid w:val="00B652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5</Pages>
  <Words>1910</Words>
  <Characters>9880</Characters>
  <Application>Microsoft Office Word</Application>
  <DocSecurity>0</DocSecurity>
  <Lines>139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38</cp:revision>
  <dcterms:created xsi:type="dcterms:W3CDTF">2018-01-19T10:27:00Z</dcterms:created>
  <dcterms:modified xsi:type="dcterms:W3CDTF">2018-01-19T13:50:00Z</dcterms:modified>
</cp:coreProperties>
</file>