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BC992" w14:textId="696AC587" w:rsidR="00F80CE2" w:rsidRPr="00BF60D0" w:rsidRDefault="00F80CE2" w:rsidP="00F80CE2">
      <w:pPr>
        <w:spacing w:line="360" w:lineRule="auto"/>
        <w:rPr>
          <w:rFonts w:ascii="Arial" w:hAnsi="Arial" w:cs="Arial"/>
          <w:b/>
          <w:bCs/>
          <w:sz w:val="40"/>
          <w:szCs w:val="40"/>
        </w:rPr>
      </w:pPr>
      <w:r w:rsidRPr="00BF60D0">
        <w:rPr>
          <w:rFonts w:ascii="Arial" w:hAnsi="Arial" w:cs="Arial"/>
          <w:b/>
          <w:bCs/>
          <w:sz w:val="40"/>
          <w:szCs w:val="40"/>
        </w:rPr>
        <w:t xml:space="preserve">Module: </w:t>
      </w:r>
      <w:r w:rsidR="000F4692" w:rsidRPr="00055C5E">
        <w:rPr>
          <w:rFonts w:ascii="Arial" w:hAnsi="Arial" w:cs="Arial"/>
          <w:b/>
          <w:bCs/>
          <w:sz w:val="40"/>
          <w:szCs w:val="40"/>
        </w:rPr>
        <w:t>Psychology in Health and Social Care</w:t>
      </w:r>
    </w:p>
    <w:p w14:paraId="267095F5" w14:textId="2832B52D" w:rsidR="00F80CE2" w:rsidRPr="00BF60D0" w:rsidRDefault="00F80CE2" w:rsidP="00F80CE2">
      <w:pPr>
        <w:spacing w:line="360" w:lineRule="auto"/>
        <w:rPr>
          <w:rFonts w:ascii="Arial" w:hAnsi="Arial" w:cs="Arial"/>
          <w:b/>
          <w:bCs/>
          <w:sz w:val="40"/>
          <w:szCs w:val="40"/>
        </w:rPr>
      </w:pPr>
      <w:r w:rsidRPr="00BF60D0">
        <w:rPr>
          <w:rFonts w:ascii="Arial" w:hAnsi="Arial" w:cs="Arial"/>
          <w:b/>
          <w:bCs/>
          <w:sz w:val="40"/>
          <w:szCs w:val="40"/>
        </w:rPr>
        <w:t>Module code: LCHS40</w:t>
      </w:r>
      <w:r>
        <w:rPr>
          <w:rFonts w:ascii="Arial" w:hAnsi="Arial" w:cs="Arial"/>
          <w:b/>
          <w:bCs/>
          <w:sz w:val="40"/>
          <w:szCs w:val="40"/>
        </w:rPr>
        <w:t>10</w:t>
      </w:r>
    </w:p>
    <w:p w14:paraId="48358FEB" w14:textId="77777777" w:rsidR="00F80CE2" w:rsidRPr="00BF60D0" w:rsidRDefault="00F80CE2" w:rsidP="00F80CE2">
      <w:pPr>
        <w:spacing w:line="360" w:lineRule="auto"/>
        <w:rPr>
          <w:rFonts w:ascii="Arial" w:hAnsi="Arial" w:cs="Arial"/>
          <w:b/>
          <w:bCs/>
          <w:sz w:val="40"/>
          <w:szCs w:val="40"/>
        </w:rPr>
      </w:pPr>
      <w:proofErr w:type="gramStart"/>
      <w:r w:rsidRPr="00BF60D0">
        <w:rPr>
          <w:rFonts w:ascii="Arial" w:hAnsi="Arial" w:cs="Arial"/>
          <w:b/>
          <w:bCs/>
          <w:sz w:val="40"/>
          <w:szCs w:val="40"/>
          <w:lang w:val="en-US"/>
        </w:rPr>
        <w:t>By:</w:t>
      </w:r>
      <w:proofErr w:type="gramEnd"/>
    </w:p>
    <w:p w14:paraId="49DF0FAD" w14:textId="77777777" w:rsidR="00F80CE2" w:rsidRPr="00BF60D0" w:rsidRDefault="00F80CE2" w:rsidP="00F80CE2">
      <w:pPr>
        <w:spacing w:line="360" w:lineRule="auto"/>
        <w:rPr>
          <w:rFonts w:ascii="Arial" w:hAnsi="Arial" w:cs="Arial"/>
          <w:b/>
          <w:bCs/>
          <w:sz w:val="40"/>
          <w:szCs w:val="40"/>
        </w:rPr>
      </w:pPr>
      <w:r w:rsidRPr="00BF60D0">
        <w:rPr>
          <w:rFonts w:ascii="Arial" w:hAnsi="Arial" w:cs="Arial"/>
          <w:b/>
          <w:bCs/>
          <w:sz w:val="40"/>
          <w:szCs w:val="40"/>
          <w:lang w:val="en-US"/>
        </w:rPr>
        <w:t xml:space="preserve">KINGSLEY ADU BREFO </w:t>
      </w:r>
    </w:p>
    <w:p w14:paraId="0D692981" w14:textId="77777777" w:rsidR="00F80CE2" w:rsidRPr="00BF60D0" w:rsidRDefault="00F80CE2" w:rsidP="00F80CE2">
      <w:pPr>
        <w:spacing w:line="360" w:lineRule="auto"/>
        <w:rPr>
          <w:rFonts w:ascii="Arial" w:hAnsi="Arial" w:cs="Arial"/>
          <w:b/>
          <w:bCs/>
          <w:sz w:val="40"/>
          <w:szCs w:val="40"/>
        </w:rPr>
      </w:pPr>
      <w:r w:rsidRPr="00BF60D0">
        <w:rPr>
          <w:rFonts w:ascii="Arial" w:hAnsi="Arial" w:cs="Arial"/>
          <w:b/>
          <w:bCs/>
          <w:sz w:val="40"/>
          <w:szCs w:val="40"/>
          <w:lang w:val="en-US"/>
        </w:rPr>
        <w:t>(2424521)</w:t>
      </w:r>
    </w:p>
    <w:p w14:paraId="45747084" w14:textId="3F933281" w:rsidR="00F80CE2" w:rsidRDefault="00F80CE2" w:rsidP="00F80CE2">
      <w:pPr>
        <w:spacing w:line="360" w:lineRule="auto"/>
        <w:jc w:val="both"/>
        <w:rPr>
          <w:rFonts w:ascii="Arial" w:hAnsi="Arial" w:cs="Arial"/>
          <w:b/>
          <w:bCs/>
          <w:sz w:val="40"/>
          <w:szCs w:val="40"/>
        </w:rPr>
      </w:pPr>
      <w:r w:rsidRPr="007D73D0">
        <w:rPr>
          <w:rFonts w:ascii="Arial" w:hAnsi="Arial" w:cs="Arial"/>
          <w:b/>
          <w:bCs/>
          <w:sz w:val="40"/>
          <w:szCs w:val="40"/>
        </w:rPr>
        <w:t xml:space="preserve">Lecturer: </w:t>
      </w:r>
      <w:proofErr w:type="gramStart"/>
      <w:r w:rsidR="00EB5B69">
        <w:rPr>
          <w:rFonts w:ascii="Arial" w:hAnsi="Arial" w:cs="Arial"/>
          <w:b/>
          <w:bCs/>
          <w:sz w:val="40"/>
          <w:szCs w:val="40"/>
        </w:rPr>
        <w:t>Kennedy  O</w:t>
      </w:r>
      <w:r w:rsidR="005A69D5">
        <w:rPr>
          <w:rFonts w:ascii="Arial" w:hAnsi="Arial" w:cs="Arial"/>
          <w:b/>
          <w:bCs/>
          <w:sz w:val="40"/>
          <w:szCs w:val="40"/>
        </w:rPr>
        <w:t>bohwemu</w:t>
      </w:r>
      <w:proofErr w:type="gramEnd"/>
    </w:p>
    <w:p w14:paraId="6EA13E92" w14:textId="77777777" w:rsidR="00F80CE2" w:rsidRPr="00875BED" w:rsidRDefault="00F80CE2" w:rsidP="00F80CE2">
      <w:pPr>
        <w:spacing w:line="360" w:lineRule="auto"/>
        <w:jc w:val="both"/>
        <w:rPr>
          <w:rFonts w:ascii="Arial" w:hAnsi="Arial" w:cs="Arial"/>
          <w:b/>
          <w:bCs/>
          <w:sz w:val="22"/>
          <w:szCs w:val="22"/>
        </w:rPr>
      </w:pPr>
      <w:r>
        <w:rPr>
          <w:rFonts w:ascii="Arial" w:hAnsi="Arial" w:cs="Arial"/>
          <w:b/>
          <w:bCs/>
          <w:sz w:val="40"/>
          <w:szCs w:val="40"/>
        </w:rPr>
        <w:t xml:space="preserve">Title: </w:t>
      </w:r>
      <w:r w:rsidRPr="00875BED">
        <w:rPr>
          <w:rFonts w:ascii="Arial" w:hAnsi="Arial" w:cs="Arial"/>
          <w:b/>
          <w:bCs/>
          <w:sz w:val="40"/>
          <w:szCs w:val="40"/>
        </w:rPr>
        <w:t>Supporting Older Adults with Dementia through Psychological Theories</w:t>
      </w:r>
    </w:p>
    <w:p w14:paraId="77B06641" w14:textId="3AEA679E" w:rsidR="00F80CE2" w:rsidRDefault="00F80CE2" w:rsidP="00F80CE2">
      <w:pPr>
        <w:spacing w:line="360" w:lineRule="auto"/>
        <w:jc w:val="both"/>
        <w:rPr>
          <w:rFonts w:ascii="Arial" w:hAnsi="Arial" w:cs="Arial"/>
          <w:b/>
          <w:bCs/>
          <w:sz w:val="40"/>
          <w:szCs w:val="40"/>
        </w:rPr>
      </w:pPr>
    </w:p>
    <w:p w14:paraId="1FC2263E" w14:textId="77777777" w:rsidR="00F80CE2" w:rsidRDefault="00F80CE2" w:rsidP="00F80CE2">
      <w:pPr>
        <w:spacing w:line="360" w:lineRule="auto"/>
        <w:jc w:val="both"/>
        <w:rPr>
          <w:rFonts w:ascii="Arial" w:hAnsi="Arial" w:cs="Arial"/>
          <w:b/>
          <w:bCs/>
          <w:sz w:val="40"/>
          <w:szCs w:val="40"/>
        </w:rPr>
      </w:pPr>
    </w:p>
    <w:p w14:paraId="559AC967" w14:textId="77777777" w:rsidR="00F80CE2" w:rsidRDefault="00F80CE2" w:rsidP="00F80CE2">
      <w:pPr>
        <w:spacing w:line="360" w:lineRule="auto"/>
        <w:jc w:val="both"/>
        <w:rPr>
          <w:rFonts w:ascii="Arial" w:hAnsi="Arial" w:cs="Arial"/>
          <w:b/>
          <w:bCs/>
          <w:sz w:val="40"/>
          <w:szCs w:val="40"/>
        </w:rPr>
      </w:pPr>
    </w:p>
    <w:p w14:paraId="1DAF6E2A" w14:textId="77777777" w:rsidR="00F80CE2" w:rsidRDefault="00F80CE2" w:rsidP="00F80CE2">
      <w:pPr>
        <w:spacing w:line="360" w:lineRule="auto"/>
        <w:jc w:val="both"/>
        <w:rPr>
          <w:rFonts w:ascii="Arial" w:hAnsi="Arial" w:cs="Arial"/>
          <w:b/>
          <w:bCs/>
          <w:sz w:val="40"/>
          <w:szCs w:val="40"/>
        </w:rPr>
      </w:pPr>
    </w:p>
    <w:p w14:paraId="2A90C11F" w14:textId="77777777" w:rsidR="00F80CE2" w:rsidRDefault="00F80CE2" w:rsidP="00F80CE2">
      <w:pPr>
        <w:spacing w:line="360" w:lineRule="auto"/>
        <w:jc w:val="both"/>
        <w:rPr>
          <w:rFonts w:ascii="Arial" w:hAnsi="Arial" w:cs="Arial"/>
          <w:b/>
          <w:bCs/>
          <w:sz w:val="40"/>
          <w:szCs w:val="40"/>
        </w:rPr>
      </w:pPr>
    </w:p>
    <w:p w14:paraId="50B576C6" w14:textId="77777777" w:rsidR="00F80CE2" w:rsidRDefault="00F80CE2" w:rsidP="00F80CE2">
      <w:pPr>
        <w:spacing w:line="360" w:lineRule="auto"/>
        <w:jc w:val="both"/>
        <w:rPr>
          <w:rFonts w:ascii="Arial" w:hAnsi="Arial" w:cs="Arial"/>
          <w:b/>
          <w:bCs/>
          <w:sz w:val="40"/>
          <w:szCs w:val="40"/>
        </w:rPr>
      </w:pPr>
    </w:p>
    <w:p w14:paraId="2BC3F94A" w14:textId="77777777" w:rsidR="00F80CE2" w:rsidRDefault="00F80CE2" w:rsidP="00F80CE2">
      <w:pPr>
        <w:spacing w:line="360" w:lineRule="auto"/>
        <w:jc w:val="both"/>
        <w:rPr>
          <w:rFonts w:ascii="Arial" w:hAnsi="Arial" w:cs="Arial"/>
          <w:b/>
          <w:bCs/>
          <w:sz w:val="40"/>
          <w:szCs w:val="40"/>
        </w:rPr>
      </w:pPr>
    </w:p>
    <w:p w14:paraId="47FB5AD4" w14:textId="77777777" w:rsidR="00F80CE2" w:rsidRDefault="00F80CE2" w:rsidP="00F80CE2">
      <w:pPr>
        <w:spacing w:line="360" w:lineRule="auto"/>
        <w:jc w:val="both"/>
        <w:rPr>
          <w:rFonts w:ascii="Arial" w:hAnsi="Arial" w:cs="Arial"/>
          <w:sz w:val="22"/>
          <w:szCs w:val="22"/>
        </w:rPr>
      </w:pPr>
    </w:p>
    <w:p w14:paraId="6172A2F5" w14:textId="77777777" w:rsidR="000F4692" w:rsidRDefault="000F4692" w:rsidP="00F80CE2">
      <w:pPr>
        <w:spacing w:line="360" w:lineRule="auto"/>
        <w:jc w:val="both"/>
        <w:rPr>
          <w:rFonts w:ascii="Arial" w:hAnsi="Arial" w:cs="Arial"/>
          <w:sz w:val="22"/>
          <w:szCs w:val="22"/>
        </w:rPr>
      </w:pPr>
    </w:p>
    <w:p w14:paraId="5AD62A61" w14:textId="77777777" w:rsidR="000F4692" w:rsidRPr="00F80CE2" w:rsidRDefault="000F4692" w:rsidP="00F80CE2">
      <w:pPr>
        <w:spacing w:line="360" w:lineRule="auto"/>
        <w:jc w:val="both"/>
        <w:rPr>
          <w:rFonts w:ascii="Arial" w:hAnsi="Arial" w:cs="Arial"/>
          <w:sz w:val="22"/>
          <w:szCs w:val="22"/>
        </w:rPr>
      </w:pPr>
    </w:p>
    <w:p w14:paraId="18C08E50" w14:textId="039491E8" w:rsidR="0040300E" w:rsidRPr="0040300E" w:rsidRDefault="0040300E" w:rsidP="009B1444">
      <w:pPr>
        <w:spacing w:line="360" w:lineRule="auto"/>
        <w:jc w:val="both"/>
        <w:rPr>
          <w:rFonts w:ascii="Arial" w:hAnsi="Arial" w:cs="Arial"/>
          <w:b/>
          <w:bCs/>
          <w:sz w:val="22"/>
          <w:szCs w:val="22"/>
        </w:rPr>
      </w:pPr>
      <w:r>
        <w:rPr>
          <w:rFonts w:ascii="Arial" w:hAnsi="Arial" w:cs="Arial"/>
          <w:b/>
          <w:bCs/>
          <w:sz w:val="22"/>
          <w:szCs w:val="22"/>
        </w:rPr>
        <w:lastRenderedPageBreak/>
        <w:t xml:space="preserve">1.0 </w:t>
      </w:r>
      <w:r w:rsidRPr="0040300E">
        <w:rPr>
          <w:rFonts w:ascii="Arial" w:hAnsi="Arial" w:cs="Arial"/>
          <w:b/>
          <w:bCs/>
          <w:sz w:val="22"/>
          <w:szCs w:val="22"/>
        </w:rPr>
        <w:t>Introduction</w:t>
      </w:r>
    </w:p>
    <w:p w14:paraId="0A71B0EE" w14:textId="77777777" w:rsidR="006E6C72" w:rsidRPr="006E6C72" w:rsidRDefault="006E6C72" w:rsidP="006E6C72">
      <w:pPr>
        <w:spacing w:line="360" w:lineRule="auto"/>
        <w:jc w:val="both"/>
        <w:rPr>
          <w:rFonts w:ascii="Arial" w:hAnsi="Arial" w:cs="Arial"/>
          <w:sz w:val="22"/>
          <w:szCs w:val="22"/>
        </w:rPr>
      </w:pPr>
      <w:r w:rsidRPr="006E6C72">
        <w:rPr>
          <w:rFonts w:ascii="Arial" w:hAnsi="Arial" w:cs="Arial"/>
          <w:sz w:val="22"/>
          <w:szCs w:val="22"/>
        </w:rPr>
        <w:t>Dementia is a progressive condition that affects thinking, memory, and behaviour, especially in adults aged 65 and over. According to Wimo et al. (2023), about 55 million people worldwide live with dementia, and this number continues to increase each year. In the United Kingdom, around 900,000 people currently live with dementia, and this figure is expected to exceed one million by 2030 (Wittenberg et al., 2019). Dementia leads to problems such as confusion, memory loss, and difficulty communicating, which can affect a person’s independence and emotional wellbeing (Wittenberg et al., 2019). For example, individuals like Mrs. Eleanor Smith, a 78-year-old resident with moderate-stage dementia, may struggle with daily routines, recognition of familiar people, and emotional regulation.</w:t>
      </w:r>
    </w:p>
    <w:p w14:paraId="469D4FF6" w14:textId="77777777" w:rsidR="006E6C72" w:rsidRPr="006E6C72" w:rsidRDefault="006E6C72" w:rsidP="006E6C72">
      <w:pPr>
        <w:spacing w:line="360" w:lineRule="auto"/>
        <w:jc w:val="both"/>
        <w:rPr>
          <w:rFonts w:ascii="Arial" w:hAnsi="Arial" w:cs="Arial"/>
          <w:sz w:val="22"/>
          <w:szCs w:val="22"/>
        </w:rPr>
      </w:pPr>
      <w:r w:rsidRPr="006E6C72">
        <w:rPr>
          <w:rFonts w:ascii="Arial" w:hAnsi="Arial" w:cs="Arial"/>
          <w:sz w:val="22"/>
          <w:szCs w:val="22"/>
        </w:rPr>
        <w:t>Health and social care professionals who support older adults with dementia must understand how psychological theories can guide care. Applying theory helps staff meet the emotional, cognitive, and social needs of residents, not only their physical needs. For residents such as Mrs. Smith, theoretical frameworks support person-centred approaches that enhance dignity, identity, and wellbeing.</w:t>
      </w:r>
    </w:p>
    <w:p w14:paraId="5D1D19E0" w14:textId="47A64441" w:rsidR="00875BED" w:rsidRPr="00875BED" w:rsidRDefault="006E6C72" w:rsidP="009B1444">
      <w:pPr>
        <w:spacing w:line="360" w:lineRule="auto"/>
        <w:jc w:val="both"/>
        <w:rPr>
          <w:rFonts w:ascii="Arial" w:hAnsi="Arial" w:cs="Arial"/>
          <w:sz w:val="22"/>
          <w:szCs w:val="22"/>
        </w:rPr>
      </w:pPr>
      <w:r w:rsidRPr="006E6C72">
        <w:rPr>
          <w:rFonts w:ascii="Arial" w:hAnsi="Arial" w:cs="Arial"/>
          <w:sz w:val="22"/>
          <w:szCs w:val="22"/>
        </w:rPr>
        <w:t>This report discusses two major psychological theories: Erikson’s Psychosocial Theory of Development and Maslow’s Hierarchy of Needs. Both theories provide frameworks that help explain how older adults think, feel, and behave in later life. The report explains how each theory applies to older adults with dementia—including individuals like Mrs. Smith—how they can be used in dementia care settings, and the challenges professionals may face when applying them. Strengths, weaknesses, and criticisms are also discussed.</w:t>
      </w:r>
    </w:p>
    <w:p w14:paraId="40768F6D" w14:textId="1153BB8A" w:rsidR="00875BED" w:rsidRPr="00875BED" w:rsidRDefault="0040300E" w:rsidP="009B1444">
      <w:pPr>
        <w:spacing w:line="360" w:lineRule="auto"/>
        <w:jc w:val="both"/>
        <w:rPr>
          <w:rFonts w:ascii="Arial" w:hAnsi="Arial" w:cs="Arial"/>
          <w:b/>
          <w:bCs/>
          <w:sz w:val="22"/>
          <w:szCs w:val="22"/>
        </w:rPr>
      </w:pPr>
      <w:r>
        <w:rPr>
          <w:rFonts w:ascii="Arial" w:hAnsi="Arial" w:cs="Arial"/>
          <w:b/>
          <w:bCs/>
          <w:sz w:val="22"/>
          <w:szCs w:val="22"/>
        </w:rPr>
        <w:t xml:space="preserve">2.0 </w:t>
      </w:r>
      <w:r w:rsidR="00875BED" w:rsidRPr="00875BED">
        <w:rPr>
          <w:rFonts w:ascii="Arial" w:hAnsi="Arial" w:cs="Arial"/>
          <w:b/>
          <w:bCs/>
          <w:sz w:val="22"/>
          <w:szCs w:val="22"/>
        </w:rPr>
        <w:t>Understanding Erikson’s Psychosocial Theory</w:t>
      </w:r>
    </w:p>
    <w:p w14:paraId="6ED42FA8" w14:textId="77777777" w:rsidR="006E6C72" w:rsidRPr="006E6C72" w:rsidRDefault="006E6C72" w:rsidP="006E6C72">
      <w:pPr>
        <w:spacing w:line="360" w:lineRule="auto"/>
        <w:jc w:val="both"/>
        <w:rPr>
          <w:rFonts w:ascii="Arial" w:hAnsi="Arial" w:cs="Arial"/>
          <w:sz w:val="22"/>
          <w:szCs w:val="22"/>
        </w:rPr>
      </w:pPr>
      <w:r w:rsidRPr="006E6C72">
        <w:rPr>
          <w:rFonts w:ascii="Arial" w:hAnsi="Arial" w:cs="Arial"/>
          <w:sz w:val="22"/>
          <w:szCs w:val="22"/>
        </w:rPr>
        <w:t xml:space="preserve">Erikson’s Psychosocial Theory was developed in 1950, proposing eight stages of human development. Each stage involves a psychological conflict that shapes personality and emotional growth (Maree, 2021). The last stage, </w:t>
      </w:r>
      <w:r w:rsidRPr="006E6C72">
        <w:rPr>
          <w:rFonts w:ascii="Arial" w:hAnsi="Arial" w:cs="Arial"/>
          <w:b/>
          <w:bCs/>
          <w:sz w:val="22"/>
          <w:szCs w:val="22"/>
        </w:rPr>
        <w:t>Integrity vs Despair</w:t>
      </w:r>
      <w:r w:rsidRPr="006E6C72">
        <w:rPr>
          <w:rFonts w:ascii="Arial" w:hAnsi="Arial" w:cs="Arial"/>
          <w:sz w:val="22"/>
          <w:szCs w:val="22"/>
        </w:rPr>
        <w:t>, occurs during late adulthood, usually from age 65 onwards. At this stage, people reflect on their lives and evaluate whether they lived meaningfully (Maree, 2021). Those who feel satisfied and proud of their life achievements experience integrity, leading to peace and acceptance. Those who feel regret or disappointment may experience despair, resulting in sadness and fear of death (Mazaheri et al., 2021).</w:t>
      </w:r>
    </w:p>
    <w:p w14:paraId="60F5E86D" w14:textId="450E2610" w:rsidR="005A1072" w:rsidRPr="00875BED" w:rsidRDefault="006E6C72" w:rsidP="009B1444">
      <w:pPr>
        <w:spacing w:line="360" w:lineRule="auto"/>
        <w:jc w:val="both"/>
        <w:rPr>
          <w:rFonts w:ascii="Arial" w:hAnsi="Arial" w:cs="Arial"/>
          <w:sz w:val="22"/>
          <w:szCs w:val="22"/>
        </w:rPr>
      </w:pPr>
      <w:r w:rsidRPr="006E6C72">
        <w:rPr>
          <w:rFonts w:ascii="Arial" w:hAnsi="Arial" w:cs="Arial"/>
          <w:sz w:val="22"/>
          <w:szCs w:val="22"/>
        </w:rPr>
        <w:t xml:space="preserve">For older adults with dementia, such as </w:t>
      </w:r>
      <w:r w:rsidRPr="006E6C72">
        <w:rPr>
          <w:rFonts w:ascii="Arial" w:hAnsi="Arial" w:cs="Arial"/>
          <w:b/>
          <w:bCs/>
          <w:sz w:val="22"/>
          <w:szCs w:val="22"/>
        </w:rPr>
        <w:t>Mrs. Eleanor Smith</w:t>
      </w:r>
      <w:r w:rsidRPr="006E6C72">
        <w:rPr>
          <w:rFonts w:ascii="Arial" w:hAnsi="Arial" w:cs="Arial"/>
          <w:sz w:val="22"/>
          <w:szCs w:val="22"/>
        </w:rPr>
        <w:t xml:space="preserve">, this stage becomes more complex because the disease affects memory and the ability to reflect clearly on past experiences. Dementia can damage a person’s sense of identity because individuals may forget who they are, their family, or their life achievements (Bryden, 2019). Mrs. Smith, for </w:t>
      </w:r>
      <w:r w:rsidRPr="006E6C72">
        <w:rPr>
          <w:rFonts w:ascii="Arial" w:hAnsi="Arial" w:cs="Arial"/>
          <w:sz w:val="22"/>
          <w:szCs w:val="22"/>
        </w:rPr>
        <w:lastRenderedPageBreak/>
        <w:t>example, sometimes struggles to recall significant life events, which affects her ability to engage in the life-review process that Erikson described. However, the emotional need for meaning and dignity remains. Care staff can help residents like Mrs. Smith maintain a sense of integrity by reminding them of their personal histories, respecting their choices, and encouraging participation in familiar activities that reinforce identity and purpose.</w:t>
      </w:r>
    </w:p>
    <w:p w14:paraId="1E152941" w14:textId="0CF0CCF9" w:rsidR="002A6397" w:rsidRDefault="002A6397" w:rsidP="009B1444">
      <w:pPr>
        <w:spacing w:line="360" w:lineRule="auto"/>
        <w:jc w:val="both"/>
        <w:rPr>
          <w:rFonts w:ascii="Arial" w:hAnsi="Arial" w:cs="Arial"/>
          <w:sz w:val="22"/>
          <w:szCs w:val="22"/>
        </w:rPr>
      </w:pPr>
      <w:r>
        <w:rPr>
          <w:rFonts w:ascii="Arial" w:hAnsi="Arial" w:cs="Arial"/>
          <w:b/>
          <w:bCs/>
          <w:sz w:val="22"/>
          <w:szCs w:val="22"/>
        </w:rPr>
        <w:t xml:space="preserve">Figure 2.1 </w:t>
      </w:r>
      <w:r w:rsidR="00875BED" w:rsidRPr="00875BED">
        <w:rPr>
          <w:rFonts w:ascii="Arial" w:hAnsi="Arial" w:cs="Arial"/>
          <w:b/>
          <w:bCs/>
          <w:sz w:val="22"/>
          <w:szCs w:val="22"/>
        </w:rPr>
        <w:t>Visual Representation (Erikson’s Theory):</w:t>
      </w:r>
    </w:p>
    <w:p w14:paraId="1F54DA32" w14:textId="0DC35A38" w:rsidR="002A6397" w:rsidRDefault="002A6397" w:rsidP="009B1444">
      <w:pPr>
        <w:spacing w:line="360" w:lineRule="auto"/>
        <w:jc w:val="both"/>
        <w:rPr>
          <w:rFonts w:ascii="Arial" w:hAnsi="Arial" w:cs="Arial"/>
          <w:sz w:val="22"/>
          <w:szCs w:val="22"/>
        </w:rPr>
      </w:pPr>
      <w:r>
        <w:rPr>
          <w:rFonts w:ascii="Arial" w:hAnsi="Arial" w:cs="Arial"/>
          <w:noProof/>
          <w:sz w:val="22"/>
          <w:szCs w:val="22"/>
        </w:rPr>
        <w:drawing>
          <wp:inline distT="0" distB="0" distL="0" distR="0" wp14:anchorId="550DDBAD" wp14:editId="4330CDB7">
            <wp:extent cx="4400550" cy="2362200"/>
            <wp:effectExtent l="0" t="0" r="0" b="0"/>
            <wp:docPr id="1346076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00550" cy="2362200"/>
                    </a:xfrm>
                    <a:prstGeom prst="rect">
                      <a:avLst/>
                    </a:prstGeom>
                    <a:noFill/>
                  </pic:spPr>
                </pic:pic>
              </a:graphicData>
            </a:graphic>
          </wp:inline>
        </w:drawing>
      </w:r>
    </w:p>
    <w:p w14:paraId="69E946A2" w14:textId="76266C0E" w:rsidR="00AA21D8" w:rsidRDefault="00AA21D8" w:rsidP="009B1444">
      <w:pPr>
        <w:spacing w:line="360" w:lineRule="auto"/>
        <w:jc w:val="both"/>
        <w:rPr>
          <w:rFonts w:ascii="Arial" w:hAnsi="Arial" w:cs="Arial"/>
          <w:sz w:val="22"/>
          <w:szCs w:val="22"/>
        </w:rPr>
      </w:pPr>
      <w:r>
        <w:rPr>
          <w:rFonts w:ascii="Arial" w:hAnsi="Arial" w:cs="Arial"/>
          <w:sz w:val="22"/>
          <w:szCs w:val="22"/>
        </w:rPr>
        <w:t>Source: (</w:t>
      </w:r>
      <w:r w:rsidR="005A1072">
        <w:rPr>
          <w:rFonts w:ascii="Arial" w:hAnsi="Arial" w:cs="Arial"/>
          <w:sz w:val="22"/>
          <w:szCs w:val="22"/>
        </w:rPr>
        <w:t>Maree</w:t>
      </w:r>
      <w:r>
        <w:rPr>
          <w:rFonts w:ascii="Arial" w:hAnsi="Arial" w:cs="Arial"/>
          <w:sz w:val="22"/>
          <w:szCs w:val="22"/>
        </w:rPr>
        <w:t>, 202</w:t>
      </w:r>
      <w:r w:rsidR="005A1072">
        <w:rPr>
          <w:rFonts w:ascii="Arial" w:hAnsi="Arial" w:cs="Arial"/>
          <w:sz w:val="22"/>
          <w:szCs w:val="22"/>
        </w:rPr>
        <w:t>1</w:t>
      </w:r>
      <w:r>
        <w:rPr>
          <w:rFonts w:ascii="Arial" w:hAnsi="Arial" w:cs="Arial"/>
          <w:sz w:val="22"/>
          <w:szCs w:val="22"/>
        </w:rPr>
        <w:t>)</w:t>
      </w:r>
    </w:p>
    <w:p w14:paraId="7A93E481" w14:textId="228F2E20" w:rsidR="00875BED" w:rsidRPr="00875BED" w:rsidRDefault="00875BED" w:rsidP="009B1444">
      <w:pPr>
        <w:spacing w:line="360" w:lineRule="auto"/>
        <w:jc w:val="both"/>
        <w:rPr>
          <w:rFonts w:ascii="Arial" w:hAnsi="Arial" w:cs="Arial"/>
          <w:sz w:val="22"/>
          <w:szCs w:val="22"/>
        </w:rPr>
      </w:pPr>
      <w:r w:rsidRPr="00875BED">
        <w:rPr>
          <w:rFonts w:ascii="Arial" w:hAnsi="Arial" w:cs="Arial"/>
          <w:sz w:val="22"/>
          <w:szCs w:val="22"/>
        </w:rPr>
        <w:t>A</w:t>
      </w:r>
      <w:r w:rsidR="00AA21D8">
        <w:rPr>
          <w:rFonts w:ascii="Arial" w:hAnsi="Arial" w:cs="Arial"/>
          <w:sz w:val="22"/>
          <w:szCs w:val="22"/>
        </w:rPr>
        <w:t xml:space="preserve">bove is the image detailing </w:t>
      </w:r>
      <w:r w:rsidRPr="00875BED">
        <w:rPr>
          <w:rFonts w:ascii="Arial" w:hAnsi="Arial" w:cs="Arial"/>
          <w:sz w:val="22"/>
          <w:szCs w:val="22"/>
        </w:rPr>
        <w:t>each psychosocial stage from infancy to old age. The final segment is labelled “Integrity vs Despair – 65+ years,” representing reflection on life and acceptance or regret.</w:t>
      </w:r>
    </w:p>
    <w:p w14:paraId="16B219EF" w14:textId="0F833F35" w:rsidR="00875BED" w:rsidRPr="00875BED" w:rsidRDefault="002A6397" w:rsidP="009B1444">
      <w:pPr>
        <w:spacing w:line="360" w:lineRule="auto"/>
        <w:jc w:val="both"/>
        <w:rPr>
          <w:rFonts w:ascii="Arial" w:hAnsi="Arial" w:cs="Arial"/>
          <w:b/>
          <w:bCs/>
          <w:sz w:val="22"/>
          <w:szCs w:val="22"/>
        </w:rPr>
      </w:pPr>
      <w:r>
        <w:rPr>
          <w:rFonts w:ascii="Arial" w:hAnsi="Arial" w:cs="Arial"/>
          <w:b/>
          <w:bCs/>
          <w:sz w:val="22"/>
          <w:szCs w:val="22"/>
        </w:rPr>
        <w:t xml:space="preserve">2.1 </w:t>
      </w:r>
      <w:r w:rsidR="00875BED" w:rsidRPr="00875BED">
        <w:rPr>
          <w:rFonts w:ascii="Arial" w:hAnsi="Arial" w:cs="Arial"/>
          <w:b/>
          <w:bCs/>
          <w:sz w:val="22"/>
          <w:szCs w:val="22"/>
        </w:rPr>
        <w:t>Application of Erikson’s Theory in Dementia Care</w:t>
      </w:r>
    </w:p>
    <w:p w14:paraId="182C438E" w14:textId="77777777" w:rsidR="006E6C72" w:rsidRPr="006E6C72" w:rsidRDefault="006E6C72" w:rsidP="006E6C72">
      <w:pPr>
        <w:spacing w:line="360" w:lineRule="auto"/>
        <w:jc w:val="both"/>
        <w:rPr>
          <w:rFonts w:ascii="Arial" w:hAnsi="Arial" w:cs="Arial"/>
          <w:sz w:val="22"/>
          <w:szCs w:val="22"/>
        </w:rPr>
      </w:pPr>
      <w:r w:rsidRPr="006E6C72">
        <w:rPr>
          <w:rFonts w:ascii="Arial" w:hAnsi="Arial" w:cs="Arial"/>
          <w:sz w:val="22"/>
          <w:szCs w:val="22"/>
        </w:rPr>
        <w:t>Erikson’s theory can be used in care homes to understand the emotional needs of older residents. Older adults with dementia often feel confused, frustrated, and detached from their sense of self. For individuals such as Mrs. Eleanor Smith, maintaining a stable sense of identity is essential for psychological wellbeing.</w:t>
      </w:r>
    </w:p>
    <w:p w14:paraId="7ECB3AA5" w14:textId="77777777" w:rsidR="006E6C72" w:rsidRDefault="006E6C72" w:rsidP="006E6C72">
      <w:pPr>
        <w:spacing w:line="360" w:lineRule="auto"/>
        <w:jc w:val="both"/>
        <w:rPr>
          <w:rFonts w:ascii="Arial" w:hAnsi="Arial" w:cs="Arial"/>
          <w:sz w:val="22"/>
          <w:szCs w:val="22"/>
        </w:rPr>
      </w:pPr>
      <w:r w:rsidRPr="006E6C72">
        <w:rPr>
          <w:rFonts w:ascii="Arial" w:hAnsi="Arial" w:cs="Arial"/>
          <w:sz w:val="22"/>
          <w:szCs w:val="22"/>
        </w:rPr>
        <w:t>Practical applications include:</w:t>
      </w:r>
    </w:p>
    <w:p w14:paraId="50E910AC" w14:textId="77777777" w:rsidR="006E6C72" w:rsidRDefault="006E6C72" w:rsidP="006E6C72">
      <w:pPr>
        <w:pStyle w:val="ListParagraph"/>
        <w:numPr>
          <w:ilvl w:val="0"/>
          <w:numId w:val="6"/>
        </w:numPr>
        <w:spacing w:line="360" w:lineRule="auto"/>
        <w:jc w:val="both"/>
        <w:rPr>
          <w:rFonts w:ascii="Arial" w:hAnsi="Arial" w:cs="Arial"/>
          <w:sz w:val="22"/>
          <w:szCs w:val="22"/>
        </w:rPr>
      </w:pPr>
      <w:r w:rsidRPr="006E6C72">
        <w:rPr>
          <w:rFonts w:ascii="Arial" w:hAnsi="Arial" w:cs="Arial"/>
          <w:b/>
          <w:bCs/>
          <w:sz w:val="22"/>
          <w:szCs w:val="22"/>
        </w:rPr>
        <w:t>Life story work:</w:t>
      </w:r>
      <w:r w:rsidRPr="006E6C72">
        <w:rPr>
          <w:rFonts w:ascii="Arial" w:hAnsi="Arial" w:cs="Arial"/>
          <w:sz w:val="22"/>
          <w:szCs w:val="22"/>
        </w:rPr>
        <w:t xml:space="preserve"> Staff can help residents like Mrs. Smith look through photo albums, play familiar music, or discuss significant memories. This activity helps older adults connect with their past, reinforcing their identity and giving them a sense of continuity (Baird et al., 2020).</w:t>
      </w:r>
    </w:p>
    <w:p w14:paraId="61EAEF72" w14:textId="77777777" w:rsidR="006E6C72" w:rsidRDefault="006E6C72" w:rsidP="006E6C72">
      <w:pPr>
        <w:pStyle w:val="ListParagraph"/>
        <w:numPr>
          <w:ilvl w:val="0"/>
          <w:numId w:val="6"/>
        </w:numPr>
        <w:spacing w:line="360" w:lineRule="auto"/>
        <w:jc w:val="both"/>
        <w:rPr>
          <w:rFonts w:ascii="Arial" w:hAnsi="Arial" w:cs="Arial"/>
          <w:sz w:val="22"/>
          <w:szCs w:val="22"/>
        </w:rPr>
      </w:pPr>
      <w:r w:rsidRPr="006E6C72">
        <w:rPr>
          <w:rFonts w:ascii="Arial" w:hAnsi="Arial" w:cs="Arial"/>
          <w:b/>
          <w:bCs/>
          <w:sz w:val="22"/>
          <w:szCs w:val="22"/>
        </w:rPr>
        <w:t>Reminiscence therapy:</w:t>
      </w:r>
      <w:r w:rsidRPr="006E6C72">
        <w:rPr>
          <w:rFonts w:ascii="Arial" w:hAnsi="Arial" w:cs="Arial"/>
          <w:sz w:val="22"/>
          <w:szCs w:val="22"/>
        </w:rPr>
        <w:t xml:space="preserve"> Group sessions where residents, including Mrs. Smith, share memories or talk about historical events from their youth can reduce loneliness and enhance mood (Baird et al., 2020).</w:t>
      </w:r>
    </w:p>
    <w:p w14:paraId="752857C1" w14:textId="66B5A795" w:rsidR="006E6C72" w:rsidRPr="006E6C72" w:rsidRDefault="006E6C72" w:rsidP="006E6C72">
      <w:pPr>
        <w:pStyle w:val="ListParagraph"/>
        <w:numPr>
          <w:ilvl w:val="0"/>
          <w:numId w:val="6"/>
        </w:numPr>
        <w:spacing w:line="360" w:lineRule="auto"/>
        <w:jc w:val="both"/>
        <w:rPr>
          <w:rFonts w:ascii="Arial" w:hAnsi="Arial" w:cs="Arial"/>
          <w:sz w:val="22"/>
          <w:szCs w:val="22"/>
        </w:rPr>
      </w:pPr>
      <w:r w:rsidRPr="006E6C72">
        <w:rPr>
          <w:rFonts w:ascii="Arial" w:hAnsi="Arial" w:cs="Arial"/>
          <w:b/>
          <w:bCs/>
          <w:sz w:val="22"/>
          <w:szCs w:val="22"/>
        </w:rPr>
        <w:lastRenderedPageBreak/>
        <w:t>Person-centred care:</w:t>
      </w:r>
      <w:r w:rsidRPr="006E6C72">
        <w:rPr>
          <w:rFonts w:ascii="Arial" w:hAnsi="Arial" w:cs="Arial"/>
          <w:sz w:val="22"/>
          <w:szCs w:val="22"/>
        </w:rPr>
        <w:t xml:space="preserve"> Recognising each resident’s unique background, preferences, and values such as Mrs. Smith’s past career, hobbies, or family traditions supports dignity and emotional stability (</w:t>
      </w:r>
      <w:proofErr w:type="spellStart"/>
      <w:r w:rsidRPr="006E6C72">
        <w:rPr>
          <w:rFonts w:ascii="Arial" w:hAnsi="Arial" w:cs="Arial"/>
          <w:sz w:val="22"/>
          <w:szCs w:val="22"/>
        </w:rPr>
        <w:t>Zwingmann</w:t>
      </w:r>
      <w:proofErr w:type="spellEnd"/>
      <w:r w:rsidRPr="006E6C72">
        <w:rPr>
          <w:rFonts w:ascii="Arial" w:hAnsi="Arial" w:cs="Arial"/>
          <w:sz w:val="22"/>
          <w:szCs w:val="22"/>
        </w:rPr>
        <w:t xml:space="preserve"> et al., 2017).</w:t>
      </w:r>
    </w:p>
    <w:p w14:paraId="5DEA3B46" w14:textId="2813F527" w:rsidR="006E6C72" w:rsidRPr="006E6C72" w:rsidRDefault="006E6C72" w:rsidP="006E6C72">
      <w:pPr>
        <w:spacing w:line="360" w:lineRule="auto"/>
        <w:jc w:val="both"/>
        <w:rPr>
          <w:rFonts w:ascii="Arial" w:hAnsi="Arial" w:cs="Arial"/>
          <w:sz w:val="22"/>
          <w:szCs w:val="22"/>
        </w:rPr>
      </w:pPr>
      <w:r w:rsidRPr="006E6C72">
        <w:rPr>
          <w:rFonts w:ascii="Arial" w:hAnsi="Arial" w:cs="Arial"/>
          <w:sz w:val="22"/>
          <w:szCs w:val="22"/>
        </w:rPr>
        <w:t>These approaches help residents, including Mrs. Smith, experience integrity rather than despair, even if memory loss prevents detailed reflection.</w:t>
      </w:r>
    </w:p>
    <w:p w14:paraId="7DF0E510" w14:textId="77777777" w:rsidR="006E6C72" w:rsidRPr="006E6C72" w:rsidRDefault="006E6C72" w:rsidP="006E6C72">
      <w:pPr>
        <w:spacing w:line="360" w:lineRule="auto"/>
        <w:jc w:val="both"/>
        <w:rPr>
          <w:rFonts w:ascii="Arial" w:hAnsi="Arial" w:cs="Arial"/>
          <w:b/>
          <w:bCs/>
          <w:sz w:val="22"/>
          <w:szCs w:val="22"/>
        </w:rPr>
      </w:pPr>
      <w:r w:rsidRPr="006E6C72">
        <w:rPr>
          <w:rFonts w:ascii="Arial" w:hAnsi="Arial" w:cs="Arial"/>
          <w:b/>
          <w:bCs/>
          <w:sz w:val="22"/>
          <w:szCs w:val="22"/>
        </w:rPr>
        <w:t>2.1.1 Critique of Erikson’s Theory</w:t>
      </w:r>
    </w:p>
    <w:p w14:paraId="1D908196" w14:textId="77777777" w:rsidR="006E6C72" w:rsidRPr="006E6C72" w:rsidRDefault="006E6C72" w:rsidP="006E6C72">
      <w:pPr>
        <w:spacing w:line="360" w:lineRule="auto"/>
        <w:jc w:val="both"/>
        <w:rPr>
          <w:rFonts w:ascii="Arial" w:hAnsi="Arial" w:cs="Arial"/>
          <w:sz w:val="22"/>
          <w:szCs w:val="22"/>
        </w:rPr>
      </w:pPr>
      <w:r w:rsidRPr="006E6C72">
        <w:rPr>
          <w:rFonts w:ascii="Arial" w:hAnsi="Arial" w:cs="Arial"/>
          <w:b/>
          <w:bCs/>
          <w:sz w:val="22"/>
          <w:szCs w:val="22"/>
        </w:rPr>
        <w:t>Strengths:</w:t>
      </w:r>
      <w:r w:rsidRPr="006E6C72">
        <w:rPr>
          <w:rFonts w:ascii="Arial" w:hAnsi="Arial" w:cs="Arial"/>
          <w:sz w:val="22"/>
          <w:szCs w:val="22"/>
        </w:rPr>
        <w:br/>
        <w:t>Erikson’s theory is valuable because it connects psychological wellbeing with life experiences. It helps care professionals focus on emotional fulfilment, not just physical care. Research supports the idea that maintaining identity and encouraging life review improve self-esteem and mood in people with dementia (Maree, 2022), as seen in interventions used to support Mrs. Smith’s emotional needs.</w:t>
      </w:r>
    </w:p>
    <w:p w14:paraId="4BC82B30" w14:textId="77777777" w:rsidR="006E6C72" w:rsidRPr="006E6C72" w:rsidRDefault="006E6C72" w:rsidP="006E6C72">
      <w:pPr>
        <w:spacing w:line="360" w:lineRule="auto"/>
        <w:jc w:val="both"/>
        <w:rPr>
          <w:rFonts w:ascii="Arial" w:hAnsi="Arial" w:cs="Arial"/>
          <w:sz w:val="22"/>
          <w:szCs w:val="22"/>
        </w:rPr>
      </w:pPr>
      <w:r w:rsidRPr="006E6C72">
        <w:rPr>
          <w:rFonts w:ascii="Arial" w:hAnsi="Arial" w:cs="Arial"/>
          <w:b/>
          <w:bCs/>
          <w:sz w:val="22"/>
          <w:szCs w:val="22"/>
        </w:rPr>
        <w:t>Weaknesses:</w:t>
      </w:r>
      <w:r w:rsidRPr="006E6C72">
        <w:rPr>
          <w:rFonts w:ascii="Arial" w:hAnsi="Arial" w:cs="Arial"/>
          <w:sz w:val="22"/>
          <w:szCs w:val="22"/>
        </w:rPr>
        <w:br/>
        <w:t>However, the model assumes that older adults have clear memory and self-awareness. People with advanced dementia cannot always recall their life story or express emotions clearly, which is sometimes the case for individuals like Mrs. Smith during periods of confusion. The theory also does not explain cultural differences in ageing or the influence of social care systems (</w:t>
      </w:r>
      <w:proofErr w:type="spellStart"/>
      <w:r w:rsidRPr="006E6C72">
        <w:rPr>
          <w:rFonts w:ascii="Arial" w:hAnsi="Arial" w:cs="Arial"/>
          <w:sz w:val="22"/>
          <w:szCs w:val="22"/>
        </w:rPr>
        <w:t>Craftman</w:t>
      </w:r>
      <w:proofErr w:type="spellEnd"/>
      <w:r w:rsidRPr="006E6C72">
        <w:rPr>
          <w:rFonts w:ascii="Arial" w:hAnsi="Arial" w:cs="Arial"/>
          <w:sz w:val="22"/>
          <w:szCs w:val="22"/>
        </w:rPr>
        <w:t xml:space="preserve"> et al., 2019).</w:t>
      </w:r>
    </w:p>
    <w:p w14:paraId="5CB00814" w14:textId="6F17CED6" w:rsidR="00875BED" w:rsidRPr="00875BED" w:rsidRDefault="006E6C72" w:rsidP="009B1444">
      <w:pPr>
        <w:spacing w:line="360" w:lineRule="auto"/>
        <w:jc w:val="both"/>
        <w:rPr>
          <w:rFonts w:ascii="Arial" w:hAnsi="Arial" w:cs="Arial"/>
          <w:sz w:val="22"/>
          <w:szCs w:val="22"/>
        </w:rPr>
      </w:pPr>
      <w:r w:rsidRPr="006E6C72">
        <w:rPr>
          <w:rFonts w:ascii="Arial" w:hAnsi="Arial" w:cs="Arial"/>
          <w:b/>
          <w:bCs/>
          <w:sz w:val="22"/>
          <w:szCs w:val="22"/>
        </w:rPr>
        <w:t>Criticisms:</w:t>
      </w:r>
      <w:r w:rsidRPr="006E6C72">
        <w:rPr>
          <w:rFonts w:ascii="Arial" w:hAnsi="Arial" w:cs="Arial"/>
          <w:sz w:val="22"/>
          <w:szCs w:val="22"/>
        </w:rPr>
        <w:br/>
        <w:t>Some critics argue that Erikson’s stages are too rigid and generalised (Darling-Fisher, 2019). Not every older adult experiences despair or integrity in the same way, and the model may oversimplify late-life experiences. Despite these limitations, when adapted sensitively, Erikson’s theory remains useful in guiding emotional support in dementia care, particularly for residents such as Mrs. Smith.</w:t>
      </w:r>
    </w:p>
    <w:p w14:paraId="6832D243" w14:textId="49234695" w:rsidR="00875BED" w:rsidRPr="00875BED" w:rsidRDefault="009B1444" w:rsidP="009B1444">
      <w:pPr>
        <w:spacing w:line="360" w:lineRule="auto"/>
        <w:jc w:val="both"/>
        <w:rPr>
          <w:rFonts w:ascii="Arial" w:hAnsi="Arial" w:cs="Arial"/>
          <w:b/>
          <w:bCs/>
          <w:sz w:val="22"/>
          <w:szCs w:val="22"/>
        </w:rPr>
      </w:pPr>
      <w:r>
        <w:rPr>
          <w:rFonts w:ascii="Arial" w:hAnsi="Arial" w:cs="Arial"/>
          <w:b/>
          <w:bCs/>
          <w:sz w:val="22"/>
          <w:szCs w:val="22"/>
        </w:rPr>
        <w:t xml:space="preserve">2.3 </w:t>
      </w:r>
      <w:r w:rsidR="00875BED" w:rsidRPr="00875BED">
        <w:rPr>
          <w:rFonts w:ascii="Arial" w:hAnsi="Arial" w:cs="Arial"/>
          <w:b/>
          <w:bCs/>
          <w:sz w:val="22"/>
          <w:szCs w:val="22"/>
        </w:rPr>
        <w:t>Understanding Maslow’s Hierarchy of Needs</w:t>
      </w:r>
    </w:p>
    <w:p w14:paraId="00B93CDE" w14:textId="259F95BD" w:rsidR="00875BED" w:rsidRPr="00875BED" w:rsidRDefault="00875BED" w:rsidP="009B1444">
      <w:pPr>
        <w:spacing w:line="360" w:lineRule="auto"/>
        <w:jc w:val="both"/>
        <w:rPr>
          <w:rFonts w:ascii="Arial" w:hAnsi="Arial" w:cs="Arial"/>
          <w:sz w:val="22"/>
          <w:szCs w:val="22"/>
        </w:rPr>
      </w:pPr>
      <w:r w:rsidRPr="00875BED">
        <w:rPr>
          <w:rFonts w:ascii="Arial" w:hAnsi="Arial" w:cs="Arial"/>
          <w:sz w:val="22"/>
          <w:szCs w:val="22"/>
        </w:rPr>
        <w:t xml:space="preserve">Abraham Maslow </w:t>
      </w:r>
      <w:r w:rsidR="009B1444">
        <w:rPr>
          <w:rFonts w:ascii="Arial" w:hAnsi="Arial" w:cs="Arial"/>
          <w:sz w:val="22"/>
          <w:szCs w:val="22"/>
        </w:rPr>
        <w:t>in 1943</w:t>
      </w:r>
      <w:r w:rsidRPr="00875BED">
        <w:rPr>
          <w:rFonts w:ascii="Arial" w:hAnsi="Arial" w:cs="Arial"/>
          <w:sz w:val="22"/>
          <w:szCs w:val="22"/>
        </w:rPr>
        <w:t xml:space="preserve"> proposed that human motivation follows a hierarchy of needs, arranged from the most basic to the most complex. The levels include:</w:t>
      </w:r>
    </w:p>
    <w:p w14:paraId="5D60D309" w14:textId="77777777" w:rsidR="00875BED" w:rsidRPr="00875BED" w:rsidRDefault="00875BED" w:rsidP="009B1444">
      <w:pPr>
        <w:numPr>
          <w:ilvl w:val="0"/>
          <w:numId w:val="2"/>
        </w:numPr>
        <w:spacing w:line="360" w:lineRule="auto"/>
        <w:jc w:val="both"/>
        <w:rPr>
          <w:rFonts w:ascii="Arial" w:hAnsi="Arial" w:cs="Arial"/>
          <w:sz w:val="22"/>
          <w:szCs w:val="22"/>
        </w:rPr>
      </w:pPr>
      <w:r w:rsidRPr="00875BED">
        <w:rPr>
          <w:rFonts w:ascii="Arial" w:hAnsi="Arial" w:cs="Arial"/>
          <w:sz w:val="22"/>
          <w:szCs w:val="22"/>
        </w:rPr>
        <w:t>Physiological needs (food, water, rest),</w:t>
      </w:r>
    </w:p>
    <w:p w14:paraId="668CD78F" w14:textId="77777777" w:rsidR="00875BED" w:rsidRPr="00875BED" w:rsidRDefault="00875BED" w:rsidP="009B1444">
      <w:pPr>
        <w:numPr>
          <w:ilvl w:val="0"/>
          <w:numId w:val="2"/>
        </w:numPr>
        <w:spacing w:line="360" w:lineRule="auto"/>
        <w:jc w:val="both"/>
        <w:rPr>
          <w:rFonts w:ascii="Arial" w:hAnsi="Arial" w:cs="Arial"/>
          <w:sz w:val="22"/>
          <w:szCs w:val="22"/>
        </w:rPr>
      </w:pPr>
      <w:r w:rsidRPr="00875BED">
        <w:rPr>
          <w:rFonts w:ascii="Arial" w:hAnsi="Arial" w:cs="Arial"/>
          <w:sz w:val="22"/>
          <w:szCs w:val="22"/>
        </w:rPr>
        <w:t>Safety needs (security and stability),</w:t>
      </w:r>
    </w:p>
    <w:p w14:paraId="443685B4" w14:textId="77777777" w:rsidR="00875BED" w:rsidRPr="00875BED" w:rsidRDefault="00875BED" w:rsidP="009B1444">
      <w:pPr>
        <w:numPr>
          <w:ilvl w:val="0"/>
          <w:numId w:val="2"/>
        </w:numPr>
        <w:spacing w:line="360" w:lineRule="auto"/>
        <w:jc w:val="both"/>
        <w:rPr>
          <w:rFonts w:ascii="Arial" w:hAnsi="Arial" w:cs="Arial"/>
          <w:sz w:val="22"/>
          <w:szCs w:val="22"/>
        </w:rPr>
      </w:pPr>
      <w:r w:rsidRPr="00875BED">
        <w:rPr>
          <w:rFonts w:ascii="Arial" w:hAnsi="Arial" w:cs="Arial"/>
          <w:sz w:val="22"/>
          <w:szCs w:val="22"/>
        </w:rPr>
        <w:t>Love and belonging (relationships and affection),</w:t>
      </w:r>
    </w:p>
    <w:p w14:paraId="7AB434C9" w14:textId="77777777" w:rsidR="00875BED" w:rsidRPr="00875BED" w:rsidRDefault="00875BED" w:rsidP="009B1444">
      <w:pPr>
        <w:numPr>
          <w:ilvl w:val="0"/>
          <w:numId w:val="2"/>
        </w:numPr>
        <w:spacing w:line="360" w:lineRule="auto"/>
        <w:jc w:val="both"/>
        <w:rPr>
          <w:rFonts w:ascii="Arial" w:hAnsi="Arial" w:cs="Arial"/>
          <w:sz w:val="22"/>
          <w:szCs w:val="22"/>
        </w:rPr>
      </w:pPr>
      <w:r w:rsidRPr="00875BED">
        <w:rPr>
          <w:rFonts w:ascii="Arial" w:hAnsi="Arial" w:cs="Arial"/>
          <w:sz w:val="22"/>
          <w:szCs w:val="22"/>
        </w:rPr>
        <w:t>Esteem (self-respect and recognition), and</w:t>
      </w:r>
    </w:p>
    <w:p w14:paraId="6E5A0086" w14:textId="77777777" w:rsidR="00875BED" w:rsidRPr="00875BED" w:rsidRDefault="00875BED" w:rsidP="009B1444">
      <w:pPr>
        <w:numPr>
          <w:ilvl w:val="0"/>
          <w:numId w:val="2"/>
        </w:numPr>
        <w:spacing w:line="360" w:lineRule="auto"/>
        <w:jc w:val="both"/>
        <w:rPr>
          <w:rFonts w:ascii="Arial" w:hAnsi="Arial" w:cs="Arial"/>
          <w:sz w:val="22"/>
          <w:szCs w:val="22"/>
        </w:rPr>
      </w:pPr>
      <w:r w:rsidRPr="00875BED">
        <w:rPr>
          <w:rFonts w:ascii="Arial" w:hAnsi="Arial" w:cs="Arial"/>
          <w:sz w:val="22"/>
          <w:szCs w:val="22"/>
        </w:rPr>
        <w:t>Self-actualisation (personal growth and fulfilment).</w:t>
      </w:r>
    </w:p>
    <w:p w14:paraId="023BC1A2" w14:textId="0CF416CC" w:rsidR="009B1444" w:rsidRPr="00875BED" w:rsidRDefault="00875BED" w:rsidP="009B1444">
      <w:pPr>
        <w:spacing w:line="360" w:lineRule="auto"/>
        <w:jc w:val="both"/>
        <w:rPr>
          <w:rFonts w:ascii="Arial" w:hAnsi="Arial" w:cs="Arial"/>
          <w:sz w:val="22"/>
          <w:szCs w:val="22"/>
        </w:rPr>
      </w:pPr>
      <w:r w:rsidRPr="00875BED">
        <w:rPr>
          <w:rFonts w:ascii="Arial" w:hAnsi="Arial" w:cs="Arial"/>
          <w:sz w:val="22"/>
          <w:szCs w:val="22"/>
        </w:rPr>
        <w:lastRenderedPageBreak/>
        <w:t>Maslow suggested that lower-level needs must be met before a person can achieve higher-level satisfaction.</w:t>
      </w:r>
    </w:p>
    <w:p w14:paraId="71852582" w14:textId="6957A661" w:rsidR="00875BED" w:rsidRDefault="009B1444" w:rsidP="009B1444">
      <w:pPr>
        <w:spacing w:line="360" w:lineRule="auto"/>
        <w:rPr>
          <w:rFonts w:ascii="Arial" w:hAnsi="Arial" w:cs="Arial"/>
          <w:sz w:val="22"/>
          <w:szCs w:val="22"/>
        </w:rPr>
      </w:pPr>
      <w:r>
        <w:rPr>
          <w:rFonts w:ascii="Arial" w:hAnsi="Arial" w:cs="Arial"/>
          <w:b/>
          <w:bCs/>
          <w:sz w:val="22"/>
          <w:szCs w:val="22"/>
        </w:rPr>
        <w:t xml:space="preserve">Figure 2.2 </w:t>
      </w:r>
      <w:r w:rsidR="00875BED" w:rsidRPr="00875BED">
        <w:rPr>
          <w:rFonts w:ascii="Arial" w:hAnsi="Arial" w:cs="Arial"/>
          <w:b/>
          <w:bCs/>
          <w:sz w:val="22"/>
          <w:szCs w:val="22"/>
        </w:rPr>
        <w:t xml:space="preserve">Maslow’s </w:t>
      </w:r>
      <w:r>
        <w:rPr>
          <w:rFonts w:ascii="Arial" w:hAnsi="Arial" w:cs="Arial"/>
          <w:b/>
          <w:bCs/>
          <w:sz w:val="22"/>
          <w:szCs w:val="22"/>
        </w:rPr>
        <w:t>Hierarchy of Needs</w:t>
      </w:r>
    </w:p>
    <w:p w14:paraId="50065A78" w14:textId="5D80F2A6" w:rsidR="009B1444" w:rsidRDefault="009B1444" w:rsidP="009B1444">
      <w:pPr>
        <w:spacing w:line="360" w:lineRule="auto"/>
        <w:rPr>
          <w:rFonts w:ascii="Arial" w:hAnsi="Arial" w:cs="Arial"/>
          <w:sz w:val="22"/>
          <w:szCs w:val="22"/>
        </w:rPr>
      </w:pPr>
      <w:r>
        <w:rPr>
          <w:rFonts w:ascii="Arial" w:hAnsi="Arial" w:cs="Arial"/>
          <w:noProof/>
          <w:sz w:val="22"/>
          <w:szCs w:val="22"/>
        </w:rPr>
        <w:drawing>
          <wp:inline distT="0" distB="0" distL="0" distR="0" wp14:anchorId="31BCF97F" wp14:editId="1EE9E34D">
            <wp:extent cx="3879850" cy="4445000"/>
            <wp:effectExtent l="0" t="0" r="6350" b="0"/>
            <wp:docPr id="5132664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12321" cy="4482201"/>
                    </a:xfrm>
                    <a:prstGeom prst="rect">
                      <a:avLst/>
                    </a:prstGeom>
                    <a:noFill/>
                  </pic:spPr>
                </pic:pic>
              </a:graphicData>
            </a:graphic>
          </wp:inline>
        </w:drawing>
      </w:r>
    </w:p>
    <w:p w14:paraId="40F84831" w14:textId="251F1857" w:rsidR="009B1444" w:rsidRPr="00875BED" w:rsidRDefault="009B1444" w:rsidP="009B1444">
      <w:pPr>
        <w:spacing w:line="360" w:lineRule="auto"/>
        <w:rPr>
          <w:rFonts w:ascii="Arial" w:hAnsi="Arial" w:cs="Arial"/>
          <w:sz w:val="22"/>
          <w:szCs w:val="22"/>
        </w:rPr>
      </w:pPr>
      <w:r>
        <w:rPr>
          <w:rFonts w:ascii="Arial" w:hAnsi="Arial" w:cs="Arial"/>
          <w:sz w:val="22"/>
          <w:szCs w:val="22"/>
        </w:rPr>
        <w:t xml:space="preserve">Source: Hale </w:t>
      </w:r>
      <w:r w:rsidRPr="009B1444">
        <w:rPr>
          <w:rFonts w:ascii="Arial" w:hAnsi="Arial" w:cs="Arial"/>
          <w:i/>
          <w:iCs/>
          <w:sz w:val="22"/>
          <w:szCs w:val="22"/>
        </w:rPr>
        <w:t>et al.</w:t>
      </w:r>
      <w:r>
        <w:rPr>
          <w:rFonts w:ascii="Arial" w:hAnsi="Arial" w:cs="Arial"/>
          <w:sz w:val="22"/>
          <w:szCs w:val="22"/>
        </w:rPr>
        <w:t xml:space="preserve"> (2019)</w:t>
      </w:r>
    </w:p>
    <w:p w14:paraId="4DB15031" w14:textId="05C1EF15" w:rsidR="00875BED" w:rsidRPr="00875BED" w:rsidRDefault="00875BED" w:rsidP="009B1444">
      <w:pPr>
        <w:spacing w:line="360" w:lineRule="auto"/>
        <w:jc w:val="both"/>
        <w:rPr>
          <w:rFonts w:ascii="Arial" w:hAnsi="Arial" w:cs="Arial"/>
          <w:sz w:val="22"/>
          <w:szCs w:val="22"/>
        </w:rPr>
      </w:pPr>
      <w:r w:rsidRPr="00875BED">
        <w:rPr>
          <w:rFonts w:ascii="Arial" w:hAnsi="Arial" w:cs="Arial"/>
          <w:sz w:val="22"/>
          <w:szCs w:val="22"/>
        </w:rPr>
        <w:t>For older adults with dementia, meeting these needs becomes a shared responsibility between the person, their family, and care staff. As dementia progresses, individuals may not be able to express their needs verbally, so carers must observe behaviours, facial expressions, and routines to understand what residents need at each level of the hierarchy.</w:t>
      </w:r>
    </w:p>
    <w:p w14:paraId="265E4B75" w14:textId="347B273E" w:rsidR="00875BED" w:rsidRPr="00875BED" w:rsidRDefault="009B1444" w:rsidP="009B1444">
      <w:pPr>
        <w:spacing w:line="360" w:lineRule="auto"/>
        <w:jc w:val="both"/>
        <w:rPr>
          <w:rFonts w:ascii="Arial" w:hAnsi="Arial" w:cs="Arial"/>
          <w:b/>
          <w:bCs/>
          <w:sz w:val="22"/>
          <w:szCs w:val="22"/>
        </w:rPr>
      </w:pPr>
      <w:r>
        <w:rPr>
          <w:rFonts w:ascii="Arial" w:hAnsi="Arial" w:cs="Arial"/>
          <w:b/>
          <w:bCs/>
          <w:sz w:val="22"/>
          <w:szCs w:val="22"/>
        </w:rPr>
        <w:t>2.3.1</w:t>
      </w:r>
      <w:r w:rsidR="00020273">
        <w:rPr>
          <w:rFonts w:ascii="Arial" w:hAnsi="Arial" w:cs="Arial"/>
          <w:b/>
          <w:bCs/>
          <w:sz w:val="22"/>
          <w:szCs w:val="22"/>
        </w:rPr>
        <w:t xml:space="preserve"> </w:t>
      </w:r>
      <w:r w:rsidR="00875BED" w:rsidRPr="00875BED">
        <w:rPr>
          <w:rFonts w:ascii="Arial" w:hAnsi="Arial" w:cs="Arial"/>
          <w:b/>
          <w:bCs/>
          <w:sz w:val="22"/>
          <w:szCs w:val="22"/>
        </w:rPr>
        <w:t>Application of Maslow’s Theory in Dementia Care</w:t>
      </w:r>
    </w:p>
    <w:p w14:paraId="12AD42CE" w14:textId="070FF264" w:rsidR="004616AB" w:rsidRPr="004616AB" w:rsidRDefault="004616AB" w:rsidP="004616AB">
      <w:pPr>
        <w:spacing w:line="360" w:lineRule="auto"/>
        <w:jc w:val="both"/>
        <w:rPr>
          <w:rFonts w:ascii="Arial" w:hAnsi="Arial" w:cs="Arial"/>
          <w:sz w:val="22"/>
          <w:szCs w:val="22"/>
        </w:rPr>
      </w:pPr>
      <w:r w:rsidRPr="004616AB">
        <w:rPr>
          <w:rFonts w:ascii="Arial" w:hAnsi="Arial" w:cs="Arial"/>
          <w:sz w:val="22"/>
          <w:szCs w:val="22"/>
        </w:rPr>
        <w:t>Maslow’s framework can guide daily care planning. For instance, the lowest level which is physiological needs includes ensuring that residents receive proper nutrition, hydration, rest, and comfort. Many older adults with dementia, such as Mrs Eleanor Smith, may forget to eat or drink, so staff must offer regular assistance and monitor intake (Bryden, 2019).</w:t>
      </w:r>
    </w:p>
    <w:p w14:paraId="1BE8A6B0" w14:textId="77777777" w:rsidR="004616AB" w:rsidRPr="004616AB" w:rsidRDefault="004616AB" w:rsidP="004616AB">
      <w:pPr>
        <w:spacing w:line="360" w:lineRule="auto"/>
        <w:jc w:val="both"/>
        <w:rPr>
          <w:rFonts w:ascii="Arial" w:hAnsi="Arial" w:cs="Arial"/>
          <w:sz w:val="22"/>
          <w:szCs w:val="22"/>
        </w:rPr>
      </w:pPr>
      <w:r w:rsidRPr="004616AB">
        <w:rPr>
          <w:rFonts w:ascii="Arial" w:hAnsi="Arial" w:cs="Arial"/>
          <w:sz w:val="22"/>
          <w:szCs w:val="22"/>
        </w:rPr>
        <w:t xml:space="preserve">Safety needs are also important. People with dementia can become disoriented or wander, placing them at risk of harm. Care homes can maintain safety by using clear signage, </w:t>
      </w:r>
      <w:proofErr w:type="spellStart"/>
      <w:r w:rsidRPr="004616AB">
        <w:rPr>
          <w:rFonts w:ascii="Arial" w:hAnsi="Arial" w:cs="Arial"/>
          <w:sz w:val="22"/>
          <w:szCs w:val="22"/>
        </w:rPr>
        <w:t>well lit</w:t>
      </w:r>
      <w:proofErr w:type="spellEnd"/>
      <w:r w:rsidRPr="004616AB">
        <w:rPr>
          <w:rFonts w:ascii="Arial" w:hAnsi="Arial" w:cs="Arial"/>
          <w:sz w:val="22"/>
          <w:szCs w:val="22"/>
        </w:rPr>
        <w:t xml:space="preserve"> </w:t>
      </w:r>
      <w:r w:rsidRPr="004616AB">
        <w:rPr>
          <w:rFonts w:ascii="Arial" w:hAnsi="Arial" w:cs="Arial"/>
          <w:sz w:val="22"/>
          <w:szCs w:val="22"/>
        </w:rPr>
        <w:lastRenderedPageBreak/>
        <w:t>pathways, and secure outdoor areas where residents like Mrs Eleanor Smith can walk safely (Chee, 2019).</w:t>
      </w:r>
    </w:p>
    <w:p w14:paraId="474F7D36" w14:textId="77777777" w:rsidR="004616AB" w:rsidRPr="004616AB" w:rsidRDefault="004616AB" w:rsidP="004616AB">
      <w:pPr>
        <w:spacing w:line="360" w:lineRule="auto"/>
        <w:jc w:val="both"/>
        <w:rPr>
          <w:rFonts w:ascii="Arial" w:hAnsi="Arial" w:cs="Arial"/>
          <w:sz w:val="22"/>
          <w:szCs w:val="22"/>
        </w:rPr>
      </w:pPr>
      <w:r w:rsidRPr="004616AB">
        <w:rPr>
          <w:rFonts w:ascii="Arial" w:hAnsi="Arial" w:cs="Arial"/>
          <w:sz w:val="22"/>
          <w:szCs w:val="22"/>
        </w:rPr>
        <w:t>At the love and belonging level, social interaction is essential. Group activities such as singing, gardening, or shared mealtimes help build emotional bonds and reduce isolation. Staff can promote belonging by addressing residents by name and encouraging positive relationships. For Mrs Eleanor Smith, taking part in small group discussions and familiar hobbies supports emotional comfort.</w:t>
      </w:r>
    </w:p>
    <w:p w14:paraId="4F836133" w14:textId="77777777" w:rsidR="004616AB" w:rsidRPr="004616AB" w:rsidRDefault="004616AB" w:rsidP="004616AB">
      <w:pPr>
        <w:spacing w:line="360" w:lineRule="auto"/>
        <w:jc w:val="both"/>
        <w:rPr>
          <w:rFonts w:ascii="Arial" w:hAnsi="Arial" w:cs="Arial"/>
          <w:sz w:val="22"/>
          <w:szCs w:val="22"/>
        </w:rPr>
      </w:pPr>
      <w:r w:rsidRPr="004616AB">
        <w:rPr>
          <w:rFonts w:ascii="Arial" w:hAnsi="Arial" w:cs="Arial"/>
          <w:sz w:val="22"/>
          <w:szCs w:val="22"/>
        </w:rPr>
        <w:t xml:space="preserve">Esteem needs are met when residents feel valued and respected. Allowing them to make small choices such as selecting clothing or meal preferences helps maintain independence and confidence (Peek et al., 2020). Recognising achievements, even small ones like finishing a puzzle or helping set a table, strengthens </w:t>
      </w:r>
      <w:proofErr w:type="spellStart"/>
      <w:r w:rsidRPr="004616AB">
        <w:rPr>
          <w:rFonts w:ascii="Arial" w:hAnsi="Arial" w:cs="Arial"/>
          <w:sz w:val="22"/>
          <w:szCs w:val="22"/>
        </w:rPr>
        <w:t>self worth</w:t>
      </w:r>
      <w:proofErr w:type="spellEnd"/>
      <w:r w:rsidRPr="004616AB">
        <w:rPr>
          <w:rFonts w:ascii="Arial" w:hAnsi="Arial" w:cs="Arial"/>
          <w:sz w:val="22"/>
          <w:szCs w:val="22"/>
        </w:rPr>
        <w:t>. This can be especially meaningful for Mrs Eleanor Smith when she is supported to complete familiar tasks.</w:t>
      </w:r>
    </w:p>
    <w:p w14:paraId="7E34C088" w14:textId="30FE166A" w:rsidR="004616AB" w:rsidRPr="004616AB" w:rsidRDefault="004616AB" w:rsidP="004616AB">
      <w:pPr>
        <w:spacing w:line="360" w:lineRule="auto"/>
        <w:jc w:val="both"/>
        <w:rPr>
          <w:rFonts w:ascii="Arial" w:hAnsi="Arial" w:cs="Arial"/>
          <w:sz w:val="22"/>
          <w:szCs w:val="22"/>
        </w:rPr>
      </w:pPr>
      <w:r w:rsidRPr="004616AB">
        <w:rPr>
          <w:rFonts w:ascii="Arial" w:hAnsi="Arial" w:cs="Arial"/>
          <w:sz w:val="22"/>
          <w:szCs w:val="22"/>
        </w:rPr>
        <w:t>Self-actualisation may be difficult to achieve fully in dementia care, but it can be encouraged through creative activities such as art, music, or storytelling that provide purpose and a sense of accomplishment (Scerri, Scerri and Innes, 2018). For Mrs Eleanor Smith, activities like painting and listening to her favourite songs can help her express herself and experience moments of personal fulfilment.</w:t>
      </w:r>
    </w:p>
    <w:p w14:paraId="48CB2DE6" w14:textId="2B387E36" w:rsidR="004616AB" w:rsidRPr="004616AB" w:rsidRDefault="004616AB" w:rsidP="004616AB">
      <w:pPr>
        <w:spacing w:line="360" w:lineRule="auto"/>
        <w:jc w:val="both"/>
        <w:rPr>
          <w:rFonts w:ascii="Arial" w:hAnsi="Arial" w:cs="Arial"/>
          <w:b/>
          <w:bCs/>
          <w:sz w:val="22"/>
          <w:szCs w:val="22"/>
        </w:rPr>
      </w:pPr>
      <w:r w:rsidRPr="004616AB">
        <w:rPr>
          <w:rFonts w:ascii="Arial" w:hAnsi="Arial" w:cs="Arial"/>
          <w:b/>
          <w:bCs/>
          <w:sz w:val="22"/>
          <w:szCs w:val="22"/>
        </w:rPr>
        <w:t>2.3.2 Critique of Maslow’s Theory</w:t>
      </w:r>
    </w:p>
    <w:p w14:paraId="35AC9A36" w14:textId="020E451D" w:rsidR="004616AB" w:rsidRPr="004616AB" w:rsidRDefault="004616AB" w:rsidP="004616AB">
      <w:pPr>
        <w:spacing w:line="360" w:lineRule="auto"/>
        <w:jc w:val="both"/>
        <w:rPr>
          <w:rFonts w:ascii="Arial" w:hAnsi="Arial" w:cs="Arial"/>
          <w:sz w:val="22"/>
          <w:szCs w:val="22"/>
        </w:rPr>
      </w:pPr>
      <w:r w:rsidRPr="004616AB">
        <w:rPr>
          <w:rFonts w:ascii="Arial" w:hAnsi="Arial" w:cs="Arial"/>
          <w:b/>
          <w:bCs/>
          <w:sz w:val="22"/>
          <w:szCs w:val="22"/>
        </w:rPr>
        <w:t>Strengths:</w:t>
      </w:r>
      <w:r w:rsidRPr="004616AB">
        <w:rPr>
          <w:rFonts w:ascii="Arial" w:hAnsi="Arial" w:cs="Arial"/>
          <w:sz w:val="22"/>
          <w:szCs w:val="22"/>
        </w:rPr>
        <w:br/>
        <w:t>Maslow’s model is straightforward and easy for care staff to understand. It emphasises holistic care and recognises that emotional and social needs are as important as physical ones (Scerri, Scerri and Innes, 2018). The theory supports person centred care, which is a key standard in dementia practice. It also helps staff prioritise needs during care planning, ensuring that basic comfort and safety are addressed first.</w:t>
      </w:r>
    </w:p>
    <w:p w14:paraId="39A4D24C" w14:textId="77777777" w:rsidR="004616AB" w:rsidRPr="004616AB" w:rsidRDefault="004616AB" w:rsidP="004616AB">
      <w:pPr>
        <w:spacing w:line="360" w:lineRule="auto"/>
        <w:jc w:val="both"/>
        <w:rPr>
          <w:rFonts w:ascii="Arial" w:hAnsi="Arial" w:cs="Arial"/>
          <w:sz w:val="22"/>
          <w:szCs w:val="22"/>
        </w:rPr>
      </w:pPr>
      <w:r w:rsidRPr="004616AB">
        <w:rPr>
          <w:rFonts w:ascii="Arial" w:hAnsi="Arial" w:cs="Arial"/>
          <w:b/>
          <w:bCs/>
          <w:sz w:val="22"/>
          <w:szCs w:val="22"/>
        </w:rPr>
        <w:t>Weaknesses:</w:t>
      </w:r>
      <w:r w:rsidRPr="004616AB">
        <w:rPr>
          <w:rFonts w:ascii="Arial" w:hAnsi="Arial" w:cs="Arial"/>
          <w:sz w:val="22"/>
          <w:szCs w:val="22"/>
        </w:rPr>
        <w:br/>
        <w:t>The hierarchy may not apply equally to everyone. Some individuals may value love or esteem more than safety, depending on personality or culture. In dementia care, the sequence may not always follow the pyramid because some residents can still experience emotional satisfaction even when physical health is declining (</w:t>
      </w:r>
      <w:proofErr w:type="spellStart"/>
      <w:r w:rsidRPr="004616AB">
        <w:rPr>
          <w:rFonts w:ascii="Arial" w:hAnsi="Arial" w:cs="Arial"/>
          <w:sz w:val="22"/>
          <w:szCs w:val="22"/>
        </w:rPr>
        <w:t>Fergeus</w:t>
      </w:r>
      <w:proofErr w:type="spellEnd"/>
      <w:r w:rsidRPr="004616AB">
        <w:rPr>
          <w:rFonts w:ascii="Arial" w:hAnsi="Arial" w:cs="Arial"/>
          <w:sz w:val="22"/>
          <w:szCs w:val="22"/>
        </w:rPr>
        <w:t xml:space="preserve"> et al., 2019).</w:t>
      </w:r>
    </w:p>
    <w:p w14:paraId="2748989E" w14:textId="2B66799B" w:rsidR="00875BED" w:rsidRPr="00875BED" w:rsidRDefault="004616AB" w:rsidP="009B1444">
      <w:pPr>
        <w:spacing w:line="360" w:lineRule="auto"/>
        <w:jc w:val="both"/>
        <w:rPr>
          <w:rFonts w:ascii="Arial" w:hAnsi="Arial" w:cs="Arial"/>
          <w:sz w:val="22"/>
          <w:szCs w:val="22"/>
        </w:rPr>
      </w:pPr>
      <w:r w:rsidRPr="004616AB">
        <w:rPr>
          <w:rFonts w:ascii="Arial" w:hAnsi="Arial" w:cs="Arial"/>
          <w:b/>
          <w:bCs/>
          <w:sz w:val="22"/>
          <w:szCs w:val="22"/>
        </w:rPr>
        <w:t>Criticisms:</w:t>
      </w:r>
      <w:r w:rsidRPr="004616AB">
        <w:rPr>
          <w:rFonts w:ascii="Arial" w:hAnsi="Arial" w:cs="Arial"/>
          <w:sz w:val="22"/>
          <w:szCs w:val="22"/>
        </w:rPr>
        <w:br/>
        <w:t xml:space="preserve">Critics argue that Maslow’s theory lacks strong scientific evidence and that needs may overlap rather than follow a strict order. It has also been criticised for being individualistic, </w:t>
      </w:r>
      <w:proofErr w:type="gramStart"/>
      <w:r w:rsidRPr="004616AB">
        <w:rPr>
          <w:rFonts w:ascii="Arial" w:hAnsi="Arial" w:cs="Arial"/>
          <w:sz w:val="22"/>
          <w:szCs w:val="22"/>
        </w:rPr>
        <w:t>assuming that</w:t>
      </w:r>
      <w:proofErr w:type="gramEnd"/>
      <w:r w:rsidRPr="004616AB">
        <w:rPr>
          <w:rFonts w:ascii="Arial" w:hAnsi="Arial" w:cs="Arial"/>
          <w:sz w:val="22"/>
          <w:szCs w:val="22"/>
        </w:rPr>
        <w:t xml:space="preserve"> all people aim for self-actualisation, which might not be realistic for residents with severe </w:t>
      </w:r>
      <w:r w:rsidRPr="004616AB">
        <w:rPr>
          <w:rFonts w:ascii="Arial" w:hAnsi="Arial" w:cs="Arial"/>
          <w:sz w:val="22"/>
          <w:szCs w:val="22"/>
        </w:rPr>
        <w:lastRenderedPageBreak/>
        <w:t>dementia (James, 2019). However, despite these criticisms, Maslow’s hierarchy remains a practical guide for organising and prioritising care in dementia settings.</w:t>
      </w:r>
    </w:p>
    <w:p w14:paraId="2713B32D" w14:textId="14C97744" w:rsidR="00875BED" w:rsidRPr="00875BED" w:rsidRDefault="00020273" w:rsidP="009B1444">
      <w:pPr>
        <w:spacing w:line="360" w:lineRule="auto"/>
        <w:jc w:val="both"/>
        <w:rPr>
          <w:rFonts w:ascii="Arial" w:hAnsi="Arial" w:cs="Arial"/>
          <w:b/>
          <w:bCs/>
          <w:sz w:val="22"/>
          <w:szCs w:val="22"/>
        </w:rPr>
      </w:pPr>
      <w:r>
        <w:rPr>
          <w:rFonts w:ascii="Arial" w:hAnsi="Arial" w:cs="Arial"/>
          <w:b/>
          <w:bCs/>
          <w:sz w:val="22"/>
          <w:szCs w:val="22"/>
        </w:rPr>
        <w:t xml:space="preserve">2.4 </w:t>
      </w:r>
      <w:r w:rsidR="00875BED" w:rsidRPr="00875BED">
        <w:rPr>
          <w:rFonts w:ascii="Arial" w:hAnsi="Arial" w:cs="Arial"/>
          <w:b/>
          <w:bCs/>
          <w:sz w:val="22"/>
          <w:szCs w:val="22"/>
        </w:rPr>
        <w:t>Comparing and Evaluating the Two Theories</w:t>
      </w:r>
    </w:p>
    <w:p w14:paraId="39CD8DA7" w14:textId="77777777" w:rsidR="00875BED" w:rsidRPr="00875BED" w:rsidRDefault="00875BED" w:rsidP="009B1444">
      <w:pPr>
        <w:spacing w:line="360" w:lineRule="auto"/>
        <w:jc w:val="both"/>
        <w:rPr>
          <w:rFonts w:ascii="Arial" w:hAnsi="Arial" w:cs="Arial"/>
          <w:sz w:val="22"/>
          <w:szCs w:val="22"/>
        </w:rPr>
      </w:pPr>
      <w:r w:rsidRPr="00875BED">
        <w:rPr>
          <w:rFonts w:ascii="Arial" w:hAnsi="Arial" w:cs="Arial"/>
          <w:sz w:val="22"/>
          <w:szCs w:val="22"/>
        </w:rPr>
        <w:t>Both Erikson’s and Maslow’s theories offer valuable insight into how older adults with dementia can be supported emotionally and psychologically. Erikson’s theory focuses on identity, meaning, and emotional reflection, while Maslow’s hierarchy focuses on motivation and human needs. In practice, they complement each other. For example, helping a resident recall happy memories (Erikson) also supports their love and esteem needs (Maslow).</w:t>
      </w:r>
    </w:p>
    <w:p w14:paraId="6F402F25" w14:textId="289CD9B7" w:rsidR="00875BED" w:rsidRPr="00875BED" w:rsidRDefault="00875BED" w:rsidP="009B1444">
      <w:pPr>
        <w:spacing w:line="360" w:lineRule="auto"/>
        <w:jc w:val="both"/>
        <w:rPr>
          <w:rFonts w:ascii="Arial" w:hAnsi="Arial" w:cs="Arial"/>
          <w:sz w:val="22"/>
          <w:szCs w:val="22"/>
        </w:rPr>
      </w:pPr>
      <w:r w:rsidRPr="00875BED">
        <w:rPr>
          <w:rFonts w:ascii="Arial" w:hAnsi="Arial" w:cs="Arial"/>
          <w:sz w:val="22"/>
          <w:szCs w:val="22"/>
        </w:rPr>
        <w:t>While Erikson’s theory helps explain how older adults process life experiences, Maslow’s model provides a clear structure for meeting daily needs. However, both require adaptation. Dementia limits memory, attention, and communication, which can make it hard to apply these theories directly. Health and social care professionals must use flexible, sensory-based, and person-centred strategies.</w:t>
      </w:r>
    </w:p>
    <w:p w14:paraId="0C5D8818" w14:textId="77777777" w:rsidR="00875BED" w:rsidRPr="00875BED" w:rsidRDefault="00875BED" w:rsidP="009B1444">
      <w:pPr>
        <w:spacing w:line="360" w:lineRule="auto"/>
        <w:jc w:val="both"/>
        <w:rPr>
          <w:rFonts w:ascii="Arial" w:hAnsi="Arial" w:cs="Arial"/>
          <w:b/>
          <w:bCs/>
          <w:sz w:val="22"/>
          <w:szCs w:val="22"/>
        </w:rPr>
      </w:pPr>
      <w:r w:rsidRPr="00875BED">
        <w:rPr>
          <w:rFonts w:ascii="Arial" w:hAnsi="Arial" w:cs="Arial"/>
          <w:b/>
          <w:bCs/>
          <w:sz w:val="22"/>
          <w:szCs w:val="22"/>
        </w:rPr>
        <w:t>Challenges and Strategies for Professionals</w:t>
      </w:r>
    </w:p>
    <w:p w14:paraId="7B3AB8B0" w14:textId="77777777" w:rsidR="00875BED" w:rsidRPr="00875BED" w:rsidRDefault="00875BED" w:rsidP="009B1444">
      <w:pPr>
        <w:spacing w:line="360" w:lineRule="auto"/>
        <w:jc w:val="both"/>
        <w:rPr>
          <w:rFonts w:ascii="Arial" w:hAnsi="Arial" w:cs="Arial"/>
          <w:sz w:val="22"/>
          <w:szCs w:val="22"/>
        </w:rPr>
      </w:pPr>
      <w:r w:rsidRPr="00875BED">
        <w:rPr>
          <w:rFonts w:ascii="Arial" w:hAnsi="Arial" w:cs="Arial"/>
          <w:sz w:val="22"/>
          <w:szCs w:val="22"/>
        </w:rPr>
        <w:t>Applying psychological theories in dementia care presents several challenges:</w:t>
      </w:r>
    </w:p>
    <w:p w14:paraId="75627F62" w14:textId="77777777" w:rsidR="0010212B" w:rsidRDefault="00875BED" w:rsidP="009B1444">
      <w:pPr>
        <w:numPr>
          <w:ilvl w:val="0"/>
          <w:numId w:val="3"/>
        </w:numPr>
        <w:spacing w:line="360" w:lineRule="auto"/>
        <w:jc w:val="both"/>
        <w:rPr>
          <w:rFonts w:ascii="Arial" w:hAnsi="Arial" w:cs="Arial"/>
          <w:sz w:val="22"/>
          <w:szCs w:val="22"/>
        </w:rPr>
      </w:pPr>
      <w:r w:rsidRPr="00875BED">
        <w:rPr>
          <w:rFonts w:ascii="Arial" w:hAnsi="Arial" w:cs="Arial"/>
          <w:b/>
          <w:bCs/>
          <w:sz w:val="22"/>
          <w:szCs w:val="22"/>
        </w:rPr>
        <w:t>Cognitive decline:</w:t>
      </w:r>
      <w:r w:rsidRPr="00875BED">
        <w:rPr>
          <w:rFonts w:ascii="Arial" w:hAnsi="Arial" w:cs="Arial"/>
          <w:sz w:val="22"/>
          <w:szCs w:val="22"/>
        </w:rPr>
        <w:t xml:space="preserve"> Memory loss and poor communication make it hard for residents</w:t>
      </w:r>
      <w:r w:rsidR="0010212B">
        <w:rPr>
          <w:rFonts w:ascii="Arial" w:hAnsi="Arial" w:cs="Arial"/>
          <w:sz w:val="22"/>
          <w:szCs w:val="22"/>
        </w:rPr>
        <w:t xml:space="preserve"> </w:t>
      </w:r>
      <w:r w:rsidRPr="00875BED">
        <w:rPr>
          <w:rFonts w:ascii="Arial" w:hAnsi="Arial" w:cs="Arial"/>
          <w:sz w:val="22"/>
          <w:szCs w:val="22"/>
        </w:rPr>
        <w:t>to engage in reflective or goal-based activities.</w:t>
      </w:r>
    </w:p>
    <w:p w14:paraId="16CC2C14" w14:textId="6477B5B9" w:rsidR="00875BED" w:rsidRPr="00875BED" w:rsidRDefault="00875BED" w:rsidP="009B1444">
      <w:pPr>
        <w:spacing w:line="360" w:lineRule="auto"/>
        <w:ind w:left="720"/>
        <w:jc w:val="both"/>
        <w:rPr>
          <w:rFonts w:ascii="Arial" w:hAnsi="Arial" w:cs="Arial"/>
          <w:sz w:val="22"/>
          <w:szCs w:val="22"/>
        </w:rPr>
      </w:pPr>
      <w:r w:rsidRPr="00875BED">
        <w:rPr>
          <w:rFonts w:ascii="Arial" w:hAnsi="Arial" w:cs="Arial"/>
          <w:i/>
          <w:iCs/>
          <w:sz w:val="22"/>
          <w:szCs w:val="22"/>
        </w:rPr>
        <w:t>Strategy:</w:t>
      </w:r>
      <w:r w:rsidRPr="00875BED">
        <w:rPr>
          <w:rFonts w:ascii="Arial" w:hAnsi="Arial" w:cs="Arial"/>
          <w:sz w:val="22"/>
          <w:szCs w:val="22"/>
        </w:rPr>
        <w:t xml:space="preserve"> </w:t>
      </w:r>
      <w:r w:rsidR="00C94F5B">
        <w:rPr>
          <w:rFonts w:ascii="Arial" w:hAnsi="Arial" w:cs="Arial"/>
          <w:sz w:val="22"/>
          <w:szCs w:val="22"/>
        </w:rPr>
        <w:t>The use of</w:t>
      </w:r>
      <w:r w:rsidRPr="00875BED">
        <w:rPr>
          <w:rFonts w:ascii="Arial" w:hAnsi="Arial" w:cs="Arial"/>
          <w:sz w:val="22"/>
          <w:szCs w:val="22"/>
        </w:rPr>
        <w:t xml:space="preserve"> sensory prompts such as music, photos, or familiar smells </w:t>
      </w:r>
      <w:r w:rsidR="00C94F5B">
        <w:rPr>
          <w:rFonts w:ascii="Arial" w:hAnsi="Arial" w:cs="Arial"/>
          <w:sz w:val="22"/>
          <w:szCs w:val="22"/>
        </w:rPr>
        <w:t xml:space="preserve">may help </w:t>
      </w:r>
      <w:r w:rsidRPr="00875BED">
        <w:rPr>
          <w:rFonts w:ascii="Arial" w:hAnsi="Arial" w:cs="Arial"/>
          <w:sz w:val="22"/>
          <w:szCs w:val="22"/>
        </w:rPr>
        <w:t>to trigger memories and emotions.</w:t>
      </w:r>
    </w:p>
    <w:p w14:paraId="03B6D7EE" w14:textId="77777777" w:rsidR="0010212B" w:rsidRDefault="00875BED" w:rsidP="009B1444">
      <w:pPr>
        <w:numPr>
          <w:ilvl w:val="0"/>
          <w:numId w:val="3"/>
        </w:numPr>
        <w:spacing w:line="360" w:lineRule="auto"/>
        <w:jc w:val="both"/>
        <w:rPr>
          <w:rFonts w:ascii="Arial" w:hAnsi="Arial" w:cs="Arial"/>
          <w:sz w:val="22"/>
          <w:szCs w:val="22"/>
        </w:rPr>
      </w:pPr>
      <w:r w:rsidRPr="00875BED">
        <w:rPr>
          <w:rFonts w:ascii="Arial" w:hAnsi="Arial" w:cs="Arial"/>
          <w:b/>
          <w:bCs/>
          <w:sz w:val="22"/>
          <w:szCs w:val="22"/>
        </w:rPr>
        <w:t>Staff workload:</w:t>
      </w:r>
      <w:r w:rsidRPr="00875BED">
        <w:rPr>
          <w:rFonts w:ascii="Arial" w:hAnsi="Arial" w:cs="Arial"/>
          <w:sz w:val="22"/>
          <w:szCs w:val="22"/>
        </w:rPr>
        <w:t xml:space="preserve"> Care homes are often busy, and staff may have limited time for emotional support.</w:t>
      </w:r>
    </w:p>
    <w:p w14:paraId="31C3C3B9" w14:textId="48C57A2E" w:rsidR="00875BED" w:rsidRPr="00875BED" w:rsidRDefault="00875BED" w:rsidP="009B1444">
      <w:pPr>
        <w:spacing w:line="360" w:lineRule="auto"/>
        <w:ind w:left="720"/>
        <w:jc w:val="both"/>
        <w:rPr>
          <w:rFonts w:ascii="Arial" w:hAnsi="Arial" w:cs="Arial"/>
          <w:sz w:val="22"/>
          <w:szCs w:val="22"/>
        </w:rPr>
      </w:pPr>
      <w:r w:rsidRPr="00875BED">
        <w:rPr>
          <w:rFonts w:ascii="Arial" w:hAnsi="Arial" w:cs="Arial"/>
          <w:i/>
          <w:iCs/>
          <w:sz w:val="22"/>
          <w:szCs w:val="22"/>
        </w:rPr>
        <w:t>Strategy:</w:t>
      </w:r>
      <w:r w:rsidRPr="00875BED">
        <w:rPr>
          <w:rFonts w:ascii="Arial" w:hAnsi="Arial" w:cs="Arial"/>
          <w:sz w:val="22"/>
          <w:szCs w:val="22"/>
        </w:rPr>
        <w:t xml:space="preserve"> </w:t>
      </w:r>
      <w:r w:rsidR="00C94F5B">
        <w:rPr>
          <w:rFonts w:ascii="Arial" w:hAnsi="Arial" w:cs="Arial"/>
          <w:sz w:val="22"/>
          <w:szCs w:val="22"/>
        </w:rPr>
        <w:t>Care homes must i</w:t>
      </w:r>
      <w:r w:rsidRPr="00875BED">
        <w:rPr>
          <w:rFonts w:ascii="Arial" w:hAnsi="Arial" w:cs="Arial"/>
          <w:sz w:val="22"/>
          <w:szCs w:val="22"/>
        </w:rPr>
        <w:t>ntegrate short therapeutic moments into daily routines, such as talking about memories while assisting with dressing or meals (</w:t>
      </w:r>
      <w:r w:rsidR="00C94F5B">
        <w:rPr>
          <w:rFonts w:ascii="Arial" w:hAnsi="Arial" w:cs="Arial"/>
          <w:sz w:val="22"/>
          <w:szCs w:val="22"/>
        </w:rPr>
        <w:t>Odell-Miller</w:t>
      </w:r>
      <w:r w:rsidRPr="00875BED">
        <w:rPr>
          <w:rFonts w:ascii="Arial" w:hAnsi="Arial" w:cs="Arial"/>
          <w:sz w:val="22"/>
          <w:szCs w:val="22"/>
        </w:rPr>
        <w:t>, 2020).</w:t>
      </w:r>
    </w:p>
    <w:p w14:paraId="3E385C7C" w14:textId="11B1852A" w:rsidR="00875BED" w:rsidRPr="00875BED" w:rsidRDefault="00875BED" w:rsidP="009B1444">
      <w:pPr>
        <w:numPr>
          <w:ilvl w:val="0"/>
          <w:numId w:val="3"/>
        </w:numPr>
        <w:spacing w:line="360" w:lineRule="auto"/>
        <w:jc w:val="both"/>
        <w:rPr>
          <w:rFonts w:ascii="Arial" w:hAnsi="Arial" w:cs="Arial"/>
          <w:sz w:val="22"/>
          <w:szCs w:val="22"/>
        </w:rPr>
      </w:pPr>
      <w:r w:rsidRPr="00875BED">
        <w:rPr>
          <w:rFonts w:ascii="Arial" w:hAnsi="Arial" w:cs="Arial"/>
          <w:b/>
          <w:bCs/>
          <w:sz w:val="22"/>
          <w:szCs w:val="22"/>
        </w:rPr>
        <w:t>Lack of training:</w:t>
      </w:r>
      <w:r w:rsidRPr="00875BED">
        <w:rPr>
          <w:rFonts w:ascii="Arial" w:hAnsi="Arial" w:cs="Arial"/>
          <w:sz w:val="22"/>
          <w:szCs w:val="22"/>
        </w:rPr>
        <w:t xml:space="preserve"> Some staff may not understand psychological principles.</w:t>
      </w:r>
      <w:r w:rsidRPr="00875BED">
        <w:rPr>
          <w:rFonts w:ascii="Arial" w:hAnsi="Arial" w:cs="Arial"/>
          <w:sz w:val="22"/>
          <w:szCs w:val="22"/>
        </w:rPr>
        <w:br/>
      </w:r>
      <w:r w:rsidRPr="00875BED">
        <w:rPr>
          <w:rFonts w:ascii="Arial" w:hAnsi="Arial" w:cs="Arial"/>
          <w:i/>
          <w:iCs/>
          <w:sz w:val="22"/>
          <w:szCs w:val="22"/>
        </w:rPr>
        <w:t>Strategy:</w:t>
      </w:r>
      <w:r w:rsidRPr="00875BED">
        <w:rPr>
          <w:rFonts w:ascii="Arial" w:hAnsi="Arial" w:cs="Arial"/>
          <w:sz w:val="22"/>
          <w:szCs w:val="22"/>
        </w:rPr>
        <w:t xml:space="preserve"> </w:t>
      </w:r>
      <w:r w:rsidR="00C94F5B">
        <w:rPr>
          <w:rFonts w:ascii="Arial" w:hAnsi="Arial" w:cs="Arial"/>
          <w:sz w:val="22"/>
          <w:szCs w:val="22"/>
        </w:rPr>
        <w:t>Relevant trainings sessions must be p</w:t>
      </w:r>
      <w:r w:rsidRPr="00875BED">
        <w:rPr>
          <w:rFonts w:ascii="Arial" w:hAnsi="Arial" w:cs="Arial"/>
          <w:sz w:val="22"/>
          <w:szCs w:val="22"/>
        </w:rPr>
        <w:t>rovide</w:t>
      </w:r>
      <w:r w:rsidR="00C94F5B">
        <w:rPr>
          <w:rFonts w:ascii="Arial" w:hAnsi="Arial" w:cs="Arial"/>
          <w:sz w:val="22"/>
          <w:szCs w:val="22"/>
        </w:rPr>
        <w:t xml:space="preserve">d carers </w:t>
      </w:r>
      <w:r w:rsidRPr="00875BED">
        <w:rPr>
          <w:rFonts w:ascii="Arial" w:hAnsi="Arial" w:cs="Arial"/>
          <w:sz w:val="22"/>
          <w:szCs w:val="22"/>
        </w:rPr>
        <w:t>on theories of ageing, communication skills, and emotional validation.</w:t>
      </w:r>
    </w:p>
    <w:p w14:paraId="1340D771" w14:textId="046F0791" w:rsidR="00875BED" w:rsidRPr="00875BED" w:rsidRDefault="00875BED" w:rsidP="009B1444">
      <w:pPr>
        <w:numPr>
          <w:ilvl w:val="0"/>
          <w:numId w:val="3"/>
        </w:numPr>
        <w:spacing w:line="360" w:lineRule="auto"/>
        <w:jc w:val="both"/>
        <w:rPr>
          <w:rFonts w:ascii="Arial" w:hAnsi="Arial" w:cs="Arial"/>
          <w:sz w:val="22"/>
          <w:szCs w:val="22"/>
        </w:rPr>
      </w:pPr>
      <w:r w:rsidRPr="00875BED">
        <w:rPr>
          <w:rFonts w:ascii="Arial" w:hAnsi="Arial" w:cs="Arial"/>
          <w:b/>
          <w:bCs/>
          <w:sz w:val="22"/>
          <w:szCs w:val="22"/>
        </w:rPr>
        <w:t>Behavioural challenges:</w:t>
      </w:r>
      <w:r w:rsidRPr="00875BED">
        <w:rPr>
          <w:rFonts w:ascii="Arial" w:hAnsi="Arial" w:cs="Arial"/>
          <w:sz w:val="22"/>
          <w:szCs w:val="22"/>
        </w:rPr>
        <w:t xml:space="preserve"> Dementia can cause agitation, anxiety, or aggression.</w:t>
      </w:r>
      <w:r w:rsidRPr="00875BED">
        <w:rPr>
          <w:rFonts w:ascii="Arial" w:hAnsi="Arial" w:cs="Arial"/>
          <w:sz w:val="22"/>
          <w:szCs w:val="22"/>
        </w:rPr>
        <w:br/>
      </w:r>
      <w:r w:rsidRPr="00875BED">
        <w:rPr>
          <w:rFonts w:ascii="Arial" w:hAnsi="Arial" w:cs="Arial"/>
          <w:i/>
          <w:iCs/>
          <w:sz w:val="22"/>
          <w:szCs w:val="22"/>
        </w:rPr>
        <w:t>Strategy:</w:t>
      </w:r>
      <w:r w:rsidRPr="00875BED">
        <w:rPr>
          <w:rFonts w:ascii="Arial" w:hAnsi="Arial" w:cs="Arial"/>
          <w:sz w:val="22"/>
          <w:szCs w:val="22"/>
        </w:rPr>
        <w:t xml:space="preserve"> </w:t>
      </w:r>
      <w:r w:rsidR="00C94F5B">
        <w:rPr>
          <w:rFonts w:ascii="Arial" w:hAnsi="Arial" w:cs="Arial"/>
          <w:sz w:val="22"/>
          <w:szCs w:val="22"/>
        </w:rPr>
        <w:t>Carers must provide</w:t>
      </w:r>
      <w:r w:rsidRPr="00875BED">
        <w:rPr>
          <w:rFonts w:ascii="Arial" w:hAnsi="Arial" w:cs="Arial"/>
          <w:sz w:val="22"/>
          <w:szCs w:val="22"/>
        </w:rPr>
        <w:t xml:space="preserve"> reassurance, </w:t>
      </w:r>
      <w:r w:rsidR="00C94F5B">
        <w:rPr>
          <w:rFonts w:ascii="Arial" w:hAnsi="Arial" w:cs="Arial"/>
          <w:sz w:val="22"/>
          <w:szCs w:val="22"/>
        </w:rPr>
        <w:t xml:space="preserve">speak in a </w:t>
      </w:r>
      <w:r w:rsidRPr="00875BED">
        <w:rPr>
          <w:rFonts w:ascii="Arial" w:hAnsi="Arial" w:cs="Arial"/>
          <w:sz w:val="22"/>
          <w:szCs w:val="22"/>
        </w:rPr>
        <w:t xml:space="preserve">calm tone, and </w:t>
      </w:r>
      <w:r w:rsidR="00C94F5B">
        <w:rPr>
          <w:rFonts w:ascii="Arial" w:hAnsi="Arial" w:cs="Arial"/>
          <w:sz w:val="22"/>
          <w:szCs w:val="22"/>
        </w:rPr>
        <w:t xml:space="preserve">provide </w:t>
      </w:r>
      <w:r w:rsidRPr="00875BED">
        <w:rPr>
          <w:rFonts w:ascii="Arial" w:hAnsi="Arial" w:cs="Arial"/>
          <w:sz w:val="22"/>
          <w:szCs w:val="22"/>
        </w:rPr>
        <w:t xml:space="preserve">consistent routines </w:t>
      </w:r>
      <w:r w:rsidR="00C94F5B">
        <w:rPr>
          <w:rFonts w:ascii="Arial" w:hAnsi="Arial" w:cs="Arial"/>
          <w:sz w:val="22"/>
          <w:szCs w:val="22"/>
        </w:rPr>
        <w:t xml:space="preserve">to dementia residents </w:t>
      </w:r>
      <w:r w:rsidRPr="00875BED">
        <w:rPr>
          <w:rFonts w:ascii="Arial" w:hAnsi="Arial" w:cs="Arial"/>
          <w:sz w:val="22"/>
          <w:szCs w:val="22"/>
        </w:rPr>
        <w:t>based on understanding individual triggers and needs (</w:t>
      </w:r>
      <w:r w:rsidR="00F80CE2">
        <w:rPr>
          <w:rFonts w:ascii="Arial" w:hAnsi="Arial" w:cs="Arial"/>
          <w:sz w:val="22"/>
          <w:szCs w:val="22"/>
        </w:rPr>
        <w:t>Harris</w:t>
      </w:r>
      <w:r w:rsidRPr="00875BED">
        <w:rPr>
          <w:rFonts w:ascii="Arial" w:hAnsi="Arial" w:cs="Arial"/>
          <w:sz w:val="22"/>
          <w:szCs w:val="22"/>
        </w:rPr>
        <w:t xml:space="preserve"> </w:t>
      </w:r>
      <w:r w:rsidRPr="00875BED">
        <w:rPr>
          <w:rFonts w:ascii="Arial" w:hAnsi="Arial" w:cs="Arial"/>
          <w:i/>
          <w:iCs/>
          <w:sz w:val="22"/>
          <w:szCs w:val="22"/>
        </w:rPr>
        <w:t>et al.,</w:t>
      </w:r>
      <w:r w:rsidRPr="00875BED">
        <w:rPr>
          <w:rFonts w:ascii="Arial" w:hAnsi="Arial" w:cs="Arial"/>
          <w:sz w:val="22"/>
          <w:szCs w:val="22"/>
        </w:rPr>
        <w:t xml:space="preserve"> 202</w:t>
      </w:r>
      <w:r w:rsidR="00F80CE2">
        <w:rPr>
          <w:rFonts w:ascii="Arial" w:hAnsi="Arial" w:cs="Arial"/>
          <w:sz w:val="22"/>
          <w:szCs w:val="22"/>
        </w:rPr>
        <w:t>4</w:t>
      </w:r>
      <w:r w:rsidRPr="00875BED">
        <w:rPr>
          <w:rFonts w:ascii="Arial" w:hAnsi="Arial" w:cs="Arial"/>
          <w:sz w:val="22"/>
          <w:szCs w:val="22"/>
        </w:rPr>
        <w:t>).</w:t>
      </w:r>
    </w:p>
    <w:p w14:paraId="41040742" w14:textId="77777777" w:rsidR="004616AB" w:rsidRDefault="004616AB" w:rsidP="009B1444">
      <w:pPr>
        <w:spacing w:line="360" w:lineRule="auto"/>
        <w:jc w:val="both"/>
        <w:rPr>
          <w:rFonts w:ascii="Arial" w:hAnsi="Arial" w:cs="Arial"/>
          <w:sz w:val="22"/>
          <w:szCs w:val="22"/>
        </w:rPr>
      </w:pPr>
      <w:r w:rsidRPr="004616AB">
        <w:rPr>
          <w:rFonts w:ascii="Arial" w:hAnsi="Arial" w:cs="Arial"/>
          <w:sz w:val="22"/>
          <w:szCs w:val="22"/>
        </w:rPr>
        <w:lastRenderedPageBreak/>
        <w:t>By addressing these challenges, professionals can ensure that psychological support becomes part of everyday care, promoting respect for each resident, upholding their individual values, and protecting their dignity. This approach improves overall wellbeing and enhances the quality of life for older adults living with dementia.</w:t>
      </w:r>
    </w:p>
    <w:p w14:paraId="56D570B5" w14:textId="1030F3C2" w:rsidR="00875BED" w:rsidRPr="00875BED" w:rsidRDefault="00F80CE2" w:rsidP="009B1444">
      <w:pPr>
        <w:spacing w:line="360" w:lineRule="auto"/>
        <w:jc w:val="both"/>
        <w:rPr>
          <w:rFonts w:ascii="Arial" w:hAnsi="Arial" w:cs="Arial"/>
          <w:b/>
          <w:bCs/>
          <w:sz w:val="22"/>
          <w:szCs w:val="22"/>
        </w:rPr>
      </w:pPr>
      <w:r>
        <w:rPr>
          <w:rFonts w:ascii="Arial" w:hAnsi="Arial" w:cs="Arial"/>
          <w:b/>
          <w:bCs/>
          <w:sz w:val="22"/>
          <w:szCs w:val="22"/>
        </w:rPr>
        <w:t xml:space="preserve">3.0 </w:t>
      </w:r>
      <w:r w:rsidR="00875BED" w:rsidRPr="00875BED">
        <w:rPr>
          <w:rFonts w:ascii="Arial" w:hAnsi="Arial" w:cs="Arial"/>
          <w:b/>
          <w:bCs/>
          <w:sz w:val="22"/>
          <w:szCs w:val="22"/>
        </w:rPr>
        <w:t>Conclusion</w:t>
      </w:r>
    </w:p>
    <w:p w14:paraId="5551A40C" w14:textId="77777777" w:rsidR="00875BED" w:rsidRPr="00875BED" w:rsidRDefault="00875BED" w:rsidP="009B1444">
      <w:pPr>
        <w:spacing w:line="360" w:lineRule="auto"/>
        <w:jc w:val="both"/>
        <w:rPr>
          <w:rFonts w:ascii="Arial" w:hAnsi="Arial" w:cs="Arial"/>
          <w:sz w:val="22"/>
          <w:szCs w:val="22"/>
        </w:rPr>
      </w:pPr>
      <w:r w:rsidRPr="00875BED">
        <w:rPr>
          <w:rFonts w:ascii="Arial" w:hAnsi="Arial" w:cs="Arial"/>
          <w:sz w:val="22"/>
          <w:szCs w:val="22"/>
        </w:rPr>
        <w:t>Understanding psychological theories is essential for delivering effective dementia care. Erikson’s Psychosocial Theory helps carers understand the importance of identity, reflection, and emotional acceptance in later life, while Maslow’s Hierarchy of Needs provides a structured guide for meeting physical, emotional, and social needs. Both theories encourage person-centred and compassionate care, which enhances dignity and emotional wellbeing. Although dementia presents obstacles such as memory loss and communication difficulties, adaptations such as sensory engagement and caregiver involvement make these theories practical and valuable in real care settings. By combining theoretical knowledge with empathy, health and social care professionals can support older adults with dementia to live with comfort, respect, and meaning.</w:t>
      </w:r>
    </w:p>
    <w:p w14:paraId="1FA60B02" w14:textId="77777777" w:rsidR="00F31F22" w:rsidRDefault="00F31F22" w:rsidP="009B1444">
      <w:pPr>
        <w:spacing w:line="360" w:lineRule="auto"/>
        <w:jc w:val="both"/>
        <w:rPr>
          <w:rFonts w:ascii="Arial" w:hAnsi="Arial" w:cs="Arial"/>
          <w:sz w:val="22"/>
          <w:szCs w:val="22"/>
        </w:rPr>
      </w:pPr>
    </w:p>
    <w:p w14:paraId="41FA9F6A" w14:textId="77777777" w:rsidR="00F80CE2" w:rsidRDefault="00F80CE2" w:rsidP="009B1444">
      <w:pPr>
        <w:spacing w:line="360" w:lineRule="auto"/>
        <w:jc w:val="both"/>
        <w:rPr>
          <w:rFonts w:ascii="Arial" w:hAnsi="Arial" w:cs="Arial"/>
          <w:sz w:val="22"/>
          <w:szCs w:val="22"/>
        </w:rPr>
      </w:pPr>
    </w:p>
    <w:p w14:paraId="2DF2B2A3" w14:textId="77777777" w:rsidR="00F80CE2" w:rsidRDefault="00F80CE2" w:rsidP="009B1444">
      <w:pPr>
        <w:spacing w:line="360" w:lineRule="auto"/>
        <w:jc w:val="both"/>
        <w:rPr>
          <w:rFonts w:ascii="Arial" w:hAnsi="Arial" w:cs="Arial"/>
          <w:sz w:val="22"/>
          <w:szCs w:val="22"/>
        </w:rPr>
      </w:pPr>
    </w:p>
    <w:p w14:paraId="0B3BC461" w14:textId="77777777" w:rsidR="00F80CE2" w:rsidRDefault="00F80CE2" w:rsidP="009B1444">
      <w:pPr>
        <w:spacing w:line="360" w:lineRule="auto"/>
        <w:jc w:val="both"/>
        <w:rPr>
          <w:rFonts w:ascii="Arial" w:hAnsi="Arial" w:cs="Arial"/>
          <w:sz w:val="22"/>
          <w:szCs w:val="22"/>
        </w:rPr>
      </w:pPr>
    </w:p>
    <w:p w14:paraId="2CDDCAEC" w14:textId="77777777" w:rsidR="00F80CE2" w:rsidRDefault="00F80CE2" w:rsidP="009B1444">
      <w:pPr>
        <w:spacing w:line="360" w:lineRule="auto"/>
        <w:jc w:val="both"/>
        <w:rPr>
          <w:rFonts w:ascii="Arial" w:hAnsi="Arial" w:cs="Arial"/>
          <w:sz w:val="22"/>
          <w:szCs w:val="22"/>
        </w:rPr>
      </w:pPr>
    </w:p>
    <w:p w14:paraId="4E143C3E" w14:textId="77777777" w:rsidR="00F80CE2" w:rsidRDefault="00F80CE2" w:rsidP="009B1444">
      <w:pPr>
        <w:spacing w:line="360" w:lineRule="auto"/>
        <w:jc w:val="both"/>
        <w:rPr>
          <w:rFonts w:ascii="Arial" w:hAnsi="Arial" w:cs="Arial"/>
          <w:sz w:val="22"/>
          <w:szCs w:val="22"/>
        </w:rPr>
      </w:pPr>
    </w:p>
    <w:p w14:paraId="3F9E3B15" w14:textId="77777777" w:rsidR="00F80CE2" w:rsidRDefault="00F80CE2" w:rsidP="009B1444">
      <w:pPr>
        <w:spacing w:line="360" w:lineRule="auto"/>
        <w:jc w:val="both"/>
        <w:rPr>
          <w:rFonts w:ascii="Arial" w:hAnsi="Arial" w:cs="Arial"/>
          <w:sz w:val="22"/>
          <w:szCs w:val="22"/>
        </w:rPr>
      </w:pPr>
    </w:p>
    <w:p w14:paraId="1BE9A85E" w14:textId="77777777" w:rsidR="00F80CE2" w:rsidRDefault="00F80CE2" w:rsidP="009B1444">
      <w:pPr>
        <w:spacing w:line="360" w:lineRule="auto"/>
        <w:jc w:val="both"/>
        <w:rPr>
          <w:rFonts w:ascii="Arial" w:hAnsi="Arial" w:cs="Arial"/>
          <w:sz w:val="22"/>
          <w:szCs w:val="22"/>
        </w:rPr>
      </w:pPr>
    </w:p>
    <w:p w14:paraId="34E74E1F" w14:textId="77777777" w:rsidR="00F80CE2" w:rsidRDefault="00F80CE2" w:rsidP="009B1444">
      <w:pPr>
        <w:spacing w:line="360" w:lineRule="auto"/>
        <w:jc w:val="both"/>
        <w:rPr>
          <w:rFonts w:ascii="Arial" w:hAnsi="Arial" w:cs="Arial"/>
          <w:sz w:val="22"/>
          <w:szCs w:val="22"/>
        </w:rPr>
      </w:pPr>
    </w:p>
    <w:p w14:paraId="06D1B6A4" w14:textId="77777777" w:rsidR="00F80CE2" w:rsidRDefault="00F80CE2" w:rsidP="009B1444">
      <w:pPr>
        <w:spacing w:line="360" w:lineRule="auto"/>
        <w:jc w:val="both"/>
        <w:rPr>
          <w:rFonts w:ascii="Arial" w:hAnsi="Arial" w:cs="Arial"/>
          <w:sz w:val="22"/>
          <w:szCs w:val="22"/>
        </w:rPr>
      </w:pPr>
    </w:p>
    <w:p w14:paraId="7A1DC540" w14:textId="77777777" w:rsidR="00F80CE2" w:rsidRDefault="00F80CE2" w:rsidP="009B1444">
      <w:pPr>
        <w:spacing w:line="360" w:lineRule="auto"/>
        <w:jc w:val="both"/>
        <w:rPr>
          <w:rFonts w:ascii="Arial" w:hAnsi="Arial" w:cs="Arial"/>
          <w:sz w:val="22"/>
          <w:szCs w:val="22"/>
        </w:rPr>
      </w:pPr>
    </w:p>
    <w:p w14:paraId="2542A83B" w14:textId="77777777" w:rsidR="00F80CE2" w:rsidRDefault="00F80CE2" w:rsidP="009B1444">
      <w:pPr>
        <w:spacing w:line="360" w:lineRule="auto"/>
        <w:jc w:val="both"/>
        <w:rPr>
          <w:rFonts w:ascii="Arial" w:hAnsi="Arial" w:cs="Arial"/>
          <w:sz w:val="22"/>
          <w:szCs w:val="22"/>
        </w:rPr>
      </w:pPr>
    </w:p>
    <w:p w14:paraId="30EC94E2" w14:textId="77777777" w:rsidR="00F80CE2" w:rsidRDefault="00F80CE2" w:rsidP="009B1444">
      <w:pPr>
        <w:spacing w:line="360" w:lineRule="auto"/>
        <w:jc w:val="both"/>
        <w:rPr>
          <w:rFonts w:ascii="Arial" w:hAnsi="Arial" w:cs="Arial"/>
          <w:sz w:val="22"/>
          <w:szCs w:val="22"/>
        </w:rPr>
      </w:pPr>
    </w:p>
    <w:p w14:paraId="10B76CC4" w14:textId="77777777" w:rsidR="004616AB" w:rsidRDefault="004616AB" w:rsidP="009B1444">
      <w:pPr>
        <w:spacing w:line="360" w:lineRule="auto"/>
        <w:jc w:val="both"/>
        <w:rPr>
          <w:rFonts w:ascii="Arial" w:hAnsi="Arial" w:cs="Arial"/>
          <w:sz w:val="22"/>
          <w:szCs w:val="22"/>
        </w:rPr>
      </w:pPr>
    </w:p>
    <w:p w14:paraId="011E40EE" w14:textId="77777777" w:rsidR="00F80CE2" w:rsidRPr="00F80CE2" w:rsidRDefault="00F80CE2" w:rsidP="00F80CE2">
      <w:pPr>
        <w:spacing w:line="360" w:lineRule="auto"/>
        <w:jc w:val="both"/>
        <w:rPr>
          <w:rFonts w:ascii="Arial" w:hAnsi="Arial" w:cs="Arial"/>
          <w:b/>
          <w:bCs/>
          <w:sz w:val="22"/>
          <w:szCs w:val="22"/>
        </w:rPr>
      </w:pPr>
      <w:r w:rsidRPr="00F80CE2">
        <w:rPr>
          <w:rFonts w:ascii="Arial" w:hAnsi="Arial" w:cs="Arial"/>
          <w:b/>
          <w:bCs/>
          <w:sz w:val="22"/>
          <w:szCs w:val="22"/>
        </w:rPr>
        <w:lastRenderedPageBreak/>
        <w:t>Reference list</w:t>
      </w:r>
    </w:p>
    <w:p w14:paraId="00ADA309"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Baird, A., Gelding, R., Brancatisano, O. and Thompson, W.F. (2020). A Preliminary Exploration of the Stability of Music- and Photo-Evoked Autobiographical Memories in People with Alzheimer’s and </w:t>
      </w:r>
      <w:proofErr w:type="spellStart"/>
      <w:r w:rsidRPr="00F80CE2">
        <w:rPr>
          <w:rFonts w:ascii="Arial" w:hAnsi="Arial" w:cs="Arial"/>
          <w:sz w:val="22"/>
          <w:szCs w:val="22"/>
        </w:rPr>
        <w:t>Behavioral</w:t>
      </w:r>
      <w:proofErr w:type="spellEnd"/>
      <w:r w:rsidRPr="00F80CE2">
        <w:rPr>
          <w:rFonts w:ascii="Arial" w:hAnsi="Arial" w:cs="Arial"/>
          <w:sz w:val="22"/>
          <w:szCs w:val="22"/>
        </w:rPr>
        <w:t xml:space="preserve"> Variant Frontotemporal Dementia. </w:t>
      </w:r>
      <w:r w:rsidRPr="00F80CE2">
        <w:rPr>
          <w:rFonts w:ascii="Arial" w:hAnsi="Arial" w:cs="Arial"/>
          <w:i/>
          <w:iCs/>
          <w:sz w:val="22"/>
          <w:szCs w:val="22"/>
        </w:rPr>
        <w:t>Music &amp; Science</w:t>
      </w:r>
      <w:r w:rsidRPr="00F80CE2">
        <w:rPr>
          <w:rFonts w:ascii="Arial" w:hAnsi="Arial" w:cs="Arial"/>
          <w:sz w:val="22"/>
          <w:szCs w:val="22"/>
        </w:rPr>
        <w:t xml:space="preserve">, 3, p.205920432095727.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://doi.org/10.1177/2059204320957273</w:t>
      </w:r>
      <w:proofErr w:type="gramEnd"/>
      <w:r w:rsidRPr="00F80CE2">
        <w:rPr>
          <w:rFonts w:ascii="Arial" w:hAnsi="Arial" w:cs="Arial"/>
          <w:sz w:val="22"/>
          <w:szCs w:val="22"/>
        </w:rPr>
        <w:t>.</w:t>
      </w:r>
    </w:p>
    <w:p w14:paraId="20544912"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Bryden, C. (2019). Challenging the discourses of loss: A continuing sense of self within the lived experience of dementia. </w:t>
      </w:r>
      <w:r w:rsidRPr="00F80CE2">
        <w:rPr>
          <w:rFonts w:ascii="Arial" w:hAnsi="Arial" w:cs="Arial"/>
          <w:i/>
          <w:iCs/>
          <w:sz w:val="22"/>
          <w:szCs w:val="22"/>
        </w:rPr>
        <w:t>Dementia</w:t>
      </w:r>
      <w:r w:rsidRPr="00F80CE2">
        <w:rPr>
          <w:rFonts w:ascii="Arial" w:hAnsi="Arial" w:cs="Arial"/>
          <w:sz w:val="22"/>
          <w:szCs w:val="22"/>
        </w:rPr>
        <w:t xml:space="preserve">, 19(1), pp.74–82.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://doi.org/10.1177/1471301219876711</w:t>
      </w:r>
      <w:proofErr w:type="gramEnd"/>
      <w:r w:rsidRPr="00F80CE2">
        <w:rPr>
          <w:rFonts w:ascii="Arial" w:hAnsi="Arial" w:cs="Arial"/>
          <w:sz w:val="22"/>
          <w:szCs w:val="22"/>
        </w:rPr>
        <w:t>.</w:t>
      </w:r>
    </w:p>
    <w:p w14:paraId="5C83EA60"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Chee, S.Y. (2023). Navigating the twilight years: Supporting older adults’ orientation and wayfinding in senior living facilities. </w:t>
      </w:r>
      <w:r w:rsidRPr="00F80CE2">
        <w:rPr>
          <w:rFonts w:ascii="Arial" w:hAnsi="Arial" w:cs="Arial"/>
          <w:i/>
          <w:iCs/>
          <w:sz w:val="22"/>
          <w:szCs w:val="22"/>
        </w:rPr>
        <w:t>Archives of Gerontology and Geriatrics</w:t>
      </w:r>
      <w:r w:rsidRPr="00F80CE2">
        <w:rPr>
          <w:rFonts w:ascii="Arial" w:hAnsi="Arial" w:cs="Arial"/>
          <w:sz w:val="22"/>
          <w:szCs w:val="22"/>
        </w:rPr>
        <w:t xml:space="preserve">, [online] 115, p.105135.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://doi.org/10.1016/j.archger.2023.105135</w:t>
      </w:r>
      <w:proofErr w:type="gramEnd"/>
      <w:r w:rsidRPr="00F80CE2">
        <w:rPr>
          <w:rFonts w:ascii="Arial" w:hAnsi="Arial" w:cs="Arial"/>
          <w:sz w:val="22"/>
          <w:szCs w:val="22"/>
        </w:rPr>
        <w:t>.</w:t>
      </w:r>
    </w:p>
    <w:p w14:paraId="4BC34439" w14:textId="77777777" w:rsidR="00F80CE2" w:rsidRPr="00F80CE2" w:rsidRDefault="00F80CE2" w:rsidP="00F80CE2">
      <w:pPr>
        <w:spacing w:line="360" w:lineRule="auto"/>
        <w:ind w:left="720" w:hanging="720"/>
        <w:jc w:val="both"/>
        <w:rPr>
          <w:rFonts w:ascii="Arial" w:hAnsi="Arial" w:cs="Arial"/>
          <w:sz w:val="22"/>
          <w:szCs w:val="22"/>
        </w:rPr>
      </w:pPr>
      <w:proofErr w:type="spellStart"/>
      <w:r w:rsidRPr="00F80CE2">
        <w:rPr>
          <w:rFonts w:ascii="Arial" w:hAnsi="Arial" w:cs="Arial"/>
          <w:sz w:val="22"/>
          <w:szCs w:val="22"/>
        </w:rPr>
        <w:t>Craftman</w:t>
      </w:r>
      <w:proofErr w:type="spellEnd"/>
      <w:r w:rsidRPr="00F80CE2">
        <w:rPr>
          <w:rFonts w:ascii="Arial" w:hAnsi="Arial" w:cs="Arial"/>
          <w:sz w:val="22"/>
          <w:szCs w:val="22"/>
        </w:rPr>
        <w:t xml:space="preserve">, Å.G., Swall, A., </w:t>
      </w:r>
      <w:proofErr w:type="spellStart"/>
      <w:r w:rsidRPr="00F80CE2">
        <w:rPr>
          <w:rFonts w:ascii="Arial" w:hAnsi="Arial" w:cs="Arial"/>
          <w:sz w:val="22"/>
          <w:szCs w:val="22"/>
        </w:rPr>
        <w:t>Båkman</w:t>
      </w:r>
      <w:proofErr w:type="spellEnd"/>
      <w:r w:rsidRPr="00F80CE2">
        <w:rPr>
          <w:rFonts w:ascii="Arial" w:hAnsi="Arial" w:cs="Arial"/>
          <w:sz w:val="22"/>
          <w:szCs w:val="22"/>
        </w:rPr>
        <w:t xml:space="preserve">, K., Grundberg, Å. and Hagelin, C.L. (2019). Caring for older people with dementia reliving past trauma. </w:t>
      </w:r>
      <w:r w:rsidRPr="00F80CE2">
        <w:rPr>
          <w:rFonts w:ascii="Arial" w:hAnsi="Arial" w:cs="Arial"/>
          <w:i/>
          <w:iCs/>
          <w:sz w:val="22"/>
          <w:szCs w:val="22"/>
        </w:rPr>
        <w:t>Nursing Ethics</w:t>
      </w:r>
      <w:r w:rsidRPr="00F80CE2">
        <w:rPr>
          <w:rFonts w:ascii="Arial" w:hAnsi="Arial" w:cs="Arial"/>
          <w:sz w:val="22"/>
          <w:szCs w:val="22"/>
        </w:rPr>
        <w:t xml:space="preserve">, 27(2), p.096973301986415.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://doi.org/10.1177/0969733019864152</w:t>
      </w:r>
      <w:proofErr w:type="gramEnd"/>
      <w:r w:rsidRPr="00F80CE2">
        <w:rPr>
          <w:rFonts w:ascii="Arial" w:hAnsi="Arial" w:cs="Arial"/>
          <w:sz w:val="22"/>
          <w:szCs w:val="22"/>
        </w:rPr>
        <w:t>.</w:t>
      </w:r>
    </w:p>
    <w:p w14:paraId="1D1D0AB0"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Darling-Fisher, C.S. (2019). Application of the Modified Erikson Psychosocial Stage Inventory: 25 Years in Review. </w:t>
      </w:r>
      <w:r w:rsidRPr="00F80CE2">
        <w:rPr>
          <w:rFonts w:ascii="Arial" w:hAnsi="Arial" w:cs="Arial"/>
          <w:i/>
          <w:iCs/>
          <w:sz w:val="22"/>
          <w:szCs w:val="22"/>
        </w:rPr>
        <w:t>Western Journal of Nursing Research</w:t>
      </w:r>
      <w:r w:rsidRPr="00F80CE2">
        <w:rPr>
          <w:rFonts w:ascii="Arial" w:hAnsi="Arial" w:cs="Arial"/>
          <w:sz w:val="22"/>
          <w:szCs w:val="22"/>
        </w:rPr>
        <w:t xml:space="preserve">, 41(3), pp.431–458.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://doi.org/10.1177/0193945918770457</w:t>
      </w:r>
      <w:proofErr w:type="gramEnd"/>
      <w:r w:rsidRPr="00F80CE2">
        <w:rPr>
          <w:rFonts w:ascii="Arial" w:hAnsi="Arial" w:cs="Arial"/>
          <w:sz w:val="22"/>
          <w:szCs w:val="22"/>
        </w:rPr>
        <w:t>.</w:t>
      </w:r>
    </w:p>
    <w:p w14:paraId="7E2FBC74"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Fergeus, J., Humphreys, C., Harvey, C. and Herrman, H. (2019). The needs of carers: applying a hierarchy of needs to a foster and kinship care context. </w:t>
      </w:r>
      <w:r w:rsidRPr="00F80CE2">
        <w:rPr>
          <w:rFonts w:ascii="Arial" w:hAnsi="Arial" w:cs="Arial"/>
          <w:i/>
          <w:iCs/>
          <w:sz w:val="22"/>
          <w:szCs w:val="22"/>
        </w:rPr>
        <w:t xml:space="preserve">Adoption &amp; </w:t>
      </w:r>
      <w:proofErr w:type="gramStart"/>
      <w:r w:rsidRPr="00F80CE2">
        <w:rPr>
          <w:rFonts w:ascii="Arial" w:hAnsi="Arial" w:cs="Arial"/>
          <w:i/>
          <w:iCs/>
          <w:sz w:val="22"/>
          <w:szCs w:val="22"/>
        </w:rPr>
        <w:t>Fostering</w:t>
      </w:r>
      <w:proofErr w:type="gramEnd"/>
      <w:r w:rsidRPr="00F80CE2">
        <w:rPr>
          <w:rFonts w:ascii="Arial" w:hAnsi="Arial" w:cs="Arial"/>
          <w:sz w:val="22"/>
          <w:szCs w:val="22"/>
        </w:rPr>
        <w:t xml:space="preserve">, 43(2), pp.155–168.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://doi.org/10.1177/0308575919845457</w:t>
      </w:r>
      <w:proofErr w:type="gramEnd"/>
      <w:r w:rsidRPr="00F80CE2">
        <w:rPr>
          <w:rFonts w:ascii="Arial" w:hAnsi="Arial" w:cs="Arial"/>
          <w:sz w:val="22"/>
          <w:szCs w:val="22"/>
        </w:rPr>
        <w:t>.</w:t>
      </w:r>
    </w:p>
    <w:p w14:paraId="085DA907"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Hale, A.J., Ricotta, D.N., Freed, J., Smith, C.C. and Huang, G.C. (2019). Adapting Maslow’s Hierarchy of Needs as a Framework for Resident Wellness. </w:t>
      </w:r>
      <w:r w:rsidRPr="00F80CE2">
        <w:rPr>
          <w:rFonts w:ascii="Arial" w:hAnsi="Arial" w:cs="Arial"/>
          <w:i/>
          <w:iCs/>
          <w:sz w:val="22"/>
          <w:szCs w:val="22"/>
        </w:rPr>
        <w:t>Teaching and Learning in Medicine</w:t>
      </w:r>
      <w:r w:rsidRPr="00F80CE2">
        <w:rPr>
          <w:rFonts w:ascii="Arial" w:hAnsi="Arial" w:cs="Arial"/>
          <w:sz w:val="22"/>
          <w:szCs w:val="22"/>
        </w:rPr>
        <w:t xml:space="preserve">, [online] 31(1), pp.109–118.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://doi.org/10.1080/10401334.2018.1456928</w:t>
      </w:r>
      <w:proofErr w:type="gramEnd"/>
      <w:r w:rsidRPr="00F80CE2">
        <w:rPr>
          <w:rFonts w:ascii="Arial" w:hAnsi="Arial" w:cs="Arial"/>
          <w:sz w:val="22"/>
          <w:szCs w:val="22"/>
        </w:rPr>
        <w:t>.</w:t>
      </w:r>
    </w:p>
    <w:p w14:paraId="0C2A20D4"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Harris, C., Webber, R., Livingston, G. and </w:t>
      </w:r>
      <w:proofErr w:type="spellStart"/>
      <w:r w:rsidRPr="00F80CE2">
        <w:rPr>
          <w:rFonts w:ascii="Arial" w:hAnsi="Arial" w:cs="Arial"/>
          <w:sz w:val="22"/>
          <w:szCs w:val="22"/>
        </w:rPr>
        <w:t>Beeke</w:t>
      </w:r>
      <w:proofErr w:type="spellEnd"/>
      <w:r w:rsidRPr="00F80CE2">
        <w:rPr>
          <w:rFonts w:ascii="Arial" w:hAnsi="Arial" w:cs="Arial"/>
          <w:sz w:val="22"/>
          <w:szCs w:val="22"/>
        </w:rPr>
        <w:t xml:space="preserve">, S. (2024). What are the communication guidelines for people with dementia and their carers on the internet and are they evidence based? A systematic review. </w:t>
      </w:r>
      <w:r w:rsidRPr="00F80CE2">
        <w:rPr>
          <w:rFonts w:ascii="Arial" w:hAnsi="Arial" w:cs="Arial"/>
          <w:i/>
          <w:iCs/>
          <w:sz w:val="22"/>
          <w:szCs w:val="22"/>
        </w:rPr>
        <w:t>Dementia</w:t>
      </w:r>
      <w:r w:rsidRPr="00F80CE2">
        <w:rPr>
          <w:rFonts w:ascii="Arial" w:hAnsi="Arial" w:cs="Arial"/>
          <w:sz w:val="22"/>
          <w:szCs w:val="22"/>
        </w:rPr>
        <w:t xml:space="preserve">, 24(3).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://doi.org/10.1177/14713012241292486</w:t>
      </w:r>
      <w:proofErr w:type="gramEnd"/>
      <w:r w:rsidRPr="00F80CE2">
        <w:rPr>
          <w:rFonts w:ascii="Arial" w:hAnsi="Arial" w:cs="Arial"/>
          <w:sz w:val="22"/>
          <w:szCs w:val="22"/>
        </w:rPr>
        <w:t>.</w:t>
      </w:r>
    </w:p>
    <w:p w14:paraId="473A09BB"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Maree, J.G. (2021). The psychosocial development theory of </w:t>
      </w:r>
      <w:proofErr w:type="spellStart"/>
      <w:r w:rsidRPr="00F80CE2">
        <w:rPr>
          <w:rFonts w:ascii="Arial" w:hAnsi="Arial" w:cs="Arial"/>
          <w:sz w:val="22"/>
          <w:szCs w:val="22"/>
        </w:rPr>
        <w:t>erik</w:t>
      </w:r>
      <w:proofErr w:type="spellEnd"/>
      <w:r w:rsidRPr="00F80CE2">
        <w:rPr>
          <w:rFonts w:ascii="Arial" w:hAnsi="Arial" w:cs="Arial"/>
          <w:sz w:val="22"/>
          <w:szCs w:val="22"/>
        </w:rPr>
        <w:t xml:space="preserve"> </w:t>
      </w:r>
      <w:proofErr w:type="spellStart"/>
      <w:r w:rsidRPr="00F80CE2">
        <w:rPr>
          <w:rFonts w:ascii="Arial" w:hAnsi="Arial" w:cs="Arial"/>
          <w:sz w:val="22"/>
          <w:szCs w:val="22"/>
        </w:rPr>
        <w:t>erikson</w:t>
      </w:r>
      <w:proofErr w:type="spellEnd"/>
      <w:r w:rsidRPr="00F80CE2">
        <w:rPr>
          <w:rFonts w:ascii="Arial" w:hAnsi="Arial" w:cs="Arial"/>
          <w:sz w:val="22"/>
          <w:szCs w:val="22"/>
        </w:rPr>
        <w:t xml:space="preserve">: Critical overview. </w:t>
      </w:r>
      <w:r w:rsidRPr="00F80CE2">
        <w:rPr>
          <w:rFonts w:ascii="Arial" w:hAnsi="Arial" w:cs="Arial"/>
          <w:i/>
          <w:iCs/>
          <w:sz w:val="22"/>
          <w:szCs w:val="22"/>
        </w:rPr>
        <w:t>Early Child Development and Care</w:t>
      </w:r>
      <w:r w:rsidRPr="00F80CE2">
        <w:rPr>
          <w:rFonts w:ascii="Arial" w:hAnsi="Arial" w:cs="Arial"/>
          <w:sz w:val="22"/>
          <w:szCs w:val="22"/>
        </w:rPr>
        <w:t xml:space="preserve">, [online] 191(7-8), pp.1107–1121.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://doi.org/10.1080/03004430.2020.1845163</w:t>
      </w:r>
      <w:proofErr w:type="gramEnd"/>
      <w:r w:rsidRPr="00F80CE2">
        <w:rPr>
          <w:rFonts w:ascii="Arial" w:hAnsi="Arial" w:cs="Arial"/>
          <w:sz w:val="22"/>
          <w:szCs w:val="22"/>
        </w:rPr>
        <w:t>.</w:t>
      </w:r>
    </w:p>
    <w:p w14:paraId="189424ED"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lastRenderedPageBreak/>
        <w:t xml:space="preserve">Mazaheri, M., Kihlgren, M. and Norberg, A. (2021). Applying the theory of human development by Erik and Joan Erikson when communicating with persons with advanced dementia diseases. </w:t>
      </w:r>
      <w:r w:rsidRPr="00F80CE2">
        <w:rPr>
          <w:rFonts w:ascii="Arial" w:hAnsi="Arial" w:cs="Arial"/>
          <w:i/>
          <w:iCs/>
          <w:sz w:val="22"/>
          <w:szCs w:val="22"/>
        </w:rPr>
        <w:t>Nordic Journal of Nursing Research</w:t>
      </w:r>
      <w:r w:rsidRPr="00F80CE2">
        <w:rPr>
          <w:rFonts w:ascii="Arial" w:hAnsi="Arial" w:cs="Arial"/>
          <w:sz w:val="22"/>
          <w:szCs w:val="22"/>
        </w:rPr>
        <w:t xml:space="preserve">, 42(4), p.205715852110482.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://doi.org/10.1177/20571585211048280</w:t>
      </w:r>
      <w:proofErr w:type="gramEnd"/>
      <w:r w:rsidRPr="00F80CE2">
        <w:rPr>
          <w:rFonts w:ascii="Arial" w:hAnsi="Arial" w:cs="Arial"/>
          <w:sz w:val="22"/>
          <w:szCs w:val="22"/>
        </w:rPr>
        <w:t>.</w:t>
      </w:r>
    </w:p>
    <w:p w14:paraId="06595159"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Odell-Miller, H. (2021). Embedding Music and Music Therapy in Care Pathways for People with Dementia in the 21st Century—a position paper. </w:t>
      </w:r>
      <w:r w:rsidRPr="00F80CE2">
        <w:rPr>
          <w:rFonts w:ascii="Arial" w:hAnsi="Arial" w:cs="Arial"/>
          <w:i/>
          <w:iCs/>
          <w:sz w:val="22"/>
          <w:szCs w:val="22"/>
        </w:rPr>
        <w:t>Music &amp; Science</w:t>
      </w:r>
      <w:r w:rsidRPr="00F80CE2">
        <w:rPr>
          <w:rFonts w:ascii="Arial" w:hAnsi="Arial" w:cs="Arial"/>
          <w:sz w:val="22"/>
          <w:szCs w:val="22"/>
        </w:rPr>
        <w:t xml:space="preserve">, 4(4), p.205920432110204.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://doi.org/10.1177/20592043211020424</w:t>
      </w:r>
      <w:proofErr w:type="gramEnd"/>
      <w:r w:rsidRPr="00F80CE2">
        <w:rPr>
          <w:rFonts w:ascii="Arial" w:hAnsi="Arial" w:cs="Arial"/>
          <w:sz w:val="22"/>
          <w:szCs w:val="22"/>
        </w:rPr>
        <w:t>.</w:t>
      </w:r>
    </w:p>
    <w:p w14:paraId="2B926E1E"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Peek, S.T.M., </w:t>
      </w:r>
      <w:proofErr w:type="spellStart"/>
      <w:r w:rsidRPr="00F80CE2">
        <w:rPr>
          <w:rFonts w:ascii="Arial" w:hAnsi="Arial" w:cs="Arial"/>
          <w:sz w:val="22"/>
          <w:szCs w:val="22"/>
        </w:rPr>
        <w:t>Luijkx</w:t>
      </w:r>
      <w:proofErr w:type="spellEnd"/>
      <w:r w:rsidRPr="00F80CE2">
        <w:rPr>
          <w:rFonts w:ascii="Arial" w:hAnsi="Arial" w:cs="Arial"/>
          <w:sz w:val="22"/>
          <w:szCs w:val="22"/>
        </w:rPr>
        <w:t xml:space="preserve">, K.G., </w:t>
      </w:r>
      <w:proofErr w:type="spellStart"/>
      <w:r w:rsidRPr="00F80CE2">
        <w:rPr>
          <w:rFonts w:ascii="Arial" w:hAnsi="Arial" w:cs="Arial"/>
          <w:sz w:val="22"/>
          <w:szCs w:val="22"/>
        </w:rPr>
        <w:t>Rijnaard</w:t>
      </w:r>
      <w:proofErr w:type="spellEnd"/>
      <w:r w:rsidRPr="00F80CE2">
        <w:rPr>
          <w:rFonts w:ascii="Arial" w:hAnsi="Arial" w:cs="Arial"/>
          <w:sz w:val="22"/>
          <w:szCs w:val="22"/>
        </w:rPr>
        <w:t xml:space="preserve">, M.D., Nieboer, M.E., van der Voort, C.S., Aarts, S., van Hoof, J., </w:t>
      </w:r>
      <w:proofErr w:type="spellStart"/>
      <w:r w:rsidRPr="00F80CE2">
        <w:rPr>
          <w:rFonts w:ascii="Arial" w:hAnsi="Arial" w:cs="Arial"/>
          <w:sz w:val="22"/>
          <w:szCs w:val="22"/>
        </w:rPr>
        <w:t>Vrijhoef</w:t>
      </w:r>
      <w:proofErr w:type="spellEnd"/>
      <w:r w:rsidRPr="00F80CE2">
        <w:rPr>
          <w:rFonts w:ascii="Arial" w:hAnsi="Arial" w:cs="Arial"/>
          <w:sz w:val="22"/>
          <w:szCs w:val="22"/>
        </w:rPr>
        <w:t xml:space="preserve">, H.J.M. and Wouters, E.J.M. (2020). Older Adults’ Reasons for Using Technology while Aging in Place. </w:t>
      </w:r>
      <w:r w:rsidRPr="00F80CE2">
        <w:rPr>
          <w:rFonts w:ascii="Arial" w:hAnsi="Arial" w:cs="Arial"/>
          <w:i/>
          <w:iCs/>
          <w:sz w:val="22"/>
          <w:szCs w:val="22"/>
        </w:rPr>
        <w:t>Gerontology</w:t>
      </w:r>
      <w:r w:rsidRPr="00F80CE2">
        <w:rPr>
          <w:rFonts w:ascii="Arial" w:hAnsi="Arial" w:cs="Arial"/>
          <w:sz w:val="22"/>
          <w:szCs w:val="22"/>
        </w:rPr>
        <w:t>, 62(2), pp.226–237.</w:t>
      </w:r>
    </w:p>
    <w:p w14:paraId="2B9743E0"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Scerri, A., Scerri, C. and Innes, A. (2018). The perceived and observed needs of patients with dementia admitted to acute medical wards. </w:t>
      </w:r>
      <w:r w:rsidRPr="00F80CE2">
        <w:rPr>
          <w:rFonts w:ascii="Arial" w:hAnsi="Arial" w:cs="Arial"/>
          <w:i/>
          <w:iCs/>
          <w:sz w:val="22"/>
          <w:szCs w:val="22"/>
        </w:rPr>
        <w:t>Dementia</w:t>
      </w:r>
      <w:r w:rsidRPr="00F80CE2">
        <w:rPr>
          <w:rFonts w:ascii="Arial" w:hAnsi="Arial" w:cs="Arial"/>
          <w:sz w:val="22"/>
          <w:szCs w:val="22"/>
        </w:rPr>
        <w:t xml:space="preserve">, 19(6), p.147130121881438.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://doi.org/10.1177/1471301218814383</w:t>
      </w:r>
      <w:proofErr w:type="gramEnd"/>
      <w:r w:rsidRPr="00F80CE2">
        <w:rPr>
          <w:rFonts w:ascii="Arial" w:hAnsi="Arial" w:cs="Arial"/>
          <w:sz w:val="22"/>
          <w:szCs w:val="22"/>
        </w:rPr>
        <w:t>.</w:t>
      </w:r>
    </w:p>
    <w:p w14:paraId="6513AD15"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Wimo, A., </w:t>
      </w:r>
      <w:proofErr w:type="spellStart"/>
      <w:r w:rsidRPr="00F80CE2">
        <w:rPr>
          <w:rFonts w:ascii="Arial" w:hAnsi="Arial" w:cs="Arial"/>
          <w:sz w:val="22"/>
          <w:szCs w:val="22"/>
        </w:rPr>
        <w:t>Seeher</w:t>
      </w:r>
      <w:proofErr w:type="spellEnd"/>
      <w:r w:rsidRPr="00F80CE2">
        <w:rPr>
          <w:rFonts w:ascii="Arial" w:hAnsi="Arial" w:cs="Arial"/>
          <w:sz w:val="22"/>
          <w:szCs w:val="22"/>
        </w:rPr>
        <w:t xml:space="preserve">, K., Cataldi, R., </w:t>
      </w:r>
      <w:proofErr w:type="spellStart"/>
      <w:r w:rsidRPr="00F80CE2">
        <w:rPr>
          <w:rFonts w:ascii="Arial" w:hAnsi="Arial" w:cs="Arial"/>
          <w:sz w:val="22"/>
          <w:szCs w:val="22"/>
        </w:rPr>
        <w:t>Cyhlarova</w:t>
      </w:r>
      <w:proofErr w:type="spellEnd"/>
      <w:r w:rsidRPr="00F80CE2">
        <w:rPr>
          <w:rFonts w:ascii="Arial" w:hAnsi="Arial" w:cs="Arial"/>
          <w:sz w:val="22"/>
          <w:szCs w:val="22"/>
        </w:rPr>
        <w:t xml:space="preserve">, E., </w:t>
      </w:r>
      <w:proofErr w:type="spellStart"/>
      <w:r w:rsidRPr="00F80CE2">
        <w:rPr>
          <w:rFonts w:ascii="Arial" w:hAnsi="Arial" w:cs="Arial"/>
          <w:sz w:val="22"/>
          <w:szCs w:val="22"/>
        </w:rPr>
        <w:t>Dielemann</w:t>
      </w:r>
      <w:proofErr w:type="spellEnd"/>
      <w:r w:rsidRPr="00F80CE2">
        <w:rPr>
          <w:rFonts w:ascii="Arial" w:hAnsi="Arial" w:cs="Arial"/>
          <w:sz w:val="22"/>
          <w:szCs w:val="22"/>
        </w:rPr>
        <w:t xml:space="preserve">, J.L., Frisell, O., </w:t>
      </w:r>
      <w:proofErr w:type="spellStart"/>
      <w:r w:rsidRPr="00F80CE2">
        <w:rPr>
          <w:rFonts w:ascii="Arial" w:hAnsi="Arial" w:cs="Arial"/>
          <w:sz w:val="22"/>
          <w:szCs w:val="22"/>
        </w:rPr>
        <w:t>Guerchet</w:t>
      </w:r>
      <w:proofErr w:type="spellEnd"/>
      <w:r w:rsidRPr="00F80CE2">
        <w:rPr>
          <w:rFonts w:ascii="Arial" w:hAnsi="Arial" w:cs="Arial"/>
          <w:sz w:val="22"/>
          <w:szCs w:val="22"/>
        </w:rPr>
        <w:t xml:space="preserve">, M., Jönsson, L., Malaha, A.K., Nichols, E., Pedroza, P., Prince, M., Knapp, M. and Dua, T. (2023). The worldwide costs of dementia in 2019. </w:t>
      </w:r>
      <w:r w:rsidRPr="00F80CE2">
        <w:rPr>
          <w:rFonts w:ascii="Arial" w:hAnsi="Arial" w:cs="Arial"/>
          <w:i/>
          <w:iCs/>
          <w:sz w:val="22"/>
          <w:szCs w:val="22"/>
        </w:rPr>
        <w:t>Alzheimer’s &amp; Dementia</w:t>
      </w:r>
      <w:r w:rsidRPr="00F80CE2">
        <w:rPr>
          <w:rFonts w:ascii="Arial" w:hAnsi="Arial" w:cs="Arial"/>
          <w:sz w:val="22"/>
          <w:szCs w:val="22"/>
        </w:rPr>
        <w:t xml:space="preserve">, 19(7), pp.2865–2873.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://doi.org/10.1002/alz.12901</w:t>
      </w:r>
      <w:proofErr w:type="gramEnd"/>
      <w:r w:rsidRPr="00F80CE2">
        <w:rPr>
          <w:rFonts w:ascii="Arial" w:hAnsi="Arial" w:cs="Arial"/>
          <w:sz w:val="22"/>
          <w:szCs w:val="22"/>
        </w:rPr>
        <w:t>.</w:t>
      </w:r>
    </w:p>
    <w:p w14:paraId="3EE3EE1F"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Wittenberg, R., Hu, B., Jagger, C., Kingston, A., Knapp, M., Comas-Herrera, A., King, D., Rehill, A. and Banerjee, S. (2019). Projections of Care for Older People with Dementia in England: 2015 to 2040. </w:t>
      </w:r>
      <w:r w:rsidRPr="00F80CE2">
        <w:rPr>
          <w:rFonts w:ascii="Arial" w:hAnsi="Arial" w:cs="Arial"/>
          <w:i/>
          <w:iCs/>
          <w:sz w:val="22"/>
          <w:szCs w:val="22"/>
        </w:rPr>
        <w:t>Age and Ageing</w:t>
      </w:r>
      <w:r w:rsidRPr="00F80CE2">
        <w:rPr>
          <w:rFonts w:ascii="Arial" w:hAnsi="Arial" w:cs="Arial"/>
          <w:sz w:val="22"/>
          <w:szCs w:val="22"/>
        </w:rPr>
        <w:t>, 49(2), pp.264–269.</w:t>
      </w:r>
    </w:p>
    <w:p w14:paraId="4932FFE4" w14:textId="77777777" w:rsidR="00F80CE2" w:rsidRPr="00F80CE2" w:rsidRDefault="00F80CE2" w:rsidP="00F80CE2">
      <w:pPr>
        <w:spacing w:line="360" w:lineRule="auto"/>
        <w:ind w:left="720" w:hanging="720"/>
        <w:jc w:val="both"/>
        <w:rPr>
          <w:rFonts w:ascii="Arial" w:hAnsi="Arial" w:cs="Arial"/>
          <w:sz w:val="22"/>
          <w:szCs w:val="22"/>
        </w:rPr>
      </w:pPr>
      <w:r w:rsidRPr="00F80CE2">
        <w:rPr>
          <w:rFonts w:ascii="Arial" w:hAnsi="Arial" w:cs="Arial"/>
          <w:sz w:val="22"/>
          <w:szCs w:val="22"/>
        </w:rPr>
        <w:t xml:space="preserve">Zwingmann, I., </w:t>
      </w:r>
      <w:proofErr w:type="spellStart"/>
      <w:r w:rsidRPr="00F80CE2">
        <w:rPr>
          <w:rFonts w:ascii="Arial" w:hAnsi="Arial" w:cs="Arial"/>
          <w:sz w:val="22"/>
          <w:szCs w:val="22"/>
        </w:rPr>
        <w:t>Thyrian</w:t>
      </w:r>
      <w:proofErr w:type="spellEnd"/>
      <w:r w:rsidRPr="00F80CE2">
        <w:rPr>
          <w:rFonts w:ascii="Arial" w:hAnsi="Arial" w:cs="Arial"/>
          <w:sz w:val="22"/>
          <w:szCs w:val="22"/>
        </w:rPr>
        <w:t xml:space="preserve">, J.R., Michalowsky, B., Wucherer, D., Dreier-Wolfgramm, A. and Hoffmann, W. (2017). REDUCING AND PREVENTING CAREGIVERS’ BURDEN: THE EFFICACY OF DEMENTIA CARE MANAGEMENT FOR INFORMAL DEMENTIA CAREGIVERS. </w:t>
      </w:r>
      <w:r w:rsidRPr="00F80CE2">
        <w:rPr>
          <w:rFonts w:ascii="Arial" w:hAnsi="Arial" w:cs="Arial"/>
          <w:i/>
          <w:iCs/>
          <w:sz w:val="22"/>
          <w:szCs w:val="22"/>
        </w:rPr>
        <w:t>Alzheimer’s &amp; Dementia</w:t>
      </w:r>
      <w:r w:rsidRPr="00F80CE2">
        <w:rPr>
          <w:rFonts w:ascii="Arial" w:hAnsi="Arial" w:cs="Arial"/>
          <w:sz w:val="22"/>
          <w:szCs w:val="22"/>
        </w:rPr>
        <w:t xml:space="preserve">, 13(7), </w:t>
      </w:r>
      <w:proofErr w:type="gramStart"/>
      <w:r w:rsidRPr="00F80CE2">
        <w:rPr>
          <w:rFonts w:ascii="Arial" w:hAnsi="Arial" w:cs="Arial"/>
          <w:sz w:val="22"/>
          <w:szCs w:val="22"/>
        </w:rPr>
        <w:t>pp.P</w:t>
      </w:r>
      <w:proofErr w:type="gramEnd"/>
      <w:r w:rsidRPr="00F80CE2">
        <w:rPr>
          <w:rFonts w:ascii="Arial" w:hAnsi="Arial" w:cs="Arial"/>
          <w:sz w:val="22"/>
          <w:szCs w:val="22"/>
        </w:rPr>
        <w:t xml:space="preserve">1442–P1443. </w:t>
      </w:r>
      <w:proofErr w:type="spellStart"/>
      <w:proofErr w:type="gramStart"/>
      <w:r w:rsidRPr="00F80CE2">
        <w:rPr>
          <w:rFonts w:ascii="Arial" w:hAnsi="Arial" w:cs="Arial"/>
          <w:sz w:val="22"/>
          <w:szCs w:val="22"/>
        </w:rPr>
        <w:t>doi:https</w:t>
      </w:r>
      <w:proofErr w:type="spellEnd"/>
      <w:r w:rsidRPr="00F80CE2">
        <w:rPr>
          <w:rFonts w:ascii="Arial" w:hAnsi="Arial" w:cs="Arial"/>
          <w:sz w:val="22"/>
          <w:szCs w:val="22"/>
        </w:rPr>
        <w:t>://doi.org/10.1016/j.jalz.2017.06.2260</w:t>
      </w:r>
      <w:proofErr w:type="gramEnd"/>
      <w:r w:rsidRPr="00F80CE2">
        <w:rPr>
          <w:rFonts w:ascii="Arial" w:hAnsi="Arial" w:cs="Arial"/>
          <w:sz w:val="22"/>
          <w:szCs w:val="22"/>
        </w:rPr>
        <w:t>.</w:t>
      </w:r>
    </w:p>
    <w:p w14:paraId="676EF435" w14:textId="77777777" w:rsidR="00F80CE2" w:rsidRPr="00875BED" w:rsidRDefault="00F80CE2" w:rsidP="00F80CE2">
      <w:pPr>
        <w:spacing w:line="360" w:lineRule="auto"/>
        <w:ind w:left="720" w:hanging="720"/>
        <w:jc w:val="both"/>
        <w:rPr>
          <w:rFonts w:ascii="Arial" w:hAnsi="Arial" w:cs="Arial"/>
          <w:sz w:val="22"/>
          <w:szCs w:val="22"/>
        </w:rPr>
      </w:pPr>
    </w:p>
    <w:sectPr w:rsidR="00F80CE2" w:rsidRPr="00875B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31ED6"/>
    <w:multiLevelType w:val="multilevel"/>
    <w:tmpl w:val="7B668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2C08E1"/>
    <w:multiLevelType w:val="hybridMultilevel"/>
    <w:tmpl w:val="B470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44721"/>
    <w:multiLevelType w:val="multilevel"/>
    <w:tmpl w:val="1F18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7C70D2"/>
    <w:multiLevelType w:val="hybridMultilevel"/>
    <w:tmpl w:val="DD886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B85041"/>
    <w:multiLevelType w:val="hybridMultilevel"/>
    <w:tmpl w:val="3EE8D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57326A"/>
    <w:multiLevelType w:val="multilevel"/>
    <w:tmpl w:val="6E74B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3992702">
    <w:abstractNumId w:val="2"/>
  </w:num>
  <w:num w:numId="2" w16cid:durableId="1516262782">
    <w:abstractNumId w:val="0"/>
  </w:num>
  <w:num w:numId="3" w16cid:durableId="199055166">
    <w:abstractNumId w:val="5"/>
  </w:num>
  <w:num w:numId="4" w16cid:durableId="1521699449">
    <w:abstractNumId w:val="3"/>
  </w:num>
  <w:num w:numId="5" w16cid:durableId="1541669173">
    <w:abstractNumId w:val="4"/>
  </w:num>
  <w:num w:numId="6" w16cid:durableId="815226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F22"/>
    <w:rsid w:val="00020273"/>
    <w:rsid w:val="000F4692"/>
    <w:rsid w:val="0010212B"/>
    <w:rsid w:val="002A6397"/>
    <w:rsid w:val="0040300E"/>
    <w:rsid w:val="004616AB"/>
    <w:rsid w:val="005962A3"/>
    <w:rsid w:val="005A1072"/>
    <w:rsid w:val="005A69D5"/>
    <w:rsid w:val="006E6C72"/>
    <w:rsid w:val="00875BED"/>
    <w:rsid w:val="009A4EA9"/>
    <w:rsid w:val="009B1444"/>
    <w:rsid w:val="00AA21D8"/>
    <w:rsid w:val="00B133B3"/>
    <w:rsid w:val="00C52B9E"/>
    <w:rsid w:val="00C7688B"/>
    <w:rsid w:val="00C94F5B"/>
    <w:rsid w:val="00E1160E"/>
    <w:rsid w:val="00EB5B69"/>
    <w:rsid w:val="00F01C07"/>
    <w:rsid w:val="00F31F22"/>
    <w:rsid w:val="00F80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20F99"/>
  <w15:chartTrackingRefBased/>
  <w15:docId w15:val="{E0DD527D-30A5-431B-85E5-D5B7ACC1D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F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1F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1F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1F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1F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1F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F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F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F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F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1F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1F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1F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1F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1F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1F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1F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1F22"/>
    <w:rPr>
      <w:rFonts w:eastAsiaTheme="majorEastAsia" w:cstheme="majorBidi"/>
      <w:color w:val="272727" w:themeColor="text1" w:themeTint="D8"/>
    </w:rPr>
  </w:style>
  <w:style w:type="paragraph" w:styleId="Title">
    <w:name w:val="Title"/>
    <w:basedOn w:val="Normal"/>
    <w:next w:val="Normal"/>
    <w:link w:val="TitleChar"/>
    <w:uiPriority w:val="10"/>
    <w:qFormat/>
    <w:rsid w:val="00F31F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F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1F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F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F22"/>
    <w:pPr>
      <w:spacing w:before="160"/>
      <w:jc w:val="center"/>
    </w:pPr>
    <w:rPr>
      <w:i/>
      <w:iCs/>
      <w:color w:val="404040" w:themeColor="text1" w:themeTint="BF"/>
    </w:rPr>
  </w:style>
  <w:style w:type="character" w:customStyle="1" w:styleId="QuoteChar">
    <w:name w:val="Quote Char"/>
    <w:basedOn w:val="DefaultParagraphFont"/>
    <w:link w:val="Quote"/>
    <w:uiPriority w:val="29"/>
    <w:rsid w:val="00F31F22"/>
    <w:rPr>
      <w:i/>
      <w:iCs/>
      <w:color w:val="404040" w:themeColor="text1" w:themeTint="BF"/>
    </w:rPr>
  </w:style>
  <w:style w:type="paragraph" w:styleId="ListParagraph">
    <w:name w:val="List Paragraph"/>
    <w:basedOn w:val="Normal"/>
    <w:uiPriority w:val="34"/>
    <w:qFormat/>
    <w:rsid w:val="00F31F22"/>
    <w:pPr>
      <w:ind w:left="720"/>
      <w:contextualSpacing/>
    </w:pPr>
  </w:style>
  <w:style w:type="character" w:styleId="IntenseEmphasis">
    <w:name w:val="Intense Emphasis"/>
    <w:basedOn w:val="DefaultParagraphFont"/>
    <w:uiPriority w:val="21"/>
    <w:qFormat/>
    <w:rsid w:val="00F31F22"/>
    <w:rPr>
      <w:i/>
      <w:iCs/>
      <w:color w:val="0F4761" w:themeColor="accent1" w:themeShade="BF"/>
    </w:rPr>
  </w:style>
  <w:style w:type="paragraph" w:styleId="IntenseQuote">
    <w:name w:val="Intense Quote"/>
    <w:basedOn w:val="Normal"/>
    <w:next w:val="Normal"/>
    <w:link w:val="IntenseQuoteChar"/>
    <w:uiPriority w:val="30"/>
    <w:qFormat/>
    <w:rsid w:val="00F31F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1F22"/>
    <w:rPr>
      <w:i/>
      <w:iCs/>
      <w:color w:val="0F4761" w:themeColor="accent1" w:themeShade="BF"/>
    </w:rPr>
  </w:style>
  <w:style w:type="character" w:styleId="IntenseReference">
    <w:name w:val="Intense Reference"/>
    <w:basedOn w:val="DefaultParagraphFont"/>
    <w:uiPriority w:val="32"/>
    <w:qFormat/>
    <w:rsid w:val="00F31F2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2640</Words>
  <Characters>15048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Jibril Salifu</dc:creator>
  <cp:keywords/>
  <dc:description/>
  <cp:lastModifiedBy>LINDA TEKYI</cp:lastModifiedBy>
  <cp:revision>2</cp:revision>
  <dcterms:created xsi:type="dcterms:W3CDTF">2025-11-16T22:34:00Z</dcterms:created>
  <dcterms:modified xsi:type="dcterms:W3CDTF">2025-11-16T22:34:00Z</dcterms:modified>
</cp:coreProperties>
</file>