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210C8" w14:textId="58D2AEAC" w:rsidR="00401719" w:rsidRDefault="00401719">
      <w:pPr>
        <w:rPr>
          <w:rFonts w:ascii="Times New Roman" w:hAnsi="Times New Roman" w:cs="Times New Roman"/>
          <w:b/>
          <w:bCs/>
          <w:sz w:val="24"/>
          <w:szCs w:val="24"/>
        </w:rPr>
      </w:pPr>
      <w:r w:rsidRPr="00401719">
        <w:rPr>
          <w:rFonts w:ascii="Times New Roman" w:hAnsi="Times New Roman" w:cs="Times New Roman"/>
          <w:b/>
          <w:bCs/>
          <w:sz w:val="24"/>
          <w:szCs w:val="24"/>
        </w:rPr>
        <w:t xml:space="preserve">                                      </w:t>
      </w:r>
    </w:p>
    <w:p w14:paraId="4F546DB8" w14:textId="77777777" w:rsidR="002B65F1" w:rsidRDefault="002B65F1">
      <w:pPr>
        <w:rPr>
          <w:rFonts w:ascii="Times New Roman" w:hAnsi="Times New Roman" w:cs="Times New Roman"/>
          <w:b/>
          <w:bCs/>
          <w:sz w:val="24"/>
          <w:szCs w:val="24"/>
        </w:rPr>
      </w:pPr>
    </w:p>
    <w:p w14:paraId="69561F9B" w14:textId="77777777" w:rsidR="002B65F1" w:rsidRDefault="002B65F1">
      <w:pPr>
        <w:rPr>
          <w:rFonts w:ascii="Times New Roman" w:hAnsi="Times New Roman" w:cs="Times New Roman"/>
          <w:b/>
          <w:bCs/>
          <w:sz w:val="24"/>
          <w:szCs w:val="24"/>
        </w:rPr>
      </w:pPr>
    </w:p>
    <w:p w14:paraId="4124EABF" w14:textId="77777777" w:rsidR="002B65F1" w:rsidRDefault="002B65F1">
      <w:pPr>
        <w:rPr>
          <w:rFonts w:ascii="Times New Roman" w:hAnsi="Times New Roman" w:cs="Times New Roman"/>
          <w:b/>
          <w:bCs/>
          <w:sz w:val="24"/>
          <w:szCs w:val="24"/>
        </w:rPr>
      </w:pPr>
    </w:p>
    <w:p w14:paraId="1DF6F074" w14:textId="77777777" w:rsidR="002B65F1" w:rsidRDefault="002B65F1">
      <w:pPr>
        <w:rPr>
          <w:rFonts w:ascii="Times New Roman" w:hAnsi="Times New Roman" w:cs="Times New Roman"/>
          <w:b/>
          <w:bCs/>
          <w:sz w:val="24"/>
          <w:szCs w:val="24"/>
        </w:rPr>
      </w:pPr>
    </w:p>
    <w:p w14:paraId="51C415C3" w14:textId="77777777" w:rsidR="002B65F1" w:rsidRDefault="002B65F1">
      <w:pPr>
        <w:rPr>
          <w:rFonts w:ascii="Times New Roman" w:hAnsi="Times New Roman" w:cs="Times New Roman"/>
          <w:b/>
          <w:bCs/>
          <w:sz w:val="24"/>
          <w:szCs w:val="24"/>
        </w:rPr>
      </w:pPr>
    </w:p>
    <w:p w14:paraId="57ED3EC3" w14:textId="315A4B04" w:rsidR="002B65F1" w:rsidRDefault="002B65F1" w:rsidP="002B65F1">
      <w:pPr>
        <w:jc w:val="center"/>
        <w:rPr>
          <w:rFonts w:ascii="Times New Roman" w:hAnsi="Times New Roman" w:cs="Times New Roman"/>
          <w:b/>
          <w:bCs/>
          <w:sz w:val="48"/>
          <w:szCs w:val="48"/>
        </w:rPr>
      </w:pPr>
      <w:r w:rsidRPr="002B65F1">
        <w:rPr>
          <w:rFonts w:ascii="Times New Roman" w:hAnsi="Times New Roman" w:cs="Times New Roman"/>
          <w:b/>
          <w:bCs/>
          <w:sz w:val="48"/>
          <w:szCs w:val="48"/>
        </w:rPr>
        <w:t>Appraisal and Regeneration of Ammanford: A Pathway to Sustainable Community Development</w:t>
      </w:r>
    </w:p>
    <w:p w14:paraId="3F30A8E7" w14:textId="0D83CE83" w:rsidR="002B65F1" w:rsidRPr="002B65F1" w:rsidRDefault="002B65F1" w:rsidP="002B65F1">
      <w:pPr>
        <w:jc w:val="center"/>
        <w:rPr>
          <w:rFonts w:ascii="Times New Roman" w:hAnsi="Times New Roman" w:cs="Times New Roman"/>
          <w:b/>
          <w:bCs/>
          <w:sz w:val="48"/>
          <w:szCs w:val="48"/>
        </w:rPr>
      </w:pPr>
      <w:r>
        <w:rPr>
          <w:rFonts w:ascii="Times New Roman" w:hAnsi="Times New Roman" w:cs="Times New Roman"/>
          <w:b/>
          <w:bCs/>
          <w:sz w:val="48"/>
          <w:szCs w:val="48"/>
        </w:rPr>
        <w:t xml:space="preserve">Report </w:t>
      </w:r>
    </w:p>
    <w:p w14:paraId="2E03F065" w14:textId="77777777" w:rsidR="002B65F1" w:rsidRPr="002B65F1" w:rsidRDefault="002B65F1">
      <w:pPr>
        <w:rPr>
          <w:rFonts w:ascii="Times New Roman" w:hAnsi="Times New Roman" w:cs="Times New Roman"/>
          <w:b/>
          <w:bCs/>
          <w:sz w:val="48"/>
          <w:szCs w:val="48"/>
        </w:rPr>
      </w:pPr>
    </w:p>
    <w:p w14:paraId="352EECC0" w14:textId="77777777" w:rsidR="002B65F1" w:rsidRPr="002B65F1" w:rsidRDefault="002B65F1">
      <w:pPr>
        <w:rPr>
          <w:rFonts w:ascii="Times New Roman" w:hAnsi="Times New Roman" w:cs="Times New Roman"/>
          <w:b/>
          <w:bCs/>
          <w:sz w:val="48"/>
          <w:szCs w:val="48"/>
        </w:rPr>
      </w:pPr>
    </w:p>
    <w:p w14:paraId="213FFDE9" w14:textId="77777777" w:rsidR="002B65F1" w:rsidRDefault="002B65F1">
      <w:pPr>
        <w:rPr>
          <w:rFonts w:ascii="Times New Roman" w:hAnsi="Times New Roman" w:cs="Times New Roman"/>
          <w:b/>
          <w:bCs/>
          <w:sz w:val="24"/>
          <w:szCs w:val="24"/>
        </w:rPr>
      </w:pPr>
    </w:p>
    <w:p w14:paraId="28BBC33B" w14:textId="77777777" w:rsidR="002B65F1" w:rsidRDefault="002B65F1">
      <w:pPr>
        <w:rPr>
          <w:rFonts w:ascii="Times New Roman" w:hAnsi="Times New Roman" w:cs="Times New Roman"/>
          <w:b/>
          <w:bCs/>
          <w:sz w:val="24"/>
          <w:szCs w:val="24"/>
        </w:rPr>
      </w:pPr>
    </w:p>
    <w:p w14:paraId="3C3DF52E" w14:textId="77777777" w:rsidR="002B65F1" w:rsidRDefault="002B65F1">
      <w:pPr>
        <w:rPr>
          <w:rFonts w:ascii="Times New Roman" w:hAnsi="Times New Roman" w:cs="Times New Roman"/>
          <w:b/>
          <w:bCs/>
          <w:sz w:val="24"/>
          <w:szCs w:val="24"/>
        </w:rPr>
      </w:pPr>
    </w:p>
    <w:p w14:paraId="327333A4" w14:textId="77777777" w:rsidR="002B65F1" w:rsidRDefault="002B65F1">
      <w:pPr>
        <w:rPr>
          <w:rFonts w:ascii="Times New Roman" w:hAnsi="Times New Roman" w:cs="Times New Roman"/>
          <w:b/>
          <w:bCs/>
          <w:sz w:val="24"/>
          <w:szCs w:val="24"/>
        </w:rPr>
      </w:pPr>
    </w:p>
    <w:p w14:paraId="3A3D12B8" w14:textId="77777777" w:rsidR="002B65F1" w:rsidRDefault="002B65F1">
      <w:pPr>
        <w:rPr>
          <w:rFonts w:ascii="Times New Roman" w:hAnsi="Times New Roman" w:cs="Times New Roman"/>
          <w:b/>
          <w:bCs/>
          <w:sz w:val="24"/>
          <w:szCs w:val="24"/>
        </w:rPr>
      </w:pPr>
    </w:p>
    <w:p w14:paraId="35A5BA0F" w14:textId="77777777" w:rsidR="002B65F1" w:rsidRDefault="002B65F1">
      <w:pPr>
        <w:rPr>
          <w:rFonts w:ascii="Times New Roman" w:hAnsi="Times New Roman" w:cs="Times New Roman"/>
          <w:b/>
          <w:bCs/>
          <w:sz w:val="24"/>
          <w:szCs w:val="24"/>
        </w:rPr>
      </w:pPr>
    </w:p>
    <w:p w14:paraId="6C760AA8" w14:textId="77777777" w:rsidR="002B65F1" w:rsidRDefault="002B65F1">
      <w:pPr>
        <w:rPr>
          <w:rFonts w:ascii="Times New Roman" w:hAnsi="Times New Roman" w:cs="Times New Roman"/>
          <w:b/>
          <w:bCs/>
          <w:sz w:val="24"/>
          <w:szCs w:val="24"/>
        </w:rPr>
      </w:pPr>
    </w:p>
    <w:p w14:paraId="6433DF41" w14:textId="77777777" w:rsidR="002B65F1" w:rsidRDefault="002B65F1">
      <w:pPr>
        <w:rPr>
          <w:rFonts w:ascii="Times New Roman" w:hAnsi="Times New Roman" w:cs="Times New Roman"/>
          <w:b/>
          <w:bCs/>
          <w:sz w:val="24"/>
          <w:szCs w:val="24"/>
        </w:rPr>
      </w:pPr>
    </w:p>
    <w:p w14:paraId="263404A7" w14:textId="77777777" w:rsidR="002B65F1" w:rsidRDefault="002B65F1">
      <w:pPr>
        <w:rPr>
          <w:rFonts w:ascii="Times New Roman" w:hAnsi="Times New Roman" w:cs="Times New Roman"/>
          <w:b/>
          <w:bCs/>
          <w:sz w:val="24"/>
          <w:szCs w:val="24"/>
        </w:rPr>
      </w:pPr>
    </w:p>
    <w:p w14:paraId="734DB1B0" w14:textId="77777777" w:rsidR="002B65F1" w:rsidRDefault="002B65F1">
      <w:pPr>
        <w:rPr>
          <w:rFonts w:ascii="Times New Roman" w:hAnsi="Times New Roman" w:cs="Times New Roman"/>
          <w:b/>
          <w:bCs/>
          <w:sz w:val="24"/>
          <w:szCs w:val="24"/>
        </w:rPr>
      </w:pPr>
    </w:p>
    <w:p w14:paraId="42307C8E" w14:textId="77777777" w:rsidR="002B65F1" w:rsidRDefault="002B65F1">
      <w:pPr>
        <w:rPr>
          <w:rFonts w:ascii="Times New Roman" w:hAnsi="Times New Roman" w:cs="Times New Roman"/>
          <w:b/>
          <w:bCs/>
          <w:sz w:val="24"/>
          <w:szCs w:val="24"/>
        </w:rPr>
      </w:pPr>
    </w:p>
    <w:p w14:paraId="4CDBB93B" w14:textId="110F1150" w:rsidR="002B65F1" w:rsidRDefault="002B65F1">
      <w:pPr>
        <w:rPr>
          <w:rFonts w:ascii="Times New Roman" w:hAnsi="Times New Roman" w:cs="Times New Roman"/>
          <w:b/>
          <w:bCs/>
          <w:sz w:val="24"/>
          <w:szCs w:val="24"/>
        </w:rPr>
      </w:pPr>
      <w:r>
        <w:rPr>
          <w:rFonts w:ascii="Times New Roman" w:hAnsi="Times New Roman" w:cs="Times New Roman"/>
          <w:b/>
          <w:bCs/>
          <w:sz w:val="24"/>
          <w:szCs w:val="24"/>
        </w:rPr>
        <w:t xml:space="preserve">Programme: Developing Sustainable Enterprise </w:t>
      </w:r>
    </w:p>
    <w:p w14:paraId="1723035E" w14:textId="1F871DA8" w:rsidR="002B65F1" w:rsidRPr="002B65F1" w:rsidRDefault="002B65F1" w:rsidP="002B65F1">
      <w:pPr>
        <w:rPr>
          <w:rFonts w:ascii="Times New Roman" w:hAnsi="Times New Roman" w:cs="Times New Roman"/>
          <w:b/>
          <w:bCs/>
          <w:sz w:val="24"/>
          <w:szCs w:val="24"/>
        </w:rPr>
      </w:pPr>
      <w:r w:rsidRPr="002B65F1">
        <w:rPr>
          <w:rFonts w:ascii="Times New Roman" w:hAnsi="Times New Roman" w:cs="Times New Roman"/>
          <w:b/>
          <w:bCs/>
          <w:sz w:val="24"/>
          <w:szCs w:val="24"/>
        </w:rPr>
        <w:t>Module:</w:t>
      </w:r>
      <w:r>
        <w:rPr>
          <w:rFonts w:ascii="Times New Roman" w:hAnsi="Times New Roman" w:cs="Times New Roman"/>
          <w:b/>
          <w:bCs/>
          <w:sz w:val="24"/>
          <w:szCs w:val="24"/>
        </w:rPr>
        <w:t xml:space="preserve"> </w:t>
      </w:r>
      <w:r w:rsidRPr="002B65F1">
        <w:rPr>
          <w:rFonts w:ascii="Times New Roman" w:hAnsi="Times New Roman" w:cs="Times New Roman"/>
          <w:b/>
          <w:bCs/>
          <w:sz w:val="24"/>
          <w:szCs w:val="24"/>
        </w:rPr>
        <w:t>Distinctiveness and Regeneration</w:t>
      </w:r>
    </w:p>
    <w:p w14:paraId="3FBCCF98" w14:textId="3544FDB3" w:rsidR="002B65F1" w:rsidRDefault="002B65F1" w:rsidP="002B65F1">
      <w:pPr>
        <w:rPr>
          <w:rFonts w:ascii="Times New Roman" w:hAnsi="Times New Roman" w:cs="Times New Roman"/>
          <w:b/>
          <w:bCs/>
          <w:sz w:val="24"/>
          <w:szCs w:val="24"/>
        </w:rPr>
      </w:pPr>
      <w:r w:rsidRPr="002B65F1">
        <w:rPr>
          <w:rFonts w:ascii="Times New Roman" w:hAnsi="Times New Roman" w:cs="Times New Roman"/>
          <w:b/>
          <w:bCs/>
          <w:sz w:val="24"/>
          <w:szCs w:val="24"/>
        </w:rPr>
        <w:t>Module code:</w:t>
      </w:r>
      <w:r w:rsidRPr="002B65F1">
        <w:rPr>
          <w:rFonts w:ascii="Times New Roman" w:hAnsi="Times New Roman" w:cs="Times New Roman"/>
          <w:b/>
          <w:bCs/>
          <w:sz w:val="24"/>
          <w:szCs w:val="24"/>
        </w:rPr>
        <w:tab/>
        <w:t>BMSP4014</w:t>
      </w:r>
    </w:p>
    <w:p w14:paraId="42DBB195" w14:textId="77777777" w:rsidR="002B65F1" w:rsidRDefault="002B65F1">
      <w:pPr>
        <w:rPr>
          <w:rFonts w:ascii="Times New Roman" w:hAnsi="Times New Roman" w:cs="Times New Roman"/>
          <w:b/>
          <w:bCs/>
          <w:sz w:val="24"/>
          <w:szCs w:val="24"/>
        </w:rPr>
      </w:pPr>
    </w:p>
    <w:p w14:paraId="6458087D" w14:textId="22AE7910" w:rsidR="002B65F1" w:rsidRDefault="002B65F1">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Part A</w:t>
      </w:r>
    </w:p>
    <w:p w14:paraId="017BDD74" w14:textId="77777777" w:rsidR="002B65F1" w:rsidRDefault="002B65F1">
      <w:pPr>
        <w:rPr>
          <w:rFonts w:ascii="Times New Roman" w:hAnsi="Times New Roman" w:cs="Times New Roman"/>
          <w:b/>
          <w:bCs/>
          <w:sz w:val="24"/>
          <w:szCs w:val="24"/>
        </w:rPr>
      </w:pPr>
    </w:p>
    <w:p w14:paraId="68A886F4" w14:textId="77777777" w:rsidR="002B65F1" w:rsidRPr="002B65F1" w:rsidRDefault="002B65F1">
      <w:pPr>
        <w:rPr>
          <w:rFonts w:ascii="Times New Roman" w:hAnsi="Times New Roman" w:cs="Times New Roman"/>
          <w:b/>
          <w:bCs/>
          <w:sz w:val="24"/>
          <w:szCs w:val="24"/>
        </w:rPr>
      </w:pPr>
    </w:p>
    <w:p w14:paraId="78EC01B2" w14:textId="3ACAAB40" w:rsidR="00401719" w:rsidRPr="00401719" w:rsidRDefault="00401719" w:rsidP="00401719">
      <w:pPr>
        <w:pStyle w:val="ListParagraph"/>
        <w:numPr>
          <w:ilvl w:val="0"/>
          <w:numId w:val="1"/>
        </w:numPr>
        <w:rPr>
          <w:rFonts w:ascii="Times New Roman" w:hAnsi="Times New Roman" w:cs="Times New Roman"/>
          <w:b/>
          <w:bCs/>
          <w:sz w:val="24"/>
          <w:szCs w:val="24"/>
        </w:rPr>
      </w:pPr>
      <w:r w:rsidRPr="00401719">
        <w:rPr>
          <w:rFonts w:ascii="Times New Roman" w:hAnsi="Times New Roman" w:cs="Times New Roman"/>
          <w:b/>
          <w:bCs/>
          <w:sz w:val="24"/>
          <w:szCs w:val="24"/>
        </w:rPr>
        <w:t>Changing Fortunes</w:t>
      </w:r>
    </w:p>
    <w:p w14:paraId="286A12C8" w14:textId="7FBFB768" w:rsidR="003A2F4E" w:rsidRDefault="00584635">
      <w:pPr>
        <w:rPr>
          <w:rFonts w:ascii="Times New Roman" w:hAnsi="Times New Roman" w:cs="Times New Roman"/>
          <w:sz w:val="24"/>
          <w:szCs w:val="24"/>
        </w:rPr>
      </w:pPr>
      <w:r w:rsidRPr="00584635">
        <w:rPr>
          <w:rFonts w:ascii="Times New Roman" w:hAnsi="Times New Roman" w:cs="Times New Roman"/>
          <w:sz w:val="24"/>
          <w:szCs w:val="24"/>
        </w:rPr>
        <w:t>Ammanford, located in the heart of Carmarthenshire, Wales, has a rich history with the coal mining industry. For decades, the town thrived on the back of this industry, with its economy and community life pulsing to the beat of the mines. Coal mining was more than simply an industry; it was the lifeblood of Ammanford, employing a large section of the people and determining the town's identity (Welsh Government, 2020). However, the later part of the twentieth century saw a sharp drop in coal mining in the UK, due to a mix of economic, environmental, and political issues, resulting in widespread mine closures (National Coal Mining Museum for England, n.d</w:t>
      </w:r>
      <w:r w:rsidR="00FE38F8">
        <w:rPr>
          <w:rFonts w:ascii="Times New Roman" w:hAnsi="Times New Roman" w:cs="Times New Roman"/>
          <w:sz w:val="24"/>
          <w:szCs w:val="24"/>
        </w:rPr>
        <w:t>).</w:t>
      </w:r>
    </w:p>
    <w:p w14:paraId="2D4FE573" w14:textId="5D51ABB4" w:rsidR="00584635" w:rsidRDefault="00584635">
      <w:pPr>
        <w:rPr>
          <w:rFonts w:ascii="Times New Roman" w:hAnsi="Times New Roman" w:cs="Times New Roman"/>
          <w:sz w:val="24"/>
          <w:szCs w:val="24"/>
        </w:rPr>
      </w:pPr>
      <w:r w:rsidRPr="00584635">
        <w:rPr>
          <w:rFonts w:ascii="Times New Roman" w:hAnsi="Times New Roman" w:cs="Times New Roman"/>
          <w:sz w:val="24"/>
          <w:szCs w:val="24"/>
        </w:rPr>
        <w:t>The effects of these closures on Ammanford were substantial. The town had enormous economic and social issues, such as high unemployment, economic stagnation, and a sense of community loss. The demise of the coal industry created an economic and cultural void that the town tried to fill (Jones, 2018). Recognizing the need for economic diversification, local and regional stakeholders began looking at opportunities for regeneration and revitalization.</w:t>
      </w:r>
    </w:p>
    <w:p w14:paraId="20D766E9" w14:textId="7033CC44" w:rsidR="00584635" w:rsidRDefault="00584635">
      <w:pPr>
        <w:rPr>
          <w:rFonts w:ascii="Times New Roman" w:hAnsi="Times New Roman" w:cs="Times New Roman"/>
          <w:sz w:val="24"/>
          <w:szCs w:val="24"/>
        </w:rPr>
      </w:pPr>
      <w:r w:rsidRPr="00584635">
        <w:rPr>
          <w:rFonts w:ascii="Times New Roman" w:hAnsi="Times New Roman" w:cs="Times New Roman"/>
          <w:sz w:val="24"/>
          <w:szCs w:val="24"/>
        </w:rPr>
        <w:t>Efforts to diversify Ammanford's economy have been broad, with an emphasis on attracting new sectors, encouraging entrepreneurship, and exploiting the town's natural and historical resources to enhance tourism. Investment in infrastructure improvements, assistance for small and medium-sized businesses, and promotion of renewable energy projects are examples of initiatives that reflect a broader transition toward a more sustainable economic model (Carmarthenshire County Council, 2019).</w:t>
      </w:r>
    </w:p>
    <w:p w14:paraId="2CA4150E" w14:textId="51D27B99"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 xml:space="preserve">Furthermore, the town has sought to leverage its rich cultural past and proximity to natural beauty, like as the Brecon Beacons National Park, </w:t>
      </w:r>
      <w:r>
        <w:rPr>
          <w:rFonts w:ascii="Times New Roman" w:hAnsi="Times New Roman" w:cs="Times New Roman"/>
          <w:sz w:val="24"/>
          <w:szCs w:val="24"/>
        </w:rPr>
        <w:t>to</w:t>
      </w:r>
      <w:r w:rsidRPr="00FE38F8">
        <w:rPr>
          <w:rFonts w:ascii="Times New Roman" w:hAnsi="Times New Roman" w:cs="Times New Roman"/>
          <w:sz w:val="24"/>
          <w:szCs w:val="24"/>
        </w:rPr>
        <w:t xml:space="preserve"> attract visitors and grow the tourism industry. This strategy intends not just to create jobs and boost economic activity, but also to conserve and celebrate Ammanford's heritage and identity in the post-coal era (Visit Wales, 2021).</w:t>
      </w:r>
    </w:p>
    <w:p w14:paraId="2EDD3D3A" w14:textId="558F9802"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Ammanford's transition from a coal-dependent town to a community pursuing economic diversification mirrored broader changes in industrial districts across the United Kingdom. Ammanford is gradually establishing a new course thanks to concerted efforts by local stakeholders such as government authorities, business leaders, and community groups. While obstacles exist, the town's focus on sustainable development, economic diversification, and cultural preservation points to a strong future (Welsh Government, 2020; Carmarthenshire County Council, 2019).</w:t>
      </w:r>
    </w:p>
    <w:p w14:paraId="1433D3B7" w14:textId="4B75D96F" w:rsidR="00FE38F8" w:rsidRPr="00401719" w:rsidRDefault="00401719" w:rsidP="00401719">
      <w:pPr>
        <w:pStyle w:val="ListParagraph"/>
        <w:numPr>
          <w:ilvl w:val="0"/>
          <w:numId w:val="1"/>
        </w:numPr>
        <w:rPr>
          <w:rFonts w:ascii="Times New Roman" w:hAnsi="Times New Roman" w:cs="Times New Roman"/>
          <w:b/>
          <w:bCs/>
          <w:sz w:val="24"/>
          <w:szCs w:val="24"/>
        </w:rPr>
      </w:pPr>
      <w:r w:rsidRPr="00401719">
        <w:rPr>
          <w:rFonts w:ascii="Times New Roman" w:hAnsi="Times New Roman" w:cs="Times New Roman"/>
          <w:b/>
          <w:bCs/>
          <w:sz w:val="24"/>
          <w:szCs w:val="24"/>
        </w:rPr>
        <w:t>Existing Assets, Structures, and Economic Character</w:t>
      </w:r>
    </w:p>
    <w:p w14:paraId="7CEA133D" w14:textId="45BC1EDC"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 xml:space="preserve">Ammanford, a town rich in history and natural beauty, is conveniently located near the Brecon Beacons National Park in Carmarthenshire, Wales. This site has a unique combination of cultural and environmental elements that can fuel the town's economic recovery and attract both investment and tourists. Ammanford's closeness to the Brecon Beacons National Park, which is noted for its spectacular landscapes and outdoor recreation options, puts it as a </w:t>
      </w:r>
      <w:r w:rsidRPr="00FE38F8">
        <w:rPr>
          <w:rFonts w:ascii="Times New Roman" w:hAnsi="Times New Roman" w:cs="Times New Roman"/>
          <w:sz w:val="24"/>
          <w:szCs w:val="24"/>
        </w:rPr>
        <w:lastRenderedPageBreak/>
        <w:t>gateway for tourists seeking natural beauty and adventure (Visit Wales, 2021). These natural advantages, when combined with the town's historic architecture and traditional commercial districts, form a good foundation for economic development and community renewal.</w:t>
      </w:r>
    </w:p>
    <w:p w14:paraId="4B0F9626" w14:textId="490608E8"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 xml:space="preserve">Ammanford's town </w:t>
      </w:r>
      <w:r w:rsidRPr="00FE38F8">
        <w:rPr>
          <w:rFonts w:ascii="Times New Roman" w:hAnsi="Times New Roman" w:cs="Times New Roman"/>
          <w:sz w:val="24"/>
          <w:szCs w:val="24"/>
        </w:rPr>
        <w:t>centre</w:t>
      </w:r>
      <w:r w:rsidRPr="00FE38F8">
        <w:rPr>
          <w:rFonts w:ascii="Times New Roman" w:hAnsi="Times New Roman" w:cs="Times New Roman"/>
          <w:sz w:val="24"/>
          <w:szCs w:val="24"/>
        </w:rPr>
        <w:t xml:space="preserve"> features old architecture that symbolizes the region's rich legacy, particularly its ties to the coal mining industry that previously thrived there. These structures not only serve as reminders of the town's past but also as prospective tourist attractions for anyone interested in Welsh history and culture. The traditional shopping area, with its mix of local stores and markets, provides an opportunity to create a one-of-a-kind retail experience that will attract visitors while also supporting local artisans and entrepreneurs (Carmarthenshire County Council, 2019).</w:t>
      </w:r>
    </w:p>
    <w:p w14:paraId="2B5B814C" w14:textId="51338561"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 xml:space="preserve">Ammanford's aim to attract people and businesses has included significant investments in infrastructure and public areas. Improvements to transportation linkages, including road and rail connections, make the town more accessible to visitors and simplify the transfer of products and services, which is critical for local companies and the tourism industry. Public amenities such as parks, recreational facilities, and community </w:t>
      </w:r>
      <w:r>
        <w:rPr>
          <w:rFonts w:ascii="Times New Roman" w:hAnsi="Times New Roman" w:cs="Times New Roman"/>
          <w:sz w:val="24"/>
          <w:szCs w:val="24"/>
        </w:rPr>
        <w:t>centres</w:t>
      </w:r>
      <w:r w:rsidRPr="00FE38F8">
        <w:rPr>
          <w:rFonts w:ascii="Times New Roman" w:hAnsi="Times New Roman" w:cs="Times New Roman"/>
          <w:sz w:val="24"/>
          <w:szCs w:val="24"/>
        </w:rPr>
        <w:t xml:space="preserve"> have been upgraded or constructed to improve inhabitants' quality of life while also making the town more appealing to potential newcomers and investors.</w:t>
      </w:r>
    </w:p>
    <w:p w14:paraId="091183AF" w14:textId="206D86A8"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Ammanford's economic character has evolved, with a transition away from its historical reliance on coal mining and toward a more diverse economy that includes retail, services, and light industry. This change mirrors a larger trend among post-industrial cities attempting to adjust to changing economic realities. The emphasis on small enterprises and entrepreneurship is particularly notable, as these entities are frequently the foundation of local economies, stimulating innovation and creating job possibilities (Jones, 2018). Efforts to recruit new businesses, such as technology and renewable energy, demonstrate a proactive commitment to economic growth. These sectors not only have the potential to create jobs, but they also reflect worldwide trends toward sustainability and innovation (Carmarthenshire County Council, 2019).</w:t>
      </w:r>
    </w:p>
    <w:p w14:paraId="00C32C8D" w14:textId="7F8891AE" w:rsidR="00FE38F8" w:rsidRDefault="00FE38F8">
      <w:pPr>
        <w:rPr>
          <w:rFonts w:ascii="Times New Roman" w:hAnsi="Times New Roman" w:cs="Times New Roman"/>
          <w:sz w:val="24"/>
          <w:szCs w:val="24"/>
        </w:rPr>
      </w:pPr>
      <w:r w:rsidRPr="00FE38F8">
        <w:rPr>
          <w:rFonts w:ascii="Times New Roman" w:hAnsi="Times New Roman" w:cs="Times New Roman"/>
          <w:sz w:val="24"/>
          <w:szCs w:val="24"/>
        </w:rPr>
        <w:t xml:space="preserve">Furthermore, the focus on drawing technology and renewable energy sectors reflects a strategy shift toward industries with long-term growth potential. By creating an environment that supports these industries, Ammanford can position itself as a leader in the green economy, recruiting enterprises and talent interested in sustainable development. This method not only broadens the town's economic base but also helps to achieve larger environmental and societal goals, such as lowering carbon emissions and supporting sustainable </w:t>
      </w:r>
      <w:r w:rsidRPr="00FE38F8">
        <w:rPr>
          <w:rFonts w:ascii="Times New Roman" w:hAnsi="Times New Roman" w:cs="Times New Roman"/>
          <w:sz w:val="24"/>
          <w:szCs w:val="24"/>
        </w:rPr>
        <w:t>behaviours</w:t>
      </w:r>
      <w:r w:rsidRPr="00FE38F8">
        <w:rPr>
          <w:rFonts w:ascii="Times New Roman" w:hAnsi="Times New Roman" w:cs="Times New Roman"/>
          <w:sz w:val="24"/>
          <w:szCs w:val="24"/>
        </w:rPr>
        <w:t>.</w:t>
      </w:r>
    </w:p>
    <w:p w14:paraId="32483F1B" w14:textId="5504CCD5" w:rsidR="00401719" w:rsidRPr="00401719" w:rsidRDefault="00401719" w:rsidP="00401719">
      <w:pPr>
        <w:pStyle w:val="ListParagraph"/>
        <w:numPr>
          <w:ilvl w:val="0"/>
          <w:numId w:val="1"/>
        </w:numPr>
        <w:rPr>
          <w:rFonts w:ascii="Times New Roman" w:hAnsi="Times New Roman" w:cs="Times New Roman"/>
          <w:b/>
          <w:bCs/>
          <w:sz w:val="24"/>
          <w:szCs w:val="24"/>
        </w:rPr>
      </w:pPr>
      <w:r w:rsidRPr="00401719">
        <w:rPr>
          <w:rFonts w:ascii="Times New Roman" w:hAnsi="Times New Roman" w:cs="Times New Roman"/>
          <w:b/>
          <w:bCs/>
          <w:sz w:val="24"/>
          <w:szCs w:val="24"/>
        </w:rPr>
        <w:t>Key Stakeholders and Interest Groups</w:t>
      </w:r>
    </w:p>
    <w:p w14:paraId="453BF161" w14:textId="18A9BB77"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 xml:space="preserve">The regeneration of Ammanford, a town transitioning from its coal mining past to a more diverse and sustainable future, requires a complex network of stakeholders and interest groups. Each plays an important part in determining the town's revitalization strategy and outcomes. Local governments, community groups, local businesses, people, development agencies, and non-profit organizations play critical roles in these </w:t>
      </w:r>
      <w:r w:rsidRPr="00F520AC">
        <w:rPr>
          <w:rFonts w:ascii="Times New Roman" w:hAnsi="Times New Roman" w:cs="Times New Roman"/>
          <w:sz w:val="24"/>
          <w:szCs w:val="24"/>
        </w:rPr>
        <w:t>endeavours</w:t>
      </w:r>
      <w:r w:rsidRPr="00F520AC">
        <w:rPr>
          <w:rFonts w:ascii="Times New Roman" w:hAnsi="Times New Roman" w:cs="Times New Roman"/>
          <w:sz w:val="24"/>
          <w:szCs w:val="24"/>
        </w:rPr>
        <w:t xml:space="preserve">. While these organizations have different functions and perspectives, they all have the goal of revitalizing Ammanford </w:t>
      </w:r>
      <w:r>
        <w:rPr>
          <w:rFonts w:ascii="Times New Roman" w:hAnsi="Times New Roman" w:cs="Times New Roman"/>
          <w:sz w:val="24"/>
          <w:szCs w:val="24"/>
        </w:rPr>
        <w:t>to</w:t>
      </w:r>
      <w:r w:rsidRPr="00F520AC">
        <w:rPr>
          <w:rFonts w:ascii="Times New Roman" w:hAnsi="Times New Roman" w:cs="Times New Roman"/>
          <w:sz w:val="24"/>
          <w:szCs w:val="24"/>
        </w:rPr>
        <w:t xml:space="preserve"> improve its economic viability and quality of life.</w:t>
      </w:r>
    </w:p>
    <w:p w14:paraId="725557D8" w14:textId="3A8E4AD5"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 xml:space="preserve">The Carmarthenshire County Council is </w:t>
      </w:r>
      <w:r>
        <w:rPr>
          <w:rFonts w:ascii="Times New Roman" w:hAnsi="Times New Roman" w:cs="Times New Roman"/>
          <w:sz w:val="24"/>
          <w:szCs w:val="24"/>
        </w:rPr>
        <w:t>at</w:t>
      </w:r>
      <w:r w:rsidRPr="00F520AC">
        <w:rPr>
          <w:rFonts w:ascii="Times New Roman" w:hAnsi="Times New Roman" w:cs="Times New Roman"/>
          <w:sz w:val="24"/>
          <w:szCs w:val="24"/>
        </w:rPr>
        <w:t xml:space="preserve"> the forefront of Ammanford's regeneration efforts, coordinating projects to boost economic growth, improve infrastructure, and improve public </w:t>
      </w:r>
      <w:r w:rsidRPr="00F520AC">
        <w:rPr>
          <w:rFonts w:ascii="Times New Roman" w:hAnsi="Times New Roman" w:cs="Times New Roman"/>
          <w:sz w:val="24"/>
          <w:szCs w:val="24"/>
        </w:rPr>
        <w:lastRenderedPageBreak/>
        <w:t>services. The council's strategic planning and investment decisions are critical, influencing the town's capacity to recruit new businesses, support local businesses, and foster a welcoming environment for both inhabitants and visitors. By harnessing local strengths and solving specific difficulties, the council hopes to establish the groundwork for long-term development.</w:t>
      </w:r>
    </w:p>
    <w:p w14:paraId="5C163F55" w14:textId="0A558F76"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Ammanford's community groups reflect the town's spirit and objectives. These groups, which are frequently made up of volunteers and local activists, advocate for a variety of causes, ranging from cultural heritage preservation to environmental sustainability. They play an important role in mobilizing local resources, encouraging community engagement, and ensuring that regeneration projects represent the needs and values of Ammanford people. Their grassroots activities supplement larger strategic initiatives, ensuring that the regeneration process is inclusive and community-driven (Community Development Journal, 2020).</w:t>
      </w:r>
    </w:p>
    <w:p w14:paraId="09712E82" w14:textId="6DD5CD44"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 xml:space="preserve">Ammanford's economic revival depends on local enterprises. From classic retail outlets in the town </w:t>
      </w:r>
      <w:r>
        <w:rPr>
          <w:rFonts w:ascii="Times New Roman" w:hAnsi="Times New Roman" w:cs="Times New Roman"/>
          <w:sz w:val="24"/>
          <w:szCs w:val="24"/>
        </w:rPr>
        <w:t>centre</w:t>
      </w:r>
      <w:r w:rsidRPr="00F520AC">
        <w:rPr>
          <w:rFonts w:ascii="Times New Roman" w:hAnsi="Times New Roman" w:cs="Times New Roman"/>
          <w:sz w:val="24"/>
          <w:szCs w:val="24"/>
        </w:rPr>
        <w:t xml:space="preserve"> to emerging startups in technology and renewable energy, these businesses create jobs, boost local commerce, and add to the town's economic variety. Their success is critical to developing a thriving local economy that can support population growth and attract investment. Furthermore, local firms frequently provide critical feedback on municipal policies and redevelopment projects, ensuring that these activities promote a vibrant business climate (The Welsh Government, 2020).</w:t>
      </w:r>
    </w:p>
    <w:p w14:paraId="6AA58A07" w14:textId="64CD8323"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Residents of Ammanford are potentially the most important stakeholders in the town's regeneration. Their standard of living, job possibilities, and communal well-being are the ultimate indicators of regeneration success. Engaging inhabitants in the planning process, understanding their wants and ambitions, and providing enhanced amenities and services are critical for establishing a town where people want to live, work, and visit.</w:t>
      </w:r>
    </w:p>
    <w:p w14:paraId="6A11CB9F" w14:textId="100A62F5" w:rsidR="00F520AC" w:rsidRDefault="00F520AC">
      <w:pPr>
        <w:rPr>
          <w:rFonts w:ascii="Times New Roman" w:hAnsi="Times New Roman" w:cs="Times New Roman"/>
          <w:sz w:val="24"/>
          <w:szCs w:val="24"/>
        </w:rPr>
      </w:pPr>
      <w:r w:rsidRPr="00F520AC">
        <w:rPr>
          <w:rFonts w:ascii="Times New Roman" w:hAnsi="Times New Roman" w:cs="Times New Roman"/>
          <w:sz w:val="24"/>
          <w:szCs w:val="24"/>
        </w:rPr>
        <w:t>Development agencies and non-profit groups dedicated to economic development contribute extra resources, skills, and viewpoints to Ammanford's revitalization initiatives. These agencies, which include the Welsh government and different charitable organizations, provide finance, technical help, and strategic advice. They serve to bridge the gap between local capacities and the lofty ambitions of regeneration initiatives, ensuring that Ammanford can harness regional and national support to achieve its goals (Welsh Government, Economic Development, 2020).</w:t>
      </w:r>
    </w:p>
    <w:p w14:paraId="16C6D152" w14:textId="0F4A3337" w:rsidR="0055502D" w:rsidRPr="00401719" w:rsidRDefault="00401719" w:rsidP="00401719">
      <w:pPr>
        <w:pStyle w:val="ListParagraph"/>
        <w:numPr>
          <w:ilvl w:val="0"/>
          <w:numId w:val="1"/>
        </w:numPr>
        <w:rPr>
          <w:rFonts w:ascii="Times New Roman" w:hAnsi="Times New Roman" w:cs="Times New Roman"/>
          <w:b/>
          <w:bCs/>
          <w:sz w:val="24"/>
          <w:szCs w:val="24"/>
        </w:rPr>
      </w:pPr>
      <w:r w:rsidRPr="00401719">
        <w:rPr>
          <w:rFonts w:ascii="Times New Roman" w:hAnsi="Times New Roman" w:cs="Times New Roman"/>
          <w:b/>
          <w:bCs/>
          <w:sz w:val="24"/>
          <w:szCs w:val="24"/>
        </w:rPr>
        <w:t>Local/Regional Development Strategies</w:t>
      </w:r>
    </w:p>
    <w:p w14:paraId="0295F77B" w14:textId="319B30F0" w:rsidR="0055502D" w:rsidRPr="0055502D" w:rsidRDefault="0055502D" w:rsidP="0055502D">
      <w:pPr>
        <w:rPr>
          <w:rFonts w:ascii="Times New Roman" w:hAnsi="Times New Roman" w:cs="Times New Roman"/>
          <w:sz w:val="24"/>
          <w:szCs w:val="24"/>
        </w:rPr>
      </w:pPr>
      <w:r w:rsidRPr="0055502D">
        <w:rPr>
          <w:rFonts w:ascii="Times New Roman" w:hAnsi="Times New Roman" w:cs="Times New Roman"/>
          <w:sz w:val="24"/>
          <w:szCs w:val="24"/>
        </w:rPr>
        <w:t xml:space="preserve">Ammanford's local and regional development policies have been developed </w:t>
      </w:r>
      <w:r w:rsidR="00401719">
        <w:rPr>
          <w:rFonts w:ascii="Times New Roman" w:hAnsi="Times New Roman" w:cs="Times New Roman"/>
          <w:sz w:val="24"/>
          <w:szCs w:val="24"/>
        </w:rPr>
        <w:t>to ensure</w:t>
      </w:r>
      <w:r w:rsidRPr="0055502D">
        <w:rPr>
          <w:rFonts w:ascii="Times New Roman" w:hAnsi="Times New Roman" w:cs="Times New Roman"/>
          <w:sz w:val="24"/>
          <w:szCs w:val="24"/>
        </w:rPr>
        <w:t xml:space="preserve"> long-term growth and diversification of the economy. These policies seek to capitalise on Ammanford's distinct strengths, which include proximity to the Brecon Beacons National Park, a strong cultural past, and the opportunity for technological innovation and renewable energy development. By focusing on these areas, the town hopes to attract a wider range of inhabitants and visitors while also creating new opportunities for local businesses (Carmarthenshire County Council, 2019).</w:t>
      </w:r>
    </w:p>
    <w:p w14:paraId="4633756E" w14:textId="2D166C9D" w:rsidR="0055502D" w:rsidRDefault="0055502D">
      <w:pPr>
        <w:rPr>
          <w:rFonts w:ascii="Times New Roman" w:hAnsi="Times New Roman" w:cs="Times New Roman"/>
          <w:sz w:val="24"/>
          <w:szCs w:val="24"/>
        </w:rPr>
      </w:pPr>
      <w:r w:rsidRPr="0055502D">
        <w:rPr>
          <w:rFonts w:ascii="Times New Roman" w:hAnsi="Times New Roman" w:cs="Times New Roman"/>
          <w:sz w:val="24"/>
          <w:szCs w:val="24"/>
        </w:rPr>
        <w:t xml:space="preserve">Tourism is a key component of Ammanford's growth strategy. Given its strategic location near the Brecon Beacons, the town is well-positioned to become a hub for outdoor and cultural tourism. Ammanford's tourist appeal has been enhanced by efforts to improve public </w:t>
      </w:r>
      <w:r w:rsidRPr="0055502D">
        <w:rPr>
          <w:rFonts w:ascii="Times New Roman" w:hAnsi="Times New Roman" w:cs="Times New Roman"/>
          <w:sz w:val="24"/>
          <w:szCs w:val="24"/>
        </w:rPr>
        <w:lastRenderedPageBreak/>
        <w:t>utilities, construct walking and cycling pathways, and promote local historical monuments. These efforts aim not only to enhance visitor numbers but also to lengthen their stay, consequently benefiting local companies and the hospitality industry (Visit Wales, 2021).</w:t>
      </w:r>
    </w:p>
    <w:p w14:paraId="3DC2A0F9" w14:textId="680B167E" w:rsidR="0055502D" w:rsidRDefault="0055502D">
      <w:pPr>
        <w:rPr>
          <w:rFonts w:ascii="Times New Roman" w:hAnsi="Times New Roman" w:cs="Times New Roman"/>
          <w:sz w:val="24"/>
          <w:szCs w:val="24"/>
        </w:rPr>
      </w:pPr>
      <w:r w:rsidRPr="0055502D">
        <w:rPr>
          <w:rFonts w:ascii="Times New Roman" w:hAnsi="Times New Roman" w:cs="Times New Roman"/>
          <w:sz w:val="24"/>
          <w:szCs w:val="24"/>
        </w:rPr>
        <w:t xml:space="preserve">In addition to tourism, there is a concentrated push to promote </w:t>
      </w:r>
      <w:r>
        <w:rPr>
          <w:rFonts w:ascii="Times New Roman" w:hAnsi="Times New Roman" w:cs="Times New Roman"/>
          <w:sz w:val="24"/>
          <w:szCs w:val="24"/>
        </w:rPr>
        <w:t>small-company</w:t>
      </w:r>
      <w:r w:rsidRPr="0055502D">
        <w:rPr>
          <w:rFonts w:ascii="Times New Roman" w:hAnsi="Times New Roman" w:cs="Times New Roman"/>
          <w:sz w:val="24"/>
          <w:szCs w:val="24"/>
        </w:rPr>
        <w:t xml:space="preserve"> development and entrepreneurship in the area. This policy recognizes the role of local companies in creating jobs and boosting economic resilience. Grants, mentoring programs, and business incubation services are being developed to foster innovation and help new companies overcome the hurdles of early-stage business growth (Welsh Government, 2020).</w:t>
      </w:r>
    </w:p>
    <w:p w14:paraId="48E3A4CF" w14:textId="424F7287" w:rsidR="0055502D" w:rsidRDefault="0055502D">
      <w:pPr>
        <w:rPr>
          <w:rFonts w:ascii="Times New Roman" w:hAnsi="Times New Roman" w:cs="Times New Roman"/>
          <w:sz w:val="24"/>
          <w:szCs w:val="24"/>
        </w:rPr>
      </w:pPr>
      <w:r w:rsidRPr="0055502D">
        <w:rPr>
          <w:rFonts w:ascii="Times New Roman" w:hAnsi="Times New Roman" w:cs="Times New Roman"/>
          <w:sz w:val="24"/>
          <w:szCs w:val="24"/>
        </w:rPr>
        <w:t>Another important area of attention is investment in renewable energy and technological sectors. These industries are viewed as significant drivers of future economic growth, and they are consistent with broader government goals on sustainability and the green economy. By attracting firms and initiatives in these sectors, Ammanford can diversify its economy, create high-value jobs, and establish itself as a leader in the transition to a more sustainable economic model.</w:t>
      </w:r>
    </w:p>
    <w:p w14:paraId="76CF7D26" w14:textId="780C7929" w:rsidR="0055502D" w:rsidRDefault="0055502D">
      <w:pPr>
        <w:rPr>
          <w:rFonts w:ascii="Times New Roman" w:hAnsi="Times New Roman" w:cs="Times New Roman"/>
          <w:sz w:val="24"/>
          <w:szCs w:val="24"/>
        </w:rPr>
      </w:pPr>
      <w:r w:rsidRPr="0055502D">
        <w:rPr>
          <w:rFonts w:ascii="Times New Roman" w:hAnsi="Times New Roman" w:cs="Times New Roman"/>
          <w:sz w:val="24"/>
          <w:szCs w:val="24"/>
        </w:rPr>
        <w:t xml:space="preserve">Furthermore, to recognize the importance of skill development, local and regional strategies make major investments in education and training programs. These activities are intended to guarantee that the local workforce has the skills necessary </w:t>
      </w:r>
      <w:r>
        <w:rPr>
          <w:rFonts w:ascii="Times New Roman" w:hAnsi="Times New Roman" w:cs="Times New Roman"/>
          <w:sz w:val="24"/>
          <w:szCs w:val="24"/>
        </w:rPr>
        <w:t>for</w:t>
      </w:r>
      <w:r w:rsidRPr="0055502D">
        <w:rPr>
          <w:rFonts w:ascii="Times New Roman" w:hAnsi="Times New Roman" w:cs="Times New Roman"/>
          <w:sz w:val="24"/>
          <w:szCs w:val="24"/>
        </w:rPr>
        <w:t xml:space="preserve"> developing industries, increasing </w:t>
      </w:r>
      <w:r w:rsidRPr="0055502D">
        <w:rPr>
          <w:rFonts w:ascii="Times New Roman" w:hAnsi="Times New Roman" w:cs="Times New Roman"/>
          <w:sz w:val="24"/>
          <w:szCs w:val="24"/>
        </w:rPr>
        <w:t>employability,</w:t>
      </w:r>
      <w:r w:rsidRPr="0055502D">
        <w:rPr>
          <w:rFonts w:ascii="Times New Roman" w:hAnsi="Times New Roman" w:cs="Times New Roman"/>
          <w:sz w:val="24"/>
          <w:szCs w:val="24"/>
        </w:rPr>
        <w:t xml:space="preserve"> and supporting the town's overall economic development goals (Welsh Government, 2020).</w:t>
      </w:r>
    </w:p>
    <w:p w14:paraId="34EA6F87" w14:textId="77777777" w:rsidR="00401719" w:rsidRDefault="00401719">
      <w:pPr>
        <w:rPr>
          <w:rFonts w:ascii="Times New Roman" w:hAnsi="Times New Roman" w:cs="Times New Roman"/>
          <w:sz w:val="24"/>
          <w:szCs w:val="24"/>
        </w:rPr>
      </w:pPr>
      <w:r>
        <w:rPr>
          <w:rFonts w:ascii="Times New Roman" w:hAnsi="Times New Roman" w:cs="Times New Roman"/>
          <w:sz w:val="24"/>
          <w:szCs w:val="24"/>
        </w:rPr>
        <w:t xml:space="preserve"> </w:t>
      </w:r>
    </w:p>
    <w:p w14:paraId="22AFC2D6" w14:textId="60B7BB8E" w:rsidR="0055502D" w:rsidRDefault="00401719">
      <w:pPr>
        <w:rPr>
          <w:rFonts w:ascii="Times New Roman" w:hAnsi="Times New Roman" w:cs="Times New Roman"/>
          <w:b/>
          <w:bCs/>
          <w:sz w:val="24"/>
          <w:szCs w:val="24"/>
        </w:rPr>
      </w:pPr>
      <w:r w:rsidRPr="00401719">
        <w:rPr>
          <w:rFonts w:ascii="Times New Roman" w:hAnsi="Times New Roman" w:cs="Times New Roman"/>
          <w:b/>
          <w:bCs/>
          <w:sz w:val="24"/>
          <w:szCs w:val="24"/>
        </w:rPr>
        <w:t xml:space="preserve">                                                                   </w:t>
      </w:r>
      <w:r w:rsidR="0055502D" w:rsidRPr="00401719">
        <w:rPr>
          <w:rFonts w:ascii="Times New Roman" w:hAnsi="Times New Roman" w:cs="Times New Roman"/>
          <w:b/>
          <w:bCs/>
          <w:sz w:val="24"/>
          <w:szCs w:val="24"/>
        </w:rPr>
        <w:t xml:space="preserve">Part B </w:t>
      </w:r>
    </w:p>
    <w:p w14:paraId="22DF2A15" w14:textId="77777777" w:rsidR="00401719" w:rsidRDefault="00401719">
      <w:pPr>
        <w:rPr>
          <w:rFonts w:ascii="Times New Roman" w:hAnsi="Times New Roman" w:cs="Times New Roman"/>
          <w:b/>
          <w:bCs/>
          <w:sz w:val="24"/>
          <w:szCs w:val="24"/>
        </w:rPr>
      </w:pPr>
    </w:p>
    <w:p w14:paraId="4370AA69" w14:textId="77777777" w:rsidR="00401719" w:rsidRPr="00401719" w:rsidRDefault="00401719">
      <w:pPr>
        <w:rPr>
          <w:rFonts w:ascii="Times New Roman" w:hAnsi="Times New Roman" w:cs="Times New Roman"/>
          <w:b/>
          <w:bCs/>
          <w:sz w:val="24"/>
          <w:szCs w:val="24"/>
        </w:rPr>
      </w:pPr>
    </w:p>
    <w:p w14:paraId="1968EB32" w14:textId="0C210F82" w:rsidR="0055502D" w:rsidRPr="00401719" w:rsidRDefault="0055502D" w:rsidP="00401719">
      <w:pPr>
        <w:pStyle w:val="ListParagraph"/>
        <w:numPr>
          <w:ilvl w:val="0"/>
          <w:numId w:val="2"/>
        </w:numPr>
        <w:rPr>
          <w:rFonts w:ascii="Times New Roman" w:hAnsi="Times New Roman" w:cs="Times New Roman"/>
          <w:b/>
          <w:bCs/>
          <w:sz w:val="24"/>
          <w:szCs w:val="24"/>
        </w:rPr>
      </w:pPr>
      <w:r w:rsidRPr="00401719">
        <w:rPr>
          <w:rFonts w:ascii="Times New Roman" w:hAnsi="Times New Roman" w:cs="Times New Roman"/>
          <w:b/>
          <w:bCs/>
          <w:sz w:val="24"/>
          <w:szCs w:val="24"/>
        </w:rPr>
        <w:t>Tourism and Recreation Development</w:t>
      </w:r>
    </w:p>
    <w:p w14:paraId="4084D66F" w14:textId="2239BD24" w:rsidR="00FF2727" w:rsidRDefault="00FF2727" w:rsidP="000A7D5B">
      <w:pPr>
        <w:rPr>
          <w:rFonts w:ascii="Times New Roman" w:hAnsi="Times New Roman" w:cs="Times New Roman"/>
          <w:sz w:val="24"/>
          <w:szCs w:val="24"/>
        </w:rPr>
      </w:pPr>
      <w:r w:rsidRPr="00FF2727">
        <w:rPr>
          <w:rFonts w:ascii="Times New Roman" w:hAnsi="Times New Roman" w:cs="Times New Roman"/>
          <w:sz w:val="24"/>
          <w:szCs w:val="24"/>
        </w:rPr>
        <w:t xml:space="preserve">Ammanford has great tourism and recreation development potential due to its strategic location near natural beauty and historical monuments. By exploiting these assets, the town may increase its attraction to both domestic and foreign tourists, boosting local economic growth and diversifying its economic base. A multifaceted strategy </w:t>
      </w:r>
      <w:r>
        <w:rPr>
          <w:rFonts w:ascii="Times New Roman" w:hAnsi="Times New Roman" w:cs="Times New Roman"/>
          <w:sz w:val="24"/>
          <w:szCs w:val="24"/>
        </w:rPr>
        <w:t>for</w:t>
      </w:r>
      <w:r w:rsidRPr="00FF2727">
        <w:rPr>
          <w:rFonts w:ascii="Times New Roman" w:hAnsi="Times New Roman" w:cs="Times New Roman"/>
          <w:sz w:val="24"/>
          <w:szCs w:val="24"/>
        </w:rPr>
        <w:t xml:space="preserve"> tourist development might involve the establishment of a heritage path, the development of outdoor adventure activities, and the improvement of local lodging and hospitality services</w:t>
      </w:r>
      <w:r w:rsidR="000A7D5B">
        <w:rPr>
          <w:rFonts w:ascii="Times New Roman" w:hAnsi="Times New Roman" w:cs="Times New Roman"/>
          <w:sz w:val="24"/>
          <w:szCs w:val="24"/>
        </w:rPr>
        <w:t xml:space="preserve"> </w:t>
      </w:r>
      <w:r w:rsidR="000A7D5B" w:rsidRPr="000A7D5B">
        <w:rPr>
          <w:rFonts w:ascii="Times New Roman" w:hAnsi="Times New Roman" w:cs="Times New Roman"/>
          <w:sz w:val="24"/>
          <w:szCs w:val="24"/>
        </w:rPr>
        <w:t>(Miller, Merrilees, &amp; Coghlan, 2014)</w:t>
      </w:r>
      <w:r w:rsidR="000A7D5B">
        <w:rPr>
          <w:rFonts w:ascii="Times New Roman" w:hAnsi="Times New Roman" w:cs="Times New Roman"/>
          <w:sz w:val="24"/>
          <w:szCs w:val="24"/>
        </w:rPr>
        <w:t>.</w:t>
      </w:r>
    </w:p>
    <w:p w14:paraId="5EAB915A" w14:textId="7FFBAAF5"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 xml:space="preserve">Creating a legacy trail that showcases Ammanford's rich mining history would provide tourists with a unique glimpse into the town's past, commemorating its cultural heritage while also giving an educational opportunity. This </w:t>
      </w:r>
      <w:r>
        <w:rPr>
          <w:rFonts w:ascii="Times New Roman" w:hAnsi="Times New Roman" w:cs="Times New Roman"/>
          <w:sz w:val="24"/>
          <w:szCs w:val="24"/>
        </w:rPr>
        <w:t>endeavour</w:t>
      </w:r>
      <w:r w:rsidRPr="00FF2727">
        <w:rPr>
          <w:rFonts w:ascii="Times New Roman" w:hAnsi="Times New Roman" w:cs="Times New Roman"/>
          <w:sz w:val="24"/>
          <w:szCs w:val="24"/>
        </w:rPr>
        <w:t xml:space="preserve"> may include the preservation and interpretation of historical sites, the installation of instructive signs, and the creation of guided tours. Such initiatives would not only conserve the town's history but would also allow local companies to provide cultural tourism services (Welsh Government, 2020).</w:t>
      </w:r>
    </w:p>
    <w:p w14:paraId="79F61431" w14:textId="59C121FB"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 xml:space="preserve">In addition to cultural tourism, the expansion of outdoor adventure activities in </w:t>
      </w:r>
      <w:r>
        <w:rPr>
          <w:rFonts w:ascii="Times New Roman" w:hAnsi="Times New Roman" w:cs="Times New Roman"/>
          <w:sz w:val="24"/>
          <w:szCs w:val="24"/>
        </w:rPr>
        <w:t>neighbouring</w:t>
      </w:r>
      <w:r w:rsidRPr="00FF2727">
        <w:rPr>
          <w:rFonts w:ascii="Times New Roman" w:hAnsi="Times New Roman" w:cs="Times New Roman"/>
          <w:sz w:val="24"/>
          <w:szCs w:val="24"/>
        </w:rPr>
        <w:t xml:space="preserve"> natural areas opens up new opportunities for tourism growth. The Brecon Beacons National Park and other surrounding natural environments provide numerous options for hiking, cycling, rock climbing, and water sports. By developing and promoting these activities, </w:t>
      </w:r>
      <w:r w:rsidRPr="00FF2727">
        <w:rPr>
          <w:rFonts w:ascii="Times New Roman" w:hAnsi="Times New Roman" w:cs="Times New Roman"/>
          <w:sz w:val="24"/>
          <w:szCs w:val="24"/>
        </w:rPr>
        <w:lastRenderedPageBreak/>
        <w:t>Ammanford can attract adventurers and nature lovers, broadening its tourist options. Partnerships with local adventure firms and conservation groups can help to guarantee that these activities are developed responsibly while also protecting the natural environment (Visit Wales, 2021).</w:t>
      </w:r>
    </w:p>
    <w:p w14:paraId="46AF39CC" w14:textId="2B8D87FE"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 xml:space="preserve">Improving local hotels and hospitality services is critical for supporting the expected growth in tourism. This could entail supporting the establishment of a variety of lodging options, including luxury hotels, eco-friendly guesthouses, and camping grounds. Training programs for local hospitality workers may </w:t>
      </w:r>
      <w:r>
        <w:rPr>
          <w:rFonts w:ascii="Times New Roman" w:hAnsi="Times New Roman" w:cs="Times New Roman"/>
          <w:sz w:val="24"/>
          <w:szCs w:val="24"/>
        </w:rPr>
        <w:t>ensure</w:t>
      </w:r>
      <w:r w:rsidRPr="00FF2727">
        <w:rPr>
          <w:rFonts w:ascii="Times New Roman" w:hAnsi="Times New Roman" w:cs="Times New Roman"/>
          <w:sz w:val="24"/>
          <w:szCs w:val="24"/>
        </w:rPr>
        <w:t xml:space="preserve"> good service standards, which improves the entire visitor experience. Furthermore, boosting local food and artisan items can enhance the tourism offer by giving Ammanford a distinct personality (Carmarthenshire County Council, 2019).</w:t>
      </w:r>
    </w:p>
    <w:p w14:paraId="7294D106" w14:textId="0E27D20C" w:rsidR="00FF2727" w:rsidRPr="00401719" w:rsidRDefault="00FF2727" w:rsidP="00401719">
      <w:pPr>
        <w:pStyle w:val="ListParagraph"/>
        <w:numPr>
          <w:ilvl w:val="0"/>
          <w:numId w:val="2"/>
        </w:numPr>
        <w:rPr>
          <w:rFonts w:ascii="Times New Roman" w:hAnsi="Times New Roman" w:cs="Times New Roman"/>
          <w:b/>
          <w:bCs/>
          <w:sz w:val="24"/>
          <w:szCs w:val="24"/>
        </w:rPr>
      </w:pPr>
      <w:r w:rsidRPr="00401719">
        <w:rPr>
          <w:rFonts w:ascii="Times New Roman" w:hAnsi="Times New Roman" w:cs="Times New Roman"/>
          <w:b/>
          <w:bCs/>
          <w:sz w:val="24"/>
          <w:szCs w:val="24"/>
        </w:rPr>
        <w:t>Community and Cultural Projects</w:t>
      </w:r>
    </w:p>
    <w:p w14:paraId="631F5973" w14:textId="2CABA72D"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 xml:space="preserve">Investing in community and cultural projects is an important method for improving the quality of life in Ammanford, building a strong sense of community, and encouraging social cohesion. Such investments have the potential to transform the town into a lively hub for cultural exchange and social engagement, directly benefiting both citizens' well-being and the area's economic vitality. Initiatives can include the creation of community </w:t>
      </w:r>
      <w:r>
        <w:rPr>
          <w:rFonts w:ascii="Times New Roman" w:hAnsi="Times New Roman" w:cs="Times New Roman"/>
          <w:sz w:val="24"/>
          <w:szCs w:val="24"/>
        </w:rPr>
        <w:t>centres</w:t>
      </w:r>
      <w:r w:rsidRPr="00FF2727">
        <w:rPr>
          <w:rFonts w:ascii="Times New Roman" w:hAnsi="Times New Roman" w:cs="Times New Roman"/>
          <w:sz w:val="24"/>
          <w:szCs w:val="24"/>
        </w:rPr>
        <w:t>, local markets, and artistic facilities, all of which serve as platforms for commemorating local heritage, encouraging community engagement, and promoting economic growth.</w:t>
      </w:r>
    </w:p>
    <w:p w14:paraId="3BB189B4" w14:textId="314E6F0C"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 xml:space="preserve">Community </w:t>
      </w:r>
      <w:r>
        <w:rPr>
          <w:rFonts w:ascii="Times New Roman" w:hAnsi="Times New Roman" w:cs="Times New Roman"/>
          <w:sz w:val="24"/>
          <w:szCs w:val="24"/>
        </w:rPr>
        <w:t>centres</w:t>
      </w:r>
      <w:r w:rsidRPr="00FF2727">
        <w:rPr>
          <w:rFonts w:ascii="Times New Roman" w:hAnsi="Times New Roman" w:cs="Times New Roman"/>
          <w:sz w:val="24"/>
          <w:szCs w:val="24"/>
        </w:rPr>
        <w:t xml:space="preserve"> serve an important role in maintaining social cohesion by offering a venue for residents to engage in a variety of activities such as educational programs, health and wellness courses, and cultural events. These </w:t>
      </w:r>
      <w:r>
        <w:rPr>
          <w:rFonts w:ascii="Times New Roman" w:hAnsi="Times New Roman" w:cs="Times New Roman"/>
          <w:sz w:val="24"/>
          <w:szCs w:val="24"/>
        </w:rPr>
        <w:t>centres</w:t>
      </w:r>
      <w:r w:rsidRPr="00FF2727">
        <w:rPr>
          <w:rFonts w:ascii="Times New Roman" w:hAnsi="Times New Roman" w:cs="Times New Roman"/>
          <w:sz w:val="24"/>
          <w:szCs w:val="24"/>
        </w:rPr>
        <w:t xml:space="preserve"> can serve as a hub for community life, allowing inhabitants of all ages to connect and participate with one another. By embracing sustainable design principles, these facilities can also serve as a paradigm for ecologically responsible community development </w:t>
      </w:r>
      <w:r w:rsidR="000A7D5B" w:rsidRPr="000A7D5B">
        <w:rPr>
          <w:rFonts w:ascii="Times New Roman" w:hAnsi="Times New Roman" w:cs="Times New Roman"/>
          <w:sz w:val="24"/>
          <w:szCs w:val="24"/>
        </w:rPr>
        <w:t>(Saldarriaga Isaza &amp; Salas, 2023)</w:t>
      </w:r>
      <w:r w:rsidR="000A7D5B">
        <w:rPr>
          <w:rFonts w:ascii="Times New Roman" w:hAnsi="Times New Roman" w:cs="Times New Roman"/>
          <w:sz w:val="24"/>
          <w:szCs w:val="24"/>
        </w:rPr>
        <w:t>.</w:t>
      </w:r>
    </w:p>
    <w:p w14:paraId="39B80E83" w14:textId="68116263" w:rsidR="00FF2727" w:rsidRDefault="00FF2727">
      <w:pPr>
        <w:rPr>
          <w:rFonts w:ascii="Times New Roman" w:hAnsi="Times New Roman" w:cs="Times New Roman"/>
          <w:sz w:val="24"/>
          <w:szCs w:val="24"/>
        </w:rPr>
      </w:pPr>
      <w:r w:rsidRPr="00FF2727">
        <w:rPr>
          <w:rFonts w:ascii="Times New Roman" w:hAnsi="Times New Roman" w:cs="Times New Roman"/>
          <w:sz w:val="24"/>
          <w:szCs w:val="24"/>
        </w:rPr>
        <w:t>Local markets are an important component of community and cultural programs. They not only give a platform for local entrepreneurs and farmers to market their wares, but they also foster a culture of supporting local businesses. These markets can become a weekly event that residents look forward to, with a variety of fresh vegetables, homemade crafts, and local cuisine. This project not only benefits the local economy but also enhances the community's ties to its agricultural and artisanal heritage (Carmarthenshire County Council, 2020).</w:t>
      </w:r>
    </w:p>
    <w:p w14:paraId="325FF090" w14:textId="776A64B6" w:rsidR="00401719" w:rsidRDefault="00401719">
      <w:pPr>
        <w:rPr>
          <w:rFonts w:ascii="Times New Roman" w:hAnsi="Times New Roman" w:cs="Times New Roman"/>
          <w:sz w:val="24"/>
          <w:szCs w:val="24"/>
        </w:rPr>
      </w:pPr>
      <w:r w:rsidRPr="00401719">
        <w:rPr>
          <w:rFonts w:ascii="Times New Roman" w:hAnsi="Times New Roman" w:cs="Times New Roman"/>
          <w:sz w:val="24"/>
          <w:szCs w:val="24"/>
        </w:rPr>
        <w:t xml:space="preserve">Ammanford's cultural landscape is enriched by art institutions like galleries, </w:t>
      </w:r>
      <w:r w:rsidRPr="00401719">
        <w:rPr>
          <w:rFonts w:ascii="Times New Roman" w:hAnsi="Times New Roman" w:cs="Times New Roman"/>
          <w:sz w:val="24"/>
          <w:szCs w:val="24"/>
        </w:rPr>
        <w:t>theatres</w:t>
      </w:r>
      <w:r w:rsidRPr="00401719">
        <w:rPr>
          <w:rFonts w:ascii="Times New Roman" w:hAnsi="Times New Roman" w:cs="Times New Roman"/>
          <w:sz w:val="24"/>
          <w:szCs w:val="24"/>
        </w:rPr>
        <w:t xml:space="preserve">, and music venues. These venues promote creative expression and cultural interaction by allowing local artists and performers to present their work. Artistic events and exhibitions can draw visitors from beyond the </w:t>
      </w:r>
      <w:r>
        <w:rPr>
          <w:rFonts w:ascii="Times New Roman" w:hAnsi="Times New Roman" w:cs="Times New Roman"/>
          <w:sz w:val="24"/>
          <w:szCs w:val="24"/>
        </w:rPr>
        <w:t>neighbourhood</w:t>
      </w:r>
      <w:r w:rsidRPr="00401719">
        <w:rPr>
          <w:rFonts w:ascii="Times New Roman" w:hAnsi="Times New Roman" w:cs="Times New Roman"/>
          <w:sz w:val="24"/>
          <w:szCs w:val="24"/>
        </w:rPr>
        <w:t>, resulting in increased revenue for local businesses and artists. Furthermore, incorporating art into public spaces through murals, sculptures, and installations can enhance the town's appearance and represent its distinct personality (Jones &amp; Evans, 2018).</w:t>
      </w:r>
    </w:p>
    <w:p w14:paraId="7BCDCB8F" w14:textId="6BC662CC" w:rsidR="00401719" w:rsidRDefault="00401719">
      <w:pPr>
        <w:rPr>
          <w:rFonts w:ascii="Times New Roman" w:hAnsi="Times New Roman" w:cs="Times New Roman"/>
          <w:sz w:val="24"/>
          <w:szCs w:val="24"/>
        </w:rPr>
      </w:pPr>
      <w:r w:rsidRPr="00401719">
        <w:rPr>
          <w:rFonts w:ascii="Times New Roman" w:hAnsi="Times New Roman" w:cs="Times New Roman"/>
          <w:sz w:val="24"/>
          <w:szCs w:val="24"/>
        </w:rPr>
        <w:t xml:space="preserve">Collaboration among local governments, community organizations, and the commercial sector is critical to the effective execution of these projects. Grants, sponsorships, and crowdfunding are examples of financial options that might be explored to help build and sustain community and cultural programs. Ammanford can improve its citizens' quality of life and create a more vibrant and cohesive town by focusing on projects that highlight local </w:t>
      </w:r>
      <w:r w:rsidRPr="00401719">
        <w:rPr>
          <w:rFonts w:ascii="Times New Roman" w:hAnsi="Times New Roman" w:cs="Times New Roman"/>
          <w:sz w:val="24"/>
          <w:szCs w:val="24"/>
        </w:rPr>
        <w:lastRenderedPageBreak/>
        <w:t>heritage, promote social cohesion, and assist economic development (Smith &amp; Hughes, 2019; Welsh Government, 2021).</w:t>
      </w:r>
    </w:p>
    <w:p w14:paraId="5C9DB791" w14:textId="77777777" w:rsidR="00401719" w:rsidRDefault="00401719">
      <w:pPr>
        <w:rPr>
          <w:rFonts w:ascii="Times New Roman" w:hAnsi="Times New Roman" w:cs="Times New Roman"/>
          <w:sz w:val="24"/>
          <w:szCs w:val="24"/>
        </w:rPr>
      </w:pPr>
    </w:p>
    <w:p w14:paraId="4D2D035F" w14:textId="77777777" w:rsidR="00401719" w:rsidRDefault="00401719">
      <w:pPr>
        <w:rPr>
          <w:rFonts w:ascii="Times New Roman" w:hAnsi="Times New Roman" w:cs="Times New Roman"/>
          <w:sz w:val="24"/>
          <w:szCs w:val="24"/>
        </w:rPr>
      </w:pPr>
    </w:p>
    <w:p w14:paraId="082899DD" w14:textId="77777777" w:rsidR="00401719" w:rsidRDefault="00401719">
      <w:pPr>
        <w:rPr>
          <w:rFonts w:ascii="Times New Roman" w:hAnsi="Times New Roman" w:cs="Times New Roman"/>
          <w:sz w:val="24"/>
          <w:szCs w:val="24"/>
        </w:rPr>
      </w:pPr>
    </w:p>
    <w:p w14:paraId="51ACA15D" w14:textId="77777777" w:rsidR="00401719" w:rsidRDefault="00401719">
      <w:pPr>
        <w:rPr>
          <w:rFonts w:ascii="Times New Roman" w:hAnsi="Times New Roman" w:cs="Times New Roman"/>
          <w:sz w:val="24"/>
          <w:szCs w:val="24"/>
        </w:rPr>
      </w:pPr>
    </w:p>
    <w:p w14:paraId="1EBBA9B5" w14:textId="77777777" w:rsidR="00401719" w:rsidRDefault="00401719">
      <w:pPr>
        <w:rPr>
          <w:rFonts w:ascii="Times New Roman" w:hAnsi="Times New Roman" w:cs="Times New Roman"/>
          <w:sz w:val="24"/>
          <w:szCs w:val="24"/>
        </w:rPr>
      </w:pPr>
    </w:p>
    <w:p w14:paraId="272413C9" w14:textId="77777777" w:rsidR="00401719" w:rsidRDefault="00401719">
      <w:pPr>
        <w:rPr>
          <w:rFonts w:ascii="Times New Roman" w:hAnsi="Times New Roman" w:cs="Times New Roman"/>
          <w:sz w:val="24"/>
          <w:szCs w:val="24"/>
        </w:rPr>
      </w:pPr>
    </w:p>
    <w:p w14:paraId="6483B1A3" w14:textId="77777777" w:rsidR="00401719" w:rsidRDefault="00401719">
      <w:pPr>
        <w:rPr>
          <w:rFonts w:ascii="Times New Roman" w:hAnsi="Times New Roman" w:cs="Times New Roman"/>
          <w:sz w:val="24"/>
          <w:szCs w:val="24"/>
        </w:rPr>
      </w:pPr>
    </w:p>
    <w:p w14:paraId="353C42FD" w14:textId="77777777" w:rsidR="00401719" w:rsidRDefault="00401719">
      <w:pPr>
        <w:rPr>
          <w:rFonts w:ascii="Times New Roman" w:hAnsi="Times New Roman" w:cs="Times New Roman"/>
          <w:sz w:val="24"/>
          <w:szCs w:val="24"/>
        </w:rPr>
      </w:pPr>
    </w:p>
    <w:p w14:paraId="0DCF9254" w14:textId="77777777" w:rsidR="00401719" w:rsidRDefault="00401719">
      <w:pPr>
        <w:rPr>
          <w:rFonts w:ascii="Times New Roman" w:hAnsi="Times New Roman" w:cs="Times New Roman"/>
          <w:sz w:val="24"/>
          <w:szCs w:val="24"/>
        </w:rPr>
      </w:pPr>
    </w:p>
    <w:p w14:paraId="3A971674" w14:textId="77777777" w:rsidR="00401719" w:rsidRDefault="00401719">
      <w:pPr>
        <w:rPr>
          <w:rFonts w:ascii="Times New Roman" w:hAnsi="Times New Roman" w:cs="Times New Roman"/>
          <w:sz w:val="24"/>
          <w:szCs w:val="24"/>
        </w:rPr>
      </w:pPr>
    </w:p>
    <w:p w14:paraId="65ABFC6D" w14:textId="77777777" w:rsidR="00401719" w:rsidRDefault="00401719">
      <w:pPr>
        <w:rPr>
          <w:rFonts w:ascii="Times New Roman" w:hAnsi="Times New Roman" w:cs="Times New Roman"/>
          <w:sz w:val="24"/>
          <w:szCs w:val="24"/>
        </w:rPr>
      </w:pPr>
    </w:p>
    <w:p w14:paraId="1D10EEFB" w14:textId="77777777" w:rsidR="00401719" w:rsidRDefault="00401719">
      <w:pPr>
        <w:rPr>
          <w:rFonts w:ascii="Times New Roman" w:hAnsi="Times New Roman" w:cs="Times New Roman"/>
          <w:sz w:val="24"/>
          <w:szCs w:val="24"/>
        </w:rPr>
      </w:pPr>
    </w:p>
    <w:p w14:paraId="58BB4E27" w14:textId="77777777" w:rsidR="00401719" w:rsidRDefault="00401719">
      <w:pPr>
        <w:rPr>
          <w:rFonts w:ascii="Times New Roman" w:hAnsi="Times New Roman" w:cs="Times New Roman"/>
          <w:sz w:val="24"/>
          <w:szCs w:val="24"/>
        </w:rPr>
      </w:pPr>
    </w:p>
    <w:p w14:paraId="5C600C9B" w14:textId="77777777" w:rsidR="00401719" w:rsidRDefault="00401719">
      <w:pPr>
        <w:rPr>
          <w:rFonts w:ascii="Times New Roman" w:hAnsi="Times New Roman" w:cs="Times New Roman"/>
          <w:sz w:val="24"/>
          <w:szCs w:val="24"/>
        </w:rPr>
      </w:pPr>
    </w:p>
    <w:p w14:paraId="373FE9E8" w14:textId="77777777" w:rsidR="00401719" w:rsidRDefault="00401719">
      <w:pPr>
        <w:rPr>
          <w:rFonts w:ascii="Times New Roman" w:hAnsi="Times New Roman" w:cs="Times New Roman"/>
          <w:sz w:val="24"/>
          <w:szCs w:val="24"/>
        </w:rPr>
      </w:pPr>
    </w:p>
    <w:p w14:paraId="743E4B58" w14:textId="77777777" w:rsidR="00401719" w:rsidRDefault="00401719">
      <w:pPr>
        <w:rPr>
          <w:rFonts w:ascii="Times New Roman" w:hAnsi="Times New Roman" w:cs="Times New Roman"/>
          <w:sz w:val="24"/>
          <w:szCs w:val="24"/>
        </w:rPr>
      </w:pPr>
    </w:p>
    <w:p w14:paraId="0D130757" w14:textId="77777777" w:rsidR="00401719" w:rsidRDefault="00401719">
      <w:pPr>
        <w:rPr>
          <w:rFonts w:ascii="Times New Roman" w:hAnsi="Times New Roman" w:cs="Times New Roman"/>
          <w:sz w:val="24"/>
          <w:szCs w:val="24"/>
        </w:rPr>
      </w:pPr>
    </w:p>
    <w:p w14:paraId="4E7380B9" w14:textId="77777777" w:rsidR="00401719" w:rsidRDefault="00401719">
      <w:pPr>
        <w:rPr>
          <w:rFonts w:ascii="Times New Roman" w:hAnsi="Times New Roman" w:cs="Times New Roman"/>
          <w:sz w:val="24"/>
          <w:szCs w:val="24"/>
        </w:rPr>
      </w:pPr>
    </w:p>
    <w:p w14:paraId="5DC799C7" w14:textId="77777777" w:rsidR="00401719" w:rsidRDefault="00401719">
      <w:pPr>
        <w:rPr>
          <w:rFonts w:ascii="Times New Roman" w:hAnsi="Times New Roman" w:cs="Times New Roman"/>
          <w:sz w:val="24"/>
          <w:szCs w:val="24"/>
        </w:rPr>
      </w:pPr>
    </w:p>
    <w:p w14:paraId="77783C79" w14:textId="77777777" w:rsidR="00401719" w:rsidRDefault="00401719">
      <w:pPr>
        <w:rPr>
          <w:rFonts w:ascii="Times New Roman" w:hAnsi="Times New Roman" w:cs="Times New Roman"/>
          <w:sz w:val="24"/>
          <w:szCs w:val="24"/>
        </w:rPr>
      </w:pPr>
    </w:p>
    <w:p w14:paraId="6819241F" w14:textId="77777777" w:rsidR="00401719" w:rsidRDefault="00401719">
      <w:pPr>
        <w:rPr>
          <w:rFonts w:ascii="Times New Roman" w:hAnsi="Times New Roman" w:cs="Times New Roman"/>
          <w:sz w:val="24"/>
          <w:szCs w:val="24"/>
        </w:rPr>
      </w:pPr>
    </w:p>
    <w:p w14:paraId="3529097C" w14:textId="77777777" w:rsidR="00401719" w:rsidRDefault="00401719">
      <w:pPr>
        <w:rPr>
          <w:rFonts w:ascii="Times New Roman" w:hAnsi="Times New Roman" w:cs="Times New Roman"/>
          <w:sz w:val="24"/>
          <w:szCs w:val="24"/>
        </w:rPr>
      </w:pPr>
    </w:p>
    <w:p w14:paraId="5B94EDA2" w14:textId="77777777" w:rsidR="00401719" w:rsidRDefault="00401719">
      <w:pPr>
        <w:rPr>
          <w:rFonts w:ascii="Times New Roman" w:hAnsi="Times New Roman" w:cs="Times New Roman"/>
          <w:sz w:val="24"/>
          <w:szCs w:val="24"/>
        </w:rPr>
      </w:pPr>
    </w:p>
    <w:p w14:paraId="29DAB200" w14:textId="77777777" w:rsidR="00401719" w:rsidRDefault="00401719">
      <w:pPr>
        <w:rPr>
          <w:rFonts w:ascii="Times New Roman" w:hAnsi="Times New Roman" w:cs="Times New Roman"/>
          <w:sz w:val="24"/>
          <w:szCs w:val="24"/>
        </w:rPr>
      </w:pPr>
    </w:p>
    <w:p w14:paraId="29DF458C" w14:textId="77777777" w:rsidR="00401719" w:rsidRDefault="00401719">
      <w:pPr>
        <w:rPr>
          <w:rFonts w:ascii="Times New Roman" w:hAnsi="Times New Roman" w:cs="Times New Roman"/>
          <w:sz w:val="24"/>
          <w:szCs w:val="24"/>
        </w:rPr>
      </w:pPr>
    </w:p>
    <w:p w14:paraId="658AABBF" w14:textId="77777777" w:rsidR="002B65F1" w:rsidRDefault="002B65F1">
      <w:pPr>
        <w:rPr>
          <w:rFonts w:ascii="Times New Roman" w:hAnsi="Times New Roman" w:cs="Times New Roman"/>
          <w:b/>
          <w:bCs/>
          <w:sz w:val="24"/>
          <w:szCs w:val="24"/>
        </w:rPr>
      </w:pPr>
    </w:p>
    <w:p w14:paraId="51DF67DC" w14:textId="77777777" w:rsidR="002B65F1" w:rsidRDefault="002B65F1">
      <w:pPr>
        <w:rPr>
          <w:rFonts w:ascii="Times New Roman" w:hAnsi="Times New Roman" w:cs="Times New Roman"/>
          <w:b/>
          <w:bCs/>
          <w:sz w:val="24"/>
          <w:szCs w:val="24"/>
        </w:rPr>
      </w:pPr>
    </w:p>
    <w:p w14:paraId="5A084256" w14:textId="77777777" w:rsidR="002B65F1" w:rsidRDefault="002B65F1">
      <w:pPr>
        <w:rPr>
          <w:rFonts w:ascii="Times New Roman" w:hAnsi="Times New Roman" w:cs="Times New Roman"/>
          <w:b/>
          <w:bCs/>
          <w:sz w:val="24"/>
          <w:szCs w:val="24"/>
        </w:rPr>
      </w:pPr>
    </w:p>
    <w:p w14:paraId="4E00BA0B" w14:textId="77777777" w:rsidR="002B65F1" w:rsidRDefault="002B65F1">
      <w:pPr>
        <w:rPr>
          <w:rFonts w:ascii="Times New Roman" w:hAnsi="Times New Roman" w:cs="Times New Roman"/>
          <w:b/>
          <w:bCs/>
          <w:sz w:val="24"/>
          <w:szCs w:val="24"/>
        </w:rPr>
      </w:pPr>
    </w:p>
    <w:p w14:paraId="2B70097D" w14:textId="09E5BFEE" w:rsidR="00401719" w:rsidRDefault="00401719">
      <w:pPr>
        <w:rPr>
          <w:rFonts w:ascii="Times New Roman" w:hAnsi="Times New Roman" w:cs="Times New Roman"/>
          <w:b/>
          <w:bCs/>
          <w:sz w:val="24"/>
          <w:szCs w:val="24"/>
        </w:rPr>
      </w:pPr>
      <w:r w:rsidRPr="002B65F1">
        <w:rPr>
          <w:rFonts w:ascii="Times New Roman" w:hAnsi="Times New Roman" w:cs="Times New Roman"/>
          <w:b/>
          <w:bCs/>
          <w:sz w:val="24"/>
          <w:szCs w:val="24"/>
        </w:rPr>
        <w:lastRenderedPageBreak/>
        <w:t xml:space="preserve">References </w:t>
      </w:r>
    </w:p>
    <w:p w14:paraId="3AE4E86D" w14:textId="77777777" w:rsidR="002B65F1" w:rsidRPr="002B65F1" w:rsidRDefault="002B65F1">
      <w:pPr>
        <w:rPr>
          <w:rFonts w:ascii="Times New Roman" w:hAnsi="Times New Roman" w:cs="Times New Roman"/>
          <w:b/>
          <w:bCs/>
          <w:sz w:val="24"/>
          <w:szCs w:val="24"/>
        </w:rPr>
      </w:pPr>
    </w:p>
    <w:p w14:paraId="2E575251" w14:textId="11BEB282"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Cabras, I. &amp; Mount, M.P. (2017). How third places foster and shape community cohesion, economic development, and social capital: The case of pubs in rural Ireland. Journal of Rural Studies, 55, 71–82. </w:t>
      </w:r>
      <w:hyperlink r:id="rId5" w:history="1">
        <w:r w:rsidRPr="00671EB6">
          <w:rPr>
            <w:rStyle w:val="Hyperlink"/>
            <w:rFonts w:ascii="Times New Roman" w:hAnsi="Times New Roman" w:cs="Times New Roman"/>
            <w:sz w:val="24"/>
            <w:szCs w:val="24"/>
          </w:rPr>
          <w:t>https://doi.org/10.1016/j.jrurstud.2017.07.01</w:t>
        </w:r>
        <w:r w:rsidRPr="00671EB6">
          <w:rPr>
            <w:rStyle w:val="Hyperlink"/>
            <w:rFonts w:ascii="Times New Roman" w:hAnsi="Times New Roman" w:cs="Times New Roman"/>
            <w:sz w:val="24"/>
            <w:szCs w:val="24"/>
          </w:rPr>
          <w:t>3</w:t>
        </w:r>
      </w:hyperlink>
    </w:p>
    <w:p w14:paraId="00D3D945" w14:textId="67046303" w:rsidR="002B65F1" w:rsidRP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Carmarthenshire County Council. (2019). Carmarthenshire Tourism Strategy. Carmarthenshire County Council.</w:t>
      </w:r>
    </w:p>
    <w:p w14:paraId="52DCE54A" w14:textId="77777777" w:rsidR="002B65F1" w:rsidRP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Carmarthenshire County Council. (2020). Local Economic Development Plan. Carmarthenshire County Council.</w:t>
      </w:r>
    </w:p>
    <w:p w14:paraId="3D69789A" w14:textId="731D6BE5"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Fernández-Vázquez, E. (2022). Mine closures and local diversification: Job diversity for coal-mining areas in a post-coal economy. The Extractive Industries and Society, 12, 101086. </w:t>
      </w:r>
      <w:hyperlink r:id="rId6" w:history="1">
        <w:r w:rsidRPr="00671EB6">
          <w:rPr>
            <w:rStyle w:val="Hyperlink"/>
            <w:rFonts w:ascii="Times New Roman" w:hAnsi="Times New Roman" w:cs="Times New Roman"/>
            <w:sz w:val="24"/>
            <w:szCs w:val="24"/>
          </w:rPr>
          <w:t>https://doi.org/10.1016/j.exis.2022.101086</w:t>
        </w:r>
      </w:hyperlink>
    </w:p>
    <w:p w14:paraId="0DF98C5F" w14:textId="2468C96F"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Higham, J. &amp; Miller, G. (2017). Transforming societies and transforming tourism: sustainable tourism in times of change. Journal of Sustainable Tourism, 26(1), 1–8. </w:t>
      </w:r>
      <w:hyperlink r:id="rId7" w:history="1">
        <w:r w:rsidRPr="00671EB6">
          <w:rPr>
            <w:rStyle w:val="Hyperlink"/>
            <w:rFonts w:ascii="Times New Roman" w:hAnsi="Times New Roman" w:cs="Times New Roman"/>
            <w:sz w:val="24"/>
            <w:szCs w:val="24"/>
          </w:rPr>
          <w:t>https://doi.org/10.1080/09669582.2018.1407519</w:t>
        </w:r>
      </w:hyperlink>
    </w:p>
    <w:p w14:paraId="35CE4297" w14:textId="3B4E02F1"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McInroy, N. (2018). Wealth for all: Building new local economies. Local Economy: The Journal of the Local Economy Policy Unit, 33(6), 678–687. </w:t>
      </w:r>
      <w:hyperlink r:id="rId8" w:history="1">
        <w:r w:rsidRPr="00671EB6">
          <w:rPr>
            <w:rStyle w:val="Hyperlink"/>
            <w:rFonts w:ascii="Times New Roman" w:hAnsi="Times New Roman" w:cs="Times New Roman"/>
            <w:sz w:val="24"/>
            <w:szCs w:val="24"/>
          </w:rPr>
          <w:t>https://doi.org/10.1177/0269094218803084</w:t>
        </w:r>
      </w:hyperlink>
    </w:p>
    <w:p w14:paraId="2A9F0038" w14:textId="2B308A78"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Miller, D., Merrilees, B., &amp; Coghlan, A. (2014). Sustainable urban tourism: understanding and developing visitor pro-environmental behaviours. Journal of Sustainable Tourism, 23(1), 26–46. </w:t>
      </w:r>
      <w:hyperlink r:id="rId9" w:history="1">
        <w:r w:rsidRPr="00671EB6">
          <w:rPr>
            <w:rStyle w:val="Hyperlink"/>
            <w:rFonts w:ascii="Times New Roman" w:hAnsi="Times New Roman" w:cs="Times New Roman"/>
            <w:sz w:val="24"/>
            <w:szCs w:val="24"/>
          </w:rPr>
          <w:t>https://doi.org/10.1080/09669582.2014.912219</w:t>
        </w:r>
      </w:hyperlink>
    </w:p>
    <w:p w14:paraId="62BCD51F" w14:textId="28F6DF5D"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Saldarriaga Isaza, A. &amp; Salas, P.P. (2023). Community perception on the development of rural community-based tourism amid social tensions: A Colombian case. Community Development, 55(1), 123–137. </w:t>
      </w:r>
      <w:hyperlink r:id="rId10" w:history="1">
        <w:r w:rsidRPr="00671EB6">
          <w:rPr>
            <w:rStyle w:val="Hyperlink"/>
            <w:rFonts w:ascii="Times New Roman" w:hAnsi="Times New Roman" w:cs="Times New Roman"/>
            <w:sz w:val="24"/>
            <w:szCs w:val="24"/>
          </w:rPr>
          <w:t>https://doi.org/10.1080/15575330.2023.2204441</w:t>
        </w:r>
      </w:hyperlink>
    </w:p>
    <w:p w14:paraId="1329A8C8" w14:textId="50E7EBB0" w:rsid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 xml:space="preserve">Sustainable Brownfield Regeneration: Liveable Places from Problem Spaces. (2008). Management of Environmental Quality: An International Journal, 19(4). </w:t>
      </w:r>
      <w:hyperlink r:id="rId11" w:history="1">
        <w:r w:rsidRPr="00671EB6">
          <w:rPr>
            <w:rStyle w:val="Hyperlink"/>
            <w:rFonts w:ascii="Times New Roman" w:hAnsi="Times New Roman" w:cs="Times New Roman"/>
            <w:sz w:val="24"/>
            <w:szCs w:val="24"/>
          </w:rPr>
          <w:t>https://doi.org/10.1108/meq.2008.08319dae.003</w:t>
        </w:r>
      </w:hyperlink>
    </w:p>
    <w:p w14:paraId="26D9882E" w14:textId="66F2FEE6" w:rsidR="002B65F1" w:rsidRP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Visit Wales. (2021). Adventure and outdoors in Carmarthenshire. Visit Wales.</w:t>
      </w:r>
    </w:p>
    <w:p w14:paraId="6E9984B7" w14:textId="77777777" w:rsidR="002B65F1" w:rsidRPr="002B65F1"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Welsh Government. (2020). Sustainable Tourism in Wales: Strategy and Implementation. Welsh Government.</w:t>
      </w:r>
    </w:p>
    <w:p w14:paraId="13E4B36D" w14:textId="20627345" w:rsidR="000A7D5B" w:rsidRPr="00840B6B" w:rsidRDefault="002B65F1" w:rsidP="002B65F1">
      <w:pPr>
        <w:rPr>
          <w:rFonts w:ascii="Times New Roman" w:hAnsi="Times New Roman" w:cs="Times New Roman"/>
          <w:sz w:val="24"/>
          <w:szCs w:val="24"/>
        </w:rPr>
      </w:pPr>
      <w:r w:rsidRPr="002B65F1">
        <w:rPr>
          <w:rFonts w:ascii="Times New Roman" w:hAnsi="Times New Roman" w:cs="Times New Roman"/>
          <w:sz w:val="24"/>
          <w:szCs w:val="24"/>
        </w:rPr>
        <w:t>Welsh Government. (2021). Community Cohesion Strategy for Wales. Welsh Government.</w:t>
      </w:r>
    </w:p>
    <w:sectPr w:rsidR="000A7D5B" w:rsidRPr="00840B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82617"/>
    <w:multiLevelType w:val="hybridMultilevel"/>
    <w:tmpl w:val="BB24ED78"/>
    <w:lvl w:ilvl="0" w:tplc="5B984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D64FED"/>
    <w:multiLevelType w:val="hybridMultilevel"/>
    <w:tmpl w:val="7F067592"/>
    <w:lvl w:ilvl="0" w:tplc="1F5680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0702085">
    <w:abstractNumId w:val="0"/>
  </w:num>
  <w:num w:numId="2" w16cid:durableId="9685105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B6B"/>
    <w:rsid w:val="00041FD0"/>
    <w:rsid w:val="000A7D5B"/>
    <w:rsid w:val="002B65F1"/>
    <w:rsid w:val="003A2F4E"/>
    <w:rsid w:val="00401719"/>
    <w:rsid w:val="00426073"/>
    <w:rsid w:val="0055502D"/>
    <w:rsid w:val="00584635"/>
    <w:rsid w:val="0069474C"/>
    <w:rsid w:val="007A1C6A"/>
    <w:rsid w:val="00840B6B"/>
    <w:rsid w:val="009652AE"/>
    <w:rsid w:val="00B7496C"/>
    <w:rsid w:val="00DA5D03"/>
    <w:rsid w:val="00F520AC"/>
    <w:rsid w:val="00FE38F8"/>
    <w:rsid w:val="00FF2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D9240F"/>
  <w15:chartTrackingRefBased/>
  <w15:docId w15:val="{439D07DB-7460-402F-BC54-C41AB95D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B6B"/>
    <w:rPr>
      <w:rFonts w:eastAsiaTheme="majorEastAsia" w:cstheme="majorBidi"/>
      <w:color w:val="272727" w:themeColor="text1" w:themeTint="D8"/>
    </w:rPr>
  </w:style>
  <w:style w:type="paragraph" w:styleId="Title">
    <w:name w:val="Title"/>
    <w:basedOn w:val="Normal"/>
    <w:next w:val="Normal"/>
    <w:link w:val="TitleChar"/>
    <w:uiPriority w:val="10"/>
    <w:qFormat/>
    <w:rsid w:val="00840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B6B"/>
    <w:pPr>
      <w:spacing w:before="160"/>
      <w:jc w:val="center"/>
    </w:pPr>
    <w:rPr>
      <w:i/>
      <w:iCs/>
      <w:color w:val="404040" w:themeColor="text1" w:themeTint="BF"/>
    </w:rPr>
  </w:style>
  <w:style w:type="character" w:customStyle="1" w:styleId="QuoteChar">
    <w:name w:val="Quote Char"/>
    <w:basedOn w:val="DefaultParagraphFont"/>
    <w:link w:val="Quote"/>
    <w:uiPriority w:val="29"/>
    <w:rsid w:val="00840B6B"/>
    <w:rPr>
      <w:i/>
      <w:iCs/>
      <w:color w:val="404040" w:themeColor="text1" w:themeTint="BF"/>
    </w:rPr>
  </w:style>
  <w:style w:type="paragraph" w:styleId="ListParagraph">
    <w:name w:val="List Paragraph"/>
    <w:basedOn w:val="Normal"/>
    <w:uiPriority w:val="34"/>
    <w:qFormat/>
    <w:rsid w:val="00840B6B"/>
    <w:pPr>
      <w:ind w:left="720"/>
      <w:contextualSpacing/>
    </w:pPr>
  </w:style>
  <w:style w:type="character" w:styleId="IntenseEmphasis">
    <w:name w:val="Intense Emphasis"/>
    <w:basedOn w:val="DefaultParagraphFont"/>
    <w:uiPriority w:val="21"/>
    <w:qFormat/>
    <w:rsid w:val="00840B6B"/>
    <w:rPr>
      <w:i/>
      <w:iCs/>
      <w:color w:val="0F4761" w:themeColor="accent1" w:themeShade="BF"/>
    </w:rPr>
  </w:style>
  <w:style w:type="paragraph" w:styleId="IntenseQuote">
    <w:name w:val="Intense Quote"/>
    <w:basedOn w:val="Normal"/>
    <w:next w:val="Normal"/>
    <w:link w:val="IntenseQuoteChar"/>
    <w:uiPriority w:val="30"/>
    <w:qFormat/>
    <w:rsid w:val="00840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B6B"/>
    <w:rPr>
      <w:i/>
      <w:iCs/>
      <w:color w:val="0F4761" w:themeColor="accent1" w:themeShade="BF"/>
    </w:rPr>
  </w:style>
  <w:style w:type="character" w:styleId="IntenseReference">
    <w:name w:val="Intense Reference"/>
    <w:basedOn w:val="DefaultParagraphFont"/>
    <w:uiPriority w:val="32"/>
    <w:qFormat/>
    <w:rsid w:val="00840B6B"/>
    <w:rPr>
      <w:b/>
      <w:bCs/>
      <w:smallCaps/>
      <w:color w:val="0F4761" w:themeColor="accent1" w:themeShade="BF"/>
      <w:spacing w:val="5"/>
    </w:rPr>
  </w:style>
  <w:style w:type="character" w:styleId="Hyperlink">
    <w:name w:val="Hyperlink"/>
    <w:basedOn w:val="DefaultParagraphFont"/>
    <w:uiPriority w:val="99"/>
    <w:unhideWhenUsed/>
    <w:rsid w:val="0069474C"/>
    <w:rPr>
      <w:color w:val="467886" w:themeColor="hyperlink"/>
      <w:u w:val="single"/>
    </w:rPr>
  </w:style>
  <w:style w:type="character" w:styleId="UnresolvedMention">
    <w:name w:val="Unresolved Mention"/>
    <w:basedOn w:val="DefaultParagraphFont"/>
    <w:uiPriority w:val="99"/>
    <w:semiHidden/>
    <w:unhideWhenUsed/>
    <w:rsid w:val="00694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09421880308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09669582.2018.140751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exis.2022.101086" TargetMode="External"/><Relationship Id="rId11" Type="http://schemas.openxmlformats.org/officeDocument/2006/relationships/hyperlink" Target="https://doi.org/10.1108/meq.2008.08319dae.003" TargetMode="External"/><Relationship Id="rId5" Type="http://schemas.openxmlformats.org/officeDocument/2006/relationships/hyperlink" Target="https://doi.org/10.1016/j.jrurstud.2017.07.013" TargetMode="External"/><Relationship Id="rId10" Type="http://schemas.openxmlformats.org/officeDocument/2006/relationships/hyperlink" Target="https://doi.org/10.1080/15575330.2023.2204441" TargetMode="External"/><Relationship Id="rId4" Type="http://schemas.openxmlformats.org/officeDocument/2006/relationships/webSettings" Target="webSettings.xml"/><Relationship Id="rId9" Type="http://schemas.openxmlformats.org/officeDocument/2006/relationships/hyperlink" Target="https://doi.org/10.1080/09669582.2014.912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2626</Words>
  <Characters>16557</Characters>
  <Application>Microsoft Office Word</Application>
  <DocSecurity>0</DocSecurity>
  <Lines>300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2024-02-22T03:28:00Z</dcterms:created>
  <dcterms:modified xsi:type="dcterms:W3CDTF">2024-02-22T03:28:00Z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50e81833-de78-4600-b04d-d1105f483ef8</vt:lpwstr>
  </property>
</Properties>
</file>