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0257DE" w14:textId="42461029" w:rsidR="00D93C7E" w:rsidRDefault="00D93C7E"/>
    <w:p w14:paraId="2B16E52D" w14:textId="77777777" w:rsidR="00D93C7E" w:rsidRPr="00D93C7E" w:rsidRDefault="00D93C7E" w:rsidP="00D93C7E">
      <w:pPr>
        <w:spacing w:after="0" w:line="240" w:lineRule="auto"/>
        <w:jc w:val="center"/>
        <w:rPr>
          <w:rFonts w:ascii="Times New Roman" w:eastAsia="MS Minngs" w:hAnsi="Times New Roman" w:cs="Times New Roman"/>
          <w:b/>
          <w:bCs/>
          <w:sz w:val="28"/>
          <w:szCs w:val="28"/>
          <w:lang w:eastAsia="en-GB"/>
        </w:rPr>
      </w:pPr>
      <w:r w:rsidRPr="00D93C7E">
        <w:rPr>
          <w:rFonts w:ascii="Times New Roman" w:eastAsia="MS Minngs" w:hAnsi="Times New Roman" w:cs="Times New Roman"/>
          <w:b/>
          <w:bCs/>
          <w:sz w:val="28"/>
          <w:szCs w:val="28"/>
          <w:lang w:eastAsia="en-GB"/>
        </w:rPr>
        <w:t>School of Sport, Health &amp; Outdoor Education</w:t>
      </w:r>
    </w:p>
    <w:p w14:paraId="2862B4F5" w14:textId="77777777" w:rsidR="00D93C7E" w:rsidRPr="00D93C7E" w:rsidRDefault="00D93C7E" w:rsidP="00D93C7E">
      <w:pPr>
        <w:spacing w:after="0" w:line="276" w:lineRule="auto"/>
        <w:rPr>
          <w:rFonts w:ascii="Calibri" w:eastAsia="Calibri" w:hAnsi="Calibri" w:cs="Times New Roman"/>
          <w:b/>
          <w:bCs/>
          <w:sz w:val="16"/>
          <w:szCs w:val="16"/>
        </w:rPr>
      </w:pPr>
    </w:p>
    <w:p w14:paraId="6DC4EB06" w14:textId="77777777" w:rsidR="00D93C7E" w:rsidRPr="00D93C7E" w:rsidRDefault="00D93C7E" w:rsidP="00D93C7E">
      <w:pPr>
        <w:spacing w:after="0" w:line="240" w:lineRule="auto"/>
        <w:jc w:val="center"/>
        <w:rPr>
          <w:rFonts w:ascii="Times New Roman" w:eastAsia="MS Minngs" w:hAnsi="Times New Roman" w:cs="Times New Roman"/>
          <w:sz w:val="32"/>
          <w:szCs w:val="32"/>
          <w:u w:val="single"/>
          <w:lang w:eastAsia="en-GB"/>
        </w:rPr>
      </w:pPr>
      <w:r w:rsidRPr="00D93C7E">
        <w:rPr>
          <w:rFonts w:ascii="Times New Roman" w:eastAsia="MS Minngs" w:hAnsi="Times New Roman" w:cs="Times New Roman"/>
          <w:sz w:val="32"/>
          <w:szCs w:val="32"/>
          <w:u w:val="single"/>
          <w:lang w:eastAsia="en-GB"/>
        </w:rPr>
        <w:t>Assessment Feedback Sheet</w:t>
      </w:r>
    </w:p>
    <w:p w14:paraId="36794515"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p w14:paraId="655C12DD" w14:textId="2B0BBD00" w:rsidR="00D93C7E" w:rsidRPr="00D93C7E" w:rsidRDefault="00D93C7E" w:rsidP="00D93C7E">
      <w:pPr>
        <w:spacing w:after="0" w:line="240" w:lineRule="auto"/>
        <w:rPr>
          <w:rFonts w:ascii="Times New Roman" w:eastAsia="MS Minngs" w:hAnsi="Times New Roman" w:cs="Times New Roman"/>
          <w:b/>
          <w:bCs/>
          <w:sz w:val="32"/>
          <w:szCs w:val="32"/>
          <w:lang w:eastAsia="en-GB"/>
        </w:rPr>
      </w:pPr>
      <w:r w:rsidRPr="00D93C7E">
        <w:rPr>
          <w:rFonts w:ascii="Times New Roman" w:eastAsia="MS Minngs" w:hAnsi="Times New Roman" w:cs="Times New Roman"/>
          <w:b/>
          <w:bCs/>
          <w:sz w:val="24"/>
          <w:szCs w:val="24"/>
          <w:lang w:eastAsia="en-GB"/>
        </w:rPr>
        <w:t>Student No./Name:</w:t>
      </w:r>
      <w:r w:rsidRPr="00D93C7E">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JILLIAN DAVIES (1906031)</w:t>
      </w:r>
    </w:p>
    <w:p w14:paraId="184C9921" w14:textId="77777777" w:rsidR="00D93C7E" w:rsidRPr="00D93C7E" w:rsidRDefault="00D93C7E" w:rsidP="00D93C7E">
      <w:pPr>
        <w:spacing w:after="0" w:line="240" w:lineRule="auto"/>
        <w:rPr>
          <w:rFonts w:ascii="Times New Roman" w:eastAsia="MS Minngs" w:hAnsi="Times New Roman" w:cs="Times New Roman"/>
          <w:b/>
          <w:bCs/>
          <w:sz w:val="32"/>
          <w:szCs w:val="32"/>
          <w:lang w:eastAsia="en-GB"/>
        </w:rPr>
      </w:pPr>
      <w:r w:rsidRPr="00D93C7E">
        <w:rPr>
          <w:rFonts w:ascii="Times New Roman" w:eastAsia="MS Minngs" w:hAnsi="Times New Roman" w:cs="Times New Roman"/>
          <w:b/>
          <w:bCs/>
          <w:sz w:val="24"/>
          <w:szCs w:val="24"/>
          <w:lang w:eastAsia="en-GB"/>
        </w:rPr>
        <w:t xml:space="preserve">                               </w:t>
      </w:r>
    </w:p>
    <w:p w14:paraId="4D9B4F98"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r w:rsidRPr="00D93C7E">
        <w:rPr>
          <w:rFonts w:ascii="Times New Roman" w:eastAsia="MS Minngs" w:hAnsi="Times New Roman" w:cs="Times New Roman"/>
          <w:b/>
          <w:bCs/>
          <w:sz w:val="24"/>
          <w:szCs w:val="24"/>
          <w:lang w:eastAsia="en-GB"/>
        </w:rPr>
        <w:t>Module Code:</w:t>
      </w:r>
      <w:r w:rsidRPr="00D93C7E">
        <w:rPr>
          <w:rFonts w:ascii="Times New Roman" w:eastAsia="MS Minngs" w:hAnsi="Times New Roman" w:cs="Times New Roman"/>
          <w:bCs/>
          <w:sz w:val="24"/>
          <w:szCs w:val="24"/>
          <w:lang w:eastAsia="en-GB"/>
        </w:rPr>
        <w:t xml:space="preserve"> SHSS4068</w:t>
      </w:r>
      <w:r w:rsidRPr="00D93C7E">
        <w:rPr>
          <w:rFonts w:ascii="Times New Roman" w:eastAsia="MS Minngs" w:hAnsi="Times New Roman" w:cs="Times New Roman"/>
          <w:b/>
          <w:bCs/>
          <w:sz w:val="24"/>
          <w:szCs w:val="24"/>
          <w:lang w:eastAsia="en-GB"/>
        </w:rPr>
        <w:tab/>
      </w:r>
      <w:r w:rsidRPr="00D93C7E">
        <w:rPr>
          <w:rFonts w:ascii="Times New Roman" w:eastAsia="MS Minngs" w:hAnsi="Times New Roman" w:cs="Times New Roman"/>
          <w:b/>
          <w:bCs/>
          <w:sz w:val="24"/>
          <w:szCs w:val="24"/>
          <w:lang w:eastAsia="en-GB"/>
        </w:rPr>
        <w:tab/>
      </w:r>
      <w:r w:rsidRPr="00D93C7E">
        <w:rPr>
          <w:rFonts w:ascii="Times New Roman" w:eastAsia="MS Minngs" w:hAnsi="Times New Roman" w:cs="Times New Roman"/>
          <w:b/>
          <w:bCs/>
          <w:sz w:val="24"/>
          <w:szCs w:val="24"/>
          <w:lang w:eastAsia="en-GB"/>
        </w:rPr>
        <w:tab/>
      </w:r>
    </w:p>
    <w:p w14:paraId="5A49546E" w14:textId="77777777" w:rsidR="00D93C7E" w:rsidRPr="00D93C7E" w:rsidRDefault="00D93C7E" w:rsidP="00D93C7E">
      <w:pPr>
        <w:spacing w:after="0" w:line="240" w:lineRule="auto"/>
        <w:rPr>
          <w:rFonts w:ascii="Times New Roman" w:eastAsia="MS Minngs" w:hAnsi="Times New Roman" w:cs="Times New Roman"/>
          <w:bCs/>
          <w:sz w:val="24"/>
          <w:szCs w:val="24"/>
          <w:lang w:eastAsia="en-GB"/>
        </w:rPr>
      </w:pPr>
      <w:r w:rsidRPr="00D93C7E">
        <w:rPr>
          <w:rFonts w:ascii="Times New Roman" w:eastAsia="MS Minngs" w:hAnsi="Times New Roman" w:cs="Times New Roman"/>
          <w:b/>
          <w:bCs/>
          <w:sz w:val="24"/>
          <w:szCs w:val="24"/>
          <w:lang w:eastAsia="en-GB"/>
        </w:rPr>
        <w:t xml:space="preserve">Module: </w:t>
      </w:r>
      <w:r w:rsidRPr="00D93C7E">
        <w:rPr>
          <w:rFonts w:ascii="Times New Roman" w:eastAsia="MS Minngs" w:hAnsi="Times New Roman" w:cs="Times New Roman"/>
          <w:b/>
          <w:bCs/>
          <w:sz w:val="24"/>
          <w:szCs w:val="24"/>
          <w:lang w:eastAsia="en-GB"/>
        </w:rPr>
        <w:tab/>
      </w:r>
      <w:r w:rsidRPr="00D93C7E">
        <w:rPr>
          <w:rFonts w:ascii="Times New Roman" w:eastAsia="MS Minngs" w:hAnsi="Times New Roman" w:cs="Times New Roman"/>
          <w:bCs/>
          <w:sz w:val="24"/>
          <w:szCs w:val="24"/>
          <w:lang w:eastAsia="en-GB"/>
        </w:rPr>
        <w:t>The Science of Nutrition</w:t>
      </w:r>
    </w:p>
    <w:p w14:paraId="4A38F479"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p w14:paraId="0607B11C" w14:textId="77777777" w:rsidR="00D93C7E" w:rsidRPr="00D93C7E" w:rsidRDefault="00D93C7E" w:rsidP="00D93C7E">
      <w:pPr>
        <w:spacing w:after="0" w:line="240" w:lineRule="auto"/>
        <w:rPr>
          <w:rFonts w:ascii="Times New Roman" w:eastAsia="MS Minngs" w:hAnsi="Times New Roman" w:cs="Times New Roman"/>
          <w:b/>
          <w:bCs/>
          <w:sz w:val="16"/>
          <w:szCs w:val="16"/>
          <w:u w:val="single"/>
          <w:lang w:eastAsia="en-GB"/>
        </w:rPr>
      </w:pPr>
    </w:p>
    <w:tbl>
      <w:tblPr>
        <w:tblW w:w="11129"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904"/>
      </w:tblGrid>
      <w:tr w:rsidR="00D93C7E" w:rsidRPr="00D93C7E" w14:paraId="69882CC9" w14:textId="77777777" w:rsidTr="00D93C7E">
        <w:trPr>
          <w:cantSplit/>
        </w:trPr>
        <w:tc>
          <w:tcPr>
            <w:tcW w:w="11129" w:type="dxa"/>
            <w:gridSpan w:val="13"/>
            <w:tcBorders>
              <w:top w:val="thinThickLargeGap" w:sz="24" w:space="0" w:color="auto"/>
              <w:left w:val="thinThickLargeGap" w:sz="24" w:space="0" w:color="auto"/>
              <w:bottom w:val="single" w:sz="4" w:space="0" w:color="auto"/>
              <w:right w:val="thinThickLargeGap" w:sz="24" w:space="0" w:color="auto"/>
            </w:tcBorders>
          </w:tcPr>
          <w:p w14:paraId="702228E8" w14:textId="77777777" w:rsidR="00D93C7E" w:rsidRPr="00D93C7E" w:rsidRDefault="00D93C7E" w:rsidP="00D93C7E">
            <w:pPr>
              <w:spacing w:after="0" w:line="240" w:lineRule="auto"/>
              <w:jc w:val="center"/>
              <w:rPr>
                <w:rFonts w:ascii="Times New Roman" w:eastAsia="MS Minngs" w:hAnsi="Times New Roman" w:cs="Times New Roman"/>
                <w:b/>
                <w:bCs/>
                <w:sz w:val="24"/>
                <w:szCs w:val="24"/>
                <w:lang w:eastAsia="en-GB"/>
              </w:rPr>
            </w:pPr>
            <w:r w:rsidRPr="00D93C7E">
              <w:rPr>
                <w:rFonts w:ascii="Times New Roman" w:eastAsia="MS Minngs" w:hAnsi="Times New Roman" w:cs="Times New Roman"/>
                <w:b/>
                <w:sz w:val="18"/>
                <w:szCs w:val="18"/>
                <w:lang w:eastAsia="en-GB"/>
              </w:rPr>
              <w:t>Personal Evaluation</w:t>
            </w:r>
            <w:r w:rsidRPr="00D93C7E">
              <w:rPr>
                <w:rFonts w:ascii="Times New Roman" w:eastAsia="MS Minngs" w:hAnsi="Times New Roman" w:cs="Times New Roman"/>
                <w:bCs/>
                <w:sz w:val="18"/>
                <w:szCs w:val="18"/>
                <w:lang w:eastAsia="en-GB"/>
              </w:rPr>
              <w:t xml:space="preserve"> – to support your academic progress please complete the section below </w:t>
            </w:r>
            <w:r w:rsidRPr="00D93C7E">
              <w:rPr>
                <w:rFonts w:ascii="Times New Roman" w:eastAsia="MS Minngs" w:hAnsi="Times New Roman" w:cs="Times New Roman"/>
                <w:b/>
                <w:bCs/>
                <w:sz w:val="18"/>
                <w:szCs w:val="18"/>
                <w:u w:val="single"/>
                <w:lang w:eastAsia="en-GB"/>
              </w:rPr>
              <w:t>BEFORE</w:t>
            </w:r>
            <w:r w:rsidRPr="00D93C7E">
              <w:rPr>
                <w:rFonts w:ascii="Times New Roman" w:eastAsia="MS Minngs" w:hAnsi="Times New Roman" w:cs="Times New Roman"/>
                <w:bCs/>
                <w:sz w:val="18"/>
                <w:szCs w:val="18"/>
                <w:lang w:eastAsia="en-GB"/>
              </w:rPr>
              <w:t xml:space="preserve"> submitting your work.</w:t>
            </w:r>
          </w:p>
        </w:tc>
      </w:tr>
      <w:tr w:rsidR="00D93C7E" w:rsidRPr="00D93C7E" w14:paraId="48B31440" w14:textId="77777777" w:rsidTr="00D93C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2B196D" w14:textId="77777777" w:rsidR="00D93C7E" w:rsidRPr="00D93C7E" w:rsidRDefault="00D93C7E" w:rsidP="00D93C7E">
            <w:pPr>
              <w:spacing w:after="0" w:line="276" w:lineRule="auto"/>
              <w:ind w:left="113" w:right="113"/>
              <w:rPr>
                <w:rFonts w:ascii="Times New Roman" w:eastAsia="Calibri" w:hAnsi="Times New Roman" w:cs="Times New Roman"/>
                <w:sz w:val="16"/>
                <w:szCs w:val="16"/>
              </w:rPr>
            </w:pPr>
            <w:r w:rsidRPr="00D93C7E">
              <w:rPr>
                <w:rFonts w:ascii="Times New Roman" w:eastAsia="Calibri" w:hAnsi="Times New Roman" w:cs="Times New Roman"/>
                <w:bCs/>
                <w:sz w:val="18"/>
                <w:szCs w:val="18"/>
              </w:rPr>
              <w:t>What do you consider to be the best aspects of this work?</w:t>
            </w:r>
          </w:p>
        </w:tc>
        <w:tc>
          <w:tcPr>
            <w:tcW w:w="8284" w:type="dxa"/>
            <w:gridSpan w:val="10"/>
            <w:tcBorders>
              <w:top w:val="single" w:sz="4" w:space="0" w:color="auto"/>
              <w:left w:val="single" w:sz="4" w:space="0" w:color="auto"/>
              <w:bottom w:val="single" w:sz="4" w:space="0" w:color="auto"/>
              <w:right w:val="thinThickLargeGap" w:sz="24" w:space="0" w:color="auto"/>
            </w:tcBorders>
          </w:tcPr>
          <w:p w14:paraId="187B2E7C" w14:textId="7615C449" w:rsidR="00D93C7E" w:rsidRPr="00D93C7E" w:rsidRDefault="00D93C7E" w:rsidP="00D93C7E">
            <w:pPr>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I think researching was interesting.</w:t>
            </w:r>
          </w:p>
        </w:tc>
      </w:tr>
      <w:tr w:rsidR="00D93C7E" w:rsidRPr="00D93C7E" w14:paraId="6569BF05" w14:textId="77777777" w:rsidTr="00D93C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91CC6DA" w14:textId="77777777" w:rsidR="00D93C7E" w:rsidRPr="00D93C7E" w:rsidRDefault="00D93C7E" w:rsidP="00D93C7E">
            <w:pPr>
              <w:spacing w:after="0" w:line="276" w:lineRule="auto"/>
              <w:ind w:left="113" w:right="113"/>
              <w:rPr>
                <w:rFonts w:ascii="Times New Roman" w:eastAsia="Calibri" w:hAnsi="Times New Roman" w:cs="Times New Roman"/>
                <w:sz w:val="16"/>
                <w:szCs w:val="16"/>
              </w:rPr>
            </w:pPr>
            <w:r w:rsidRPr="00D93C7E">
              <w:rPr>
                <w:rFonts w:ascii="Times New Roman" w:eastAsia="Calibri" w:hAnsi="Times New Roman" w:cs="Times New Roman"/>
                <w:bCs/>
                <w:sz w:val="18"/>
                <w:szCs w:val="18"/>
              </w:rPr>
              <w:t>Which aspects do you consider could have been improved in this piece of work?</w:t>
            </w:r>
          </w:p>
        </w:tc>
        <w:tc>
          <w:tcPr>
            <w:tcW w:w="8284" w:type="dxa"/>
            <w:gridSpan w:val="10"/>
            <w:tcBorders>
              <w:top w:val="single" w:sz="4" w:space="0" w:color="auto"/>
              <w:left w:val="single" w:sz="4" w:space="0" w:color="auto"/>
              <w:bottom w:val="single" w:sz="4" w:space="0" w:color="auto"/>
              <w:right w:val="thinThickLargeGap" w:sz="24" w:space="0" w:color="auto"/>
            </w:tcBorders>
          </w:tcPr>
          <w:p w14:paraId="00054662" w14:textId="483E3E20" w:rsidR="00D93C7E" w:rsidRPr="00D93C7E" w:rsidRDefault="00D93C7E" w:rsidP="00D93C7E">
            <w:pPr>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possibly could have gone deeper although the deeper you went the more complicated it </w:t>
            </w:r>
            <w:proofErr w:type="gramStart"/>
            <w:r>
              <w:rPr>
                <w:rFonts w:ascii="Times New Roman" w:eastAsia="MS Minngs" w:hAnsi="Times New Roman" w:cs="Times New Roman"/>
                <w:b/>
                <w:bCs/>
                <w:sz w:val="24"/>
                <w:szCs w:val="24"/>
                <w:lang w:eastAsia="en-GB"/>
              </w:rPr>
              <w:t>became</w:t>
            </w:r>
            <w:proofErr w:type="gramEnd"/>
            <w:r w:rsidR="00082663">
              <w:rPr>
                <w:rFonts w:ascii="Times New Roman" w:eastAsia="MS Minngs" w:hAnsi="Times New Roman" w:cs="Times New Roman"/>
                <w:b/>
                <w:bCs/>
                <w:sz w:val="24"/>
                <w:szCs w:val="24"/>
                <w:lang w:eastAsia="en-GB"/>
              </w:rPr>
              <w:t xml:space="preserve"> and I don’t think it was required.</w:t>
            </w:r>
          </w:p>
        </w:tc>
      </w:tr>
      <w:tr w:rsidR="00D93C7E" w:rsidRPr="00D93C7E" w14:paraId="274E3833" w14:textId="77777777" w:rsidTr="00D93C7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4D1FD1C" w14:textId="77777777" w:rsidR="00D93C7E" w:rsidRPr="00D93C7E" w:rsidRDefault="00D93C7E" w:rsidP="00D93C7E">
            <w:pPr>
              <w:spacing w:after="0" w:line="276" w:lineRule="auto"/>
              <w:ind w:left="113" w:right="113"/>
              <w:rPr>
                <w:rFonts w:ascii="Times New Roman" w:eastAsia="Calibri" w:hAnsi="Times New Roman" w:cs="Times New Roman"/>
                <w:sz w:val="16"/>
                <w:szCs w:val="16"/>
              </w:rPr>
            </w:pPr>
            <w:r w:rsidRPr="00D93C7E">
              <w:rPr>
                <w:rFonts w:ascii="Times New Roman" w:eastAsia="Calibri" w:hAnsi="Times New Roman" w:cs="Times New Roman"/>
                <w:bCs/>
                <w:sz w:val="18"/>
                <w:szCs w:val="18"/>
              </w:rPr>
              <w:t>What have you found most satisfying whilst undertaking this submission?</w:t>
            </w:r>
          </w:p>
        </w:tc>
        <w:tc>
          <w:tcPr>
            <w:tcW w:w="8284" w:type="dxa"/>
            <w:gridSpan w:val="10"/>
            <w:tcBorders>
              <w:top w:val="single" w:sz="4" w:space="0" w:color="auto"/>
              <w:left w:val="single" w:sz="4" w:space="0" w:color="auto"/>
              <w:bottom w:val="single" w:sz="4" w:space="0" w:color="auto"/>
              <w:right w:val="thinThickLargeGap" w:sz="24" w:space="0" w:color="auto"/>
            </w:tcBorders>
          </w:tcPr>
          <w:p w14:paraId="26E7D7CA" w14:textId="7539A0A6" w:rsidR="00D93C7E" w:rsidRPr="00D93C7E" w:rsidRDefault="00D93C7E" w:rsidP="00D93C7E">
            <w:pPr>
              <w:spacing w:after="0" w:line="240" w:lineRule="auto"/>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The satisfying part is learning more about how amazing the human body is and how it works.</w:t>
            </w:r>
          </w:p>
        </w:tc>
      </w:tr>
      <w:tr w:rsidR="00D93C7E" w:rsidRPr="00D93C7E" w14:paraId="4B2EC38B" w14:textId="77777777" w:rsidTr="00D93C7E">
        <w:trPr>
          <w:cantSplit/>
        </w:trPr>
        <w:tc>
          <w:tcPr>
            <w:tcW w:w="2305" w:type="dxa"/>
            <w:vMerge w:val="restart"/>
            <w:tcBorders>
              <w:top w:val="single" w:sz="4" w:space="0" w:color="auto"/>
              <w:left w:val="thinThickLargeGap" w:sz="24" w:space="0" w:color="auto"/>
              <w:bottom w:val="single" w:sz="6" w:space="0" w:color="auto"/>
            </w:tcBorders>
          </w:tcPr>
          <w:p w14:paraId="7ECED1DE"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p w14:paraId="5F562D94" w14:textId="77777777" w:rsidR="00D93C7E" w:rsidRPr="00D93C7E" w:rsidRDefault="00D93C7E" w:rsidP="00D93C7E">
            <w:pPr>
              <w:spacing w:after="0" w:line="240" w:lineRule="auto"/>
              <w:jc w:val="center"/>
              <w:rPr>
                <w:rFonts w:ascii="Times New Roman" w:eastAsia="MS Minngs" w:hAnsi="Times New Roman" w:cs="Times New Roman"/>
                <w:b/>
                <w:bCs/>
                <w:sz w:val="24"/>
                <w:szCs w:val="24"/>
                <w:lang w:eastAsia="en-GB"/>
              </w:rPr>
            </w:pPr>
            <w:r w:rsidRPr="00D93C7E">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81F7164" w14:textId="77777777" w:rsidR="00D93C7E" w:rsidRPr="00D93C7E" w:rsidRDefault="00D93C7E" w:rsidP="00D93C7E">
            <w:pPr>
              <w:spacing w:after="0" w:line="276" w:lineRule="auto"/>
              <w:ind w:left="113" w:right="113"/>
              <w:rPr>
                <w:rFonts w:ascii="Calibri" w:eastAsia="Calibri" w:hAnsi="Calibri" w:cs="Times New Roman"/>
                <w:sz w:val="16"/>
                <w:szCs w:val="16"/>
              </w:rPr>
            </w:pPr>
            <w:r w:rsidRPr="00D93C7E">
              <w:rPr>
                <w:rFonts w:ascii="Calibri" w:eastAsia="Calibri" w:hAnsi="Calibri" w:cs="Times New Roman"/>
                <w:sz w:val="16"/>
                <w:szCs w:val="16"/>
              </w:rPr>
              <w:t>Learning</w:t>
            </w:r>
          </w:p>
          <w:p w14:paraId="394DCF03" w14:textId="77777777" w:rsidR="00D93C7E" w:rsidRPr="00D93C7E" w:rsidRDefault="00D93C7E" w:rsidP="00D93C7E">
            <w:pPr>
              <w:spacing w:after="0" w:line="276" w:lineRule="auto"/>
              <w:ind w:left="113" w:right="113"/>
              <w:rPr>
                <w:rFonts w:ascii="Calibri" w:eastAsia="Calibri" w:hAnsi="Calibri" w:cs="Times New Roman"/>
                <w:sz w:val="16"/>
                <w:szCs w:val="16"/>
              </w:rPr>
            </w:pPr>
            <w:r w:rsidRPr="00D93C7E">
              <w:rPr>
                <w:rFonts w:ascii="Calibri" w:eastAsia="Calibri" w:hAnsi="Calibri" w:cs="Times New Roman"/>
                <w:sz w:val="16"/>
                <w:szCs w:val="16"/>
              </w:rPr>
              <w:t>Outcomes</w:t>
            </w:r>
          </w:p>
          <w:p w14:paraId="790B7D14" w14:textId="77777777" w:rsidR="00D93C7E" w:rsidRPr="00D93C7E" w:rsidRDefault="00D93C7E" w:rsidP="00D93C7E">
            <w:pPr>
              <w:spacing w:after="0" w:line="276" w:lineRule="auto"/>
              <w:ind w:left="113" w:right="113"/>
              <w:rPr>
                <w:rFonts w:ascii="Calibri" w:eastAsia="Calibri" w:hAnsi="Calibri" w:cs="Times New Roman"/>
                <w:sz w:val="16"/>
                <w:szCs w:val="16"/>
              </w:rPr>
            </w:pPr>
          </w:p>
          <w:p w14:paraId="48CA640C" w14:textId="77777777" w:rsidR="00D93C7E" w:rsidRPr="00D93C7E" w:rsidRDefault="00D93C7E" w:rsidP="00D93C7E">
            <w:pPr>
              <w:spacing w:after="0" w:line="240" w:lineRule="auto"/>
              <w:ind w:left="113" w:right="113"/>
              <w:jc w:val="center"/>
              <w:rPr>
                <w:rFonts w:ascii="Times New Roman" w:eastAsia="MS Minngs" w:hAnsi="Times New Roman" w:cs="Times New Roman"/>
                <w:b/>
                <w:bCs/>
                <w:sz w:val="16"/>
                <w:szCs w:val="16"/>
                <w:lang w:eastAsia="en-GB"/>
              </w:rPr>
            </w:pPr>
          </w:p>
        </w:tc>
        <w:tc>
          <w:tcPr>
            <w:tcW w:w="8284" w:type="dxa"/>
            <w:gridSpan w:val="10"/>
            <w:tcBorders>
              <w:top w:val="single" w:sz="4" w:space="0" w:color="auto"/>
              <w:left w:val="single" w:sz="6" w:space="0" w:color="auto"/>
              <w:bottom w:val="single" w:sz="6" w:space="0" w:color="auto"/>
              <w:right w:val="thinThickLargeGap" w:sz="24" w:space="0" w:color="auto"/>
            </w:tcBorders>
          </w:tcPr>
          <w:p w14:paraId="176CFCE6" w14:textId="77777777" w:rsidR="00D93C7E" w:rsidRPr="00D93C7E" w:rsidRDefault="00D93C7E" w:rsidP="00D93C7E">
            <w:pPr>
              <w:spacing w:after="0" w:line="240" w:lineRule="auto"/>
              <w:jc w:val="center"/>
              <w:rPr>
                <w:rFonts w:ascii="Times New Roman" w:eastAsia="MS Minngs" w:hAnsi="Times New Roman" w:cs="Times New Roman"/>
                <w:b/>
                <w:bCs/>
                <w:sz w:val="24"/>
                <w:szCs w:val="24"/>
                <w:lang w:eastAsia="en-GB"/>
              </w:rPr>
            </w:pPr>
            <w:r w:rsidRPr="00D93C7E">
              <w:rPr>
                <w:rFonts w:ascii="Times New Roman" w:eastAsia="MS Minngs" w:hAnsi="Times New Roman" w:cs="Times New Roman"/>
                <w:b/>
                <w:bCs/>
                <w:sz w:val="24"/>
                <w:szCs w:val="24"/>
                <w:lang w:eastAsia="en-GB"/>
              </w:rPr>
              <w:t>GRADE</w:t>
            </w:r>
          </w:p>
        </w:tc>
      </w:tr>
      <w:tr w:rsidR="00D93C7E" w:rsidRPr="00D93C7E" w14:paraId="0F8F7FE4" w14:textId="77777777" w:rsidTr="00D93C7E">
        <w:trPr>
          <w:cantSplit/>
        </w:trPr>
        <w:tc>
          <w:tcPr>
            <w:tcW w:w="2305" w:type="dxa"/>
            <w:vMerge/>
            <w:tcBorders>
              <w:top w:val="single" w:sz="6" w:space="0" w:color="auto"/>
              <w:left w:val="thinThickLargeGap" w:sz="24" w:space="0" w:color="auto"/>
              <w:bottom w:val="single" w:sz="6" w:space="0" w:color="auto"/>
            </w:tcBorders>
          </w:tcPr>
          <w:p w14:paraId="5C1089FB"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018A3DE6"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14:paraId="2F75609F"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Poor</w:t>
            </w:r>
          </w:p>
          <w:p w14:paraId="450872DA"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14:paraId="702AF849"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Unsatisfactory</w:t>
            </w:r>
          </w:p>
          <w:p w14:paraId="3B83FE02"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right w:val="single" w:sz="6" w:space="0" w:color="auto"/>
            </w:tcBorders>
          </w:tcPr>
          <w:p w14:paraId="51B4655F"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Satisfactory</w:t>
            </w:r>
          </w:p>
          <w:p w14:paraId="10A1D4C4"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right w:val="single" w:sz="6" w:space="0" w:color="auto"/>
            </w:tcBorders>
          </w:tcPr>
          <w:p w14:paraId="2B6C2238"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Good</w:t>
            </w:r>
          </w:p>
          <w:p w14:paraId="6E698EF7"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right w:val="single" w:sz="6" w:space="0" w:color="auto"/>
            </w:tcBorders>
          </w:tcPr>
          <w:p w14:paraId="629E84A7"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Very Good</w:t>
            </w:r>
          </w:p>
          <w:p w14:paraId="7653DC4C"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right w:val="single" w:sz="6" w:space="0" w:color="auto"/>
            </w:tcBorders>
          </w:tcPr>
          <w:p w14:paraId="0A374374"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Excellent</w:t>
            </w:r>
          </w:p>
          <w:p w14:paraId="052365BA"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14:paraId="3A0246F8"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Exceptional</w:t>
            </w:r>
          </w:p>
          <w:p w14:paraId="04696CFE" w14:textId="77777777" w:rsidR="00D93C7E" w:rsidRPr="00D93C7E" w:rsidRDefault="00D93C7E" w:rsidP="00D93C7E">
            <w:pPr>
              <w:spacing w:after="0" w:line="240" w:lineRule="auto"/>
              <w:jc w:val="center"/>
              <w:rPr>
                <w:rFonts w:ascii="Times New Roman" w:eastAsia="MS Minngs" w:hAnsi="Times New Roman" w:cs="Times New Roman"/>
                <w:b/>
                <w:bCs/>
                <w:sz w:val="16"/>
                <w:szCs w:val="16"/>
                <w:lang w:eastAsia="en-GB"/>
              </w:rPr>
            </w:pPr>
            <w:r w:rsidRPr="00D93C7E">
              <w:rPr>
                <w:rFonts w:ascii="Times New Roman" w:eastAsia="MS Minngs" w:hAnsi="Times New Roman" w:cs="Times New Roman"/>
                <w:b/>
                <w:bCs/>
                <w:sz w:val="16"/>
                <w:szCs w:val="16"/>
                <w:lang w:eastAsia="en-GB"/>
              </w:rPr>
              <w:t>86– 100%</w:t>
            </w:r>
          </w:p>
        </w:tc>
        <w:tc>
          <w:tcPr>
            <w:tcW w:w="904" w:type="dxa"/>
            <w:tcBorders>
              <w:top w:val="single" w:sz="6" w:space="0" w:color="auto"/>
              <w:left w:val="single" w:sz="6" w:space="0" w:color="auto"/>
              <w:bottom w:val="single" w:sz="6" w:space="0" w:color="auto"/>
              <w:right w:val="thinThickLargeGap" w:sz="24" w:space="0" w:color="auto"/>
            </w:tcBorders>
          </w:tcPr>
          <w:p w14:paraId="5B86F808"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p>
          <w:p w14:paraId="63E627BE"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 xml:space="preserve">  %</w:t>
            </w:r>
          </w:p>
        </w:tc>
      </w:tr>
      <w:tr w:rsidR="00D93C7E" w:rsidRPr="00D93C7E" w14:paraId="4AB9EEDC" w14:textId="77777777" w:rsidTr="00D93C7E">
        <w:tc>
          <w:tcPr>
            <w:tcW w:w="2305" w:type="dxa"/>
            <w:tcBorders>
              <w:top w:val="single" w:sz="6" w:space="0" w:color="auto"/>
              <w:left w:val="thinThickLargeGap" w:sz="24" w:space="0" w:color="auto"/>
              <w:bottom w:val="single" w:sz="6" w:space="0" w:color="auto"/>
            </w:tcBorders>
          </w:tcPr>
          <w:p w14:paraId="0F29F578" w14:textId="77777777" w:rsidR="00D93C7E" w:rsidRPr="00D93C7E" w:rsidRDefault="00D93C7E" w:rsidP="00D93C7E">
            <w:pPr>
              <w:spacing w:after="0" w:line="240" w:lineRule="auto"/>
              <w:rPr>
                <w:rFonts w:ascii="Times New Roman" w:eastAsia="MS Minngs" w:hAnsi="Times New Roman" w:cs="Times New Roman"/>
                <w:sz w:val="18"/>
                <w:szCs w:val="18"/>
                <w:lang w:eastAsia="en-GB"/>
              </w:rPr>
            </w:pPr>
            <w:r w:rsidRPr="00D93C7E">
              <w:rPr>
                <w:rFonts w:ascii="Times New Roman" w:eastAsia="MS Minngs" w:hAnsi="Times New Roman" w:cs="Times New Roman"/>
                <w:sz w:val="18"/>
                <w:szCs w:val="18"/>
                <w:lang w:eastAsia="en-GB"/>
              </w:rPr>
              <w:t>Theoretical explanation</w:t>
            </w:r>
          </w:p>
        </w:tc>
        <w:tc>
          <w:tcPr>
            <w:tcW w:w="540" w:type="dxa"/>
            <w:gridSpan w:val="2"/>
            <w:tcBorders>
              <w:top w:val="single" w:sz="6" w:space="0" w:color="auto"/>
              <w:bottom w:val="single" w:sz="6" w:space="0" w:color="auto"/>
              <w:right w:val="single" w:sz="6" w:space="0" w:color="auto"/>
            </w:tcBorders>
          </w:tcPr>
          <w:p w14:paraId="57BAB371" w14:textId="77777777" w:rsidR="00D93C7E" w:rsidRPr="00D93C7E" w:rsidRDefault="00D93C7E" w:rsidP="00D93C7E">
            <w:pPr>
              <w:spacing w:after="0" w:line="240" w:lineRule="auto"/>
              <w:jc w:val="center"/>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1</w:t>
            </w:r>
          </w:p>
        </w:tc>
        <w:tc>
          <w:tcPr>
            <w:tcW w:w="1054" w:type="dxa"/>
            <w:tcBorders>
              <w:left w:val="single" w:sz="6" w:space="0" w:color="auto"/>
              <w:right w:val="single" w:sz="6" w:space="0" w:color="auto"/>
            </w:tcBorders>
          </w:tcPr>
          <w:p w14:paraId="3082CE64"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534B217"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71A0D513"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421B2700"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6B3F076"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601CA0F4"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4557926C"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904" w:type="dxa"/>
            <w:tcBorders>
              <w:top w:val="single" w:sz="6" w:space="0" w:color="auto"/>
              <w:left w:val="single" w:sz="6" w:space="0" w:color="auto"/>
              <w:bottom w:val="single" w:sz="6" w:space="0" w:color="auto"/>
              <w:right w:val="thinThickLargeGap" w:sz="24" w:space="0" w:color="auto"/>
            </w:tcBorders>
          </w:tcPr>
          <w:p w14:paraId="4B9914A6"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70%</w:t>
            </w:r>
          </w:p>
        </w:tc>
      </w:tr>
      <w:tr w:rsidR="00D93C7E" w:rsidRPr="00D93C7E" w14:paraId="066A3762" w14:textId="77777777" w:rsidTr="00D93C7E">
        <w:tc>
          <w:tcPr>
            <w:tcW w:w="2305" w:type="dxa"/>
            <w:tcBorders>
              <w:top w:val="single" w:sz="6" w:space="0" w:color="auto"/>
              <w:left w:val="thinThickLargeGap" w:sz="24" w:space="0" w:color="auto"/>
              <w:bottom w:val="single" w:sz="6" w:space="0" w:color="auto"/>
            </w:tcBorders>
          </w:tcPr>
          <w:p w14:paraId="5A0D3D7F" w14:textId="77777777" w:rsidR="00D93C7E" w:rsidRPr="00D93C7E" w:rsidRDefault="00D93C7E" w:rsidP="00D93C7E">
            <w:pPr>
              <w:spacing w:after="0" w:line="240" w:lineRule="auto"/>
              <w:ind w:left="-15"/>
              <w:rPr>
                <w:rFonts w:ascii="Times New Roman" w:eastAsia="MS Minngs" w:hAnsi="Times New Roman" w:cs="Times New Roman"/>
                <w:sz w:val="18"/>
                <w:szCs w:val="18"/>
                <w:lang w:eastAsia="en-GB"/>
              </w:rPr>
            </w:pPr>
            <w:r w:rsidRPr="00D93C7E">
              <w:rPr>
                <w:rFonts w:ascii="Times New Roman" w:eastAsia="MS Minngs" w:hAnsi="Times New Roman" w:cs="Times New Roman"/>
                <w:sz w:val="18"/>
                <w:szCs w:val="18"/>
                <w:lang w:eastAsia="en-GB"/>
              </w:rPr>
              <w:t>Use and appropriateness of references</w:t>
            </w:r>
          </w:p>
        </w:tc>
        <w:tc>
          <w:tcPr>
            <w:tcW w:w="540" w:type="dxa"/>
            <w:gridSpan w:val="2"/>
            <w:tcBorders>
              <w:top w:val="single" w:sz="6" w:space="0" w:color="auto"/>
              <w:bottom w:val="single" w:sz="6" w:space="0" w:color="auto"/>
              <w:right w:val="single" w:sz="6" w:space="0" w:color="auto"/>
            </w:tcBorders>
          </w:tcPr>
          <w:p w14:paraId="48FD073B" w14:textId="77777777" w:rsidR="00D93C7E" w:rsidRPr="00D93C7E" w:rsidRDefault="00D93C7E" w:rsidP="00D93C7E">
            <w:pPr>
              <w:spacing w:after="0" w:line="240" w:lineRule="auto"/>
              <w:jc w:val="center"/>
              <w:rPr>
                <w:rFonts w:ascii="Times New Roman" w:eastAsia="MS Minngs" w:hAnsi="Times New Roman" w:cs="Times New Roman"/>
                <w:b/>
                <w:bCs/>
                <w:sz w:val="18"/>
                <w:szCs w:val="18"/>
                <w:lang w:eastAsia="en-GB"/>
              </w:rPr>
            </w:pPr>
          </w:p>
          <w:p w14:paraId="2E0B30F6" w14:textId="77777777" w:rsidR="00D93C7E" w:rsidRPr="00D93C7E" w:rsidRDefault="00D93C7E" w:rsidP="00D93C7E">
            <w:pPr>
              <w:spacing w:after="0" w:line="240" w:lineRule="auto"/>
              <w:jc w:val="center"/>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7E620EA0"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12D81859"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072ACA81"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0FA764DF"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3D586B8"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19E142A"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38786880"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904" w:type="dxa"/>
            <w:tcBorders>
              <w:top w:val="single" w:sz="6" w:space="0" w:color="auto"/>
              <w:left w:val="single" w:sz="6" w:space="0" w:color="auto"/>
              <w:bottom w:val="single" w:sz="6" w:space="0" w:color="auto"/>
              <w:right w:val="thinThickLargeGap" w:sz="24" w:space="0" w:color="auto"/>
            </w:tcBorders>
          </w:tcPr>
          <w:p w14:paraId="7E4DB6C9"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20%</w:t>
            </w:r>
          </w:p>
        </w:tc>
      </w:tr>
      <w:tr w:rsidR="00D93C7E" w:rsidRPr="00D93C7E" w14:paraId="19F016C6" w14:textId="77777777" w:rsidTr="00D93C7E">
        <w:tc>
          <w:tcPr>
            <w:tcW w:w="2305" w:type="dxa"/>
            <w:tcBorders>
              <w:top w:val="single" w:sz="6" w:space="0" w:color="auto"/>
              <w:left w:val="thinThickLargeGap" w:sz="24" w:space="0" w:color="auto"/>
              <w:bottom w:val="single" w:sz="4" w:space="0" w:color="auto"/>
            </w:tcBorders>
          </w:tcPr>
          <w:p w14:paraId="33DB4F8B" w14:textId="77777777" w:rsidR="00D93C7E" w:rsidRPr="00D93C7E" w:rsidRDefault="00D93C7E" w:rsidP="00D93C7E">
            <w:pPr>
              <w:spacing w:after="0" w:line="240" w:lineRule="auto"/>
              <w:rPr>
                <w:rFonts w:ascii="Times New Roman" w:eastAsia="MS Minngs" w:hAnsi="Times New Roman" w:cs="Times New Roman"/>
                <w:sz w:val="18"/>
                <w:szCs w:val="18"/>
                <w:lang w:eastAsia="en-GB"/>
              </w:rPr>
            </w:pPr>
            <w:r w:rsidRPr="00D93C7E">
              <w:rPr>
                <w:rFonts w:ascii="Times New Roman" w:eastAsia="MS Minngs" w:hAnsi="Times New Roman" w:cs="Times New Roman"/>
                <w:sz w:val="18"/>
                <w:szCs w:val="18"/>
                <w:lang w:eastAsia="en-GB"/>
              </w:rPr>
              <w:t>Structure and flow of answer</w:t>
            </w:r>
          </w:p>
        </w:tc>
        <w:tc>
          <w:tcPr>
            <w:tcW w:w="540" w:type="dxa"/>
            <w:gridSpan w:val="2"/>
            <w:tcBorders>
              <w:top w:val="single" w:sz="6" w:space="0" w:color="auto"/>
              <w:bottom w:val="single" w:sz="4" w:space="0" w:color="auto"/>
              <w:right w:val="single" w:sz="6" w:space="0" w:color="auto"/>
            </w:tcBorders>
          </w:tcPr>
          <w:p w14:paraId="7F875006" w14:textId="77777777" w:rsidR="00D93C7E" w:rsidRPr="00D93C7E" w:rsidRDefault="00D93C7E" w:rsidP="00D93C7E">
            <w:pPr>
              <w:spacing w:after="0" w:line="240" w:lineRule="auto"/>
              <w:jc w:val="center"/>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1</w:t>
            </w:r>
          </w:p>
        </w:tc>
        <w:tc>
          <w:tcPr>
            <w:tcW w:w="1054" w:type="dxa"/>
            <w:tcBorders>
              <w:left w:val="single" w:sz="6" w:space="0" w:color="auto"/>
              <w:bottom w:val="single" w:sz="4" w:space="0" w:color="auto"/>
              <w:right w:val="single" w:sz="6" w:space="0" w:color="auto"/>
            </w:tcBorders>
          </w:tcPr>
          <w:p w14:paraId="0515EFCB"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14:paraId="359CEABB"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14:paraId="5FE5D34F"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14:paraId="0EE87391"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bottom w:val="single" w:sz="4" w:space="0" w:color="auto"/>
              <w:right w:val="single" w:sz="6" w:space="0" w:color="auto"/>
            </w:tcBorders>
          </w:tcPr>
          <w:p w14:paraId="06A62A71"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bottom w:val="single" w:sz="4" w:space="0" w:color="auto"/>
              <w:right w:val="single" w:sz="6" w:space="0" w:color="auto"/>
            </w:tcBorders>
          </w:tcPr>
          <w:p w14:paraId="2FB6DD56"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bottom w:val="single" w:sz="4" w:space="0" w:color="auto"/>
              <w:right w:val="single" w:sz="6" w:space="0" w:color="auto"/>
            </w:tcBorders>
          </w:tcPr>
          <w:p w14:paraId="1555ED22" w14:textId="77777777" w:rsidR="00D93C7E" w:rsidRPr="00D93C7E" w:rsidRDefault="00D93C7E" w:rsidP="00D93C7E">
            <w:pPr>
              <w:spacing w:after="0" w:line="240" w:lineRule="auto"/>
              <w:jc w:val="center"/>
              <w:rPr>
                <w:rFonts w:ascii="Times New Roman" w:eastAsia="MS Minngs" w:hAnsi="Times New Roman" w:cs="Times New Roman"/>
                <w:sz w:val="18"/>
                <w:szCs w:val="18"/>
                <w:lang w:eastAsia="en-GB"/>
              </w:rPr>
            </w:pPr>
          </w:p>
        </w:tc>
        <w:tc>
          <w:tcPr>
            <w:tcW w:w="904" w:type="dxa"/>
            <w:tcBorders>
              <w:top w:val="single" w:sz="6" w:space="0" w:color="auto"/>
              <w:left w:val="single" w:sz="6" w:space="0" w:color="auto"/>
              <w:bottom w:val="single" w:sz="4" w:space="0" w:color="auto"/>
              <w:right w:val="thinThickLargeGap" w:sz="24" w:space="0" w:color="auto"/>
            </w:tcBorders>
          </w:tcPr>
          <w:p w14:paraId="1C76F05E"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10%</w:t>
            </w:r>
          </w:p>
        </w:tc>
      </w:tr>
      <w:tr w:rsidR="00D93C7E" w:rsidRPr="00D93C7E" w14:paraId="14B7FA9B" w14:textId="77777777" w:rsidTr="00D93C7E">
        <w:trPr>
          <w:cantSplit/>
          <w:trHeight w:val="282"/>
        </w:trPr>
        <w:tc>
          <w:tcPr>
            <w:tcW w:w="10225" w:type="dxa"/>
            <w:gridSpan w:val="12"/>
            <w:tcBorders>
              <w:left w:val="thinThickLargeGap" w:sz="24" w:space="0" w:color="auto"/>
              <w:right w:val="single" w:sz="4" w:space="0" w:color="auto"/>
            </w:tcBorders>
          </w:tcPr>
          <w:p w14:paraId="2AA66E7E"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r w:rsidRPr="00D93C7E">
              <w:rPr>
                <w:rFonts w:ascii="Times New Roman" w:eastAsia="MS Minngs" w:hAnsi="Times New Roman" w:cs="Times New Roman"/>
                <w:sz w:val="18"/>
                <w:szCs w:val="18"/>
                <w:lang w:eastAsia="en-GB"/>
              </w:rPr>
              <w:t xml:space="preserve">It is expected that students will present work that is </w:t>
            </w:r>
            <w:proofErr w:type="gramStart"/>
            <w:r w:rsidRPr="00D93C7E">
              <w:rPr>
                <w:rFonts w:ascii="Times New Roman" w:eastAsia="MS Minngs" w:hAnsi="Times New Roman" w:cs="Times New Roman"/>
                <w:sz w:val="18"/>
                <w:szCs w:val="18"/>
                <w:lang w:eastAsia="en-GB"/>
              </w:rPr>
              <w:t>proof read</w:t>
            </w:r>
            <w:proofErr w:type="gramEnd"/>
            <w:r w:rsidRPr="00D93C7E">
              <w:rPr>
                <w:rFonts w:ascii="Times New Roman" w:eastAsia="MS Minngs" w:hAnsi="Times New Roman" w:cs="Times New Roman"/>
                <w:sz w:val="18"/>
                <w:szCs w:val="18"/>
                <w:lang w:eastAsia="en-GB"/>
              </w:rPr>
              <w:t xml:space="preserve">, correctly referenced and adheres to the </w:t>
            </w:r>
            <w:r w:rsidRPr="00D93C7E">
              <w:rPr>
                <w:rFonts w:ascii="Times New Roman" w:eastAsia="MS Minngs" w:hAnsi="Times New Roman" w:cs="Times New Roman"/>
                <w:b/>
                <w:sz w:val="18"/>
                <w:szCs w:val="18"/>
                <w:lang w:eastAsia="en-GB"/>
              </w:rPr>
              <w:t>Assessment Checklist.</w:t>
            </w:r>
            <w:r w:rsidRPr="00D93C7E">
              <w:rPr>
                <w:rFonts w:ascii="Times New Roman" w:eastAsia="MS Minngs" w:hAnsi="Times New Roman" w:cs="Times New Roman"/>
                <w:sz w:val="18"/>
                <w:szCs w:val="18"/>
                <w:lang w:eastAsia="en-GB"/>
              </w:rPr>
              <w:t xml:space="preserve"> </w:t>
            </w:r>
            <w:proofErr w:type="gramStart"/>
            <w:r w:rsidRPr="00D93C7E">
              <w:rPr>
                <w:rFonts w:ascii="Times New Roman" w:eastAsia="MS Minngs" w:hAnsi="Times New Roman" w:cs="Times New Roman"/>
                <w:sz w:val="18"/>
                <w:szCs w:val="18"/>
                <w:lang w:eastAsia="en-GB"/>
              </w:rPr>
              <w:t>Therefore</w:t>
            </w:r>
            <w:proofErr w:type="gramEnd"/>
            <w:r w:rsidRPr="00D93C7E">
              <w:rPr>
                <w:rFonts w:ascii="Times New Roman" w:eastAsia="MS Minngs" w:hAnsi="Times New Roman" w:cs="Times New Roman"/>
                <w:sz w:val="18"/>
                <w:szCs w:val="18"/>
                <w:lang w:eastAsia="en-GB"/>
              </w:rPr>
              <w:t xml:space="preserve"> a range of 0 – 10 marks will be deducted for non-completion of any of the points on the </w:t>
            </w:r>
            <w:r w:rsidRPr="00D93C7E">
              <w:rPr>
                <w:rFonts w:ascii="Times New Roman" w:eastAsia="MS Minngs" w:hAnsi="Times New Roman" w:cs="Times New Roman"/>
                <w:b/>
                <w:sz w:val="18"/>
                <w:szCs w:val="18"/>
                <w:lang w:eastAsia="en-GB"/>
              </w:rPr>
              <w:t>checklist below</w:t>
            </w:r>
            <w:r w:rsidRPr="00D93C7E">
              <w:rPr>
                <w:rFonts w:ascii="Times New Roman" w:eastAsia="MS Minngs" w:hAnsi="Times New Roman" w:cs="Times New Roman"/>
                <w:sz w:val="18"/>
                <w:szCs w:val="18"/>
                <w:lang w:eastAsia="en-GB"/>
              </w:rPr>
              <w:t>.</w:t>
            </w:r>
          </w:p>
        </w:tc>
        <w:tc>
          <w:tcPr>
            <w:tcW w:w="904" w:type="dxa"/>
            <w:tcBorders>
              <w:left w:val="single" w:sz="4" w:space="0" w:color="auto"/>
              <w:right w:val="thinThickLargeGap" w:sz="24" w:space="0" w:color="auto"/>
            </w:tcBorders>
          </w:tcPr>
          <w:p w14:paraId="4DE992F7"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p>
        </w:tc>
      </w:tr>
      <w:tr w:rsidR="00D93C7E" w:rsidRPr="00D93C7E" w14:paraId="2DDAE02C" w14:textId="77777777" w:rsidTr="00D93C7E">
        <w:trPr>
          <w:cantSplit/>
          <w:trHeight w:val="4341"/>
        </w:trPr>
        <w:tc>
          <w:tcPr>
            <w:tcW w:w="11129" w:type="dxa"/>
            <w:gridSpan w:val="13"/>
            <w:tcBorders>
              <w:left w:val="thinThickLargeGap" w:sz="24" w:space="0" w:color="auto"/>
              <w:right w:val="thinThickLargeGap" w:sz="24" w:space="0" w:color="auto"/>
            </w:tcBorders>
          </w:tcPr>
          <w:p w14:paraId="7115BCDC" w14:textId="77777777" w:rsidR="00D93C7E" w:rsidRPr="00D93C7E" w:rsidRDefault="00D93C7E" w:rsidP="00D93C7E">
            <w:pPr>
              <w:spacing w:after="0" w:line="240" w:lineRule="auto"/>
              <w:rPr>
                <w:rFonts w:ascii="Times New Roman" w:eastAsia="MS Minngs" w:hAnsi="Times New Roman" w:cs="Times New Roman"/>
                <w:b/>
                <w:bCs/>
                <w:sz w:val="24"/>
                <w:szCs w:val="24"/>
                <w:lang w:eastAsia="en-GB"/>
              </w:rPr>
            </w:pPr>
            <w:r w:rsidRPr="00D93C7E">
              <w:rPr>
                <w:rFonts w:ascii="Times New Roman" w:eastAsia="MS Minngs" w:hAnsi="Times New Roman" w:cs="Times New Roman"/>
                <w:b/>
                <w:bCs/>
                <w:sz w:val="24"/>
                <w:szCs w:val="24"/>
                <w:lang w:eastAsia="en-GB"/>
              </w:rPr>
              <w:t>TUTOR COMMENTS:</w:t>
            </w:r>
          </w:p>
          <w:p w14:paraId="69FB38BC"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65BC6507"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077CAA7E"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54A55B4B"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66AC3CF0"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78AAA437"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456ADACD"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2F58B806"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799897F1"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6E09E99D"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0D542FFD"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p w14:paraId="71C1AB70" w14:textId="77777777" w:rsidR="00D93C7E" w:rsidRPr="00D93C7E" w:rsidRDefault="00D93C7E" w:rsidP="00D93C7E">
            <w:pPr>
              <w:spacing w:after="0" w:line="240" w:lineRule="auto"/>
              <w:ind w:left="937" w:right="1152"/>
              <w:jc w:val="both"/>
              <w:rPr>
                <w:rFonts w:ascii="Times New Roman" w:eastAsia="MS Minngs" w:hAnsi="Times New Roman" w:cs="Times New Roman"/>
                <w:b/>
                <w:bCs/>
                <w:sz w:val="24"/>
                <w:szCs w:val="24"/>
                <w:lang w:eastAsia="en-GB"/>
              </w:rPr>
            </w:pPr>
          </w:p>
        </w:tc>
      </w:tr>
      <w:tr w:rsidR="00D93C7E" w:rsidRPr="00D93C7E" w14:paraId="6D25FC2D" w14:textId="77777777" w:rsidTr="00D93C7E">
        <w:trPr>
          <w:cantSplit/>
          <w:trHeight w:val="365"/>
        </w:trPr>
        <w:tc>
          <w:tcPr>
            <w:tcW w:w="2661" w:type="dxa"/>
            <w:gridSpan w:val="2"/>
            <w:tcBorders>
              <w:left w:val="thinThickLargeGap" w:sz="24" w:space="0" w:color="auto"/>
              <w:bottom w:val="thickThinLargeGap" w:sz="24" w:space="0" w:color="auto"/>
            </w:tcBorders>
          </w:tcPr>
          <w:p w14:paraId="40D6D4D2"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 xml:space="preserve"> Submission date: </w:t>
            </w:r>
          </w:p>
          <w:p w14:paraId="0CAF5828"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3DD59E2B"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Return date:</w:t>
            </w:r>
          </w:p>
          <w:p w14:paraId="4721B4D5"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14:paraId="732327B7"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 xml:space="preserve">Tutor: </w:t>
            </w:r>
          </w:p>
        </w:tc>
        <w:tc>
          <w:tcPr>
            <w:tcW w:w="2531" w:type="dxa"/>
            <w:gridSpan w:val="3"/>
            <w:tcBorders>
              <w:bottom w:val="thickThinLargeGap" w:sz="24" w:space="0" w:color="auto"/>
              <w:right w:val="thinThickLargeGap" w:sz="24" w:space="0" w:color="auto"/>
            </w:tcBorders>
          </w:tcPr>
          <w:p w14:paraId="26B79D9B" w14:textId="77777777" w:rsidR="00D93C7E" w:rsidRPr="00D93C7E" w:rsidRDefault="00D93C7E" w:rsidP="00D93C7E">
            <w:pPr>
              <w:spacing w:after="0" w:line="240" w:lineRule="auto"/>
              <w:rPr>
                <w:rFonts w:ascii="Times New Roman" w:eastAsia="MS Minngs" w:hAnsi="Times New Roman" w:cs="Times New Roman"/>
                <w:b/>
                <w:bCs/>
                <w:sz w:val="18"/>
                <w:szCs w:val="18"/>
                <w:lang w:eastAsia="en-GB"/>
              </w:rPr>
            </w:pPr>
            <w:r w:rsidRPr="00D93C7E">
              <w:rPr>
                <w:rFonts w:ascii="Times New Roman" w:eastAsia="MS Minngs" w:hAnsi="Times New Roman" w:cs="Times New Roman"/>
                <w:b/>
                <w:bCs/>
                <w:sz w:val="18"/>
                <w:szCs w:val="18"/>
                <w:lang w:eastAsia="en-GB"/>
              </w:rPr>
              <w:t xml:space="preserve">Mark: </w:t>
            </w:r>
          </w:p>
        </w:tc>
      </w:tr>
    </w:tbl>
    <w:p w14:paraId="61DF63DD" w14:textId="77777777" w:rsidR="00D93C7E" w:rsidRDefault="00D93C7E">
      <w:pPr>
        <w:rPr>
          <w:rFonts w:ascii="Calibri" w:eastAsia="Calibri" w:hAnsi="Calibri" w:cs="Times New Roman"/>
          <w:sz w:val="24"/>
          <w:szCs w:val="24"/>
        </w:rPr>
      </w:pPr>
    </w:p>
    <w:p w14:paraId="0FDC9800" w14:textId="2E367DEC" w:rsidR="00F82334" w:rsidRDefault="00D93C7E" w:rsidP="00F82334">
      <w:pPr>
        <w:jc w:val="center"/>
        <w:rPr>
          <w:rFonts w:ascii="Times New Roman" w:hAnsi="Times New Roman" w:cs="Times New Roman"/>
          <w:b/>
          <w:bCs/>
          <w:sz w:val="28"/>
          <w:szCs w:val="28"/>
        </w:rPr>
      </w:pPr>
      <w:r w:rsidRPr="00D93C7E">
        <w:rPr>
          <w:rFonts w:ascii="Calibri" w:eastAsia="Calibri" w:hAnsi="Calibri" w:cs="Times New Roman"/>
          <w:sz w:val="24"/>
          <w:szCs w:val="24"/>
        </w:rPr>
        <w:br w:type="page"/>
      </w:r>
      <w:r w:rsidR="00F82334">
        <w:rPr>
          <w:rFonts w:ascii="Times New Roman" w:hAnsi="Times New Roman" w:cs="Times New Roman"/>
          <w:b/>
          <w:bCs/>
          <w:sz w:val="28"/>
          <w:szCs w:val="28"/>
        </w:rPr>
        <w:lastRenderedPageBreak/>
        <w:t>THE MECHANISMS OF CELL SIGNALLING</w:t>
      </w:r>
    </w:p>
    <w:p w14:paraId="0874A79C" w14:textId="3168BFD2" w:rsidR="00F82334" w:rsidRDefault="00F82334" w:rsidP="00F82334">
      <w:pPr>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sz w:val="24"/>
          <w:szCs w:val="24"/>
        </w:rPr>
        <w:t>herry, (2019) tells us that there are two main communication systems in the body, the human nervous system which has a network of a trillion neurons and communicates throughout the body and the endocrine system which uses glands located throughout the body to release chemical messengers called hormones, both the nervous system and endocrine system work closely together, although are not the same and are connected through the hypothalamus (Cherry, 2019).  This assignment is looking at the hormonal control and cellular communication which is present throughout the body from different organisms or even from the same organism all working together in a co-ordinated manner (Cherry, 2019).    Hancock</w:t>
      </w:r>
      <w:r w:rsidR="00E34DB0">
        <w:rPr>
          <w:rFonts w:ascii="Times New Roman" w:hAnsi="Times New Roman" w:cs="Times New Roman"/>
          <w:sz w:val="24"/>
          <w:szCs w:val="24"/>
        </w:rPr>
        <w:t>,</w:t>
      </w:r>
      <w:r>
        <w:rPr>
          <w:rFonts w:ascii="Times New Roman" w:hAnsi="Times New Roman" w:cs="Times New Roman"/>
          <w:sz w:val="24"/>
          <w:szCs w:val="24"/>
        </w:rPr>
        <w:t xml:space="preserve"> (2017) explains that a hormone or a signalling molecule, which are often called ligands will be released from a cell into the extracellular fluid and will only connect with a target cell, however, there are two kinds of receptors, one of which has a receptor on its bilateral phospholipid membrane, and the other receptor is an intracellular receptor which is found in the cytoplasm or nucleus of the cell. These cells may be adjacent or some distance apart and the importance on arrival is that the target cell will have some response, cascading the message or </w:t>
      </w:r>
      <w:proofErr w:type="spellStart"/>
      <w:r>
        <w:rPr>
          <w:rFonts w:ascii="Times New Roman" w:hAnsi="Times New Roman" w:cs="Times New Roman"/>
          <w:sz w:val="24"/>
          <w:szCs w:val="24"/>
        </w:rPr>
        <w:t>transducting</w:t>
      </w:r>
      <w:proofErr w:type="spellEnd"/>
      <w:r>
        <w:rPr>
          <w:rFonts w:ascii="Times New Roman" w:hAnsi="Times New Roman" w:cs="Times New Roman"/>
          <w:sz w:val="24"/>
          <w:szCs w:val="24"/>
        </w:rPr>
        <w:t xml:space="preserve"> the message to where it needs to be.  As the message is taken into the intracellular cytoplasm it is </w:t>
      </w:r>
      <w:proofErr w:type="spellStart"/>
      <w:r>
        <w:rPr>
          <w:rFonts w:ascii="Times New Roman" w:hAnsi="Times New Roman" w:cs="Times New Roman"/>
          <w:sz w:val="24"/>
          <w:szCs w:val="24"/>
        </w:rPr>
        <w:t>transducted</w:t>
      </w:r>
      <w:proofErr w:type="spellEnd"/>
      <w:r>
        <w:rPr>
          <w:rFonts w:ascii="Times New Roman" w:hAnsi="Times New Roman" w:cs="Times New Roman"/>
          <w:sz w:val="24"/>
          <w:szCs w:val="24"/>
        </w:rPr>
        <w:t xml:space="preserve"> along a pathway where protein</w:t>
      </w:r>
      <w:r w:rsidR="00E34DB0">
        <w:rPr>
          <w:rFonts w:ascii="Times New Roman" w:hAnsi="Times New Roman" w:cs="Times New Roman"/>
          <w:sz w:val="24"/>
          <w:szCs w:val="24"/>
        </w:rPr>
        <w:t xml:space="preserve"> shapes change and each protein</w:t>
      </w:r>
      <w:r>
        <w:rPr>
          <w:rFonts w:ascii="Times New Roman" w:hAnsi="Times New Roman" w:cs="Times New Roman"/>
          <w:sz w:val="24"/>
          <w:szCs w:val="24"/>
        </w:rPr>
        <w:t xml:space="preserve"> changes the next protein and causes a reaction most commonly by phosphorylation or dephosphorylation within the cell and a response is generated producing an up regulation of the activation or a down regulation (Hancock, 2017). </w:t>
      </w:r>
    </w:p>
    <w:p w14:paraId="7E4EC404" w14:textId="77777777"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According to Chen and </w:t>
      </w:r>
      <w:proofErr w:type="spellStart"/>
      <w:r>
        <w:rPr>
          <w:rFonts w:ascii="Times New Roman" w:hAnsi="Times New Roman" w:cs="Times New Roman"/>
          <w:sz w:val="24"/>
          <w:szCs w:val="24"/>
        </w:rPr>
        <w:t>Zouboulis</w:t>
      </w:r>
      <w:proofErr w:type="spellEnd"/>
      <w:r>
        <w:rPr>
          <w:rFonts w:ascii="Times New Roman" w:hAnsi="Times New Roman" w:cs="Times New Roman"/>
          <w:sz w:val="24"/>
          <w:szCs w:val="24"/>
        </w:rPr>
        <w:t xml:space="preserve">, (2009) hormone action can be divided into five categories according to the location of the target cell. </w:t>
      </w:r>
    </w:p>
    <w:p w14:paraId="2EC2BE12" w14:textId="77777777" w:rsidR="00F82334" w:rsidRDefault="00F82334" w:rsidP="00F82334">
      <w:pPr>
        <w:rPr>
          <w:rFonts w:ascii="Times New Roman" w:hAnsi="Times New Roman" w:cs="Times New Roman"/>
          <w:b/>
          <w:bCs/>
          <w:sz w:val="28"/>
          <w:szCs w:val="28"/>
        </w:rPr>
      </w:pPr>
      <w:r w:rsidRPr="00E46CC5">
        <w:rPr>
          <w:rFonts w:ascii="Times New Roman" w:hAnsi="Times New Roman" w:cs="Times New Roman"/>
          <w:b/>
          <w:bCs/>
          <w:sz w:val="28"/>
          <w:szCs w:val="28"/>
        </w:rPr>
        <w:t>Endocrine Signalling</w:t>
      </w:r>
    </w:p>
    <w:p w14:paraId="000292AF" w14:textId="77777777"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 In endocrine signalling the target cells are further away from the producing cell and the hormones released travel through the bloodstream until they are united with their target cell, an example of this kind of cell signalling is when the stomach releases the chemical ghrelin, which is the appetite stimulator and the target cell is in the hypothalamus which tells the brain that the body is hungry.  Another endocrine hormone, which is released from the fat cells in the adipose tissue is the hormone leptin which controls satiety, metabolism and fat stores.  As insulin levels rise in the blood so the hormone leptin is released and connects to receptors in the hypothalamus letting the brain know that the body has enough fuel and is no longer hungry and energy metabolism is increased.   The insulin releasing beta cells in the pancreas also have leptin receptors, however the increase of leptin in the blood down regulates the release of insulin from the pancreas (Meadows and Willis 2012). </w:t>
      </w:r>
    </w:p>
    <w:p w14:paraId="7DC1E464" w14:textId="77777777" w:rsidR="00F82334" w:rsidRPr="00E46CC5" w:rsidRDefault="00F82334" w:rsidP="00F82334">
      <w:pPr>
        <w:rPr>
          <w:rFonts w:ascii="Times New Roman" w:hAnsi="Times New Roman" w:cs="Times New Roman"/>
          <w:b/>
          <w:bCs/>
          <w:sz w:val="28"/>
          <w:szCs w:val="28"/>
        </w:rPr>
      </w:pPr>
      <w:r w:rsidRPr="00E46CC5">
        <w:rPr>
          <w:rFonts w:ascii="Times New Roman" w:hAnsi="Times New Roman" w:cs="Times New Roman"/>
          <w:b/>
          <w:bCs/>
          <w:sz w:val="28"/>
          <w:szCs w:val="28"/>
        </w:rPr>
        <w:t>Paracrine Signalling</w:t>
      </w:r>
    </w:p>
    <w:p w14:paraId="1263BF9A" w14:textId="4D336FD2"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Chen and </w:t>
      </w:r>
      <w:proofErr w:type="spellStart"/>
      <w:r>
        <w:rPr>
          <w:rFonts w:ascii="Times New Roman" w:hAnsi="Times New Roman" w:cs="Times New Roman"/>
          <w:sz w:val="24"/>
          <w:szCs w:val="24"/>
        </w:rPr>
        <w:t>Zouboulis</w:t>
      </w:r>
      <w:proofErr w:type="spellEnd"/>
      <w:r>
        <w:rPr>
          <w:rFonts w:ascii="Times New Roman" w:hAnsi="Times New Roman" w:cs="Times New Roman"/>
          <w:sz w:val="24"/>
          <w:szCs w:val="24"/>
        </w:rPr>
        <w:t>,</w:t>
      </w:r>
      <w:r>
        <w:rPr>
          <w:rFonts w:ascii="Times New Roman" w:hAnsi="Times New Roman" w:cs="Times New Roman"/>
          <w:sz w:val="24"/>
          <w:szCs w:val="24"/>
        </w:rPr>
        <w:t xml:space="preserve"> (2009) and Hancock, (2017) explain that another way for cells to communicate is paracrine signalling where the cells are in the neighbourhood of the producing cells and are detected and have an effect in the local area but the diffusion of these molecules are rapidly destroyed or immobilised by enzymes in the extracellular fluid or taken up by neighbouring cells.  An example of paracrine signalling is the release of neurotransmitters from neurons which have an effect in the immediate area of the releasing neuron.  Another example is the immune system when there is a threat or a pathogen attack, white blood cells release cytokines and chemokines to signal and modulate other white blood </w:t>
      </w:r>
      <w:r>
        <w:rPr>
          <w:rFonts w:ascii="Times New Roman" w:hAnsi="Times New Roman" w:cs="Times New Roman"/>
          <w:sz w:val="24"/>
          <w:szCs w:val="24"/>
        </w:rPr>
        <w:lastRenderedPageBreak/>
        <w:t xml:space="preserve">cells and neighbouring cells for a response. Anthony and </w:t>
      </w:r>
      <w:proofErr w:type="spellStart"/>
      <w:r>
        <w:rPr>
          <w:rFonts w:ascii="Times New Roman" w:hAnsi="Times New Roman" w:cs="Times New Roman"/>
          <w:sz w:val="24"/>
          <w:szCs w:val="24"/>
        </w:rPr>
        <w:t>Shiels</w:t>
      </w:r>
      <w:proofErr w:type="spellEnd"/>
      <w:r>
        <w:rPr>
          <w:rFonts w:ascii="Times New Roman" w:hAnsi="Times New Roman" w:cs="Times New Roman"/>
          <w:sz w:val="24"/>
          <w:szCs w:val="24"/>
        </w:rPr>
        <w:t xml:space="preserve">, (2013) also discusses the use of paracrine mechanisms for tissue regeneration in organ repair and in wound healing and how the cells effect </w:t>
      </w:r>
      <w:proofErr w:type="gramStart"/>
      <w:r>
        <w:rPr>
          <w:rFonts w:ascii="Times New Roman" w:hAnsi="Times New Roman" w:cs="Times New Roman"/>
          <w:sz w:val="24"/>
          <w:szCs w:val="24"/>
        </w:rPr>
        <w:t>change</w:t>
      </w:r>
      <w:proofErr w:type="gramEnd"/>
      <w:r>
        <w:rPr>
          <w:rFonts w:ascii="Times New Roman" w:hAnsi="Times New Roman" w:cs="Times New Roman"/>
          <w:sz w:val="24"/>
          <w:szCs w:val="24"/>
        </w:rPr>
        <w:t xml:space="preserve"> in the neighbouring environment. </w:t>
      </w:r>
    </w:p>
    <w:p w14:paraId="17BA2E2C" w14:textId="77777777" w:rsidR="00F82334" w:rsidRDefault="00F82334" w:rsidP="00F82334">
      <w:pPr>
        <w:rPr>
          <w:rFonts w:ascii="Times New Roman" w:hAnsi="Times New Roman" w:cs="Times New Roman"/>
          <w:sz w:val="24"/>
          <w:szCs w:val="24"/>
        </w:rPr>
      </w:pPr>
      <w:proofErr w:type="spellStart"/>
      <w:r>
        <w:rPr>
          <w:rFonts w:ascii="Times New Roman" w:hAnsi="Times New Roman" w:cs="Times New Roman"/>
          <w:b/>
          <w:bCs/>
          <w:sz w:val="28"/>
          <w:szCs w:val="28"/>
        </w:rPr>
        <w:t>Juxtacrine</w:t>
      </w:r>
      <w:proofErr w:type="spellEnd"/>
      <w:r>
        <w:rPr>
          <w:rFonts w:ascii="Times New Roman" w:hAnsi="Times New Roman" w:cs="Times New Roman"/>
          <w:b/>
          <w:bCs/>
          <w:sz w:val="28"/>
          <w:szCs w:val="28"/>
        </w:rPr>
        <w:t xml:space="preserve"> Signalling</w:t>
      </w:r>
    </w:p>
    <w:p w14:paraId="5C89FC70" w14:textId="77777777"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Another type of signalling is </w:t>
      </w:r>
      <w:proofErr w:type="spellStart"/>
      <w:r>
        <w:rPr>
          <w:rFonts w:ascii="Times New Roman" w:hAnsi="Times New Roman" w:cs="Times New Roman"/>
          <w:sz w:val="24"/>
          <w:szCs w:val="24"/>
        </w:rPr>
        <w:t>juxtacrine</w:t>
      </w:r>
      <w:proofErr w:type="spellEnd"/>
      <w:r>
        <w:rPr>
          <w:rFonts w:ascii="Times New Roman" w:hAnsi="Times New Roman" w:cs="Times New Roman"/>
          <w:sz w:val="24"/>
          <w:szCs w:val="24"/>
        </w:rPr>
        <w:t xml:space="preserve"> signalling where the cells are in direct contact with each other and linked by transmembrane channels known as connexons, </w:t>
      </w:r>
      <w:proofErr w:type="spellStart"/>
      <w:r>
        <w:rPr>
          <w:rFonts w:ascii="Times New Roman" w:hAnsi="Times New Roman" w:cs="Times New Roman"/>
          <w:sz w:val="24"/>
          <w:szCs w:val="24"/>
        </w:rPr>
        <w:t>juxtacrine</w:t>
      </w:r>
      <w:proofErr w:type="spellEnd"/>
      <w:r>
        <w:rPr>
          <w:rFonts w:ascii="Times New Roman" w:hAnsi="Times New Roman" w:cs="Times New Roman"/>
          <w:sz w:val="24"/>
          <w:szCs w:val="24"/>
        </w:rPr>
        <w:t xml:space="preserve"> signalling requires physical contact between the cells involved and an example of </w:t>
      </w:r>
      <w:proofErr w:type="spellStart"/>
      <w:r>
        <w:rPr>
          <w:rFonts w:ascii="Times New Roman" w:hAnsi="Times New Roman" w:cs="Times New Roman"/>
          <w:sz w:val="24"/>
          <w:szCs w:val="24"/>
        </w:rPr>
        <w:t>juxtacrine</w:t>
      </w:r>
      <w:proofErr w:type="spellEnd"/>
      <w:r>
        <w:rPr>
          <w:rFonts w:ascii="Times New Roman" w:hAnsi="Times New Roman" w:cs="Times New Roman"/>
          <w:sz w:val="24"/>
          <w:szCs w:val="24"/>
        </w:rPr>
        <w:t xml:space="preserve"> signalling is the immune response.  Barton, (2008) tells us that an immune response is a rapid and co-ordinated response to tissue damage, pathogens and microbes and triggers an inflammatory reaction, to repair the tissue or destroy the damaging pathogens and microbes as quickly as possible and to return to a state of homeostasis.  Cells of the innate immune system use receptors to detect and signal the occurrence of a microbial infection and produce an initial reaction of inflammation, heat, pain and swelling to contain the infection and they also signal to the adaptive immune system also known as the acquired immune system which is composed of highly specialised, systemic cells that eliminate pathogens (Barton, 2008).</w:t>
      </w:r>
    </w:p>
    <w:p w14:paraId="34A64634" w14:textId="77777777" w:rsidR="00F82334" w:rsidRPr="00993656" w:rsidRDefault="00F82334" w:rsidP="00F82334">
      <w:pPr>
        <w:rPr>
          <w:rFonts w:ascii="Times New Roman" w:hAnsi="Times New Roman" w:cs="Times New Roman"/>
          <w:b/>
          <w:bCs/>
          <w:sz w:val="28"/>
          <w:szCs w:val="28"/>
        </w:rPr>
      </w:pPr>
      <w:r w:rsidRPr="00993656">
        <w:rPr>
          <w:rFonts w:ascii="Times New Roman" w:hAnsi="Times New Roman" w:cs="Times New Roman"/>
          <w:b/>
          <w:bCs/>
          <w:sz w:val="28"/>
          <w:szCs w:val="28"/>
        </w:rPr>
        <w:t>Autocrine Signalling</w:t>
      </w:r>
    </w:p>
    <w:p w14:paraId="69E019D8" w14:textId="77777777"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Autocrine signalling is where the cell diffuses the molecules and it has its own target receptor and the molecules are taken back into the cell and cause a reaction.  This type of signalling is used with growth hormones and common with a group of molecules that are called the eicosanoid group which function in different physiological groups and pathological systems such as up regulating or down regulating inflammation, allergy, fever and other immune responses.  They are often involved with cells that are at a developmental stage and autocrine signalling is commonly found in tumour cells producing a growth hormone where there is prolific growth.  Autocrine signalling is also known for having an emphasising feature and will send out another message to ensure that the original message is complied with. </w:t>
      </w:r>
    </w:p>
    <w:p w14:paraId="554C7552" w14:textId="77777777" w:rsidR="00F82334" w:rsidRDefault="00F82334" w:rsidP="00F82334">
      <w:pPr>
        <w:rPr>
          <w:rFonts w:ascii="Times New Roman" w:hAnsi="Times New Roman" w:cs="Times New Roman"/>
          <w:b/>
          <w:bCs/>
          <w:sz w:val="28"/>
          <w:szCs w:val="28"/>
        </w:rPr>
      </w:pPr>
      <w:r w:rsidRPr="00993656">
        <w:rPr>
          <w:rFonts w:ascii="Times New Roman" w:hAnsi="Times New Roman" w:cs="Times New Roman"/>
          <w:b/>
          <w:bCs/>
          <w:sz w:val="28"/>
          <w:szCs w:val="28"/>
        </w:rPr>
        <w:t>Intracrine Signalling</w:t>
      </w:r>
    </w:p>
    <w:p w14:paraId="713D9C4F" w14:textId="5181BB10"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However, intracrine signalling is when the target cell produces the hormone and exerts its action without being released and effects a change in the intracellular fluid (Chen and </w:t>
      </w:r>
      <w:proofErr w:type="spellStart"/>
      <w:r>
        <w:rPr>
          <w:rFonts w:ascii="Times New Roman" w:hAnsi="Times New Roman" w:cs="Times New Roman"/>
          <w:sz w:val="24"/>
          <w:szCs w:val="24"/>
        </w:rPr>
        <w:t>Zouboulis</w:t>
      </w:r>
      <w:proofErr w:type="spellEnd"/>
      <w:r>
        <w:rPr>
          <w:rFonts w:ascii="Times New Roman" w:hAnsi="Times New Roman" w:cs="Times New Roman"/>
          <w:sz w:val="24"/>
          <w:szCs w:val="24"/>
        </w:rPr>
        <w:t xml:space="preserve">, 2009). </w:t>
      </w:r>
    </w:p>
    <w:p w14:paraId="6A5CC27E" w14:textId="77777777" w:rsidR="00F82334" w:rsidRPr="00CE45C4" w:rsidRDefault="00F82334" w:rsidP="00F82334">
      <w:pPr>
        <w:rPr>
          <w:rFonts w:ascii="Times New Roman" w:hAnsi="Times New Roman" w:cs="Times New Roman"/>
          <w:b/>
          <w:bCs/>
          <w:sz w:val="28"/>
          <w:szCs w:val="28"/>
        </w:rPr>
      </w:pPr>
      <w:r w:rsidRPr="00CE45C4">
        <w:rPr>
          <w:rFonts w:ascii="Times New Roman" w:hAnsi="Times New Roman" w:cs="Times New Roman"/>
          <w:b/>
          <w:bCs/>
          <w:sz w:val="28"/>
          <w:szCs w:val="28"/>
        </w:rPr>
        <w:t>Receptors</w:t>
      </w:r>
    </w:p>
    <w:p w14:paraId="6C0D8512" w14:textId="132FA271" w:rsidR="00F82334" w:rsidRDefault="00F82334" w:rsidP="00F82334">
      <w:pPr>
        <w:rPr>
          <w:rFonts w:ascii="Times New Roman" w:hAnsi="Times New Roman" w:cs="Times New Roman"/>
          <w:sz w:val="24"/>
          <w:szCs w:val="24"/>
        </w:rPr>
      </w:pPr>
      <w:r>
        <w:rPr>
          <w:rFonts w:ascii="Times New Roman" w:hAnsi="Times New Roman" w:cs="Times New Roman"/>
          <w:sz w:val="24"/>
          <w:szCs w:val="24"/>
        </w:rPr>
        <w:t xml:space="preserve">There are many types of receptors including cell surface receptors, intracellular receptors, ligand-gated ion channels which lets ligands pass through the membrane with a hydrophilic channel through the middle of it. The channel lets ions pass through the membrane without coming near the hydrophobic part of the membrane.  There are </w:t>
      </w:r>
      <w:proofErr w:type="gramStart"/>
      <w:r>
        <w:rPr>
          <w:rFonts w:ascii="Times New Roman" w:hAnsi="Times New Roman" w:cs="Times New Roman"/>
          <w:sz w:val="24"/>
          <w:szCs w:val="24"/>
        </w:rPr>
        <w:t>a large number of</w:t>
      </w:r>
      <w:proofErr w:type="gramEnd"/>
      <w:r>
        <w:rPr>
          <w:rFonts w:ascii="Times New Roman" w:hAnsi="Times New Roman" w:cs="Times New Roman"/>
          <w:sz w:val="24"/>
          <w:szCs w:val="24"/>
        </w:rPr>
        <w:t xml:space="preserve"> surface cell receptors that work in a similar way and have a common method of signalling, these are called G-protein coupled receptors (GPCR’s) and they bind many different ligands.  For </w:t>
      </w:r>
      <w:proofErr w:type="gramStart"/>
      <w:r>
        <w:rPr>
          <w:rFonts w:ascii="Times New Roman" w:hAnsi="Times New Roman" w:cs="Times New Roman"/>
          <w:sz w:val="24"/>
          <w:szCs w:val="24"/>
        </w:rPr>
        <w:t>e</w:t>
      </w:r>
      <w:r>
        <w:rPr>
          <w:rFonts w:ascii="Times New Roman" w:hAnsi="Times New Roman" w:cs="Times New Roman"/>
          <w:sz w:val="24"/>
          <w:szCs w:val="24"/>
        </w:rPr>
        <w:t>xample</w:t>
      </w:r>
      <w:proofErr w:type="gramEnd"/>
      <w:r>
        <w:rPr>
          <w:rFonts w:ascii="Times New Roman" w:hAnsi="Times New Roman" w:cs="Times New Roman"/>
          <w:sz w:val="24"/>
          <w:szCs w:val="24"/>
        </w:rPr>
        <w:t xml:space="preserve"> the scent receptor in the nose of which there are about 800 </w:t>
      </w:r>
      <w:r w:rsidR="00C84AAD">
        <w:rPr>
          <w:rFonts w:ascii="Times New Roman" w:hAnsi="Times New Roman" w:cs="Times New Roman"/>
          <w:sz w:val="24"/>
          <w:szCs w:val="24"/>
        </w:rPr>
        <w:t>receptors</w:t>
      </w:r>
      <w:r>
        <w:rPr>
          <w:rFonts w:ascii="Times New Roman" w:hAnsi="Times New Roman" w:cs="Times New Roman"/>
          <w:sz w:val="24"/>
          <w:szCs w:val="24"/>
        </w:rPr>
        <w:t xml:space="preserve"> in humans, and</w:t>
      </w:r>
      <w:r w:rsidR="00C84AAD">
        <w:rPr>
          <w:rFonts w:ascii="Times New Roman" w:hAnsi="Times New Roman" w:cs="Times New Roman"/>
          <w:sz w:val="24"/>
          <w:szCs w:val="24"/>
        </w:rPr>
        <w:t xml:space="preserve"> </w:t>
      </w:r>
      <w:r>
        <w:rPr>
          <w:rFonts w:ascii="Times New Roman" w:hAnsi="Times New Roman" w:cs="Times New Roman"/>
          <w:sz w:val="24"/>
          <w:szCs w:val="24"/>
        </w:rPr>
        <w:t xml:space="preserve">each will bind its own scent molecule and send a signal to the brain causing us to smell a </w:t>
      </w:r>
      <w:r w:rsidR="00C84AAD">
        <w:rPr>
          <w:rFonts w:ascii="Times New Roman" w:hAnsi="Times New Roman" w:cs="Times New Roman"/>
          <w:sz w:val="24"/>
          <w:szCs w:val="24"/>
        </w:rPr>
        <w:t xml:space="preserve">particular </w:t>
      </w:r>
      <w:r>
        <w:rPr>
          <w:rFonts w:ascii="Times New Roman" w:hAnsi="Times New Roman" w:cs="Times New Roman"/>
          <w:sz w:val="24"/>
          <w:szCs w:val="24"/>
        </w:rPr>
        <w:t>smell (Khan Academy, 2020).</w:t>
      </w:r>
      <w:r>
        <w:rPr>
          <w:rFonts w:ascii="Times New Roman" w:hAnsi="Times New Roman" w:cs="Times New Roman"/>
          <w:sz w:val="24"/>
          <w:szCs w:val="24"/>
        </w:rPr>
        <w:t xml:space="preserve">  </w:t>
      </w:r>
    </w:p>
    <w:p w14:paraId="5DB6E7A4" w14:textId="05F2CB40" w:rsidR="00F82334" w:rsidRDefault="00F82334" w:rsidP="00F82334">
      <w:pPr>
        <w:rPr>
          <w:rFonts w:ascii="Times New Roman" w:hAnsi="Times New Roman" w:cs="Times New Roman"/>
          <w:sz w:val="24"/>
          <w:szCs w:val="24"/>
        </w:rPr>
      </w:pPr>
      <w:r>
        <w:rPr>
          <w:rFonts w:ascii="Times New Roman" w:hAnsi="Times New Roman" w:cs="Times New Roman"/>
          <w:sz w:val="24"/>
          <w:szCs w:val="24"/>
        </w:rPr>
        <w:t>(10</w:t>
      </w:r>
      <w:r w:rsidR="008E3041">
        <w:rPr>
          <w:rFonts w:ascii="Times New Roman" w:hAnsi="Times New Roman" w:cs="Times New Roman"/>
          <w:sz w:val="24"/>
          <w:szCs w:val="24"/>
        </w:rPr>
        <w:t>65</w:t>
      </w:r>
      <w:r>
        <w:rPr>
          <w:rFonts w:ascii="Times New Roman" w:hAnsi="Times New Roman" w:cs="Times New Roman"/>
          <w:sz w:val="24"/>
          <w:szCs w:val="24"/>
        </w:rPr>
        <w:t>)</w:t>
      </w:r>
      <w:bookmarkStart w:id="0" w:name="_GoBack"/>
      <w:bookmarkEnd w:id="0"/>
    </w:p>
    <w:p w14:paraId="7FE6A60D" w14:textId="77777777" w:rsidR="00F82334" w:rsidRDefault="00F82334" w:rsidP="00F82334">
      <w:pPr>
        <w:rPr>
          <w:rFonts w:ascii="Times New Roman" w:hAnsi="Times New Roman" w:cs="Times New Roman"/>
          <w:sz w:val="24"/>
          <w:szCs w:val="24"/>
        </w:rPr>
      </w:pPr>
    </w:p>
    <w:p w14:paraId="7D409241" w14:textId="77777777" w:rsidR="00F82334" w:rsidRDefault="00F82334" w:rsidP="00F82334">
      <w:pPr>
        <w:jc w:val="center"/>
        <w:rPr>
          <w:rFonts w:ascii="Times New Roman" w:hAnsi="Times New Roman" w:cs="Times New Roman"/>
          <w:b/>
          <w:bCs/>
          <w:sz w:val="28"/>
          <w:szCs w:val="28"/>
        </w:rPr>
      </w:pPr>
      <w:r>
        <w:rPr>
          <w:rFonts w:ascii="Times New Roman" w:hAnsi="Times New Roman" w:cs="Times New Roman"/>
          <w:b/>
          <w:bCs/>
          <w:sz w:val="28"/>
          <w:szCs w:val="28"/>
        </w:rPr>
        <w:t>REFERENCES</w:t>
      </w:r>
    </w:p>
    <w:p w14:paraId="3137B4DC" w14:textId="77777777" w:rsidR="00F82334" w:rsidRDefault="00F82334" w:rsidP="00F82334">
      <w:pPr>
        <w:rPr>
          <w:rFonts w:ascii="Times New Roman" w:hAnsi="Times New Roman" w:cs="Times New Roman"/>
          <w:b/>
          <w:bCs/>
          <w:sz w:val="28"/>
          <w:szCs w:val="28"/>
        </w:rPr>
      </w:pPr>
    </w:p>
    <w:p w14:paraId="41222F78" w14:textId="77777777" w:rsidR="00F82334" w:rsidRPr="00944DDB" w:rsidRDefault="00F82334" w:rsidP="00F82334">
      <w:pPr>
        <w:rPr>
          <w:rFonts w:ascii="Times New Roman" w:hAnsi="Times New Roman" w:cs="Times New Roman"/>
          <w:sz w:val="28"/>
          <w:szCs w:val="28"/>
        </w:rPr>
      </w:pPr>
      <w:r>
        <w:rPr>
          <w:rFonts w:ascii="Times New Roman" w:hAnsi="Times New Roman" w:cs="Times New Roman"/>
          <w:sz w:val="28"/>
          <w:szCs w:val="28"/>
        </w:rPr>
        <w:t xml:space="preserve">Anthony, D.F. and </w:t>
      </w:r>
      <w:proofErr w:type="spellStart"/>
      <w:r>
        <w:rPr>
          <w:rFonts w:ascii="Times New Roman" w:hAnsi="Times New Roman" w:cs="Times New Roman"/>
          <w:sz w:val="28"/>
          <w:szCs w:val="28"/>
        </w:rPr>
        <w:t>Shiels</w:t>
      </w:r>
      <w:proofErr w:type="spellEnd"/>
      <w:r>
        <w:rPr>
          <w:rFonts w:ascii="Times New Roman" w:hAnsi="Times New Roman" w:cs="Times New Roman"/>
          <w:sz w:val="28"/>
          <w:szCs w:val="28"/>
        </w:rPr>
        <w:t xml:space="preserve">, P.G., (2013) </w:t>
      </w:r>
      <w:r w:rsidRPr="00044746">
        <w:rPr>
          <w:rFonts w:ascii="Times New Roman" w:hAnsi="Times New Roman" w:cs="Times New Roman"/>
          <w:i/>
          <w:iCs/>
          <w:sz w:val="28"/>
          <w:szCs w:val="28"/>
        </w:rPr>
        <w:t>Exploiting Paracrine Mechanisms of tissue regeneration to repair damaged organs.</w:t>
      </w:r>
      <w:r>
        <w:rPr>
          <w:rFonts w:ascii="Times New Roman" w:hAnsi="Times New Roman" w:cs="Times New Roman"/>
          <w:sz w:val="28"/>
          <w:szCs w:val="28"/>
        </w:rPr>
        <w:t xml:space="preserve"> Transplant res 2, 10 </w:t>
      </w:r>
      <w:hyperlink r:id="rId6" w:history="1">
        <w:r w:rsidRPr="00944DDB">
          <w:rPr>
            <w:rStyle w:val="Hyperlink"/>
            <w:rFonts w:ascii="Times New Roman" w:hAnsi="Times New Roman" w:cs="Times New Roman"/>
            <w:color w:val="000000" w:themeColor="text1"/>
            <w:sz w:val="28"/>
            <w:szCs w:val="28"/>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https://doi.org/10.1186/2047-1440-2-10</w:t>
        </w:r>
      </w:hyperlink>
    </w:p>
    <w:p w14:paraId="5783D660" w14:textId="77777777" w:rsidR="00F82334" w:rsidRDefault="00F82334" w:rsidP="00F82334">
      <w:pPr>
        <w:rPr>
          <w:rFonts w:ascii="Times New Roman" w:hAnsi="Times New Roman" w:cs="Times New Roman"/>
          <w:sz w:val="28"/>
          <w:szCs w:val="28"/>
        </w:rPr>
      </w:pPr>
    </w:p>
    <w:p w14:paraId="77C3FB29" w14:textId="77777777" w:rsidR="00F82334" w:rsidRDefault="00F82334" w:rsidP="00F82334">
      <w:pP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Barton, G.M. (2008). A Calculated</w:t>
      </w:r>
      <w:r>
        <w:rPr>
          <w:rFonts w:ascii="Times New Roman" w:hAnsi="Times New Roman" w:cs="Times New Roman"/>
          <w:b/>
          <w:b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Response: </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 of Information by the Innate Immune System</w:t>
      </w: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 Clin Invest 118 (2), 413-420 </w:t>
      </w:r>
      <w:hyperlink r:id="rId7" w:history="1">
        <w:r w:rsidRPr="00C262D5">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https://doi.org/10.1172/JCI34431</w:t>
        </w:r>
      </w:hyperlink>
      <w:r w:rsidRPr="00C262D5">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4874F61" w14:textId="77777777" w:rsidR="00F82334" w:rsidRDefault="00F82334" w:rsidP="00F82334">
      <w:pP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FCFCE7" w14:textId="77777777" w:rsidR="00F82334" w:rsidRDefault="00F82334" w:rsidP="00F82334">
      <w:pPr>
        <w:rPr>
          <w:rFonts w:ascii="Times New Roman" w:hAnsi="Times New Roman" w:cs="Times New Roman"/>
          <w:sz w:val="28"/>
          <w:szCs w:val="28"/>
        </w:rPr>
      </w:pPr>
      <w:r>
        <w:rPr>
          <w:rFonts w:ascii="Times New Roman" w:hAnsi="Times New Roman" w:cs="Times New Roman"/>
          <w:sz w:val="28"/>
          <w:szCs w:val="28"/>
        </w:rPr>
        <w:t xml:space="preserve">Chen, W.C. and </w:t>
      </w:r>
      <w:proofErr w:type="spellStart"/>
      <w:r>
        <w:rPr>
          <w:rFonts w:ascii="Times New Roman" w:hAnsi="Times New Roman" w:cs="Times New Roman"/>
          <w:sz w:val="28"/>
          <w:szCs w:val="28"/>
        </w:rPr>
        <w:t>Zouboulis</w:t>
      </w:r>
      <w:proofErr w:type="spellEnd"/>
      <w:r>
        <w:rPr>
          <w:rFonts w:ascii="Times New Roman" w:hAnsi="Times New Roman" w:cs="Times New Roman"/>
          <w:sz w:val="28"/>
          <w:szCs w:val="28"/>
        </w:rPr>
        <w:t xml:space="preserve">, C.C. (2009) Dermato-Endocrinology. Vol. 1. Iss.9 </w:t>
      </w:r>
      <w:r w:rsidRPr="00835FB5">
        <w:rPr>
          <w:rFonts w:ascii="Times New Roman" w:hAnsi="Times New Roman" w:cs="Times New Roman"/>
          <w:i/>
          <w:iCs/>
          <w:sz w:val="28"/>
          <w:szCs w:val="28"/>
        </w:rPr>
        <w:t>Hormones and the Pilosebaceous unit.</w:t>
      </w:r>
      <w:r>
        <w:rPr>
          <w:rFonts w:ascii="Times New Roman" w:hAnsi="Times New Roman" w:cs="Times New Roman"/>
          <w:sz w:val="28"/>
          <w:szCs w:val="28"/>
        </w:rPr>
        <w:t xml:space="preserve"> </w:t>
      </w:r>
      <w:proofErr w:type="spellStart"/>
      <w:r>
        <w:rPr>
          <w:rFonts w:ascii="Times New Roman" w:hAnsi="Times New Roman" w:cs="Times New Roman"/>
          <w:sz w:val="28"/>
          <w:szCs w:val="28"/>
        </w:rPr>
        <w:t>Pg</w:t>
      </w:r>
      <w:proofErr w:type="spellEnd"/>
      <w:r>
        <w:rPr>
          <w:rFonts w:ascii="Times New Roman" w:hAnsi="Times New Roman" w:cs="Times New Roman"/>
          <w:sz w:val="28"/>
          <w:szCs w:val="28"/>
        </w:rPr>
        <w:t xml:space="preserve"> 81-86. </w:t>
      </w:r>
    </w:p>
    <w:p w14:paraId="157EFA65" w14:textId="77777777" w:rsidR="00F82334" w:rsidRDefault="00F82334" w:rsidP="00F82334">
      <w:pPr>
        <w:rPr>
          <w:rFonts w:ascii="Times New Roman" w:hAnsi="Times New Roman" w:cs="Times New Roman"/>
          <w:sz w:val="28"/>
          <w:szCs w:val="28"/>
        </w:rPr>
      </w:pPr>
    </w:p>
    <w:p w14:paraId="4358AB50" w14:textId="28EAC7F4" w:rsidR="00F82334" w:rsidRDefault="00F82334" w:rsidP="00F82334">
      <w:pPr>
        <w:rPr>
          <w:rFonts w:ascii="Times New Roman" w:hAnsi="Times New Roman" w:cs="Times New Roman"/>
          <w:sz w:val="28"/>
          <w:szCs w:val="28"/>
        </w:rPr>
      </w:pPr>
      <w:r>
        <w:rPr>
          <w:rFonts w:ascii="Times New Roman" w:hAnsi="Times New Roman" w:cs="Times New Roman"/>
          <w:sz w:val="28"/>
          <w:szCs w:val="28"/>
        </w:rPr>
        <w:t xml:space="preserve">Cherry, K. 2019. Biological Psychology, </w:t>
      </w:r>
      <w:r>
        <w:rPr>
          <w:rFonts w:ascii="Times New Roman" w:hAnsi="Times New Roman" w:cs="Times New Roman"/>
          <w:i/>
          <w:iCs/>
          <w:sz w:val="28"/>
          <w:szCs w:val="28"/>
        </w:rPr>
        <w:t>The Nervous System and Endocrine System.</w:t>
      </w:r>
      <w:r>
        <w:rPr>
          <w:rFonts w:ascii="Times New Roman" w:hAnsi="Times New Roman" w:cs="Times New Roman"/>
          <w:sz w:val="28"/>
          <w:szCs w:val="28"/>
        </w:rPr>
        <w:t xml:space="preserve"> </w:t>
      </w:r>
      <w:hyperlink r:id="rId8" w:history="1">
        <w:r w:rsidRPr="008A5651">
          <w:rPr>
            <w:rStyle w:val="Hyperlink"/>
            <w:rFonts w:ascii="Times New Roman" w:hAnsi="Times New Roman" w:cs="Times New Roman"/>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https://verywellmind.com/thenervoussystemandendocrinesystem</w:t>
        </w:r>
      </w:hyperlink>
      <w:r w:rsidRPr="008A5651">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82663">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sz w:val="28"/>
          <w:szCs w:val="28"/>
        </w:rPr>
        <w:t>Accessed 17 March 2020</w:t>
      </w:r>
      <w:r w:rsidR="00082663">
        <w:rPr>
          <w:rFonts w:ascii="Times New Roman" w:hAnsi="Times New Roman" w:cs="Times New Roman"/>
          <w:sz w:val="28"/>
          <w:szCs w:val="28"/>
        </w:rPr>
        <w:t>).</w:t>
      </w:r>
    </w:p>
    <w:p w14:paraId="3BB105DD" w14:textId="77777777" w:rsidR="00F82334" w:rsidRDefault="00F82334" w:rsidP="00F82334">
      <w:pPr>
        <w:rPr>
          <w:rFonts w:ascii="Times New Roman" w:hAnsi="Times New Roman" w:cs="Times New Roman"/>
          <w:sz w:val="28"/>
          <w:szCs w:val="28"/>
        </w:rPr>
      </w:pPr>
    </w:p>
    <w:p w14:paraId="113AB50C" w14:textId="77777777" w:rsidR="00F82334" w:rsidRDefault="00F82334" w:rsidP="00F82334">
      <w:pPr>
        <w:rPr>
          <w:rFonts w:ascii="Times New Roman" w:hAnsi="Times New Roman" w:cs="Times New Roman"/>
          <w:sz w:val="28"/>
          <w:szCs w:val="28"/>
        </w:rPr>
      </w:pPr>
      <w:r>
        <w:rPr>
          <w:rFonts w:ascii="Times New Roman" w:hAnsi="Times New Roman" w:cs="Times New Roman"/>
          <w:sz w:val="28"/>
          <w:szCs w:val="28"/>
        </w:rPr>
        <w:t>Hancock, J.T. (2017) Cell Signalling. 4</w:t>
      </w:r>
      <w:r w:rsidRPr="008A5651">
        <w:rPr>
          <w:rFonts w:ascii="Times New Roman" w:hAnsi="Times New Roman" w:cs="Times New Roman"/>
          <w:sz w:val="28"/>
          <w:szCs w:val="28"/>
          <w:vertAlign w:val="superscript"/>
        </w:rPr>
        <w:t>th</w:t>
      </w:r>
      <w:r>
        <w:rPr>
          <w:rFonts w:ascii="Times New Roman" w:hAnsi="Times New Roman" w:cs="Times New Roman"/>
          <w:sz w:val="28"/>
          <w:szCs w:val="28"/>
        </w:rPr>
        <w:t xml:space="preserve"> </w:t>
      </w:r>
      <w:proofErr w:type="spellStart"/>
      <w:r>
        <w:rPr>
          <w:rFonts w:ascii="Times New Roman" w:hAnsi="Times New Roman" w:cs="Times New Roman"/>
          <w:sz w:val="28"/>
          <w:szCs w:val="28"/>
        </w:rPr>
        <w:t>edn</w:t>
      </w:r>
      <w:proofErr w:type="spellEnd"/>
      <w:r>
        <w:rPr>
          <w:rFonts w:ascii="Times New Roman" w:hAnsi="Times New Roman" w:cs="Times New Roman"/>
          <w:sz w:val="28"/>
          <w:szCs w:val="28"/>
        </w:rPr>
        <w:t>. Oxford University Press.</w:t>
      </w:r>
    </w:p>
    <w:p w14:paraId="144044F6" w14:textId="77777777" w:rsidR="00F82334" w:rsidRDefault="00F82334" w:rsidP="00F82334">
      <w:pPr>
        <w:rPr>
          <w:rFonts w:ascii="Times New Roman" w:hAnsi="Times New Roman" w:cs="Times New Roman"/>
          <w:sz w:val="28"/>
          <w:szCs w:val="28"/>
        </w:rPr>
      </w:pPr>
    </w:p>
    <w:p w14:paraId="00A23C4E" w14:textId="77777777" w:rsidR="00F82334" w:rsidRDefault="00F82334" w:rsidP="00F82334">
      <w:pP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Khan Academy (2020) Cell Signalling. </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Cells Signal to each other.</w:t>
      </w: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http//www.khanacademy.org/science/biology/cell-signalling/mechanisms-of-cell-signalling (Accessed: 25 March 2020).</w:t>
      </w:r>
    </w:p>
    <w:p w14:paraId="6AF032E2" w14:textId="77777777" w:rsidR="00F82334" w:rsidRDefault="00F82334" w:rsidP="00F82334">
      <w:pP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DCEAF0" w14:textId="77777777" w:rsidR="00F82334" w:rsidRDefault="00F82334" w:rsidP="00F82334">
      <w:pP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Meadows, J. and Willis, B., (2012) </w:t>
      </w:r>
      <w:r w:rsidRPr="00044746">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Control Leptin and </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044746">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ontrol </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044746">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Lean</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044746">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ess</w:t>
      </w:r>
      <w:r>
        <w:rPr>
          <w:rFonts w:ascii="Times New Roman" w:hAnsi="Times New Roman" w:cs="Times New Roman"/>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52DA852" w14:textId="77777777" w:rsidR="00F82334" w:rsidRPr="008A6FE2" w:rsidRDefault="00F82334" w:rsidP="00F82334">
      <w:pPr>
        <w:rPr>
          <w:rFonts w:ascii="Times New Roman" w:hAnsi="Times New Roman" w:cs="Times New Roman"/>
          <w:sz w:val="28"/>
          <w:szCs w:val="28"/>
        </w:rPr>
      </w:pPr>
    </w:p>
    <w:p w14:paraId="439F0EEE" w14:textId="77777777" w:rsidR="00F82334" w:rsidRDefault="00F82334" w:rsidP="00F82334">
      <w:pPr>
        <w:rPr>
          <w:rFonts w:ascii="Times New Roman" w:hAnsi="Times New Roman" w:cs="Times New Roman"/>
          <w:sz w:val="24"/>
          <w:szCs w:val="24"/>
        </w:rPr>
      </w:pPr>
    </w:p>
    <w:p w14:paraId="480CA2B1" w14:textId="77777777" w:rsidR="00F82334" w:rsidRDefault="00F82334" w:rsidP="00F82334">
      <w:pPr>
        <w:rPr>
          <w:rFonts w:ascii="Times New Roman" w:hAnsi="Times New Roman" w:cs="Times New Roman"/>
          <w:sz w:val="24"/>
          <w:szCs w:val="24"/>
        </w:rPr>
      </w:pPr>
    </w:p>
    <w:p w14:paraId="14E6D6AE" w14:textId="27CA3F29" w:rsidR="00D93C7E" w:rsidRDefault="00D93C7E"/>
    <w:sectPr w:rsidR="00D93C7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F2AC7C" w14:textId="77777777" w:rsidR="008B2539" w:rsidRDefault="008B2539" w:rsidP="00F82334">
      <w:pPr>
        <w:spacing w:after="0" w:line="240" w:lineRule="auto"/>
      </w:pPr>
      <w:r>
        <w:separator/>
      </w:r>
    </w:p>
  </w:endnote>
  <w:endnote w:type="continuationSeparator" w:id="0">
    <w:p w14:paraId="78453139" w14:textId="77777777" w:rsidR="008B2539" w:rsidRDefault="008B2539" w:rsidP="00F82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8840529"/>
      <w:docPartObj>
        <w:docPartGallery w:val="Page Numbers (Bottom of Page)"/>
        <w:docPartUnique/>
      </w:docPartObj>
    </w:sdtPr>
    <w:sdtEndPr>
      <w:rPr>
        <w:noProof/>
      </w:rPr>
    </w:sdtEndPr>
    <w:sdtContent>
      <w:p w14:paraId="358AFF21" w14:textId="7B75CBDA" w:rsidR="00F82334" w:rsidRDefault="00F823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6708B" w14:textId="77777777" w:rsidR="00F82334" w:rsidRDefault="00F82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D2FD8C" w14:textId="77777777" w:rsidR="008B2539" w:rsidRDefault="008B2539" w:rsidP="00F82334">
      <w:pPr>
        <w:spacing w:after="0" w:line="240" w:lineRule="auto"/>
      </w:pPr>
      <w:r>
        <w:separator/>
      </w:r>
    </w:p>
  </w:footnote>
  <w:footnote w:type="continuationSeparator" w:id="0">
    <w:p w14:paraId="580E33B8" w14:textId="77777777" w:rsidR="008B2539" w:rsidRDefault="008B2539" w:rsidP="00F823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C7E"/>
    <w:rsid w:val="00082663"/>
    <w:rsid w:val="008B2539"/>
    <w:rsid w:val="008E3041"/>
    <w:rsid w:val="00C84AAD"/>
    <w:rsid w:val="00D93C7E"/>
    <w:rsid w:val="00E34DB0"/>
    <w:rsid w:val="00F82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87685"/>
  <w15:chartTrackingRefBased/>
  <w15:docId w15:val="{68F100CB-E7A4-42C4-AEAF-1680AF00C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334"/>
    <w:rPr>
      <w:color w:val="0563C1" w:themeColor="hyperlink"/>
      <w:u w:val="single"/>
    </w:rPr>
  </w:style>
  <w:style w:type="paragraph" w:styleId="Header">
    <w:name w:val="header"/>
    <w:basedOn w:val="Normal"/>
    <w:link w:val="HeaderChar"/>
    <w:uiPriority w:val="99"/>
    <w:unhideWhenUsed/>
    <w:rsid w:val="00F82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2334"/>
  </w:style>
  <w:style w:type="paragraph" w:styleId="Footer">
    <w:name w:val="footer"/>
    <w:basedOn w:val="Normal"/>
    <w:link w:val="FooterChar"/>
    <w:uiPriority w:val="99"/>
    <w:unhideWhenUsed/>
    <w:rsid w:val="00F82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2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erywellmind.com/thenervoussystemandendocrinesystem" TargetMode="External"/><Relationship Id="rId3" Type="http://schemas.openxmlformats.org/officeDocument/2006/relationships/webSettings" Target="webSettings.xml"/><Relationship Id="rId7" Type="http://schemas.openxmlformats.org/officeDocument/2006/relationships/hyperlink" Target="https://doi.org/10.1172/JCI3443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2047-1440-2-1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1398</Words>
  <Characters>7974</Characters>
  <Application>Microsoft Office Word</Application>
  <DocSecurity>0</DocSecurity>
  <Lines>66</Lines>
  <Paragraphs>18</Paragraphs>
  <ScaleCrop>false</ScaleCrop>
  <Company/>
  <LinksUpToDate>false</LinksUpToDate>
  <CharactersWithSpaces>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6</cp:revision>
  <dcterms:created xsi:type="dcterms:W3CDTF">2020-03-26T12:08:00Z</dcterms:created>
  <dcterms:modified xsi:type="dcterms:W3CDTF">2020-03-26T12:57:00Z</dcterms:modified>
</cp:coreProperties>
</file>