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43906DC9" w:rsidR="00C82C1C" w:rsidRPr="005961CA" w:rsidRDefault="00C82C1C" w:rsidP="005961CA">
      <w:pPr>
        <w:spacing w:line="480" w:lineRule="auto"/>
        <w:jc w:val="both"/>
        <w:rPr>
          <w:b/>
          <w:sz w:val="44"/>
          <w:szCs w:val="44"/>
        </w:rPr>
      </w:pPr>
    </w:p>
    <w:p w14:paraId="0A37501D" w14:textId="77777777" w:rsidR="00C82C1C" w:rsidRPr="005961CA" w:rsidRDefault="00C82C1C" w:rsidP="005961CA">
      <w:pPr>
        <w:spacing w:line="360" w:lineRule="auto"/>
        <w:jc w:val="both"/>
        <w:rPr>
          <w:b/>
          <w:sz w:val="44"/>
          <w:szCs w:val="44"/>
        </w:rPr>
      </w:pPr>
    </w:p>
    <w:p w14:paraId="39518EAC" w14:textId="4CD476BD" w:rsidR="00E71903" w:rsidRPr="00D73741" w:rsidRDefault="005C04A3" w:rsidP="005961CA">
      <w:pPr>
        <w:jc w:val="both"/>
        <w:rPr>
          <w:b/>
          <w:iCs/>
          <w:sz w:val="56"/>
          <w:szCs w:val="48"/>
        </w:rPr>
      </w:pPr>
      <w:r w:rsidRPr="00D73741">
        <w:rPr>
          <w:b/>
          <w:iCs/>
          <w:sz w:val="56"/>
          <w:szCs w:val="48"/>
        </w:rPr>
        <w:t>Gamer Girls</w:t>
      </w:r>
      <w:r w:rsidR="00E71903" w:rsidRPr="00D73741">
        <w:rPr>
          <w:b/>
          <w:iCs/>
          <w:sz w:val="56"/>
          <w:szCs w:val="48"/>
        </w:rPr>
        <w:t>:</w:t>
      </w:r>
    </w:p>
    <w:p w14:paraId="2210D4F3" w14:textId="633BBCC5" w:rsidR="00E71903" w:rsidRPr="00D73741" w:rsidRDefault="00AD5C5B" w:rsidP="005961CA">
      <w:pPr>
        <w:jc w:val="both"/>
        <w:rPr>
          <w:b/>
          <w:i/>
          <w:iCs/>
          <w:sz w:val="56"/>
          <w:szCs w:val="48"/>
        </w:rPr>
      </w:pPr>
      <w:r w:rsidRPr="00D73741">
        <w:rPr>
          <w:b/>
          <w:i/>
          <w:iCs/>
          <w:sz w:val="56"/>
          <w:szCs w:val="48"/>
        </w:rPr>
        <w:t>Women, Misogyny and Online Gaming</w:t>
      </w:r>
    </w:p>
    <w:p w14:paraId="5DAB6C7B" w14:textId="77777777" w:rsidR="00E71903" w:rsidRPr="00D73741" w:rsidRDefault="00E71903" w:rsidP="005961CA">
      <w:pPr>
        <w:jc w:val="both"/>
        <w:rPr>
          <w:b/>
          <w:i/>
          <w:iCs/>
          <w:sz w:val="56"/>
          <w:szCs w:val="48"/>
        </w:rPr>
      </w:pPr>
    </w:p>
    <w:p w14:paraId="02EB378F" w14:textId="77777777" w:rsidR="00C82C1C" w:rsidRPr="00D73741" w:rsidRDefault="00C82C1C" w:rsidP="005961CA">
      <w:pPr>
        <w:jc w:val="both"/>
        <w:rPr>
          <w:b/>
          <w:sz w:val="56"/>
          <w:szCs w:val="48"/>
        </w:rPr>
      </w:pPr>
    </w:p>
    <w:p w14:paraId="6A05A809" w14:textId="77777777" w:rsidR="00C82C1C" w:rsidRPr="00D73741" w:rsidRDefault="00C82C1C" w:rsidP="005961CA">
      <w:pPr>
        <w:spacing w:line="480" w:lineRule="auto"/>
        <w:jc w:val="both"/>
        <w:rPr>
          <w:i/>
        </w:rPr>
      </w:pPr>
    </w:p>
    <w:p w14:paraId="5A39BBE3" w14:textId="77777777" w:rsidR="00C82C1C" w:rsidRPr="00D73741" w:rsidRDefault="00C82C1C" w:rsidP="005961CA">
      <w:pPr>
        <w:spacing w:line="480" w:lineRule="auto"/>
        <w:jc w:val="both"/>
        <w:rPr>
          <w:i/>
        </w:rPr>
      </w:pPr>
    </w:p>
    <w:p w14:paraId="41C8F396" w14:textId="77777777" w:rsidR="00C82C1C" w:rsidRPr="00D73741" w:rsidRDefault="00C82C1C" w:rsidP="005961CA">
      <w:pPr>
        <w:spacing w:line="480" w:lineRule="auto"/>
        <w:jc w:val="both"/>
        <w:rPr>
          <w:i/>
        </w:rPr>
      </w:pPr>
    </w:p>
    <w:p w14:paraId="72A3D3EC" w14:textId="77777777" w:rsidR="00C82C1C" w:rsidRPr="00D73741" w:rsidRDefault="00C82C1C" w:rsidP="005961CA">
      <w:pPr>
        <w:spacing w:line="480" w:lineRule="auto"/>
        <w:jc w:val="both"/>
        <w:rPr>
          <w:i/>
        </w:rPr>
      </w:pPr>
    </w:p>
    <w:p w14:paraId="0D0B940D" w14:textId="77777777" w:rsidR="00C82C1C" w:rsidRPr="00D73741" w:rsidRDefault="00C82C1C" w:rsidP="005961CA">
      <w:pPr>
        <w:spacing w:line="480" w:lineRule="auto"/>
        <w:jc w:val="both"/>
        <w:rPr>
          <w:i/>
        </w:rPr>
      </w:pPr>
    </w:p>
    <w:p w14:paraId="0E27B00A" w14:textId="77777777" w:rsidR="00C82C1C" w:rsidRPr="00D73741" w:rsidRDefault="00C82C1C" w:rsidP="005961CA">
      <w:pPr>
        <w:spacing w:line="480" w:lineRule="auto"/>
        <w:jc w:val="both"/>
        <w:rPr>
          <w:i/>
        </w:rPr>
      </w:pPr>
    </w:p>
    <w:p w14:paraId="60061E4C" w14:textId="77777777" w:rsidR="00C82C1C" w:rsidRPr="00D73741" w:rsidRDefault="00C82C1C" w:rsidP="005961CA">
      <w:pPr>
        <w:spacing w:line="480" w:lineRule="auto"/>
        <w:jc w:val="both"/>
        <w:rPr>
          <w:i/>
        </w:rPr>
      </w:pPr>
    </w:p>
    <w:p w14:paraId="2803A0C2" w14:textId="77777777" w:rsidR="0014719A" w:rsidRPr="00D73741" w:rsidRDefault="00E71903" w:rsidP="005961CA">
      <w:pPr>
        <w:ind w:left="3" w:hanging="5"/>
        <w:jc w:val="both"/>
        <w:rPr>
          <w:sz w:val="52"/>
          <w:szCs w:val="52"/>
        </w:rPr>
      </w:pPr>
      <w:r w:rsidRPr="00D73741">
        <w:rPr>
          <w:i/>
          <w:sz w:val="52"/>
          <w:szCs w:val="52"/>
        </w:rPr>
        <w:t>Bethan James</w:t>
      </w:r>
    </w:p>
    <w:p w14:paraId="44EAFD9C" w14:textId="77777777" w:rsidR="00C82C1C" w:rsidRPr="00D73741" w:rsidRDefault="00C82C1C" w:rsidP="005961CA">
      <w:pPr>
        <w:spacing w:line="480" w:lineRule="auto"/>
        <w:jc w:val="both"/>
        <w:rPr>
          <w:i/>
        </w:rPr>
      </w:pPr>
    </w:p>
    <w:p w14:paraId="45F8104C" w14:textId="77777777" w:rsidR="00C82C1C" w:rsidRPr="00D73741" w:rsidRDefault="001E293E" w:rsidP="005961CA">
      <w:pPr>
        <w:spacing w:line="480" w:lineRule="auto"/>
        <w:jc w:val="both"/>
        <w:rPr>
          <w:b/>
          <w:i/>
          <w:sz w:val="48"/>
          <w:szCs w:val="48"/>
        </w:rPr>
      </w:pPr>
      <w:r w:rsidRPr="00D73741">
        <w:rPr>
          <w:b/>
          <w:i/>
          <w:sz w:val="48"/>
          <w:szCs w:val="48"/>
        </w:rPr>
        <w:t>EC</w:t>
      </w:r>
      <w:r w:rsidR="008812AD" w:rsidRPr="00D73741">
        <w:rPr>
          <w:b/>
          <w:i/>
          <w:sz w:val="48"/>
          <w:szCs w:val="48"/>
        </w:rPr>
        <w:t>GE</w:t>
      </w:r>
      <w:r w:rsidRPr="00D73741">
        <w:rPr>
          <w:b/>
          <w:i/>
          <w:sz w:val="48"/>
          <w:szCs w:val="48"/>
        </w:rPr>
        <w:t>7002Q</w:t>
      </w:r>
    </w:p>
    <w:p w14:paraId="4B94D5A5" w14:textId="77777777" w:rsidR="00C82C1C" w:rsidRPr="00D73741" w:rsidRDefault="00C82C1C" w:rsidP="005961CA">
      <w:pPr>
        <w:spacing w:line="360" w:lineRule="auto"/>
        <w:jc w:val="both"/>
        <w:rPr>
          <w:i/>
        </w:rPr>
      </w:pPr>
    </w:p>
    <w:p w14:paraId="596C1B69" w14:textId="1BC01DC6" w:rsidR="00336DCA" w:rsidRPr="00D73741" w:rsidRDefault="00AD5C5B" w:rsidP="005961CA">
      <w:pPr>
        <w:spacing w:line="360" w:lineRule="auto"/>
        <w:jc w:val="both"/>
        <w:rPr>
          <w:b/>
          <w:bCs/>
          <w:i/>
          <w:color w:val="00B050"/>
          <w:sz w:val="56"/>
          <w:szCs w:val="56"/>
        </w:rPr>
      </w:pPr>
      <w:r w:rsidRPr="00D73741">
        <w:rPr>
          <w:i/>
          <w:sz w:val="40"/>
          <w:szCs w:val="40"/>
        </w:rPr>
        <w:t>28 February 2025</w:t>
      </w:r>
      <w:r w:rsidR="00336DCA" w:rsidRPr="00D73741">
        <w:rPr>
          <w:b/>
          <w:bCs/>
          <w:color w:val="00B050"/>
          <w:sz w:val="32"/>
          <w:szCs w:val="32"/>
        </w:rPr>
        <w:t>.</w:t>
      </w:r>
    </w:p>
    <w:p w14:paraId="77D8EA5B" w14:textId="77777777" w:rsidR="00C82C1C" w:rsidRPr="00D73741" w:rsidRDefault="00C910FD" w:rsidP="005961CA">
      <w:pPr>
        <w:spacing w:line="360" w:lineRule="auto"/>
        <w:jc w:val="both"/>
        <w:rPr>
          <w:i/>
          <w:sz w:val="40"/>
          <w:szCs w:val="40"/>
        </w:rPr>
      </w:pPr>
      <w:r w:rsidRPr="00D73741">
        <w:rPr>
          <w:i/>
          <w:sz w:val="40"/>
          <w:szCs w:val="40"/>
        </w:rPr>
        <w:t>The Institute of</w:t>
      </w:r>
      <w:r w:rsidR="009C0C80" w:rsidRPr="00D73741">
        <w:rPr>
          <w:i/>
          <w:sz w:val="40"/>
          <w:szCs w:val="40"/>
        </w:rPr>
        <w:t xml:space="preserve"> Education and Humanities </w:t>
      </w:r>
    </w:p>
    <w:p w14:paraId="3DEEC669" w14:textId="77777777" w:rsidR="003366DD" w:rsidRPr="00D73741" w:rsidRDefault="003366DD" w:rsidP="005961CA">
      <w:pPr>
        <w:ind w:left="720"/>
        <w:jc w:val="both"/>
        <w:rPr>
          <w:b/>
        </w:rPr>
      </w:pPr>
      <w:r w:rsidRPr="00D73741">
        <w:rPr>
          <w:i/>
          <w:sz w:val="40"/>
          <w:szCs w:val="40"/>
        </w:rPr>
        <w:br w:type="page"/>
      </w:r>
    </w:p>
    <w:p w14:paraId="49D1ED98" w14:textId="77777777" w:rsidR="003366DD" w:rsidRPr="00D73741" w:rsidRDefault="003366DD" w:rsidP="005961CA">
      <w:pPr>
        <w:spacing w:line="480" w:lineRule="auto"/>
        <w:jc w:val="both"/>
        <w:outlineLvl w:val="0"/>
        <w:rPr>
          <w:b/>
        </w:rPr>
      </w:pPr>
      <w:bookmarkStart w:id="0" w:name="_Toc176262628"/>
      <w:r w:rsidRPr="00D73741">
        <w:rPr>
          <w:b/>
        </w:rPr>
        <w:lastRenderedPageBreak/>
        <w:t>DECLARATION FORM</w:t>
      </w:r>
      <w:bookmarkEnd w:id="0"/>
    </w:p>
    <w:p w14:paraId="088F35FF" w14:textId="77777777" w:rsidR="007269DD" w:rsidRPr="00D73741" w:rsidRDefault="007269DD" w:rsidP="005961CA">
      <w:pPr>
        <w:spacing w:line="480" w:lineRule="auto"/>
        <w:jc w:val="both"/>
        <w:outlineLvl w:val="0"/>
        <w:rPr>
          <w:b/>
        </w:rPr>
      </w:pPr>
    </w:p>
    <w:p w14:paraId="0925A5FA" w14:textId="77777777" w:rsidR="007269DD" w:rsidRPr="00D73741" w:rsidRDefault="007269DD" w:rsidP="005961CA">
      <w:pPr>
        <w:spacing w:line="480" w:lineRule="auto"/>
        <w:jc w:val="both"/>
        <w:outlineLvl w:val="0"/>
        <w:rPr>
          <w:b/>
        </w:rPr>
      </w:pPr>
    </w:p>
    <w:p w14:paraId="3656B9AB" w14:textId="77777777" w:rsidR="003366DD" w:rsidRPr="00D73741" w:rsidRDefault="003B5EBB" w:rsidP="005961CA">
      <w:pPr>
        <w:jc w:val="both"/>
      </w:pPr>
      <w:r w:rsidRPr="00D73741">
        <w:rPr>
          <w:noProof/>
        </w:rPr>
        <w:drawing>
          <wp:inline distT="0" distB="0" distL="0" distR="0" wp14:anchorId="22D62426" wp14:editId="07777777">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45FB0818" w14:textId="77777777" w:rsidR="003366DD" w:rsidRPr="00D73741" w:rsidRDefault="003366DD" w:rsidP="005961CA">
      <w:pPr>
        <w:jc w:val="both"/>
      </w:pPr>
    </w:p>
    <w:p w14:paraId="049F31CB" w14:textId="77777777" w:rsidR="003366DD" w:rsidRPr="00D73741" w:rsidRDefault="003366DD" w:rsidP="005961CA">
      <w:pPr>
        <w:jc w:val="both"/>
      </w:pPr>
    </w:p>
    <w:p w14:paraId="53128261" w14:textId="77777777" w:rsidR="003366DD" w:rsidRPr="00D73741" w:rsidRDefault="003366DD" w:rsidP="005961CA">
      <w:pPr>
        <w:jc w:val="both"/>
        <w:rPr>
          <w:b/>
          <w:bCs/>
        </w:rPr>
      </w:pPr>
    </w:p>
    <w:p w14:paraId="62486C05" w14:textId="77777777" w:rsidR="003366DD" w:rsidRPr="00D73741" w:rsidRDefault="003366DD" w:rsidP="005961CA">
      <w:pPr>
        <w:jc w:val="both"/>
        <w:rPr>
          <w:b/>
          <w:bCs/>
        </w:rPr>
      </w:pPr>
    </w:p>
    <w:p w14:paraId="4101652C" w14:textId="77777777" w:rsidR="003366DD" w:rsidRPr="00D73741" w:rsidRDefault="003366DD" w:rsidP="005961CA">
      <w:pPr>
        <w:jc w:val="both"/>
        <w:rPr>
          <w:b/>
          <w:bCs/>
        </w:rPr>
      </w:pPr>
    </w:p>
    <w:p w14:paraId="5A619D25" w14:textId="77777777" w:rsidR="00012FE7" w:rsidRPr="00D73741" w:rsidRDefault="00012FE7" w:rsidP="005961CA">
      <w:pPr>
        <w:jc w:val="both"/>
      </w:pPr>
      <w:r w:rsidRPr="00D73741">
        <w:t>Master’s Degrees by Examination and Dissertation</w:t>
      </w:r>
    </w:p>
    <w:p w14:paraId="1C1383ED" w14:textId="77777777" w:rsidR="00012FE7" w:rsidRPr="00D73741" w:rsidRDefault="00012FE7" w:rsidP="005961CA">
      <w:pPr>
        <w:jc w:val="both"/>
      </w:pPr>
      <w:r w:rsidRPr="00D73741">
        <w:t>Declaration Form.</w:t>
      </w:r>
    </w:p>
    <w:p w14:paraId="4B99056E" w14:textId="77777777" w:rsidR="00012FE7" w:rsidRPr="00D73741" w:rsidRDefault="00012FE7" w:rsidP="005961CA">
      <w:pPr>
        <w:jc w:val="both"/>
      </w:pPr>
    </w:p>
    <w:p w14:paraId="4638B088" w14:textId="77777777" w:rsidR="00012FE7" w:rsidRPr="00D73741" w:rsidRDefault="00012FE7" w:rsidP="005961CA">
      <w:pPr>
        <w:jc w:val="both"/>
      </w:pPr>
      <w:r w:rsidRPr="00D73741">
        <w:t>1. This work has not previously been accepted in substance for any degree and is not being concurrently submitted in candidature for any degree.</w:t>
      </w:r>
    </w:p>
    <w:p w14:paraId="27651EFC" w14:textId="51C71DA9" w:rsidR="00012FE7" w:rsidRPr="00D73741" w:rsidRDefault="00012FE7" w:rsidP="005961CA">
      <w:pPr>
        <w:jc w:val="both"/>
      </w:pPr>
      <w:r w:rsidRPr="00D73741">
        <w:t>Signed…</w:t>
      </w:r>
      <w:r w:rsidR="00AC4AC5" w:rsidRPr="00D73741">
        <w:t>B James</w:t>
      </w:r>
      <w:r w:rsidRPr="00D73741">
        <w:t>….………………………………………………………………………...</w:t>
      </w:r>
    </w:p>
    <w:p w14:paraId="2E0DEC87" w14:textId="240CC7B0" w:rsidR="00012FE7" w:rsidRPr="00D73741" w:rsidRDefault="00012FE7" w:rsidP="005961CA">
      <w:pPr>
        <w:jc w:val="both"/>
      </w:pPr>
      <w:r w:rsidRPr="00D73741">
        <w:t xml:space="preserve">Date </w:t>
      </w:r>
      <w:r w:rsidR="00AC4AC5" w:rsidRPr="00D73741">
        <w:t>28/02/2025</w:t>
      </w:r>
      <w:r w:rsidRPr="00D73741">
        <w:t>…………………………………………………………………………...</w:t>
      </w:r>
    </w:p>
    <w:p w14:paraId="1299C43A" w14:textId="77777777" w:rsidR="00012FE7" w:rsidRPr="00D73741" w:rsidRDefault="00012FE7" w:rsidP="005961CA">
      <w:pPr>
        <w:jc w:val="both"/>
      </w:pPr>
    </w:p>
    <w:p w14:paraId="0376DABC" w14:textId="5EC2C15F" w:rsidR="00012FE7" w:rsidRPr="00D73741" w:rsidRDefault="00012FE7" w:rsidP="005961CA">
      <w:pPr>
        <w:jc w:val="both"/>
      </w:pPr>
      <w:r w:rsidRPr="00D73741">
        <w:t>2. This dissertation is being submitted in partial fulfilment of the requirements for the degree of  …</w:t>
      </w:r>
      <w:r w:rsidR="004A2EEB" w:rsidRPr="00D73741">
        <w:t>MA Equity and Diversity in Society</w:t>
      </w:r>
      <w:r w:rsidRPr="00D73741">
        <w:t>……………………….................</w:t>
      </w:r>
    </w:p>
    <w:p w14:paraId="03B5C689" w14:textId="099B4D16" w:rsidR="00012FE7" w:rsidRPr="00D73741" w:rsidRDefault="00012FE7" w:rsidP="005961CA">
      <w:pPr>
        <w:jc w:val="both"/>
      </w:pPr>
      <w:r w:rsidRPr="00D73741">
        <w:t>Signed  …</w:t>
      </w:r>
      <w:r w:rsidR="004A2EEB" w:rsidRPr="00D73741">
        <w:t>B James</w:t>
      </w:r>
      <w:r w:rsidRPr="00D73741">
        <w:t>………………………………………………………………………….</w:t>
      </w:r>
    </w:p>
    <w:p w14:paraId="5343F447" w14:textId="0CF9E165" w:rsidR="00012FE7" w:rsidRPr="00D73741" w:rsidRDefault="00012FE7" w:rsidP="005961CA">
      <w:pPr>
        <w:jc w:val="both"/>
      </w:pPr>
      <w:r w:rsidRPr="00D73741">
        <w:t>Date  ……</w:t>
      </w:r>
      <w:r w:rsidR="0096670D" w:rsidRPr="00D73741">
        <w:t>28/02/2025</w:t>
      </w:r>
      <w:r w:rsidRPr="00D73741">
        <w:t>………………………………………………..…………...</w:t>
      </w:r>
    </w:p>
    <w:p w14:paraId="4DDBEF00" w14:textId="77777777" w:rsidR="00012FE7" w:rsidRPr="00D73741" w:rsidRDefault="00012FE7" w:rsidP="005961CA">
      <w:pPr>
        <w:jc w:val="both"/>
      </w:pPr>
    </w:p>
    <w:p w14:paraId="09CB847D" w14:textId="77777777" w:rsidR="00012FE7" w:rsidRPr="00D73741" w:rsidRDefault="00012FE7" w:rsidP="005961CA">
      <w:pPr>
        <w:jc w:val="both"/>
      </w:pPr>
      <w:r w:rsidRPr="00D73741">
        <w:t>3. This dissertation is the result of my own independent work/investigation, except where otherwise stated.</w:t>
      </w:r>
    </w:p>
    <w:p w14:paraId="05B49038" w14:textId="77777777" w:rsidR="00012FE7" w:rsidRPr="00D73741" w:rsidRDefault="00012FE7" w:rsidP="005961CA">
      <w:pPr>
        <w:jc w:val="both"/>
      </w:pPr>
      <w:r w:rsidRPr="00D73741">
        <w:t xml:space="preserve">Other sources are acknowledged by footnotes giving explicit references. </w:t>
      </w:r>
    </w:p>
    <w:p w14:paraId="1BBBB654" w14:textId="77777777" w:rsidR="00012FE7" w:rsidRPr="00D73741" w:rsidRDefault="00012FE7" w:rsidP="005961CA">
      <w:pPr>
        <w:jc w:val="both"/>
      </w:pPr>
      <w:r w:rsidRPr="00D73741">
        <w:t>A reference list is appended.</w:t>
      </w:r>
    </w:p>
    <w:p w14:paraId="05F83240" w14:textId="33B09B00" w:rsidR="00012FE7" w:rsidRPr="00D73741" w:rsidRDefault="00012FE7" w:rsidP="005961CA">
      <w:pPr>
        <w:jc w:val="both"/>
      </w:pPr>
      <w:r w:rsidRPr="00D73741">
        <w:t>Signed candidate:  …</w:t>
      </w:r>
      <w:r w:rsidR="0096670D" w:rsidRPr="00D73741">
        <w:t>B James</w:t>
      </w:r>
      <w:r w:rsidRPr="00D73741">
        <w:t>…………………………………………….……………….</w:t>
      </w:r>
    </w:p>
    <w:p w14:paraId="455B822E" w14:textId="1D365491" w:rsidR="00012FE7" w:rsidRPr="00D73741" w:rsidRDefault="00012FE7" w:rsidP="005961CA">
      <w:pPr>
        <w:jc w:val="both"/>
      </w:pPr>
      <w:r w:rsidRPr="00D73741">
        <w:t>Date:  …</w:t>
      </w:r>
      <w:r w:rsidR="0096670D" w:rsidRPr="00D73741">
        <w:t>28/02/2025</w:t>
      </w:r>
      <w:r w:rsidRPr="00D73741">
        <w:t>………………………………………………….……………………….</w:t>
      </w:r>
    </w:p>
    <w:p w14:paraId="3461D779" w14:textId="77777777" w:rsidR="00012FE7" w:rsidRPr="00D73741" w:rsidRDefault="00012FE7" w:rsidP="005961CA">
      <w:pPr>
        <w:jc w:val="both"/>
      </w:pPr>
    </w:p>
    <w:p w14:paraId="21F79488" w14:textId="77777777" w:rsidR="00012FE7" w:rsidRPr="00D73741" w:rsidRDefault="00012FE7" w:rsidP="005961CA">
      <w:pPr>
        <w:jc w:val="both"/>
      </w:pPr>
      <w:r w:rsidRPr="00D73741">
        <w:t xml:space="preserve">4. I hereby give consent for my dissertation, if accepted, to be available for photocopying,  inter- library loan, and for deposit in the University’s digital repository </w:t>
      </w:r>
    </w:p>
    <w:p w14:paraId="640C84EE" w14:textId="75B288AE" w:rsidR="00012FE7" w:rsidRPr="00D73741" w:rsidRDefault="00012FE7" w:rsidP="005961CA">
      <w:pPr>
        <w:jc w:val="both"/>
      </w:pPr>
      <w:r w:rsidRPr="00D73741">
        <w:t>Signed (candidate)…</w:t>
      </w:r>
      <w:r w:rsidR="0096670D" w:rsidRPr="00D73741">
        <w:t>B James</w:t>
      </w:r>
      <w:r w:rsidRPr="00D73741">
        <w:t>…………………………………….………….…………...</w:t>
      </w:r>
    </w:p>
    <w:p w14:paraId="3444CF6F" w14:textId="0B5BE874" w:rsidR="00012FE7" w:rsidRPr="00D73741" w:rsidRDefault="00012FE7" w:rsidP="005961CA">
      <w:pPr>
        <w:jc w:val="both"/>
      </w:pPr>
      <w:r w:rsidRPr="00D73741">
        <w:t>Date…</w:t>
      </w:r>
      <w:r w:rsidR="0096670D" w:rsidRPr="00D73741">
        <w:t>28/02/2025</w:t>
      </w:r>
      <w:r w:rsidRPr="00D73741">
        <w:t>……………………………………………….…………….……………..</w:t>
      </w:r>
    </w:p>
    <w:p w14:paraId="0292D2CE" w14:textId="77777777" w:rsidR="00012FE7" w:rsidRPr="00D73741" w:rsidRDefault="00012FE7" w:rsidP="005961CA">
      <w:pPr>
        <w:jc w:val="both"/>
      </w:pPr>
      <w:r w:rsidRPr="00D73741">
        <w:t>Supervisor’s Declaration.</w:t>
      </w:r>
    </w:p>
    <w:p w14:paraId="7930C373" w14:textId="77777777" w:rsidR="00012FE7" w:rsidRPr="00D73741" w:rsidRDefault="00012FE7" w:rsidP="005961CA">
      <w:pPr>
        <w:jc w:val="both"/>
      </w:pPr>
      <w:r w:rsidRPr="00D73741">
        <w:t>I am satisfied that this work is the result of the student’s own efforts.</w:t>
      </w:r>
    </w:p>
    <w:p w14:paraId="45232574" w14:textId="77777777" w:rsidR="00012FE7" w:rsidRPr="00D73741" w:rsidRDefault="00012FE7" w:rsidP="005961CA">
      <w:pPr>
        <w:jc w:val="both"/>
      </w:pPr>
      <w:r w:rsidRPr="00D73741">
        <w:t>Signed:  …………………………………………………………………………..</w:t>
      </w:r>
    </w:p>
    <w:p w14:paraId="5839FFC6" w14:textId="77777777" w:rsidR="00012FE7" w:rsidRPr="00D73741" w:rsidRDefault="00012FE7" w:rsidP="005961CA">
      <w:pPr>
        <w:jc w:val="both"/>
      </w:pPr>
      <w:r w:rsidRPr="00D73741">
        <w:t>Date:  ……………………………………………………………………………...</w:t>
      </w:r>
    </w:p>
    <w:p w14:paraId="3CF2D8B6" w14:textId="77777777" w:rsidR="00012FE7" w:rsidRPr="00D73741" w:rsidRDefault="00012FE7" w:rsidP="005961CA">
      <w:pPr>
        <w:jc w:val="both"/>
      </w:pPr>
    </w:p>
    <w:p w14:paraId="0FB78278" w14:textId="77777777" w:rsidR="00012FE7" w:rsidRPr="00D73741" w:rsidRDefault="00012FE7" w:rsidP="005961CA">
      <w:pPr>
        <w:jc w:val="both"/>
      </w:pPr>
    </w:p>
    <w:p w14:paraId="1FC39945" w14:textId="77777777" w:rsidR="00012FE7" w:rsidRPr="00D73741" w:rsidRDefault="00012FE7" w:rsidP="005961CA">
      <w:pPr>
        <w:jc w:val="both"/>
      </w:pPr>
    </w:p>
    <w:p w14:paraId="0562CB0E" w14:textId="77777777" w:rsidR="003366DD" w:rsidRPr="00D73741" w:rsidRDefault="003366DD" w:rsidP="005961CA">
      <w:pPr>
        <w:jc w:val="both"/>
        <w:rPr>
          <w:b/>
          <w:bCs/>
        </w:rPr>
      </w:pPr>
    </w:p>
    <w:p w14:paraId="2946DB82" w14:textId="77777777" w:rsidR="00C82C1C" w:rsidRPr="00D73741" w:rsidRDefault="00C82C1C" w:rsidP="005961CA">
      <w:pPr>
        <w:spacing w:line="360" w:lineRule="auto"/>
        <w:jc w:val="both"/>
        <w:outlineLvl w:val="0"/>
        <w:rPr>
          <w:sz w:val="40"/>
          <w:szCs w:val="40"/>
        </w:rPr>
        <w:sectPr w:rsidR="00C82C1C" w:rsidRPr="00D73741" w:rsidSect="004E5CAC">
          <w:headerReference w:type="default" r:id="rId9"/>
          <w:footerReference w:type="even" r:id="rId10"/>
          <w:footerReference w:type="default" r:id="rId11"/>
          <w:pgSz w:w="11906" w:h="16838"/>
          <w:pgMar w:top="1440" w:right="1134" w:bottom="1440" w:left="1701" w:header="709" w:footer="709" w:gutter="0"/>
          <w:cols w:space="708"/>
          <w:docGrid w:linePitch="360"/>
        </w:sectPr>
      </w:pPr>
    </w:p>
    <w:p w14:paraId="2AA83929" w14:textId="2C040A2D" w:rsidR="0083215B" w:rsidRPr="00D73741" w:rsidRDefault="00BA7FED" w:rsidP="005961CA">
      <w:pPr>
        <w:jc w:val="both"/>
      </w:pPr>
      <w:bookmarkStart w:id="1" w:name="_Toc176262629"/>
      <w:r w:rsidRPr="00D73741">
        <w:lastRenderedPageBreak/>
        <w:t>CONTENTS</w:t>
      </w:r>
      <w:bookmarkEnd w:id="1"/>
    </w:p>
    <w:p w14:paraId="3C98793A" w14:textId="47E8C255" w:rsidR="00117786" w:rsidRPr="00D73741" w:rsidRDefault="005E060A" w:rsidP="005961CA">
      <w:pPr>
        <w:jc w:val="both"/>
        <w:rPr>
          <w:rFonts w:eastAsiaTheme="minorEastAsia"/>
        </w:rPr>
      </w:pPr>
      <w:r w:rsidRPr="00D73741">
        <w:fldChar w:fldCharType="begin"/>
      </w:r>
      <w:r w:rsidRPr="00D73741">
        <w:instrText xml:space="preserve"> TOC \o "1-3" \h \z \u </w:instrText>
      </w:r>
      <w:r w:rsidRPr="00D73741">
        <w:fldChar w:fldCharType="separate"/>
      </w:r>
      <w:hyperlink w:anchor="_Toc176262628" w:history="1">
        <w:r w:rsidR="00117786" w:rsidRPr="00D73741">
          <w:rPr>
            <w:rStyle w:val="Hyperlink"/>
          </w:rPr>
          <w:t>DECLARATION FORM</w:t>
        </w:r>
        <w:r w:rsidR="00AB2001" w:rsidRPr="00D73741">
          <w:rPr>
            <w:rStyle w:val="Hyperlink"/>
          </w:rPr>
          <w:tab/>
        </w:r>
        <w:r w:rsidR="00AB2001" w:rsidRPr="00D73741">
          <w:rPr>
            <w:rStyle w:val="Hyperlink"/>
          </w:rPr>
          <w:tab/>
        </w:r>
        <w:r w:rsidR="00117786" w:rsidRPr="00D73741">
          <w:rPr>
            <w:rStyle w:val="Hyperlink"/>
            <w:webHidden/>
          </w:rPr>
          <w:tab/>
        </w:r>
        <w:r w:rsidR="00117786" w:rsidRPr="00D73741">
          <w:rPr>
            <w:rStyle w:val="Hyperlink"/>
            <w:webHidden/>
          </w:rPr>
          <w:fldChar w:fldCharType="begin"/>
        </w:r>
        <w:r w:rsidR="00117786" w:rsidRPr="00D73741">
          <w:rPr>
            <w:rStyle w:val="Hyperlink"/>
            <w:webHidden/>
          </w:rPr>
          <w:instrText xml:space="preserve"> PAGEREF _Toc176262628 \h </w:instrText>
        </w:r>
        <w:r w:rsidR="00117786" w:rsidRPr="00D73741">
          <w:rPr>
            <w:rStyle w:val="Hyperlink"/>
            <w:webHidden/>
          </w:rPr>
        </w:r>
        <w:r w:rsidR="00117786" w:rsidRPr="00D73741">
          <w:rPr>
            <w:rStyle w:val="Hyperlink"/>
            <w:webHidden/>
          </w:rPr>
          <w:fldChar w:fldCharType="separate"/>
        </w:r>
        <w:r w:rsidR="00117786" w:rsidRPr="00D73741">
          <w:rPr>
            <w:rStyle w:val="Hyperlink"/>
            <w:webHidden/>
          </w:rPr>
          <w:t>2</w:t>
        </w:r>
        <w:r w:rsidR="00117786" w:rsidRPr="00D73741">
          <w:rPr>
            <w:rStyle w:val="Hyperlink"/>
            <w:webHidden/>
          </w:rPr>
          <w:fldChar w:fldCharType="end"/>
        </w:r>
      </w:hyperlink>
    </w:p>
    <w:p w14:paraId="406F71F9" w14:textId="6B00D00F" w:rsidR="00117786" w:rsidRPr="00D73741" w:rsidRDefault="00117786" w:rsidP="005961CA">
      <w:pPr>
        <w:jc w:val="both"/>
        <w:rPr>
          <w:rFonts w:eastAsiaTheme="minorEastAsia"/>
        </w:rPr>
      </w:pPr>
      <w:hyperlink w:anchor="_Toc176262629" w:history="1">
        <w:r w:rsidRPr="00D73741">
          <w:rPr>
            <w:rStyle w:val="Hyperlink"/>
          </w:rPr>
          <w:t>CONTENTS</w:t>
        </w:r>
        <w:r w:rsidRPr="00D73741">
          <w:rPr>
            <w:rStyle w:val="Hyperlink"/>
            <w:webHidden/>
          </w:rPr>
          <w:tab/>
        </w:r>
        <w:r w:rsidR="00AB2001" w:rsidRPr="00D73741">
          <w:rPr>
            <w:rStyle w:val="Hyperlink"/>
            <w:webHidden/>
          </w:rPr>
          <w:tab/>
        </w:r>
        <w:r w:rsidR="00AB2001" w:rsidRPr="00D73741">
          <w:rPr>
            <w:rStyle w:val="Hyperlink"/>
            <w:webHidden/>
          </w:rPr>
          <w:tab/>
        </w:r>
        <w:r w:rsidR="00AB2001" w:rsidRPr="00D73741">
          <w:rPr>
            <w:rStyle w:val="Hyperlink"/>
            <w:webHidden/>
          </w:rPr>
          <w:tab/>
        </w:r>
        <w:r w:rsidR="00AB2001" w:rsidRPr="00D73741">
          <w:rPr>
            <w:rStyle w:val="Hyperlink"/>
            <w:webHidden/>
          </w:rPr>
          <w:tab/>
        </w:r>
        <w:r w:rsidRPr="00D73741">
          <w:rPr>
            <w:rStyle w:val="Hyperlink"/>
            <w:webHidden/>
          </w:rPr>
          <w:fldChar w:fldCharType="begin"/>
        </w:r>
        <w:r w:rsidRPr="00D73741">
          <w:rPr>
            <w:rStyle w:val="Hyperlink"/>
            <w:webHidden/>
          </w:rPr>
          <w:instrText xml:space="preserve"> PAGEREF _Toc176262629 \h </w:instrText>
        </w:r>
        <w:r w:rsidRPr="00D73741">
          <w:rPr>
            <w:rStyle w:val="Hyperlink"/>
            <w:webHidden/>
          </w:rPr>
        </w:r>
        <w:r w:rsidRPr="00D73741">
          <w:rPr>
            <w:rStyle w:val="Hyperlink"/>
            <w:webHidden/>
          </w:rPr>
          <w:fldChar w:fldCharType="separate"/>
        </w:r>
        <w:r w:rsidRPr="00D73741">
          <w:rPr>
            <w:rStyle w:val="Hyperlink"/>
            <w:webHidden/>
          </w:rPr>
          <w:t>4</w:t>
        </w:r>
        <w:r w:rsidRPr="00D73741">
          <w:rPr>
            <w:rStyle w:val="Hyperlink"/>
            <w:webHidden/>
          </w:rPr>
          <w:fldChar w:fldCharType="end"/>
        </w:r>
      </w:hyperlink>
    </w:p>
    <w:p w14:paraId="0E743760" w14:textId="63870B4B" w:rsidR="00117786" w:rsidRPr="00D73741" w:rsidRDefault="00117786" w:rsidP="005961CA">
      <w:pPr>
        <w:jc w:val="both"/>
        <w:rPr>
          <w:rFonts w:eastAsiaTheme="minorEastAsia"/>
        </w:rPr>
      </w:pPr>
      <w:hyperlink w:anchor="_Toc176262630" w:history="1">
        <w:r w:rsidRPr="00D73741">
          <w:rPr>
            <w:rStyle w:val="Hyperlink"/>
          </w:rPr>
          <w:t>ACKNOWLEDGEMENTS</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_Toc176262630 \h </w:instrText>
        </w:r>
        <w:r w:rsidRPr="00D73741">
          <w:rPr>
            <w:rStyle w:val="Hyperlink"/>
            <w:webHidden/>
          </w:rPr>
        </w:r>
        <w:r w:rsidRPr="00D73741">
          <w:rPr>
            <w:rStyle w:val="Hyperlink"/>
            <w:webHidden/>
          </w:rPr>
          <w:fldChar w:fldCharType="separate"/>
        </w:r>
        <w:r w:rsidRPr="00D73741">
          <w:rPr>
            <w:rStyle w:val="Hyperlink"/>
            <w:webHidden/>
          </w:rPr>
          <w:t>5</w:t>
        </w:r>
        <w:r w:rsidRPr="00D73741">
          <w:rPr>
            <w:rStyle w:val="Hyperlink"/>
            <w:webHidden/>
          </w:rPr>
          <w:fldChar w:fldCharType="end"/>
        </w:r>
      </w:hyperlink>
    </w:p>
    <w:p w14:paraId="1B7D1028" w14:textId="1504B13C" w:rsidR="00117786" w:rsidRPr="00D73741" w:rsidRDefault="00117786" w:rsidP="005961CA">
      <w:pPr>
        <w:jc w:val="both"/>
        <w:rPr>
          <w:rFonts w:eastAsiaTheme="minorEastAsia"/>
        </w:rPr>
      </w:pPr>
      <w:hyperlink w:anchor="_Toc176262631" w:history="1">
        <w:r w:rsidRPr="00D73741">
          <w:rPr>
            <w:rStyle w:val="Hyperlink"/>
          </w:rPr>
          <w:t>ABSTRACT</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_Toc176262631 \h </w:instrText>
        </w:r>
        <w:r w:rsidRPr="00D73741">
          <w:rPr>
            <w:rStyle w:val="Hyperlink"/>
            <w:webHidden/>
          </w:rPr>
        </w:r>
        <w:r w:rsidRPr="00D73741">
          <w:rPr>
            <w:rStyle w:val="Hyperlink"/>
            <w:webHidden/>
          </w:rPr>
          <w:fldChar w:fldCharType="separate"/>
        </w:r>
        <w:r w:rsidRPr="00D73741">
          <w:rPr>
            <w:rStyle w:val="Hyperlink"/>
            <w:webHidden/>
          </w:rPr>
          <w:t>6</w:t>
        </w:r>
        <w:r w:rsidRPr="00D73741">
          <w:rPr>
            <w:rStyle w:val="Hyperlink"/>
            <w:webHidden/>
          </w:rPr>
          <w:fldChar w:fldCharType="end"/>
        </w:r>
      </w:hyperlink>
    </w:p>
    <w:p w14:paraId="27E17D70" w14:textId="7FCCC62F" w:rsidR="00117786" w:rsidRPr="00D73741" w:rsidRDefault="00117786" w:rsidP="005961CA">
      <w:pPr>
        <w:jc w:val="both"/>
        <w:rPr>
          <w:rFonts w:eastAsiaTheme="minorEastAsia"/>
        </w:rPr>
      </w:pPr>
      <w:hyperlink w:anchor="_Toc176262632" w:history="1">
        <w:r w:rsidRPr="00D73741">
          <w:rPr>
            <w:rStyle w:val="Hyperlink"/>
          </w:rPr>
          <w:t>ACRONYM</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_Toc176262632 \h </w:instrText>
        </w:r>
        <w:r w:rsidRPr="00D73741">
          <w:rPr>
            <w:rStyle w:val="Hyperlink"/>
            <w:webHidden/>
          </w:rPr>
        </w:r>
        <w:r w:rsidRPr="00D73741">
          <w:rPr>
            <w:rStyle w:val="Hyperlink"/>
            <w:webHidden/>
          </w:rPr>
          <w:fldChar w:fldCharType="separate"/>
        </w:r>
        <w:r w:rsidRPr="00D73741">
          <w:rPr>
            <w:rStyle w:val="Hyperlink"/>
            <w:webHidden/>
          </w:rPr>
          <w:t>7</w:t>
        </w:r>
        <w:r w:rsidRPr="00D73741">
          <w:rPr>
            <w:rStyle w:val="Hyperlink"/>
            <w:webHidden/>
          </w:rPr>
          <w:fldChar w:fldCharType="end"/>
        </w:r>
      </w:hyperlink>
    </w:p>
    <w:p w14:paraId="1096004A" w14:textId="73974319" w:rsidR="00117786" w:rsidRPr="00D73741" w:rsidRDefault="00117786" w:rsidP="005961CA">
      <w:pPr>
        <w:jc w:val="both"/>
        <w:rPr>
          <w:rFonts w:eastAsiaTheme="minorEastAsia"/>
        </w:rPr>
      </w:pPr>
      <w:hyperlink w:anchor="_Toc176262633" w:history="1">
        <w:r w:rsidRPr="00D73741">
          <w:rPr>
            <w:rStyle w:val="Hyperlink"/>
          </w:rPr>
          <w:t>1.</w:t>
        </w:r>
        <w:r w:rsidRPr="00D73741">
          <w:rPr>
            <w:rStyle w:val="Hyperlink"/>
            <w:rFonts w:eastAsiaTheme="minorEastAsia"/>
          </w:rPr>
          <w:tab/>
        </w:r>
        <w:r w:rsidRPr="00D73741">
          <w:rPr>
            <w:rStyle w:val="Hyperlink"/>
          </w:rPr>
          <w:t>INTRODUCTION</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_Toc176262633 \h </w:instrText>
        </w:r>
        <w:r w:rsidRPr="00D73741">
          <w:rPr>
            <w:rStyle w:val="Hyperlink"/>
            <w:webHidden/>
          </w:rPr>
        </w:r>
        <w:r w:rsidRPr="00D73741">
          <w:rPr>
            <w:rStyle w:val="Hyperlink"/>
            <w:webHidden/>
          </w:rPr>
          <w:fldChar w:fldCharType="separate"/>
        </w:r>
        <w:r w:rsidRPr="00D73741">
          <w:rPr>
            <w:rStyle w:val="Hyperlink"/>
            <w:webHidden/>
          </w:rPr>
          <w:t>8</w:t>
        </w:r>
        <w:r w:rsidRPr="00D73741">
          <w:rPr>
            <w:rStyle w:val="Hyperlink"/>
            <w:webHidden/>
          </w:rPr>
          <w:fldChar w:fldCharType="end"/>
        </w:r>
      </w:hyperlink>
    </w:p>
    <w:p w14:paraId="6595DF1D" w14:textId="2F68391A" w:rsidR="00117786" w:rsidRPr="00D73741" w:rsidRDefault="00117786" w:rsidP="005961CA">
      <w:pPr>
        <w:jc w:val="both"/>
        <w:rPr>
          <w:rFonts w:eastAsiaTheme="minorEastAsia"/>
        </w:rPr>
      </w:pPr>
      <w:hyperlink w:anchor="_Toc176262634" w:history="1">
        <w:r w:rsidRPr="00D73741">
          <w:rPr>
            <w:rStyle w:val="Hyperlink"/>
          </w:rPr>
          <w:t>2.</w:t>
        </w:r>
        <w:r w:rsidRPr="00D73741">
          <w:rPr>
            <w:rStyle w:val="Hyperlink"/>
            <w:rFonts w:eastAsiaTheme="minorEastAsia"/>
          </w:rPr>
          <w:tab/>
        </w:r>
        <w:r w:rsidRPr="00D73741">
          <w:rPr>
            <w:rStyle w:val="Hyperlink"/>
          </w:rPr>
          <w:t>LITERATURE REVIEW</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_Toc176262634 \h </w:instrText>
        </w:r>
        <w:r w:rsidRPr="00D73741">
          <w:rPr>
            <w:rStyle w:val="Hyperlink"/>
            <w:webHidden/>
          </w:rPr>
        </w:r>
        <w:r w:rsidRPr="00D73741">
          <w:rPr>
            <w:rStyle w:val="Hyperlink"/>
            <w:webHidden/>
          </w:rPr>
          <w:fldChar w:fldCharType="separate"/>
        </w:r>
        <w:r w:rsidRPr="00D73741">
          <w:rPr>
            <w:rStyle w:val="Hyperlink"/>
            <w:webHidden/>
          </w:rPr>
          <w:t>9</w:t>
        </w:r>
        <w:r w:rsidRPr="00D73741">
          <w:rPr>
            <w:rStyle w:val="Hyperlink"/>
            <w:webHidden/>
          </w:rPr>
          <w:fldChar w:fldCharType="end"/>
        </w:r>
      </w:hyperlink>
    </w:p>
    <w:p w14:paraId="419D3945" w14:textId="04459308" w:rsidR="00117786" w:rsidRPr="00D73741" w:rsidRDefault="00117786" w:rsidP="005961CA">
      <w:pPr>
        <w:jc w:val="both"/>
        <w:rPr>
          <w:rFonts w:eastAsiaTheme="minorEastAsia"/>
        </w:rPr>
      </w:pPr>
      <w:hyperlink w:anchor="_Toc176262635" w:history="1">
        <w:r w:rsidRPr="00D73741">
          <w:rPr>
            <w:rStyle w:val="Hyperlink"/>
          </w:rPr>
          <w:t>2.1.</w:t>
        </w:r>
        <w:r w:rsidRPr="00D73741">
          <w:rPr>
            <w:rStyle w:val="Hyperlink"/>
            <w:rFonts w:eastAsiaTheme="minorEastAsia"/>
          </w:rPr>
          <w:tab/>
        </w:r>
        <w:r w:rsidRPr="00D73741">
          <w:rPr>
            <w:rStyle w:val="Hyperlink"/>
          </w:rPr>
          <w:t>Introduction</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_Toc176262635 \h </w:instrText>
        </w:r>
        <w:r w:rsidRPr="00D73741">
          <w:rPr>
            <w:rStyle w:val="Hyperlink"/>
            <w:webHidden/>
          </w:rPr>
        </w:r>
        <w:r w:rsidRPr="00D73741">
          <w:rPr>
            <w:rStyle w:val="Hyperlink"/>
            <w:webHidden/>
          </w:rPr>
          <w:fldChar w:fldCharType="separate"/>
        </w:r>
        <w:r w:rsidRPr="00D73741">
          <w:rPr>
            <w:rStyle w:val="Hyperlink"/>
            <w:webHidden/>
          </w:rPr>
          <w:t>9</w:t>
        </w:r>
        <w:r w:rsidRPr="00D73741">
          <w:rPr>
            <w:rStyle w:val="Hyperlink"/>
            <w:webHidden/>
          </w:rPr>
          <w:fldChar w:fldCharType="end"/>
        </w:r>
      </w:hyperlink>
    </w:p>
    <w:p w14:paraId="47AAEED2" w14:textId="1FFF50F3" w:rsidR="00117786" w:rsidRPr="00D73741" w:rsidRDefault="00117786" w:rsidP="005961CA">
      <w:pPr>
        <w:jc w:val="both"/>
        <w:rPr>
          <w:rFonts w:eastAsiaTheme="minorEastAsia"/>
        </w:rPr>
      </w:pPr>
      <w:hyperlink w:anchor="_Toc176262636" w:history="1">
        <w:r w:rsidRPr="00D73741">
          <w:rPr>
            <w:rStyle w:val="Hyperlink"/>
          </w:rPr>
          <w:t>2.2.</w:t>
        </w:r>
        <w:r w:rsidRPr="00D73741">
          <w:rPr>
            <w:rStyle w:val="Hyperlink"/>
            <w:rFonts w:eastAsiaTheme="minorEastAsia"/>
          </w:rPr>
          <w:tab/>
        </w:r>
        <w:r w:rsidRPr="00D73741">
          <w:rPr>
            <w:rStyle w:val="Hyperlink"/>
          </w:rPr>
          <w:t>The</w:t>
        </w:r>
        <w:r w:rsidR="002D12C6" w:rsidRPr="00D73741">
          <w:rPr>
            <w:rStyle w:val="Hyperlink"/>
          </w:rPr>
          <w:t xml:space="preserve"> Making of a Games</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_Toc176262636 \h </w:instrText>
        </w:r>
        <w:r w:rsidRPr="00D73741">
          <w:rPr>
            <w:rStyle w:val="Hyperlink"/>
            <w:webHidden/>
          </w:rPr>
        </w:r>
        <w:r w:rsidRPr="00D73741">
          <w:rPr>
            <w:rStyle w:val="Hyperlink"/>
            <w:webHidden/>
          </w:rPr>
          <w:fldChar w:fldCharType="separate"/>
        </w:r>
        <w:r w:rsidRPr="00D73741">
          <w:rPr>
            <w:rStyle w:val="Hyperlink"/>
            <w:webHidden/>
          </w:rPr>
          <w:t>9</w:t>
        </w:r>
        <w:r w:rsidRPr="00D73741">
          <w:rPr>
            <w:rStyle w:val="Hyperlink"/>
            <w:webHidden/>
          </w:rPr>
          <w:fldChar w:fldCharType="end"/>
        </w:r>
      </w:hyperlink>
    </w:p>
    <w:p w14:paraId="0398D791" w14:textId="344DFD6F" w:rsidR="00117786" w:rsidRPr="00D73741" w:rsidRDefault="00117786" w:rsidP="005961CA">
      <w:pPr>
        <w:jc w:val="both"/>
        <w:rPr>
          <w:rFonts w:eastAsiaTheme="minorEastAsia"/>
        </w:rPr>
      </w:pPr>
      <w:hyperlink w:anchor="_Toc176262637" w:history="1">
        <w:r w:rsidRPr="00D73741">
          <w:rPr>
            <w:rStyle w:val="Hyperlink"/>
          </w:rPr>
          <w:t>2.3.</w:t>
        </w:r>
        <w:r w:rsidRPr="00D73741">
          <w:rPr>
            <w:rStyle w:val="Hyperlink"/>
            <w:rFonts w:eastAsiaTheme="minorEastAsia"/>
          </w:rPr>
          <w:tab/>
        </w:r>
        <w:r w:rsidR="002D12C6" w:rsidRPr="00D73741">
          <w:rPr>
            <w:rStyle w:val="Hyperlink"/>
          </w:rPr>
          <w:t>GamerGate</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_Toc176262637 \h </w:instrText>
        </w:r>
        <w:r w:rsidRPr="00D73741">
          <w:rPr>
            <w:rStyle w:val="Hyperlink"/>
            <w:webHidden/>
          </w:rPr>
        </w:r>
        <w:r w:rsidRPr="00D73741">
          <w:rPr>
            <w:rStyle w:val="Hyperlink"/>
            <w:webHidden/>
          </w:rPr>
          <w:fldChar w:fldCharType="separate"/>
        </w:r>
        <w:r w:rsidRPr="00D73741">
          <w:rPr>
            <w:rStyle w:val="Hyperlink"/>
            <w:webHidden/>
          </w:rPr>
          <w:t>10</w:t>
        </w:r>
        <w:r w:rsidRPr="00D73741">
          <w:rPr>
            <w:rStyle w:val="Hyperlink"/>
            <w:webHidden/>
          </w:rPr>
          <w:fldChar w:fldCharType="end"/>
        </w:r>
      </w:hyperlink>
    </w:p>
    <w:p w14:paraId="19929106" w14:textId="4B053635" w:rsidR="00117786" w:rsidRPr="00D73741" w:rsidRDefault="00117786" w:rsidP="005961CA">
      <w:pPr>
        <w:jc w:val="both"/>
        <w:rPr>
          <w:rFonts w:eastAsiaTheme="minorEastAsia"/>
        </w:rPr>
      </w:pPr>
      <w:hyperlink w:anchor="_Toc176262638" w:history="1">
        <w:r w:rsidRPr="00D73741">
          <w:rPr>
            <w:rStyle w:val="Hyperlink"/>
          </w:rPr>
          <w:t>2.4.</w:t>
        </w:r>
        <w:r w:rsidRPr="00D73741">
          <w:rPr>
            <w:rStyle w:val="Hyperlink"/>
            <w:rFonts w:eastAsiaTheme="minorEastAsia"/>
          </w:rPr>
          <w:tab/>
        </w:r>
        <w:r w:rsidR="002D12C6" w:rsidRPr="00D73741">
          <w:rPr>
            <w:rStyle w:val="Hyperlink"/>
          </w:rPr>
          <w:t>Behind the Screen: The Manosphere</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_Toc176262638 \h </w:instrText>
        </w:r>
        <w:r w:rsidRPr="00D73741">
          <w:rPr>
            <w:rStyle w:val="Hyperlink"/>
            <w:webHidden/>
          </w:rPr>
        </w:r>
        <w:r w:rsidRPr="00D73741">
          <w:rPr>
            <w:rStyle w:val="Hyperlink"/>
            <w:webHidden/>
          </w:rPr>
          <w:fldChar w:fldCharType="separate"/>
        </w:r>
        <w:r w:rsidRPr="00D73741">
          <w:rPr>
            <w:rStyle w:val="Hyperlink"/>
            <w:webHidden/>
          </w:rPr>
          <w:t>12</w:t>
        </w:r>
        <w:r w:rsidRPr="00D73741">
          <w:rPr>
            <w:rStyle w:val="Hyperlink"/>
            <w:webHidden/>
          </w:rPr>
          <w:fldChar w:fldCharType="end"/>
        </w:r>
      </w:hyperlink>
    </w:p>
    <w:p w14:paraId="26D24143" w14:textId="4092A985" w:rsidR="00117786" w:rsidRPr="00D73741" w:rsidRDefault="00117786" w:rsidP="005961CA">
      <w:pPr>
        <w:jc w:val="both"/>
        <w:rPr>
          <w:rFonts w:eastAsiaTheme="minorEastAsia"/>
        </w:rPr>
      </w:pPr>
      <w:hyperlink w:anchor="_Toc176262639" w:history="1">
        <w:r w:rsidRPr="00D73741">
          <w:rPr>
            <w:rStyle w:val="Hyperlink"/>
          </w:rPr>
          <w:t>2.5.</w:t>
        </w:r>
        <w:r w:rsidRPr="00D73741">
          <w:rPr>
            <w:rStyle w:val="Hyperlink"/>
            <w:rFonts w:eastAsiaTheme="minorEastAsia"/>
          </w:rPr>
          <w:tab/>
        </w:r>
        <w:r w:rsidRPr="00D73741">
          <w:rPr>
            <w:rStyle w:val="Hyperlink"/>
          </w:rPr>
          <w:t>The Experiences of Women in Online Gaming</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_Toc176262639 \h </w:instrText>
        </w:r>
        <w:r w:rsidRPr="00D73741">
          <w:rPr>
            <w:rStyle w:val="Hyperlink"/>
            <w:webHidden/>
          </w:rPr>
        </w:r>
        <w:r w:rsidRPr="00D73741">
          <w:rPr>
            <w:rStyle w:val="Hyperlink"/>
            <w:webHidden/>
          </w:rPr>
          <w:fldChar w:fldCharType="separate"/>
        </w:r>
        <w:r w:rsidRPr="00D73741">
          <w:rPr>
            <w:rStyle w:val="Hyperlink"/>
            <w:webHidden/>
          </w:rPr>
          <w:t>19</w:t>
        </w:r>
        <w:r w:rsidRPr="00D73741">
          <w:rPr>
            <w:rStyle w:val="Hyperlink"/>
            <w:webHidden/>
          </w:rPr>
          <w:fldChar w:fldCharType="end"/>
        </w:r>
      </w:hyperlink>
    </w:p>
    <w:p w14:paraId="6B1E7603" w14:textId="204CE66B" w:rsidR="00117786" w:rsidRPr="00D73741" w:rsidRDefault="00117786" w:rsidP="005961CA">
      <w:pPr>
        <w:jc w:val="both"/>
        <w:rPr>
          <w:rFonts w:eastAsiaTheme="minorEastAsia"/>
        </w:rPr>
      </w:pPr>
      <w:hyperlink w:anchor="_Toc176262640" w:history="1">
        <w:r w:rsidRPr="00D73741">
          <w:rPr>
            <w:rStyle w:val="Hyperlink"/>
          </w:rPr>
          <w:t>2.6.</w:t>
        </w:r>
        <w:r w:rsidRPr="00D73741">
          <w:rPr>
            <w:rStyle w:val="Hyperlink"/>
            <w:rFonts w:eastAsiaTheme="minorEastAsia"/>
          </w:rPr>
          <w:tab/>
        </w:r>
        <w:r w:rsidR="006815AF" w:rsidRPr="00D73741">
          <w:rPr>
            <w:rStyle w:val="Hyperlink"/>
          </w:rPr>
          <w:t>What Women Can Do</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_Toc176262640 \h </w:instrText>
        </w:r>
        <w:r w:rsidRPr="00D73741">
          <w:rPr>
            <w:rStyle w:val="Hyperlink"/>
            <w:webHidden/>
          </w:rPr>
        </w:r>
        <w:r w:rsidRPr="00D73741">
          <w:rPr>
            <w:rStyle w:val="Hyperlink"/>
            <w:webHidden/>
          </w:rPr>
          <w:fldChar w:fldCharType="separate"/>
        </w:r>
        <w:r w:rsidRPr="00D73741">
          <w:rPr>
            <w:rStyle w:val="Hyperlink"/>
            <w:webHidden/>
          </w:rPr>
          <w:t>24</w:t>
        </w:r>
        <w:r w:rsidRPr="00D73741">
          <w:rPr>
            <w:rStyle w:val="Hyperlink"/>
            <w:webHidden/>
          </w:rPr>
          <w:fldChar w:fldCharType="end"/>
        </w:r>
      </w:hyperlink>
    </w:p>
    <w:p w14:paraId="0AA246A8" w14:textId="76E194E3" w:rsidR="00117786" w:rsidRPr="00D73741" w:rsidRDefault="00117786" w:rsidP="005961CA">
      <w:pPr>
        <w:jc w:val="both"/>
        <w:rPr>
          <w:rFonts w:eastAsiaTheme="minorEastAsia"/>
        </w:rPr>
      </w:pPr>
      <w:hyperlink w:anchor="_Toc176262641" w:history="1"/>
    </w:p>
    <w:p w14:paraId="0E7D4E5C" w14:textId="7991D119" w:rsidR="00117786" w:rsidRPr="00D73741" w:rsidRDefault="00117786" w:rsidP="005961CA">
      <w:pPr>
        <w:jc w:val="both"/>
        <w:rPr>
          <w:rFonts w:eastAsiaTheme="minorEastAsia"/>
        </w:rPr>
      </w:pPr>
    </w:p>
    <w:p w14:paraId="7833E327" w14:textId="41306B51" w:rsidR="00117786" w:rsidRPr="00D73741" w:rsidRDefault="00117786" w:rsidP="005961CA">
      <w:pPr>
        <w:jc w:val="both"/>
        <w:rPr>
          <w:rFonts w:eastAsiaTheme="minorEastAsia"/>
        </w:rPr>
      </w:pPr>
    </w:p>
    <w:p w14:paraId="799E5729" w14:textId="5B41B2C3" w:rsidR="00117786" w:rsidRPr="00D73741" w:rsidRDefault="00117786" w:rsidP="005961CA">
      <w:pPr>
        <w:jc w:val="both"/>
        <w:rPr>
          <w:rFonts w:eastAsiaTheme="minorEastAsia"/>
        </w:rPr>
      </w:pPr>
      <w:hyperlink w:anchor="_Toc176262644" w:history="1">
        <w:r w:rsidRPr="00D73741">
          <w:rPr>
            <w:rStyle w:val="Hyperlink"/>
          </w:rPr>
          <w:t>3.</w:t>
        </w:r>
        <w:r w:rsidRPr="00D73741">
          <w:rPr>
            <w:rStyle w:val="Hyperlink"/>
            <w:rFonts w:eastAsiaTheme="minorEastAsia"/>
          </w:rPr>
          <w:tab/>
        </w:r>
        <w:r w:rsidRPr="00D73741">
          <w:rPr>
            <w:rStyle w:val="Hyperlink"/>
          </w:rPr>
          <w:t>RESULTS AND DISCUSSION</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_Toc176262644 \h </w:instrText>
        </w:r>
        <w:r w:rsidRPr="00D73741">
          <w:rPr>
            <w:rStyle w:val="Hyperlink"/>
            <w:webHidden/>
          </w:rPr>
        </w:r>
        <w:r w:rsidRPr="00D73741">
          <w:rPr>
            <w:rStyle w:val="Hyperlink"/>
            <w:webHidden/>
          </w:rPr>
          <w:fldChar w:fldCharType="separate"/>
        </w:r>
        <w:r w:rsidRPr="00D73741">
          <w:rPr>
            <w:rStyle w:val="Hyperlink"/>
            <w:webHidden/>
          </w:rPr>
          <w:t>30</w:t>
        </w:r>
        <w:r w:rsidRPr="00D73741">
          <w:rPr>
            <w:rStyle w:val="Hyperlink"/>
            <w:webHidden/>
          </w:rPr>
          <w:fldChar w:fldCharType="end"/>
        </w:r>
      </w:hyperlink>
    </w:p>
    <w:p w14:paraId="3C3F89CC" w14:textId="7BCCB251" w:rsidR="00117786" w:rsidRPr="00D73741" w:rsidRDefault="00117786" w:rsidP="005961CA">
      <w:pPr>
        <w:jc w:val="both"/>
        <w:rPr>
          <w:rFonts w:eastAsiaTheme="minorEastAsia"/>
        </w:rPr>
      </w:pPr>
      <w:hyperlink w:anchor="_Toc176262649" w:history="1">
        <w:r w:rsidRPr="00D73741">
          <w:rPr>
            <w:rStyle w:val="Hyperlink"/>
          </w:rPr>
          <w:t>4.</w:t>
        </w:r>
        <w:r w:rsidRPr="00D73741">
          <w:rPr>
            <w:rStyle w:val="Hyperlink"/>
            <w:rFonts w:eastAsiaTheme="minorEastAsia"/>
          </w:rPr>
          <w:tab/>
        </w:r>
        <w:r w:rsidRPr="00D73741">
          <w:rPr>
            <w:rStyle w:val="Hyperlink"/>
          </w:rPr>
          <w:t>CONCLUSION AND RECOMMENDATIONS</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_Toc176262649 \h </w:instrText>
        </w:r>
        <w:r w:rsidRPr="00D73741">
          <w:rPr>
            <w:rStyle w:val="Hyperlink"/>
            <w:webHidden/>
          </w:rPr>
        </w:r>
        <w:r w:rsidRPr="00D73741">
          <w:rPr>
            <w:rStyle w:val="Hyperlink"/>
            <w:webHidden/>
          </w:rPr>
          <w:fldChar w:fldCharType="separate"/>
        </w:r>
        <w:r w:rsidRPr="00D73741">
          <w:rPr>
            <w:rStyle w:val="Hyperlink"/>
            <w:webHidden/>
          </w:rPr>
          <w:t>31</w:t>
        </w:r>
        <w:r w:rsidRPr="00D73741">
          <w:rPr>
            <w:rStyle w:val="Hyperlink"/>
            <w:webHidden/>
          </w:rPr>
          <w:fldChar w:fldCharType="end"/>
        </w:r>
      </w:hyperlink>
    </w:p>
    <w:p w14:paraId="6C9622DC" w14:textId="11D25E8F" w:rsidR="00117786" w:rsidRPr="00D73741" w:rsidRDefault="00117786" w:rsidP="005961CA">
      <w:pPr>
        <w:jc w:val="both"/>
        <w:rPr>
          <w:rFonts w:eastAsiaTheme="minorEastAsia"/>
        </w:rPr>
      </w:pPr>
      <w:hyperlink w:anchor="_Toc176262650" w:history="1">
        <w:r w:rsidRPr="00D73741">
          <w:rPr>
            <w:rStyle w:val="Hyperlink"/>
          </w:rPr>
          <w:t>5.</w:t>
        </w:r>
        <w:r w:rsidRPr="00D73741">
          <w:rPr>
            <w:rStyle w:val="Hyperlink"/>
            <w:rFonts w:eastAsiaTheme="minorEastAsia"/>
          </w:rPr>
          <w:tab/>
        </w:r>
        <w:r w:rsidRPr="00D73741">
          <w:rPr>
            <w:rStyle w:val="Hyperlink"/>
          </w:rPr>
          <w:t>REFERENCES</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_Toc176262650 \h </w:instrText>
        </w:r>
        <w:r w:rsidRPr="00D73741">
          <w:rPr>
            <w:rStyle w:val="Hyperlink"/>
            <w:webHidden/>
          </w:rPr>
        </w:r>
        <w:r w:rsidRPr="00D73741">
          <w:rPr>
            <w:rStyle w:val="Hyperlink"/>
            <w:webHidden/>
          </w:rPr>
          <w:fldChar w:fldCharType="separate"/>
        </w:r>
        <w:r w:rsidRPr="00D73741">
          <w:rPr>
            <w:rStyle w:val="Hyperlink"/>
            <w:webHidden/>
          </w:rPr>
          <w:t>33</w:t>
        </w:r>
        <w:r w:rsidRPr="00D73741">
          <w:rPr>
            <w:rStyle w:val="Hyperlink"/>
            <w:webHidden/>
          </w:rPr>
          <w:fldChar w:fldCharType="end"/>
        </w:r>
      </w:hyperlink>
    </w:p>
    <w:p w14:paraId="56C44443" w14:textId="179D8B44" w:rsidR="00117786" w:rsidRPr="00D73741" w:rsidRDefault="00117786" w:rsidP="005961CA">
      <w:pPr>
        <w:jc w:val="both"/>
        <w:rPr>
          <w:rFonts w:eastAsiaTheme="minorEastAsia"/>
        </w:rPr>
      </w:pPr>
      <w:hyperlink w:anchor="_Toc176262651" w:history="1">
        <w:r w:rsidRPr="00D73741">
          <w:rPr>
            <w:rStyle w:val="Hyperlink"/>
          </w:rPr>
          <w:t>6.</w:t>
        </w:r>
        <w:r w:rsidRPr="00D73741">
          <w:rPr>
            <w:rStyle w:val="Hyperlink"/>
            <w:rFonts w:eastAsiaTheme="minorEastAsia"/>
          </w:rPr>
          <w:tab/>
        </w:r>
        <w:r w:rsidRPr="00D73741">
          <w:rPr>
            <w:rStyle w:val="Hyperlink"/>
          </w:rPr>
          <w:t>APPENDICES</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_Toc176262651 \h </w:instrText>
        </w:r>
        <w:r w:rsidRPr="00D73741">
          <w:rPr>
            <w:rStyle w:val="Hyperlink"/>
            <w:webHidden/>
          </w:rPr>
        </w:r>
        <w:r w:rsidRPr="00D73741">
          <w:rPr>
            <w:rStyle w:val="Hyperlink"/>
            <w:webHidden/>
          </w:rPr>
          <w:fldChar w:fldCharType="separate"/>
        </w:r>
        <w:r w:rsidRPr="00D73741">
          <w:rPr>
            <w:rStyle w:val="Hyperlink"/>
            <w:webHidden/>
          </w:rPr>
          <w:t>34</w:t>
        </w:r>
        <w:r w:rsidRPr="00D73741">
          <w:rPr>
            <w:rStyle w:val="Hyperlink"/>
            <w:webHidden/>
          </w:rPr>
          <w:fldChar w:fldCharType="end"/>
        </w:r>
      </w:hyperlink>
    </w:p>
    <w:p w14:paraId="427B9F5F" w14:textId="7429E8EE" w:rsidR="00117786" w:rsidRPr="00D73741" w:rsidRDefault="00117786" w:rsidP="005961CA">
      <w:pPr>
        <w:jc w:val="both"/>
        <w:rPr>
          <w:rFonts w:eastAsiaTheme="minorEastAsia"/>
        </w:rPr>
      </w:pPr>
      <w:hyperlink w:anchor="_Toc176262652" w:history="1">
        <w:r w:rsidRPr="00D73741">
          <w:rPr>
            <w:rStyle w:val="Hyperlink"/>
          </w:rPr>
          <w:t>6.1.</w:t>
        </w:r>
        <w:r w:rsidRPr="00D73741">
          <w:rPr>
            <w:rStyle w:val="Hyperlink"/>
            <w:rFonts w:eastAsiaTheme="minorEastAsia"/>
          </w:rPr>
          <w:tab/>
        </w:r>
        <w:r w:rsidRPr="00D73741">
          <w:rPr>
            <w:rStyle w:val="Hyperlink"/>
          </w:rPr>
          <w:t>Appendices 1 Ethics Form</w:t>
        </w:r>
        <w:r w:rsidRPr="00D73741">
          <w:rPr>
            <w:rStyle w:val="Hyperlink"/>
            <w:webHidden/>
          </w:rPr>
          <w:tab/>
        </w:r>
        <w:r w:rsidRPr="00D73741">
          <w:rPr>
            <w:rStyle w:val="Hyperlink"/>
            <w:webHidden/>
          </w:rPr>
          <w:fldChar w:fldCharType="begin"/>
        </w:r>
        <w:r w:rsidRPr="00D73741">
          <w:rPr>
            <w:rStyle w:val="Hyperlink"/>
            <w:webHidden/>
          </w:rPr>
          <w:instrText xml:space="preserve"> PAGEREF _Toc176262652 \h </w:instrText>
        </w:r>
        <w:r w:rsidRPr="00D73741">
          <w:rPr>
            <w:rStyle w:val="Hyperlink"/>
            <w:webHidden/>
          </w:rPr>
        </w:r>
        <w:r w:rsidRPr="00D73741">
          <w:rPr>
            <w:rStyle w:val="Hyperlink"/>
            <w:webHidden/>
          </w:rPr>
          <w:fldChar w:fldCharType="separate"/>
        </w:r>
        <w:r w:rsidRPr="00D73741">
          <w:rPr>
            <w:rStyle w:val="Hyperlink"/>
            <w:webHidden/>
          </w:rPr>
          <w:t>35</w:t>
        </w:r>
        <w:r w:rsidRPr="00D73741">
          <w:rPr>
            <w:rStyle w:val="Hyperlink"/>
            <w:webHidden/>
          </w:rPr>
          <w:fldChar w:fldCharType="end"/>
        </w:r>
      </w:hyperlink>
    </w:p>
    <w:p w14:paraId="5997CC1D" w14:textId="1B9DE1F8" w:rsidR="005E060A" w:rsidRPr="00D73741" w:rsidRDefault="005E060A" w:rsidP="005961CA">
      <w:pPr>
        <w:jc w:val="both"/>
      </w:pPr>
      <w:r w:rsidRPr="00D73741">
        <w:fldChar w:fldCharType="end"/>
      </w:r>
    </w:p>
    <w:p w14:paraId="110FFD37" w14:textId="77777777" w:rsidR="0083215B" w:rsidRPr="00D73741" w:rsidRDefault="0083215B" w:rsidP="005961CA">
      <w:pPr>
        <w:jc w:val="both"/>
      </w:pPr>
    </w:p>
    <w:p w14:paraId="46363879" w14:textId="77777777" w:rsidR="00E52FC0" w:rsidRPr="00D73741" w:rsidRDefault="00E52FC0" w:rsidP="005961CA">
      <w:pPr>
        <w:jc w:val="both"/>
      </w:pPr>
    </w:p>
    <w:p w14:paraId="7F9B3F23" w14:textId="77777777" w:rsidR="00E52FC0" w:rsidRPr="00D73741" w:rsidRDefault="00E52FC0" w:rsidP="00E52FC0"/>
    <w:p w14:paraId="774370E8" w14:textId="77777777" w:rsidR="00E52FC0" w:rsidRPr="00D73741" w:rsidRDefault="00E52FC0" w:rsidP="005961CA">
      <w:pPr>
        <w:jc w:val="both"/>
      </w:pPr>
    </w:p>
    <w:p w14:paraId="7F137014" w14:textId="77777777" w:rsidR="00E52FC0" w:rsidRPr="00D73741" w:rsidRDefault="00E52FC0" w:rsidP="00E52FC0">
      <w:pPr>
        <w:jc w:val="center"/>
      </w:pPr>
    </w:p>
    <w:p w14:paraId="25115D86" w14:textId="7FC68CC5" w:rsidR="006C4A4D" w:rsidRPr="00D73741" w:rsidRDefault="0014719A" w:rsidP="008B7B90">
      <w:pPr>
        <w:spacing w:line="480" w:lineRule="auto"/>
        <w:jc w:val="both"/>
      </w:pPr>
      <w:r w:rsidRPr="00D73741">
        <w:br w:type="page"/>
      </w:r>
      <w:bookmarkStart w:id="2" w:name="_Toc176262630"/>
      <w:r w:rsidR="006C4A4D" w:rsidRPr="00D73741">
        <w:t>ACKNOWLEDGEMENTS</w:t>
      </w:r>
      <w:bookmarkEnd w:id="2"/>
      <w:r w:rsidR="006C4A4D" w:rsidRPr="00D73741">
        <w:t xml:space="preserve"> </w:t>
      </w:r>
    </w:p>
    <w:p w14:paraId="3FE9F23F" w14:textId="67EB36A8" w:rsidR="006C4A4D" w:rsidRPr="00D73741" w:rsidRDefault="0045676A" w:rsidP="008B7B90">
      <w:pPr>
        <w:spacing w:line="480" w:lineRule="auto"/>
        <w:jc w:val="both"/>
      </w:pPr>
      <w:r w:rsidRPr="00D73741">
        <w:t xml:space="preserve">With thanks to </w:t>
      </w:r>
    </w:p>
    <w:p w14:paraId="27003E94" w14:textId="5B6D65BC" w:rsidR="0045676A" w:rsidRPr="00D73741" w:rsidRDefault="0045676A" w:rsidP="008B7B90">
      <w:pPr>
        <w:spacing w:line="480" w:lineRule="auto"/>
        <w:jc w:val="both"/>
      </w:pPr>
      <w:r w:rsidRPr="00D73741">
        <w:t>Darrel, Jess and Student Support at UWTSD</w:t>
      </w:r>
    </w:p>
    <w:p w14:paraId="76D41113" w14:textId="02C52861" w:rsidR="0045676A" w:rsidRPr="00D73741" w:rsidRDefault="00A31EDC" w:rsidP="008B7B90">
      <w:pPr>
        <w:spacing w:line="480" w:lineRule="auto"/>
        <w:jc w:val="both"/>
      </w:pPr>
      <w:r w:rsidRPr="00D73741">
        <w:t>Steffy Evans</w:t>
      </w:r>
    </w:p>
    <w:p w14:paraId="11B6D8C1" w14:textId="2F758C5A" w:rsidR="00A31EDC" w:rsidRPr="00D73741" w:rsidRDefault="00A31EDC" w:rsidP="008B7B90">
      <w:pPr>
        <w:spacing w:line="480" w:lineRule="auto"/>
        <w:jc w:val="both"/>
      </w:pPr>
      <w:r w:rsidRPr="00D73741">
        <w:t>Dr Caroline Lohman-Hancock</w:t>
      </w:r>
    </w:p>
    <w:p w14:paraId="5899CBEB" w14:textId="0FF84D66" w:rsidR="00A31EDC" w:rsidRPr="00D73741" w:rsidRDefault="00A31EDC" w:rsidP="008B7B90">
      <w:pPr>
        <w:spacing w:line="480" w:lineRule="auto"/>
        <w:jc w:val="both"/>
      </w:pPr>
      <w:r w:rsidRPr="00D73741">
        <w:t>And Ian, Dylan, Owen and Thomas xx</w:t>
      </w:r>
    </w:p>
    <w:p w14:paraId="18836039" w14:textId="30A12F63" w:rsidR="003D3B35" w:rsidRPr="00D73741" w:rsidRDefault="003D3B35" w:rsidP="008B7B90">
      <w:pPr>
        <w:spacing w:line="480" w:lineRule="auto"/>
        <w:jc w:val="both"/>
      </w:pPr>
    </w:p>
    <w:p w14:paraId="056CBDF8" w14:textId="77777777" w:rsidR="005E060A" w:rsidRPr="00D73741" w:rsidRDefault="006C4A4D" w:rsidP="008B7B90">
      <w:pPr>
        <w:spacing w:line="480" w:lineRule="auto"/>
        <w:jc w:val="both"/>
      </w:pPr>
      <w:r w:rsidRPr="00D73741">
        <w:br w:type="page"/>
      </w:r>
      <w:bookmarkStart w:id="3" w:name="_Toc176262631"/>
      <w:r w:rsidR="00BA7FED" w:rsidRPr="00D73741">
        <w:t>ABSTRACT</w:t>
      </w:r>
      <w:bookmarkEnd w:id="3"/>
    </w:p>
    <w:p w14:paraId="760296E0" w14:textId="1617EED8" w:rsidR="0014719A" w:rsidRPr="00D73741" w:rsidRDefault="00A25710" w:rsidP="008B7B90">
      <w:pPr>
        <w:spacing w:line="480" w:lineRule="auto"/>
        <w:jc w:val="both"/>
      </w:pPr>
      <w:r w:rsidRPr="00D73741">
        <w:t xml:space="preserve">59% of women and girls who game online have </w:t>
      </w:r>
      <w:r w:rsidR="003160E1" w:rsidRPr="00D73741">
        <w:t xml:space="preserve">had toxic experiences with male players (Women In Games, 2024). </w:t>
      </w:r>
      <w:r w:rsidR="00FE0FD1" w:rsidRPr="00D73741">
        <w:t xml:space="preserve">This links to </w:t>
      </w:r>
      <w:r w:rsidR="00007F54" w:rsidRPr="00D73741">
        <w:t>the harassment and abuse that women experience in</w:t>
      </w:r>
      <w:r w:rsidR="00656651" w:rsidRPr="00D73741">
        <w:t xml:space="preserve"> online spaces more generally (Sobieraj, 2018). In 2014, a phenomenon known as GamerGate</w:t>
      </w:r>
      <w:r w:rsidR="00C641AE" w:rsidRPr="00D73741">
        <w:t xml:space="preserve"> occurred, resulting in the harassment and abuse of female games journalists</w:t>
      </w:r>
      <w:r w:rsidR="00D135F8" w:rsidRPr="00D73741">
        <w:t>, games developers and public figures in gaming</w:t>
      </w:r>
      <w:r w:rsidR="0007496B" w:rsidRPr="00D73741">
        <w:t xml:space="preserve">, </w:t>
      </w:r>
      <w:r w:rsidR="00917A24" w:rsidRPr="00D73741">
        <w:t>with men</w:t>
      </w:r>
      <w:r w:rsidR="0092064C" w:rsidRPr="00D73741">
        <w:t>’s</w:t>
      </w:r>
      <w:r w:rsidR="00917A24" w:rsidRPr="00D73741">
        <w:t xml:space="preserve"> online groups and forums coordinating this harassment. </w:t>
      </w:r>
      <w:r w:rsidR="007C2123" w:rsidRPr="00D73741">
        <w:t xml:space="preserve">These groups, </w:t>
      </w:r>
      <w:r w:rsidR="0092064C" w:rsidRPr="00D73741">
        <w:t xml:space="preserve">loosely </w:t>
      </w:r>
      <w:r w:rsidR="007C2123" w:rsidRPr="00D73741">
        <w:t xml:space="preserve">connected by their </w:t>
      </w:r>
      <w:r w:rsidR="003B407C" w:rsidRPr="00D73741">
        <w:t xml:space="preserve">views about women, are </w:t>
      </w:r>
      <w:r w:rsidR="0092064C" w:rsidRPr="00D73741">
        <w:t>known as the Manosphere. This work will attempt to position harassment, violence and abuse towards women in online gaming as part of a more general movement of misogyny online, and consider what the experiences are of women in gaming in a post-GamerGate context. It will initially consider the presentation and images of female characters and avatars in games, then discuss the phenomenon known as GamerGate, examine the evidence of what it is like to be a female gamer in the present, and finally attempt to orient women’s response to their experiences within Fourth Wave feminism.</w:t>
      </w:r>
    </w:p>
    <w:p w14:paraId="08CE6F91" w14:textId="65A9CBD6" w:rsidR="003739F1" w:rsidRPr="00D73741" w:rsidRDefault="003739F1" w:rsidP="008B7B90">
      <w:pPr>
        <w:spacing w:line="480" w:lineRule="auto"/>
        <w:jc w:val="both"/>
      </w:pPr>
    </w:p>
    <w:p w14:paraId="61CDCEAD" w14:textId="77777777" w:rsidR="0014719A" w:rsidRPr="00D73741" w:rsidRDefault="0014719A" w:rsidP="008B7B90">
      <w:pPr>
        <w:spacing w:line="480" w:lineRule="auto"/>
        <w:jc w:val="both"/>
      </w:pPr>
    </w:p>
    <w:p w14:paraId="6BB9E253" w14:textId="77777777" w:rsidR="00814EC6" w:rsidRPr="00D73741" w:rsidRDefault="00814EC6" w:rsidP="008B7B90">
      <w:pPr>
        <w:spacing w:line="480" w:lineRule="auto"/>
        <w:jc w:val="both"/>
      </w:pPr>
    </w:p>
    <w:p w14:paraId="5043CB0F" w14:textId="77777777" w:rsidR="004317A6" w:rsidRPr="00D73741" w:rsidRDefault="004317A6" w:rsidP="008B7B90">
      <w:pPr>
        <w:spacing w:line="480" w:lineRule="auto"/>
        <w:jc w:val="both"/>
      </w:pPr>
    </w:p>
    <w:p w14:paraId="54E971BC" w14:textId="224B8526" w:rsidR="004317A6" w:rsidRPr="00D73741" w:rsidRDefault="005E060A" w:rsidP="008B7B90">
      <w:pPr>
        <w:spacing w:line="480" w:lineRule="auto"/>
        <w:jc w:val="both"/>
      </w:pPr>
      <w:r w:rsidRPr="00D73741">
        <w:br w:type="page"/>
      </w:r>
    </w:p>
    <w:p w14:paraId="18FDEEC4" w14:textId="77777777" w:rsidR="00E65F38" w:rsidRPr="00D73741" w:rsidRDefault="00E65F38" w:rsidP="008B7B90">
      <w:pPr>
        <w:spacing w:line="480" w:lineRule="auto"/>
        <w:jc w:val="both"/>
      </w:pPr>
    </w:p>
    <w:p w14:paraId="146F016B" w14:textId="0A3096E5" w:rsidR="004A0208" w:rsidRPr="00D73741" w:rsidRDefault="005E060A" w:rsidP="008B7B90">
      <w:pPr>
        <w:spacing w:line="480" w:lineRule="auto"/>
        <w:jc w:val="both"/>
        <w:rPr>
          <w:b/>
          <w:bCs/>
          <w:sz w:val="28"/>
          <w:szCs w:val="28"/>
        </w:rPr>
      </w:pPr>
      <w:bookmarkStart w:id="4" w:name="_Toc176262635"/>
      <w:r w:rsidRPr="00D73741">
        <w:rPr>
          <w:b/>
          <w:bCs/>
          <w:sz w:val="28"/>
          <w:szCs w:val="28"/>
        </w:rPr>
        <w:t>Introduction</w:t>
      </w:r>
      <w:bookmarkEnd w:id="4"/>
    </w:p>
    <w:p w14:paraId="01962171" w14:textId="77777777" w:rsidR="004A0208" w:rsidRPr="00D73741" w:rsidRDefault="004A0208" w:rsidP="008B7B90">
      <w:pPr>
        <w:spacing w:line="480" w:lineRule="auto"/>
        <w:jc w:val="both"/>
      </w:pPr>
      <w:r w:rsidRPr="00D73741">
        <w:t xml:space="preserve">Although the tradition image of a gamer is that of young, white men, the global market for gaming has increased to approximately 2.6 billion individual gamers worldwide, with a global revenue of 396.2 billion dollars (Statista, 2024). More than eight out of ten internet users aged 18-44 play games on any device, and across demographics, shooter and action adventure games were the most played (Statista, 2024). However, 59% of women and girls who game reported negative experiences with male gamers (Women In Games, 2024). Of this number, 42% reported abusive language online, 30% had been sexually harassed, 30% had been sent content that was inappropriate, and 14% had been threatened with rape (Women In Games, 2024). Women also reported that they had changed the way that they game in response to this, with some women not speaking while in game, in order to avoid negative interactions with male users, or leaving the game entirely (Women In Games, 2024). 14% of women who had experienced toxicity online reported that had affected their mental health (Women In Games, 2024).  </w:t>
      </w:r>
    </w:p>
    <w:p w14:paraId="778DAF09" w14:textId="77777777" w:rsidR="004A0208" w:rsidRPr="00D73741" w:rsidRDefault="004A0208" w:rsidP="008B7B90">
      <w:pPr>
        <w:spacing w:line="480" w:lineRule="auto"/>
        <w:jc w:val="both"/>
      </w:pPr>
      <w:r w:rsidRPr="00D73741">
        <w:t xml:space="preserve">This is underpinned by the types of characters that tend to appear in popular video games. In a similar way to the “male gaze” theories of film studies, female characters and avatars are depicted as attractive, in contrast to the emphasis on strength and heroism of the male characters; any deviation from this dynamic remains constrained by the sexualised and attractive image of the female (Tomkins &amp; Martins, 2022). Active, autonomous female characters are “vamps”, their strength interpreted as dangerous or threatening to the male heroes of the game, while “virgin” characters are submissive and demure, the mens’ actions are to save or protect her, and she functions as a prize to be won by the hero (Tompkins et al, 2022). </w:t>
      </w:r>
    </w:p>
    <w:p w14:paraId="1180D4F3" w14:textId="77777777" w:rsidR="004A0208" w:rsidRPr="00D73741" w:rsidRDefault="004A0208" w:rsidP="008B7B90">
      <w:pPr>
        <w:spacing w:line="480" w:lineRule="auto"/>
        <w:jc w:val="both"/>
      </w:pPr>
    </w:p>
    <w:p w14:paraId="79CEB58D" w14:textId="77777777" w:rsidR="00FA63A1" w:rsidRPr="00D73741" w:rsidRDefault="004A0208" w:rsidP="008B7B90">
      <w:pPr>
        <w:spacing w:line="480" w:lineRule="auto"/>
        <w:jc w:val="both"/>
      </w:pPr>
      <w:r w:rsidRPr="00D73741">
        <w:t xml:space="preserve">The fields of computing and gaming are historically held to be male domains (Wilson, 2003), and even in today’s gaming industry the number of women working in the gaming industry is only 21% (Women In Tech, 2024). There are reports of a culture of sexism within game production studios (Wood, 2023; Carter, 2024), which could explain the absence of women in these types of workplaces. The video games industry generates billions in revenue each year (Statista, 2024), and is rooted in the acquisition of capital and US military might (Dyer-Witherford &amp; De Peuter, 2009), creating ever-increasing content and products for purchase, as in the case of new free-to-play games and “battle pass” capitalism, blurring the boundaries between gaming and other forms of entertainment, such as music and film events, and retail: “games are now shops” (Campbell, 2019). </w:t>
      </w:r>
    </w:p>
    <w:p w14:paraId="4F2E5A2D" w14:textId="77777777" w:rsidR="00FA63A1" w:rsidRPr="00D73741" w:rsidRDefault="00FA63A1" w:rsidP="008B7B90">
      <w:pPr>
        <w:spacing w:line="480" w:lineRule="auto"/>
        <w:jc w:val="both"/>
      </w:pPr>
    </w:p>
    <w:p w14:paraId="200BFBA8" w14:textId="08D34A1C" w:rsidR="00FA63A1" w:rsidRPr="00D73741" w:rsidRDefault="00FA63A1" w:rsidP="008B7B90">
      <w:pPr>
        <w:spacing w:line="480" w:lineRule="auto"/>
        <w:jc w:val="both"/>
      </w:pPr>
    </w:p>
    <w:p w14:paraId="33331F59" w14:textId="4650AD0F" w:rsidR="004A0208" w:rsidRPr="00D73741" w:rsidRDefault="004A0208" w:rsidP="008B7B90">
      <w:pPr>
        <w:spacing w:line="480" w:lineRule="auto"/>
        <w:jc w:val="both"/>
      </w:pPr>
      <w:r w:rsidRPr="00D73741">
        <w:t>The phenomenon known as GamerGate, beginning in 2014, was a toxic campaign of hate against women in gaming, beginning with the games developer Zoe Quinn, and expanding to target other games developers, games journalists, academics, and feminists. The campaign used techniques of online harassment and militarised strategies in it’s relentless abuse of women in gaming. It found support online within factions of the alt-right, including groups such as the Men’s  Rights Activism and Pick Up Artists communities (Mortensen, 2018). In this way, it appears that misogyny in gaming is situated as part of the Manosphere. This is a loosely associated collection of groups, including Men Going Their Own Way and the Incels, developed in part as online communities, connected by their beliefs that women and feminism are in control of the world, and that their actions towards women are a response to their oppression and the experience of living in a misandrist society (Marwick &amp; Caplan, 2018). The beliefs about women include that women are biologically inferior to men, deceive and exploit men for gain, and are by nature promiscuous (Vallerga &amp; Zurbriggen, 2022).</w:t>
      </w:r>
    </w:p>
    <w:p w14:paraId="4B46720C" w14:textId="77777777" w:rsidR="004A0208" w:rsidRPr="00D73741" w:rsidRDefault="004A0208" w:rsidP="008B7B90">
      <w:pPr>
        <w:spacing w:line="480" w:lineRule="auto"/>
        <w:jc w:val="both"/>
      </w:pPr>
    </w:p>
    <w:p w14:paraId="68921298" w14:textId="77777777" w:rsidR="004A0208" w:rsidRPr="00D73741" w:rsidRDefault="004A0208" w:rsidP="008B7B90">
      <w:pPr>
        <w:spacing w:line="480" w:lineRule="auto"/>
        <w:jc w:val="both"/>
      </w:pPr>
      <w:r w:rsidRPr="00D73741">
        <w:t xml:space="preserve">Women are vulnerable to both general harassment and sexual harassment while gaming (Fox &amp; Tang, 2017), and are perceived to be inferior gamers, impacting their access to eSports and professional gaming (Robinson, 2022). Any attempt to mediate the content of some games were met with derision, and the idea that feminist viewpoints were taking over (Braithwaite, 2014). As well as the established techniques of online harassment, new risks have begun to manifest, such as that of virtual rape (The Guardian, 2024). Some forms of response to online gaming have arisen, such as the “name and shame” campaigns (Jane, 2016), and the games platforms themselves have methods for banning players who are in breach of harassment and language rules (Activision, 2024); however, this has had patchy success (Kou, 2021). Changes to the depiction of female character, although becoming more common, have been met with backlash and accusations of “virtue signalling” (Allen, 2023). </w:t>
      </w:r>
    </w:p>
    <w:p w14:paraId="46E04210" w14:textId="77777777" w:rsidR="004A0208" w:rsidRPr="00D73741" w:rsidRDefault="004A0208" w:rsidP="008B7B90">
      <w:pPr>
        <w:spacing w:line="480" w:lineRule="auto"/>
        <w:jc w:val="both"/>
      </w:pPr>
    </w:p>
    <w:p w14:paraId="2453286C" w14:textId="77777777" w:rsidR="004A0208" w:rsidRPr="00D73741" w:rsidRDefault="004A0208" w:rsidP="008B7B90">
      <w:pPr>
        <w:spacing w:line="480" w:lineRule="auto"/>
        <w:jc w:val="both"/>
      </w:pPr>
      <w:r w:rsidRPr="00D73741">
        <w:t>It would appear that the risks to women in gaming are manyfold, from the risk of online and actual harm to the economic harm exclusion from the vast industries of gaming and eSports. Conversely, the toxic environment of the Manosphere contains the risk of indoctrination and harm to vulnerable young men. In this work, it will be attempted to gain insight into misogyny in gaming by viewing it in the light of the broader online environment, and examining the motivations and circumstances that underpin the abuse and harassment experienced by women. The work aims to illuminate these issues to benefit three main groups: female gamers, women online generally, and also the men and boys who get caught up in cycles of toxicity in online misogynist arenas. Due to the nature of the topic, it was decided to include sources such as TikTok and gaming industry media publications, as the gaming industry is constantly evolving and developing. The searches began using the keywords ‘women’, ‘gaming’, and ‘gamers’, and more searches were ‘snowballed’ as new areas of relevance were uncovered. The results were synthesised into five key topics using thematic analysis: how games are produced, GamerGate and it’s effects, Manosphere links, the harassment experienced by women, and how women online respond and defend themselves. The limitations of this work include the complexity of the online environment, which has yielded a huge amount of material for research; however, the constant change and progression of the technology and of the content of online gaming means that it is quite ‘slippery’ in establishing facts. The author’s motivation in conducting this research includes many years of feminist activism, combined with participation in online games communities; having seen the toxicity of some games ‘lobbys’, the need for safety appears to be urgent. This work will attempt to position harassment, violence and abuse towards women in online gaming as part of a more general movement of misogyny online, and consider what the experiences are of women in gaming in a post-GamerGate context. It will initially consider the component parts that facilitate the creation of a video game, and how these disadvantage women, then discuss the phenomenon known as GamerGate, examine the evidence of what it is like to be a female gamer in the present, and finally attempt to orient women’s response to their experiences within Fourth Wave feminism.</w:t>
      </w:r>
    </w:p>
    <w:p w14:paraId="09A950CB" w14:textId="77777777" w:rsidR="001300C6" w:rsidRPr="00D73741" w:rsidRDefault="001300C6" w:rsidP="008B7B90">
      <w:pPr>
        <w:spacing w:line="480" w:lineRule="auto"/>
        <w:jc w:val="both"/>
      </w:pPr>
    </w:p>
    <w:p w14:paraId="2445A74E" w14:textId="77777777" w:rsidR="001300C6" w:rsidRPr="00D73741" w:rsidRDefault="001300C6" w:rsidP="008B7B90">
      <w:pPr>
        <w:spacing w:line="480" w:lineRule="auto"/>
        <w:jc w:val="both"/>
      </w:pPr>
    </w:p>
    <w:p w14:paraId="2143AD4F" w14:textId="77777777" w:rsidR="001300C6" w:rsidRPr="00D73741" w:rsidRDefault="001300C6" w:rsidP="008B7B90">
      <w:pPr>
        <w:spacing w:line="480" w:lineRule="auto"/>
        <w:jc w:val="both"/>
      </w:pPr>
    </w:p>
    <w:p w14:paraId="37E8BC54" w14:textId="1E2E7ED8" w:rsidR="001300C6" w:rsidRPr="00D73741" w:rsidRDefault="001300C6" w:rsidP="008B7B90">
      <w:pPr>
        <w:spacing w:line="480" w:lineRule="auto"/>
        <w:jc w:val="both"/>
      </w:pPr>
      <w:r w:rsidRPr="00D73741">
        <w:t>LITERATURE REVIEW</w:t>
      </w:r>
    </w:p>
    <w:p w14:paraId="1C5C764C" w14:textId="77777777" w:rsidR="00C81E7B" w:rsidRPr="00D73741" w:rsidRDefault="00C81E7B" w:rsidP="008B7B90">
      <w:pPr>
        <w:spacing w:line="480" w:lineRule="auto"/>
        <w:jc w:val="both"/>
      </w:pPr>
      <w:bookmarkStart w:id="5" w:name="_Toc176262638"/>
    </w:p>
    <w:p w14:paraId="015658E7" w14:textId="77777777" w:rsidR="005E4EAE" w:rsidRPr="00D73741" w:rsidRDefault="005E4EAE" w:rsidP="008B7B90">
      <w:pPr>
        <w:spacing w:line="480" w:lineRule="auto"/>
        <w:jc w:val="both"/>
      </w:pPr>
      <w:r w:rsidRPr="00D73741">
        <w:t>THE MAKING OF A GAME</w:t>
      </w:r>
    </w:p>
    <w:p w14:paraId="0D03CA40" w14:textId="145E5101" w:rsidR="00FB3115" w:rsidRPr="00D73741" w:rsidRDefault="00FB3115" w:rsidP="008B7B90">
      <w:pPr>
        <w:spacing w:line="480" w:lineRule="auto"/>
        <w:jc w:val="both"/>
      </w:pPr>
      <w:r w:rsidRPr="00D73741">
        <w:t xml:space="preserve">The mediums of cinema and online and video gaming are linked in their treatment of women. Laura Mulvey, in her 1976 essay Visual Pleasure and Narrative Cinema, used psychoanalysisto delineate the gender imbalance shown and perpetuated by film (Mulvey, 1976). She discusses the depiction of the active male versus the passive female, wherein the male is the active viewer, and the women exist to be looked at. The female characters are coded in appearance to highlight this, and her position fulfils two functions: she is the object of attraction to the male character(s) within the narrative depicted, and she is the object of attraction to the presumed-male media consumer in the cinema (Mulvey, 1976). Furthermore, the active and passive nature of the gender roles impacts on the narratives depicted; the male protagonist is in control of the action, and his actions propel the story forward. His attractiveness is not objectified, he represents the powerful and complete ego of the male (Mulvey, 1976). </w:t>
      </w:r>
    </w:p>
    <w:p w14:paraId="6572B8B6" w14:textId="77777777" w:rsidR="00FB3115" w:rsidRPr="00D73741" w:rsidRDefault="00FB3115" w:rsidP="008B7B90">
      <w:pPr>
        <w:spacing w:line="480" w:lineRule="auto"/>
        <w:jc w:val="both"/>
      </w:pPr>
    </w:p>
    <w:p w14:paraId="0D5C0BC1" w14:textId="3FA208AF" w:rsidR="00FB3115" w:rsidRPr="00D73741" w:rsidRDefault="00FB3115" w:rsidP="008B7B90">
      <w:pPr>
        <w:spacing w:line="480" w:lineRule="auto"/>
        <w:jc w:val="both"/>
      </w:pPr>
      <w:r w:rsidRPr="00D73741">
        <w:t>The history and traditions of cinema appear have had an impact on the newer medium of video games. In terms of the design of characters, both male and female characters are designed to appeal to men; female characters were made to be attractive, and male characters to be heroic and strong, but bland enough that male gamers could project themselves onto those characters; conversely female characters could be portrayed as strong or powerful, perhaps as a way to engage female gamers, but this was only possible within the attractive sexualised image of the character (Tompkins &amp; Martins, 2022). Various themes have been identified in the depiction of female characters in video games, and Tompkins et al (2020) interpreted these through depictions of ‘vamps’ and ‘virgins’. In this context ‘vamps’ are considered as a form of hostile sexism, embodying qualities such as that of being ‘dangerous’ or hostile to male characters, while still appearing in a way designed to be attractive to men, and relating ‘virgins’ to the qualities of submissiveness, the prize or reason for men’s actions, and whose worth is regarded purely in terms of their relationships with the male characters (Tompkins et al, 2020). This links to the idea of hostile and benevolent forms of sexism, wherein hostile sexism construes women as connivingly manipulating men in order to gain power over them, while benevolent sexism posits women as pure, weak and passive, to be protected and provided for by men as long as they conform to this role, thus reinforcing traditional gender relations (Baraket &amp; Fiske, 2023). This can be seen in how women’s bodies are depicted in gaming, as Tompkins et al (2020) put it: ‘bodies as objects, bodies as weapons’, which considered that, in the case of ‘vamp’ characters, they suggest that female characters used their sexualised bodies with the intention of “seducing” or antagonising men (Tompkins et al, 2020). This links to the objectification of women’s bodies; this is defined by Fredrickson and Roberts (1997) as “the experience of being treated as a body (or collection of body parts) valued predominantly for its use to (or consumption by) others,” and this experience can increase women’s vulnerability to conditions such as eating disorders and depression, as well as linking more widely to other forms of oppression experienced by women, such as workplace discrimination (Fredrickson &amp; Roberts, 1997). The second theme identified was “(In)dependence”, which examined the relationships female characters has with the male characters and found that equal relationships were not typically depicted in the games that were examined, and the ‘vamp’ characters tended to be more independent from male characters, signifying their hostility (Tompkins et al, 2020). Conversely, the ‘virgin’ characters were more likely to have traditional heteronormative roles within the game, with one character shown as entirely dependent on her male companion (Tompkins et al, 2020). Furthermore, it has been suggested that when games call for aggression against sexualised female characters, behaviours reflective of hostile sexism increased (La Croix et al, 2018).</w:t>
      </w:r>
    </w:p>
    <w:p w14:paraId="5357E225" w14:textId="77777777" w:rsidR="00C81E7B" w:rsidRPr="00D73741" w:rsidRDefault="00C81E7B" w:rsidP="008B7B90">
      <w:pPr>
        <w:spacing w:line="480" w:lineRule="auto"/>
        <w:jc w:val="both"/>
      </w:pPr>
    </w:p>
    <w:p w14:paraId="1F3BA376" w14:textId="77777777" w:rsidR="00FB3115" w:rsidRPr="00D73741" w:rsidRDefault="00FB3115" w:rsidP="008B7B90">
      <w:pPr>
        <w:spacing w:line="480" w:lineRule="auto"/>
        <w:jc w:val="both"/>
      </w:pPr>
      <w:r w:rsidRPr="00D73741">
        <w:t>Video games are an action-based media: “If photographs are images, and films are moving images, then video games are actions.” (Galloway, 2006). The games themselves are inactive and unrealised without the participation of the player, and the features of the games exist only as software and code without that participation (Galloway, 2006).  Marcuse (1985) developed a theory that indicates that technological systems are not separate from the societies that create them, and therefore reflect that society in the way that it is used. The industries of technology, and particularly computing, have been culturally associated with masculinity from the outset; the game designers and programmers as the industry began were predominantly men, and this has extended towards modern gaming convention as the qualities attributed to those working in technology – rationality, toughness – are conventionally seen as masculine (Wilson, 2003). Even today, the number of women working in the gaming industry is only 21% (Women In Tech, 2024). The disadvantages of being a woman are demonstrated in the video games industry; a study of 14,265 staff across 27 videogame production projects showed that women were underrepresented in comparison to the general public, with some major game productions, such as Super Mario World, having no women on their staff at all (Bailey et al, 2021). The study also showed that women were consistently more highly represented in support roles, rather than development roles, were less represented in programming, engineering and creative leadership roles, and acknowledges that, although the gender gap is narrowing, it remains wide, possibly accounted for by a toxicity in the working environment (Bailey et al, 2021). This has been demonstrated to be the case: the well-known games development company Riot Games were subject to a lawsuit raised by more than 1500 female employees, resulting in being ordered to pay out around $104 million, because of a “deep-seated sexist culture”, with women reporting gender discrimination and sexual harassment (Wood, 2023; Carter, 2024) The report of a hostile environment is mirrored more broadly in the software development industry; some study participants described having to demonstrate their competence, being discouraged by mentors, being alienated in the workplace, and having to tolerate sexist jokes due to the lack of gender diversity within that industry (Canedo et al, 2021).  This could indicate that the creation of the distinct online gaming space was created by, and created for, the actions of men.</w:t>
      </w:r>
    </w:p>
    <w:p w14:paraId="4DFAB01F" w14:textId="77777777" w:rsidR="00FB3115" w:rsidRPr="00D73741" w:rsidRDefault="00FB3115" w:rsidP="008B7B90">
      <w:pPr>
        <w:spacing w:line="480" w:lineRule="auto"/>
        <w:jc w:val="both"/>
      </w:pPr>
    </w:p>
    <w:p w14:paraId="25436F54" w14:textId="77777777" w:rsidR="00FB3115" w:rsidRPr="00D73741" w:rsidRDefault="00FB3115" w:rsidP="008B7B90">
      <w:pPr>
        <w:spacing w:line="480" w:lineRule="auto"/>
        <w:jc w:val="both"/>
      </w:pPr>
      <w:r w:rsidRPr="00D73741">
        <w:t xml:space="preserve">Women make up 45% of people who play online games, however traditional viewpoints consider that men play action-adventure console games, while women play free-to-download casual puzzle games, and the producers of large budget games have been reticent to deviate from this veiwpoint in case of backlash from established gamers, which thereby reinforces that stereotype (Tompkins &amp; Martins, 2022). Research conducted with games developers has shown that the male-dominated industry of gaming has had an impact on gender depictions in gaming; one participant reported that the video game industry had begun by young men making games for young men, and that this culture continues to be pervasive (Tompkins &amp; Martins, 2022) As early as 1998, it was documented that female characters were depicted in a stereotyped way; even action-type characters were dressed in traditional feminine styles or were highly sexualised, or in 30% of the games surveyed, were not depicted at all (Dietz, 1998). Furthermore, flowing fabric or bulkier clothing is more difficult and expensive to animate, and this may have contributed to the sexualisation of female characters, combined with the overarching ‘male gaze’ present in an industry that is still male dominated (Tompkins &amp; Martins, 2022). </w:t>
      </w:r>
    </w:p>
    <w:p w14:paraId="2712A9BB" w14:textId="77777777" w:rsidR="00FB3115" w:rsidRPr="00D73741" w:rsidRDefault="00FB3115" w:rsidP="008B7B90">
      <w:pPr>
        <w:spacing w:line="480" w:lineRule="auto"/>
        <w:jc w:val="both"/>
      </w:pPr>
      <w:r w:rsidRPr="00D73741">
        <w:t>The revenues produced by the videogame industry are, at time of writing, colossal, $396.2 billion in revenues worldwide, with an estimated 2.6 billion unique participants (Statista, 2024). In the book Games Of Empire: Global Capitalism and Video Games (2009), it is argued that videogames are a form of media that is an expression of empire, with it’s roots in the US military, the “nuclear-armed core of capital’s global domination”. The book defines a new form of work, immaterial labour, as the method of expansion of capital within the video games industry, and, in doing so, produces profits via “intellectual property rights, cognitive exploitation, cultural hybridisation, transcontinentally subcontracted dirty work, and world marketed commodities” (Dyer-Witherford &amp; De Peuter, 2009, p.xxix). The authors consider that gaming typifies “the boundless exercise of biopower”, as the participation in online gaming confuses the lines that define production and consumption, gaming activity and exploitation, work and play (Dyer-Witherford &amp; De Peuter, 2009, p.xxix). One facet of this is the concept of “battle pass capitalism”, a system whereby free-to-play games offer a paid-for “battle pass” which includes “loot” such as skins or emotes for use in the game (Joseph, 2021). The continuing rise of this business model in gaming indicates that the service is becoming an increasingly important component of digital accumulation, and demonstrates how “games are now shops”, to the extent that games that require purchasing to play may become too risky for the video game industry (Joseph, 2021). Furthermore, this model has led to serious difficulties for the game developers and production workers, with some workers at Epic Games, producers of the hit free-to-play game Fortnite, reporting the expectation that they work overtime, in some cases up to 100 hours per week, in a “stressful and hostile” workplace, in the constant push to develop new content (Campbell, 2019).</w:t>
      </w:r>
    </w:p>
    <w:p w14:paraId="40FC104B" w14:textId="77777777" w:rsidR="00685B23" w:rsidRPr="00D73741" w:rsidRDefault="00685B23" w:rsidP="008B7B90">
      <w:pPr>
        <w:spacing w:line="480" w:lineRule="auto"/>
        <w:jc w:val="both"/>
      </w:pPr>
    </w:p>
    <w:p w14:paraId="120637F7" w14:textId="05E86F22" w:rsidR="00FB3115" w:rsidRPr="00D73741" w:rsidRDefault="00FB3115" w:rsidP="008B7B90">
      <w:pPr>
        <w:spacing w:line="480" w:lineRule="auto"/>
        <w:jc w:val="both"/>
      </w:pPr>
      <w:r w:rsidRPr="00D73741">
        <w:t>Jamie Woodcock, in his Marxist analysis of the video games industry, builds on this point, positing that the difficulties in organising immaterial labour that result in “crunch time”, the working of overly long hours, particularly nearing a deadline, and the institutional gender inequality in the industry, combine to create a new class struggle (Woodcock, 2019). In looking at the capitalist interests of the videogames industry, it could also be argued that capitalism itself is a system that causes and perpetuates the disadvantage experienced by women; Federici in her 2004 work, deviating from the analysis given by Marx, argues that three “historical phenomena” occurred that were foundational to the creation of capitalist accumulation: the division of labour by sex, reducing women’s function to that of reproduction; the creation of patriarchal hierarchy, based in the reduction of women’s access to paid work and the consequent subordination to men; and the creation of a new proletariat body, mechanised into a production line for new workers. She centres in her work the idea of the witch, “the embodiment of a world of female subjects that capitalism had to destroy: the heretic, the healer, the disobedient wife, the woman who dared live alone, the obeah woman who poisoned the master’s food and inspired the slaves to revolt” (Federici, 2004, pp. 1-4)., mirroring the lack of diversity in female characters in games, which are restricted to “vamps” and “virgins” (Tompkins et al, 2020).</w:t>
      </w:r>
    </w:p>
    <w:bookmarkEnd w:id="5"/>
    <w:p w14:paraId="02F9A53E" w14:textId="77777777" w:rsidR="00C47F02" w:rsidRPr="00D73741" w:rsidRDefault="00C47F02" w:rsidP="008B7B90">
      <w:pPr>
        <w:spacing w:line="480" w:lineRule="auto"/>
        <w:jc w:val="both"/>
      </w:pPr>
    </w:p>
    <w:p w14:paraId="03B3B08A" w14:textId="29C1983A" w:rsidR="00D66FE9" w:rsidRPr="00D73741" w:rsidRDefault="00C47F02" w:rsidP="008B7B90">
      <w:pPr>
        <w:spacing w:line="480" w:lineRule="auto"/>
        <w:jc w:val="both"/>
      </w:pPr>
      <w:r w:rsidRPr="00D73741">
        <w:t>GAMERGATE</w:t>
      </w:r>
    </w:p>
    <w:p w14:paraId="1F884A7E" w14:textId="0EBB6220" w:rsidR="00D66FE9" w:rsidRPr="00D73741" w:rsidRDefault="00D66FE9" w:rsidP="008B7B90">
      <w:pPr>
        <w:spacing w:line="480" w:lineRule="auto"/>
        <w:jc w:val="both"/>
      </w:pPr>
      <w:r w:rsidRPr="00D73741">
        <w:t xml:space="preserve">In 2014, an event known as GamerGate erupted online, a targeted campaign of harassment against women in the gaming industry. The catalyst for this was the publication of a blog post by the ex-partner of games developer Zoe Quinn  in which she was accused of sleeping with games journalists and reviewers in exchange for positive reviews of her game Depression Quest. Several women were targeted in the campaign, including games developer Brianna Wu, feminist critic Anita Sarkeesian, and academic Adrianna Shaw. The harassment ranged in techniques from threats of murder and rape to ‘doxxing’, where an individual’s personal information is shared online. As a consequence of the GamerGate campaign, both Quinn and Wu were forced to leave their homes to ensure their safety. </w:t>
      </w:r>
    </w:p>
    <w:p w14:paraId="4A9E8BA1" w14:textId="77777777" w:rsidR="00D66FE9" w:rsidRPr="00D73741" w:rsidRDefault="00D66FE9" w:rsidP="008B7B90">
      <w:pPr>
        <w:spacing w:line="480" w:lineRule="auto"/>
        <w:jc w:val="both"/>
      </w:pPr>
    </w:p>
    <w:p w14:paraId="3F5F80BF" w14:textId="77777777" w:rsidR="00D66FE9" w:rsidRPr="00D73741" w:rsidRDefault="00D66FE9" w:rsidP="008B7B90">
      <w:pPr>
        <w:spacing w:line="480" w:lineRule="auto"/>
        <w:jc w:val="both"/>
      </w:pPr>
      <w:r w:rsidRPr="00D73741">
        <w:t>Salter (2018) describes the exclusion of women and minorities from the gaming sphere as being linked to the fragility of a “geek masculinity”, perhaps as a reaction against the intrusion of women into the defined male space of online gaming. This consists of a form of masculinity derived from knowledge and skills around the use of technology and may stem from stereotypes around computer programmers being technically brilliant but socially unsuccessful (Salter, 2018). Salter argues that these stereotypes were adopted by men and boys as a template of masculine identity, contrasting with conventional ideas of masculinity such as athletic prowess. Although this alternative form of masculinity may promote inclusivity, it has been shown that “geek” gamers tend to be white, middle class and male (Kendall, 2011). Salter goes on to describe how ‘geek masculinity’ is contradictory, containing in its identity aspects of both an oppressed minority and power and dominance over others, created by technological competence (Salter, 2018). Mendick et al (2023) argue that ‘geeks’ exemplify a complicit masculinity, which have acquired patriarchal hegemony due to the conflicting influences of capitalism, the impact of the feminist movement, and political contexts following neoliberalism. They describe geek entrepreneurs as having technological ‘genius’, coupled with a willingness to cause disruption and to reform established practices, as in an anecdote wherein Mark Zuckerberg instructed Facebook employees to “move fast and break things”, and a history of social and sexual rejection and suffering for which they seek revenge (Mendip et al, 2023).</w:t>
      </w:r>
    </w:p>
    <w:p w14:paraId="4DDAF062" w14:textId="77777777" w:rsidR="00D66FE9" w:rsidRPr="00D73741" w:rsidRDefault="00D66FE9" w:rsidP="008B7B90">
      <w:pPr>
        <w:spacing w:line="480" w:lineRule="auto"/>
        <w:jc w:val="both"/>
      </w:pPr>
    </w:p>
    <w:p w14:paraId="6344C700" w14:textId="77777777" w:rsidR="00D66FE9" w:rsidRPr="00D73741" w:rsidRDefault="00D66FE9" w:rsidP="008B7B90">
      <w:pPr>
        <w:spacing w:line="480" w:lineRule="auto"/>
        <w:jc w:val="both"/>
      </w:pPr>
      <w:r w:rsidRPr="00D73741">
        <w:t>The stigma surrounding the stereotype of the socially unsuccessful ‘geek’ has been replaced by a sense of the value of technological skills, typified by successful and wealthy entrepreneurs such as Bill Gates (Salter, 2018). Salter refers the phenomenon of GamerGate to the theory of ‘technological rationality’ developed by Marcuse (ref) suggesting that abuse online is created by neither the gamers or the technology. However, the interactions of the two reflect the gendered nature of the technologies, and that the platforms used to facilitate the harassment carried out by the GamerGate campaign reflect this in their design and the way that they are moderated (Salter, 2018). This is further reflected in the role of Twitter and the ability to share links embedded within tweets. This was also demonstrated by Dowling et al (2019), who analysed a dataset of tweets, and suggest that this sharing of information or ‘evidence’ to support their viewpoint was a tool used in the GamerGate campaign to create affiliation between gaming communities, create a boundary defining the gaming space, and to defend that distinct male space from impending diversification (Dowling et al, 2019). This may also have been supported by the difficulty, inherent in the way Twitter functions, in finding and suspending users who are committing harassment and abuse, meaning that the GamerGate participants were able to avoid the suspension of their accounts (Chatzoukou et al, 2017).</w:t>
      </w:r>
    </w:p>
    <w:p w14:paraId="60933E50" w14:textId="77777777" w:rsidR="00D66FE9" w:rsidRPr="00D73741" w:rsidRDefault="00D66FE9" w:rsidP="008B7B90">
      <w:pPr>
        <w:spacing w:line="480" w:lineRule="auto"/>
        <w:jc w:val="both"/>
      </w:pPr>
    </w:p>
    <w:p w14:paraId="0BCA71CF" w14:textId="77777777" w:rsidR="00D66FE9" w:rsidRPr="00D73741" w:rsidRDefault="00D66FE9" w:rsidP="008B7B90">
      <w:pPr>
        <w:spacing w:line="480" w:lineRule="auto"/>
        <w:jc w:val="both"/>
      </w:pPr>
      <w:r w:rsidRPr="00D73741">
        <w:t>An analysis of a social media ‘megathread’ used by supporters of the GamerGate movement indicated a number of concerns and objectives held by the movement (Knight et al, 2022). These included the origins and catalysts for their movement, identifying the publication of the ‘Gamers are Dead’ articles as an attack on gamer identity, and that they felt they were being unfairly typecast as misogynists. Some users felt that the allegations of misogyny within the gaming industry were purely a smokescreen to deflect from what they claim that their movement was truly about – corruption within the gaming and the gaming journalism industries (Knight et al, 2022). The contributors to the thread discussed strategies of how to rehabilitate the image of the GamerGate movement, describing ‘techniques of neutralisation’ such as the denial of harm done. The utilisation of these techniques may have enabled cohesion within the group, and helped to develop the narrative that the actions that had been take by the movement was justified (Knight et al, 2022). The attempts to deny that harm had been done by GamerGate supporters included the allegations that the harassment experienced by the victims was fabricated, over-exaggerated, and did not constitute misogyny, or else was the work of outliers within the movement, whose actions did not represent GamerGate as a whole (Knight et al, 2022). Furthermore, some participants stated that they themselves in the GamerGate movement were being victimised, and that their experiences were being ignored by the media. Some indicated that the attempts to increase diversity and inclusion in gaming were actually a veiled attempt at increasing consumers via marketing towards groups not usually considered. The GamerGaters felt they were not included in these new directions and were shut out of discussions relating to them (Knight et al, 2022). As Knight et al point out, the ‘megathread’ discusses the laundering of GamerGate’s image, without any mention of how to address the abuse experienced by the women concerned, and a link can be drawn from the catalyst of GamerGate, the abusive treatment of Zoe Quinn by her ex-partner, to the gendered abuse of the GamerGate campaign and the wider gaming industry, indicating the ideologies that underpinned the behaviour of the GamerGate supporters (Knight et al, 2022). It could be argued that the strategies employed by GamerGate could be read as a handbook of how to quash challenges to the existing norms, within which a war-like mentality can develop, justifying all actions as necessary to the cause (Knight et al, 2023). Due to the use of the internet in the GamerGate campaign, the movement itself could be argued to contain the features of cyberwarfare; furthermore, the use of threats of sexual violence against the women involved indicate that the ‘attacks’ perpetuated by GamerGate were specifically gendered.</w:t>
      </w:r>
    </w:p>
    <w:p w14:paraId="707CD781" w14:textId="77777777" w:rsidR="00D66FE9" w:rsidRPr="00D73741" w:rsidRDefault="00D66FE9" w:rsidP="008B7B90">
      <w:pPr>
        <w:spacing w:line="480" w:lineRule="auto"/>
        <w:jc w:val="both"/>
      </w:pPr>
    </w:p>
    <w:p w14:paraId="006470BF" w14:textId="77777777" w:rsidR="00D66FE9" w:rsidRPr="00D73741" w:rsidRDefault="00D66FE9" w:rsidP="008B7B90">
      <w:pPr>
        <w:spacing w:line="480" w:lineRule="auto"/>
        <w:jc w:val="both"/>
      </w:pPr>
      <w:r w:rsidRPr="00D73741">
        <w:t>The idea that the GamerGate movement utilised strategies of warfare is reinforced by the language used by the members of the movement; a series of chat posts leaked from a GamerGate ‘internet relay chat’ showed that the actions taken by the movement were described as ‘operations’ or ‘operation virtuous mission’, a reference to the 2004 action-stealth game Metal Gear Solid 3: Snake Eater (REF). The posts include references to ‘false flag attacks’ to defer blame, ‘sleeper cells’ to infiltrate the opposition, and the explicit reference to the campaign as a war (O’Donnell, 2020). The posts could also indicate a tendency to the ‘gamification’ of the actions taken by the movement; some posters referred to Zoe Quinn as ‘the final boss’, reflecting the way in which games increase in intensity and difficulty throughout (O’Donnell, 2020). However, some participants in GamerGate were not gamers, and it could be argued that the militaristic language and strategy reflect the cultural perception of the military as being hypermasculine, and this position may have been adopted by the posters as a contrast and opposition to their perceived adversary, women and feminists (O’Donnell, 2020). It could be argued that the militaristic character of the GamerGate movement was a result of the intersection of two distinct groups, the gamers and Men’s Rights Activists, brought together by an underpinning misogynist ideology (O’Donnell, 2020).</w:t>
      </w:r>
    </w:p>
    <w:p w14:paraId="2845ECAF" w14:textId="77777777" w:rsidR="00D66FE9" w:rsidRPr="00D73741" w:rsidRDefault="00D66FE9" w:rsidP="008B7B90">
      <w:pPr>
        <w:spacing w:line="480" w:lineRule="auto"/>
        <w:jc w:val="both"/>
      </w:pPr>
    </w:p>
    <w:p w14:paraId="1D95D03E" w14:textId="77777777" w:rsidR="00D66FE9" w:rsidRPr="00D73741" w:rsidRDefault="00D66FE9" w:rsidP="008B7B90">
      <w:pPr>
        <w:spacing w:line="480" w:lineRule="auto"/>
        <w:jc w:val="both"/>
      </w:pPr>
      <w:r w:rsidRPr="00D73741">
        <w:t>To gain further understanding of these underpinning ideologies, it may be useful to look at who the participants in GamerGate actually were. It could be that some participants were not motivated by any ideology, misogynistic or otherwise, but simply joined the campaign in order to ‘troll’, participating in harassment purely for the sake of harassing (Ferguson &amp; Glasgow, 2020). However, in contrast to the usual views of who the GamerGaters were, research has shown that, demographically, they were far more diverse a group than the stereotype of young white heterosexual males (Ferguson &amp; Glasgow, 2020). Although heterosexual white males were the largest group in the movement, they did not make up a majority of the participants surveyed, and there were significant numbers of participants who were non-white, LGBTQ+, or women (Ferguson &amp;Glasgow, 2020). Furthermore, the participants surveyed tended towards the left in their political views and expressed opinions that were socially progressive, again, in contrast with the stereotype of misogynist, men’s rights activist-type participants (Ferguson &amp; Glasgow, 2020). Despite this, it appears to be the case that many of the participants in GamerGate did subscribe to ideas that characterise the far right, such as defending against ‘cultural Marxism’, and several right-wing personalities and organisations supported the campaign, such as Breitbart (Mortensen, 2018). ‘Cultural Marxism’ is said to be a radical ideology with the aim of subverting Western culture, replacing it with the agenda of left-wing activists. Koulouris (2018) argues that the abuse of women online is “the articulation of an increasingly powerful far-right populism buoyed by re-energised forms of post-crisis neoliberalism”, and the resolution of this issue will only come about with broader social change. Furthermore, GamerGate found support in groups involved in the Men’s Right’s Activism and Pick Up Artists communities (Mortensen, 2018). Mortensen (2018) goes on to argue that GamerGate operated in the same way as a swarm, whereby a central group of participants demonstrated key behaviours, and this was then emulated, perhaps second or third hand, by other supporters. Mortensen also compares the violence of GamerGate with other forms of games, such as football hooliganism, and points out that multiplatform nature of GamerGate’s activities demonstrate that gaming is not an isolated activity and brings together people from diverse backgrounds (2018), which could begin to explain the diversity of objectives and opinions within GamerGate itself.</w:t>
      </w:r>
    </w:p>
    <w:p w14:paraId="17629425" w14:textId="77777777" w:rsidR="00D66FE9" w:rsidRPr="00D73741" w:rsidRDefault="00D66FE9" w:rsidP="008B7B90">
      <w:pPr>
        <w:spacing w:line="480" w:lineRule="auto"/>
        <w:jc w:val="both"/>
      </w:pPr>
    </w:p>
    <w:p w14:paraId="3BDA1D11" w14:textId="77777777" w:rsidR="00D66FE9" w:rsidRPr="00D73741" w:rsidRDefault="00D66FE9" w:rsidP="008B7B90">
      <w:pPr>
        <w:spacing w:line="480" w:lineRule="auto"/>
        <w:jc w:val="both"/>
      </w:pPr>
      <w:r w:rsidRPr="00D73741">
        <w:t xml:space="preserve">Although this diversity is clear, it appears that the proponents of GamerGate were working together in what Banet-Weiser and Miltner (2016) refer to as networked misogyny. They propose that, while other factors such as the anonymity provided by online spaces, insufficient legal recourse for online harassment, and the presence of ‘trolls’, may account for some aspects of networked misogyny, it remains, at its core, a reflection and consequence of a culture in which misogyny is deeply embedded (Banet-Weiser &amp; Miltner, 2016). It appears that the ‘popular’ feminism movement of the late 1990s and 2000s, promoting confidence and empowerment, has given rise to a movement of ‘popular misogyny’, wherein violent misogynistic content is circulated via social media and other online platforms. This movement perceives the notions of women’s empowerment and confidence as threatening the social position that they believe men are entitled to (Banet-Weiser &amp; Miltner, 2016). They also highlight the presence of MRA/PUA communities, noting that typically the men involved in these communities are not traditionally ‘masculine’, instead, the demographic they belong to is that of the geek or nerd stereotype (Banet-Weiser &amp; Miltner, 2016), particularly associated with gamers. The internet has had significant impact on the development of these communities, together with other groups such as Men Going Their Own Way, incels, and some father’s rights activism groups, collectively known as the ‘manosphere’ (Marwick &amp; Caplan, 2018). The commonality between these groups is the overarching belief that society is dictated by women, under the guise of ‘political correctness’ and feminism, and that they, as a group, must retaliate in order to protect themselves in a misandrist society, resulting in and justifying coordinated campaigns of harassment, as in GamerGate (Marwick &amp; Caplan, 2018). These campaigns can have serious consequences, as seen in the case of Elliott Rodgers in 2014, who murdered 14 people in California based on the ideas of the ‘manosphere’ (Marwick &amp; Caplan, 2018). </w:t>
      </w:r>
    </w:p>
    <w:p w14:paraId="3999F5E9" w14:textId="77777777" w:rsidR="00D66FE9" w:rsidRPr="00D73741" w:rsidRDefault="00D66FE9" w:rsidP="008B7B90">
      <w:pPr>
        <w:spacing w:line="480" w:lineRule="auto"/>
        <w:jc w:val="both"/>
      </w:pPr>
    </w:p>
    <w:p w14:paraId="627BB23A" w14:textId="77777777" w:rsidR="00D66FE9" w:rsidRPr="00D73741" w:rsidRDefault="00D66FE9" w:rsidP="008B7B90">
      <w:pPr>
        <w:spacing w:line="480" w:lineRule="auto"/>
        <w:jc w:val="both"/>
      </w:pPr>
      <w:r w:rsidRPr="00D73741">
        <w:t>The creation of anti-feminist knowledge uses techniques traditionally associated with the feminist movement itself: the creation of a separate ‘space’ for people in these movements to converge, an emphasis on their position of victimhood, and the importance of emotional responses in building the knowledge base of their standpoint (Rothermel, 2020). However, while a feminist approach facilitates an understanding of intersectionality and multiple experiences of oppression, anti-feminist narrative maintains a dichotomy of ‘right’ and ‘wrong’ knowledge, construing themselves as the ‘ultimate victim’ and feminists as the ‘ultimate other’, providing a way of legitimizing anger and hatred in their treatment of women online (Rothermel, 2020).</w:t>
      </w:r>
    </w:p>
    <w:p w14:paraId="3E7138F5" w14:textId="77777777" w:rsidR="00D66FE9" w:rsidRPr="00D73741" w:rsidRDefault="00D66FE9" w:rsidP="008B7B90">
      <w:pPr>
        <w:spacing w:line="480" w:lineRule="auto"/>
        <w:jc w:val="both"/>
      </w:pPr>
    </w:p>
    <w:p w14:paraId="4C288394" w14:textId="75C1EEF1" w:rsidR="00351711" w:rsidRPr="00D73741" w:rsidRDefault="0043136C" w:rsidP="008B7B90">
      <w:pPr>
        <w:spacing w:line="480" w:lineRule="auto"/>
        <w:jc w:val="both"/>
      </w:pPr>
      <w:r w:rsidRPr="00D73741">
        <w:t>BEHIND THE SCREEN: THE MANOSPHERE</w:t>
      </w:r>
    </w:p>
    <w:p w14:paraId="494C8F8B" w14:textId="77777777" w:rsidR="00351711" w:rsidRPr="00D73741" w:rsidRDefault="00351711" w:rsidP="008B7B90">
      <w:pPr>
        <w:spacing w:line="480" w:lineRule="auto"/>
        <w:jc w:val="both"/>
      </w:pPr>
      <w:r w:rsidRPr="00D73741">
        <w:t xml:space="preserve">The Manosphere is number of loosely linked groups united in what has been described as “a widespread and particularly malicious anti-feminist men’s “movement”, and a central tenet of this is the idea of the “Blue Pill” and the “Red Pill” (Ging, 2019). To take the Blue Pill is to remain deluded, while taking the Red Pill is to become aware of the misandry of feminism which perpetuates society (Ging, 2019). The popularisation of this ideology hinged on the availability of the Internet, whereby the sharing of experiences, ideology, images, memes and so forth could be shared with other users around the world (Ging, 2019). Another key feature of Manosphere ideology is that of vitriolic misogyny and the tendency towards personal attacks, such as those experienced by gaming journalists and developers during GamerGate, in contrast to earlier Men’s Rights Activists, who were concerned with issues such as family law (Ging, 2019). Although the participants of Manosphere groups are disparate, it functions by means of sharing personal experiences, with conclusions thereby drawn about the position of men in the current social hierarchy as a result of feminism (Ging, 2019). It could be argued that the Manosphere has the potential to become “digitally hegemonic”, and represent a significant threat, not only to feminist groups online, but women online in general (Ging, 2019). </w:t>
      </w:r>
    </w:p>
    <w:p w14:paraId="192BABFA" w14:textId="77777777" w:rsidR="00351711" w:rsidRPr="00D73741" w:rsidRDefault="00351711" w:rsidP="008B7B90">
      <w:pPr>
        <w:spacing w:line="480" w:lineRule="auto"/>
        <w:jc w:val="both"/>
      </w:pPr>
      <w:r w:rsidRPr="00D73741">
        <w:t xml:space="preserve">The Manosphere is collected around ideas of hegemonic masculinity, positing that women are inferior, and this is justified by means of using pseudoscience, elements of evolutionary  psychology, and gender essentialism (Vallerga &amp; Zurbriggen, 2022). An analysis of Red Pill and Incel internet forums identified the themes that underpin this movement: gender essentialism, assuming that women’s behaviour is fixed and inherent because of their gender, and adherence to gender stereotypes leading to the opposition of people who do not conform; evolutionary psychology, assuming the attitude that, for instance, men are biologically programmed to just want sex, and that women’s motivations in relationships are to deceive and cheat, trading sexual encounters for power (Vallerga &amp; Zurbriggen, 2022). Women are seen to be this way because it is “in their nature” (Vallerga &amp; Zurbriggen, 2022), deceiving men for gain, particularly in the making of false rape allegations (Vallerga &amp; Zurbriggen, 2022). Women are defined as promiscuous as a result of female biology, and “fuck around” to find the best and most well-resourced mate (Vallerga &amp; Zurbriggen, 2022). This is also seen as justification for sexual domination of women, or, in the incel forums, a sign of a decline in moral standards because of the empowerment of women (Vallerga &amp; Zurbriggen, 2022). Studies have shown that references to evolutionary psychology in Manosphere communities is frequent (Bachaud &amp; Johns, 2023). Analyses have identified different themes within these theories, including “Dual Mating Strategy”, in which women are seen to want “Alpha” males for sex, while relying on other, lesser, men for resources and to be provided for, succinctly summarised in the common Manosphere phrase “Alpha fux/Beta bux” (Bachaud &amp; Johns, 2023). This theory is presented as scientific observable facts, with some users citing scientific sources, and feminism is seen as a method by which women seek to carry out their sexual strategies (Bachaud &amp; Johns, 2023). Women’s sexuality is viewed negatively within these groups; in forums in which men discussed infidelity in their partners, it was generally seen that all women would behave in that way, supporting the tendency towards stereotyping of women (Bachaud &amp; Johns, 2023). The use of evolutionary psychology in Manosphere groups focusses on women’s sexuality, with theories relating to male sexuality rare or non-existent; furthermore, the scientific evidence is combined with the casting of moral judgements about women’s sexual behaviour, thus serving to further fuel the ideologies of misogyny and hatred (Bachaud &amp; Johns, 2023). </w:t>
      </w:r>
    </w:p>
    <w:p w14:paraId="3B715F8D" w14:textId="77777777" w:rsidR="00351711" w:rsidRPr="00D73741" w:rsidRDefault="00351711" w:rsidP="008B7B90">
      <w:pPr>
        <w:spacing w:line="480" w:lineRule="auto"/>
        <w:jc w:val="both"/>
      </w:pPr>
      <w:r w:rsidRPr="00D73741">
        <w:t xml:space="preserve">Another theme identified was the trading of sex for power, seeking power or money though coercion or control of men (Vallerga &amp; Zurbriggen, 2022). Successful men were defined as “Alphas” or “Chads”, and were seen to demonstrate the ‘ideals’ of masculinity, however; in the forums, these ideals were focused mainly on men’s relationships with women, with masculinity seen as the control and domination of women (Vallerga &amp; Zurbriggen, 2022). ‘Beta’ males however, are seen as men lacking in this domination, and use money or other resources to access sex, and this was referred to with derision across the forums, and depicted as feminine in a vitriolic way (Vallerga &amp; Zurbriggen, 2022). A pervasive belief of many Manosphere ideologies is that feminism has engulfed the world, to the disadvantage of men (Copland, 2023). Manosphere ideologies argue that society has been ‘feminised’ and men are now emasculated, disadvantaged by feminism in society and systemically discriminated against (Copland, 2023). Some activists posit that it is this fracturing of society that has led to the “invasion” of immigrants, and the response of some groups is to form alliances of “strong men” in defence of traditional ideas about the societies in which they live (Copland, 2023). It could be argued in this way, Manosphere groups are linked, and overlap with, the political Far Right (Copland, 2023).  </w:t>
      </w:r>
    </w:p>
    <w:p w14:paraId="076B73E0" w14:textId="77777777" w:rsidR="00351711" w:rsidRPr="00D73741" w:rsidRDefault="00351711" w:rsidP="008B7B90">
      <w:pPr>
        <w:spacing w:line="480" w:lineRule="auto"/>
        <w:jc w:val="both"/>
      </w:pPr>
    </w:p>
    <w:p w14:paraId="40490F13" w14:textId="77777777" w:rsidR="00351711" w:rsidRPr="00D73741" w:rsidRDefault="00351711" w:rsidP="008B7B90">
      <w:pPr>
        <w:spacing w:line="480" w:lineRule="auto"/>
        <w:jc w:val="both"/>
      </w:pPr>
      <w:r w:rsidRPr="00D73741">
        <w:t xml:space="preserve">The construction of identity presented by the Manosphere is that of hegemonic masculinity, which is understood as “a pattern of practice (i.e. things done, not just a set of role expectations or an identity) that allowed men’s dominance over women to continue” (Connell &amp; Messerschmidt, 2005). It is considered to be to optimum expression of manhood, and other forms of masculinity are positioned in relation to it (Connell &amp; Messerschmidt, 2005). Expressions of masculinity which benefit from this ideal without embodying it are seen to be “complicit” (Connell &amp; Messerschmidt, 2005). Although this definition does not intrinsically mean domination by violent means, it can be enacted via the use of force; it is the power and superiority gained by cultural elements, persuasion and institutional advantage (Connell &amp; Messerschmidt, 2005). Hegemonic masculinity is not seen as statistically the average expression of manhood, and it may be a small number of men who achieve it; it is, however, the normative expression of masculinity, and may be used as justification for the sustained oppression of women (Connell &amp; Messerschmidt, 2005). There are some contradictory elements to this identity presentation in some Manosphere groups however (Hopton &amp; Langer, 2022). Their position is that men are superior to women, embodying stereotypes of masculinity such as power, while maintaining their worldview that men are oppressed and victimised by women and by feminism (Hopton &amp; Langer, 2022). The group Men Going Their Own Way (MGTOW) are particularly affected by these contradictions, because in seeking the erasure of women, the masculine identity they attempt to create relies on it’s position in relationship to feminine identity (Hopton &amp; Langer, 2022). This is further exemplified in the philosophies of the MGTOW groups: despite advocating for separating themselves from women entirely, women are targeted repeatedly in their discussions, they construct an idealised stereotyped masculinity achieved through the emasculation of other men, and discuss a more progressive version of what constitutes a “real man”, while perpetuating stereotypical masculinity through their actions (Jones et al, 2020). Their ideologies imply a frustration with the traditional roles and stereotypes that restrict them socially, and blame feminism and women for these restrictions (Jones et al, 2020). While this frustration and desire for social change is seen in their narratives, the participants of MGTOW groups continue to behave in ways that seek to assert male power and superiority (Jones et al, 2020). </w:t>
      </w:r>
    </w:p>
    <w:p w14:paraId="4DD4164E" w14:textId="77777777" w:rsidR="00351711" w:rsidRPr="00D73741" w:rsidRDefault="00351711" w:rsidP="008B7B90">
      <w:pPr>
        <w:spacing w:line="480" w:lineRule="auto"/>
        <w:jc w:val="both"/>
      </w:pPr>
      <w:r w:rsidRPr="00D73741">
        <w:t xml:space="preserve">The Incels see themselves as another separate type of masculinity, regarding themselves as fundamentally undesirable by anyone (Vallerga &amp; Zurbriggen, 2022). They express ideas of hopelessness, rage and, in some cases, suicide ideation. Capelos et al (2024) identify the “emotional mechanism” of ressentiment as the way in which feelings of inadequacy, shame, rage, and anger at oneself are transformed into hate for others and contempt, while fostering “a morally superior sense of victimhood” (Capelos et al, 2024). Red Pill forum users deploy techniques of self-improvement, such as financial changes or working out, in order to become more attractive to women, conversely, the Incels “accept” that they will never be attractive to women or romantically successful, and their discourse is comprised of anger, hatred of women, violent impulses, and suicidal thoughts, and it could be argued that these responses derive from their objectification of women and themselves (Vallerga &amp; Zurbriggen, 2022). Participants in Incel groups refer to women and themselves with extreme vitriolic and sometimes sexually graphic language (Scotto di Carlo, 2023). Women are referred to as “Stacys”, “Beckys”, “femoids/foids” and feminists are referred to as “feminazis” (Scotto di Carlo, 2023). They are objectified in several ways: firstly, as machines or robots (Scotto di Carlo, 2023). The term “femoid” or “foid” derives from “female android”, implies machines inferior to men, creepy or scary, and without ordinary human emotion; one Manosphere user posted that women are “barely sentient” (Scotto di Carlo, 2023). The theme of evolutionary psychology is also implied in this language, such as in the epithet “non-sentient pre-programmed robo-cunts” (Scotto di Carlo, 2023). Another comparison was in referring to women as dirty or distasteful objects, such as “toilet” or “garbage” (Scotto di Carlo, 2023). Some of the language used attempted to suggest that women lack capacity and are intellectually inferior to men, such as “drooling freak” or “degenerate foid” (Scotto di Carlo, 2023). Some language analysed compares women to animals, and sometimes to food, as a means of referring to women as disgusting or repellent, and there were also more generic terms referring to sex or promiscuity, such as “whore” (Scotto di Carlo, 2023).  The Incels also used derogatory language about themselves; some ideologies refer to “Looks, Money and Status” (LMS) as key to their sexual success, and some terms reflect this, for example “poorcel”, “brokecel” (Scotto di Carlo, 2023). Height was a particular marker in terms of looks, “midgetcel”, and race and ethnicity were also derided, “thirdworldcel”, “ricecel” (Scotto di Carlo, 2023). Physical appearance appears to be of significance, with users discussing their “troglodyte” faces and “deformed” appearance (Scotto di Carlo, 2023). The Incels group has created gendered stereotypes in order to illustrate their frustrations: “Stacy”, “Becky” and “Chad” (Menzies, 2022). “Stacy” is seen as a hypersexualised attractive women, and is denigrated for benefitting from her femininity, while not supplying men (except for Chads) with sex, and is characterised as vapid, somebody who doesn’t work, and who manipulates men for money (Menzies, 2022). “Becky” is seen as an average woman, she is often seen to symbolise feminism and feminists, and is criticised for only being romantically interested in more attractive men, or employing feminism as way to cope with being romantically unsuccessful (Menzies, 2022). “Chad” is the Alpha male figure typified in hegemonic masculinity, and is envied by the Incel group for his access to women and sex; he is however, sometimes construed as also a victim of a society that disadvantages men (Menzies, 2022). The users of the Incel forums also refer to the desire to harm others brought about by their frustration, and sexual violence is frequently referred to as a solution to their circumstances (Vallerga &amp; Zurbriggen, 2022). This worldview is referred to as the “Black Pill”, and a key theme that permeates the online contexts where it is found is that of victimisation, and many users post in support of violent action in opposition to this (Lindsay, 2022). Terror attacks incited by Incel ideology have occurred, such as that of Elliott Rodgers in 2014; Lindsay (2022) links this to ‘stochastic’ terrorism, directed specifically at women, ‘Chads’ and other perceived aggressors in the Incel world view. It has been demonstrated that Incel groups are moving beyond misogynistic discussions towards a political movement, wherein men are construed as both the victims of feminist “gynarchy” and superior beings who are the only ones able to discern the real truth about the oppression and exploitation of men, with no other recourse than violent action (Zimmerman, 2024). </w:t>
      </w:r>
    </w:p>
    <w:p w14:paraId="5C689656" w14:textId="77777777" w:rsidR="00351711" w:rsidRPr="00D73741" w:rsidRDefault="00351711" w:rsidP="008B7B90">
      <w:pPr>
        <w:spacing w:line="480" w:lineRule="auto"/>
        <w:jc w:val="both"/>
      </w:pPr>
      <w:r w:rsidRPr="00D73741">
        <w:t>An alternate view of Manosphere motivations is that of ontological security (Bujalka et al, 2022). In viewing the Manosphere through this lens, it can be suggested that the social world has become confused and incomprehensible to men; ontological security theory posits that the achievement of ontological security is a necessity (Bujalka et al, 2022). It can be conjectured that the expectations of men have been frustrated or undermined, and due to this masculinity itself is under threat (Bujalka et al, 2022). In seeking to navigate this uncertainty and confusion, Manosphere groups adopt Red Pill ideologies to make sense of their world (Bujalka et al, 2022). However, it can be posited that, rather than being caused by women or feminism, the current crisis in masculinity may be attributable to neoliberalism and living in a capitalist society, producing effects such as downward mobility, wage cuts, housing insecurity and other factors (Bujalka et al, 2022). This state of insecurity is also spread further by Manosphere “thought leaders”, who, in broadcasting their philosophies on social media platforms such as YouTube, create a sense of anxiety surrounding the issue of maleness and masculinity, and promote their own content, such as courses or e-books, as a curative to this anxiety (Bujalka et al, 2022). An analysis of a Red Pill forum’s suggested reading mirrors Marx’s theory of capitalism, reformulated as an anti-feminist narrative: women are depicted as exploitative of men, uncaring, and driven by the acquisition of profits (Van Valkenburgh, 2019). This can be understood as an attempt to redirect the blame for the social circumstances associated with late-stage capitalism, such as economic difficulties, unemployment and alienation, and target it at women (Van Valkenburgh, 2019).</w:t>
      </w:r>
    </w:p>
    <w:p w14:paraId="335C3F94" w14:textId="77777777" w:rsidR="00351711" w:rsidRPr="00D73741" w:rsidRDefault="00351711" w:rsidP="008B7B90">
      <w:pPr>
        <w:spacing w:line="480" w:lineRule="auto"/>
        <w:jc w:val="both"/>
      </w:pPr>
      <w:r w:rsidRPr="00D73741">
        <w:t xml:space="preserve">The Manosphere is seen to have changed and evolved over time (Ribeiro et al, 2021). Analyses have shown that older forums such as Men’s Rights Activists and Pick Up Artists have decreased in popularity and activity, giving way to newer groups, such as Incels or MGTOW. (Ribeiro et al, 2021). It was shown that there was significant overlap between these groups, with users of the older groups migrating to newer, and it was also demonstrated that some users participate in several groups simultaneously (Ribeiro et al, 2021). Evidence in the forums showed that the newer groups were more toxic and misogynist than previous groups (Ribeiro et al, 2021). Tompkinson et al (2020) state that that attacks by Incels can be seen as violent extremism, and argues that the securitisation of misogynistic violence will safeguard resources in combatting these radicalisation leading to these attacks. Smith et al (2024) conducted interviews with ex-Incels, providing insight into how they joined the communities, and also how they were able to leave. The interviews resulted in the identification of six key themes, Firstly, their history and how the participants struggled before becoming an Incel, they spoke of joining online groups to discuss their frustrations around attempts to have relationships, or groups related to poor self-image and self-esteem (Smith et al, 2024). Secondly, the participants described how by connecting with others in the group, they were able to externalise the pain that they felt: “It made me feel that nothing was my fault – it was women doing this to me” (Smith et al, 2024). Thirdly however, participation the forums led to feelings of hopelessness and malaise, and social hierarchies within the groups derived from who was the biggest failure or the poorest or the one with the smallest penis (Smith et al, 2024). It was seen that failure in a romantic or sexual sense was the same as failure in all aspects of life, wherein all negative circumstances or interactions were framed as due to the participants status as an incel (Smith et al, 2024).All of the participants in the study had experienced mental health difficulties in their youth, and some also had experienced neglect, bullying, and abuse (Smith et al, 2024). They also alluded to a lack of shared spaces for men within which they could share their feelings and experiences openly (Smith et al, 2024). These experiences can cause men, particularly young men, to become vulnerable, and the leading cause of this was anxiety around the social expectations of them, that they “meet the expectation of heterosexual masculinity (Botto &amp; Gottzén, 2024). It has been shown that participation in Manosphere forums can have significant impact on an individual’s language and outlook, sometimes resulting in anger, the conceptualisation of an ‘out-group’, and a focus on feminism (Habib et al, 2022). Furthermore, ‘elites’ of the Manosphere, in recruiting new members, can have a significant impact on behaviours in just one interaction, even in contexts outside of Manosphere forums, with the most striking change being an increased fixation on feminism (Habib et al, 2022). It was also found that community involvement was a factor in the recruitment of new members: individuals who were excluded from their community experienced higher negativity and anger, and their identification with that community was reduced (Habib et al, 2022). Furthermore, acceptance into the social community of the Manosphere, wherein toxic behaviours are already common, can result in an increase in these behaviours, particularly toxicity and fixation, and an increased identification with being part of an “out group” (Habib et al, 2022). </w:t>
      </w:r>
    </w:p>
    <w:p w14:paraId="74FFDE8A" w14:textId="77777777" w:rsidR="00351711" w:rsidRPr="00D73741" w:rsidRDefault="00351711" w:rsidP="008B7B90">
      <w:pPr>
        <w:spacing w:line="480" w:lineRule="auto"/>
        <w:jc w:val="both"/>
      </w:pPr>
      <w:r w:rsidRPr="00D73741">
        <w:t xml:space="preserve">It can be argued that the philosophies and ideology of the Manosphere are becoming more mainstream, in part due to public figures and ‘influencers’ such as Andrew Tate (Haslop et al, 2024). The misogynistic language used in Manosphere forum has expanded from niche corners of the internet into more mainstream platforms, such as UrbanDictionary.com (Ging, 2019). An analysis of the media content published by Andrew Tate, it was seen that the themes presented were that the stereotyping of women, and weaponizing those stereotypes to punish unconforming women and that men are disadvantaged and victimised (Haslop et al, 2024). He was seen as a brave and authentic character, a voice of reason in issues around gender equality, against a backdrop of what is perceived to be a society in which men are now disadvantaged due to gender equality initiatives and inclusion (Haslop et al, 2024). The ‘shock factor’ and entertainment value of Tate’s content was also seen as route by which the misogyny displayed by Tate has become more acceptable to some audiences, particularly boys (Haslop et al, 2024). Despite the ‘mainstreaming’ of toxic masculine viewpoints, there is evidence that more positive spaces, in which men and boys can share their problems and experiences, have begun to emerge (Maloney et al, 2024). The SubReddit r/Stoicism contains discussions where a “more self-reflective and empathetic engagement with women” is aspired to; however, these discussions remain rooted in traditional ideas of masculinity, with women sometimes depicted as a prize to be won through working on oneself and self-reflection (Maloney et al, 2024). </w:t>
      </w:r>
    </w:p>
    <w:p w14:paraId="170942CE" w14:textId="77777777" w:rsidR="00351711" w:rsidRPr="00D73741" w:rsidRDefault="00351711" w:rsidP="008B7B90">
      <w:pPr>
        <w:spacing w:line="480" w:lineRule="auto"/>
        <w:jc w:val="both"/>
      </w:pPr>
      <w:r w:rsidRPr="00D73741">
        <w:t>The beginnings of a ‘way out’ of the Manosphere communities was described by the participants; some found other communities via work or relocation, some sought therapy or became disillusioned by the activities of the groups they participated in, one, for instance, discovered that a shooting was planned on a message board that he used (Smith et al, 2024). Some began to question the central tenets of Manosphere ideologies, due to having personal experiences that contradicted those tenets, or because participation in Manosphere forums began to adversely affect, or exacerbated problems with, their mental health (Botto &amp; Gottzén, 2024). In some cases, individuals’ relationships were actually damaged by the adoption of Manosphere ideologies: “I left it after seeing how much my new-found beliefs were hurting my girlfriend at the time” (Botto &amp; Gottzén, 2024). The participants also discussed the use of other online groups and communities as being instrumental in leaving the Manosphere, including such as “Purple Pill” debate boards where Red/Black Pill members have their views challenged by others, and self-help groups (Smith et al, 2024). Specific forums for ex-members and people trying to escape the Incel worldview were also effective in helping people escape (Smith et al, 2024). It has been further demonstrated that these types of forums can be beneficial, and are highly accessible (Thorburn, 2023). These endeavours are user-led and collaborative, and the presence of users who have already shifted from the Manosphere worldview can be beneficial, alongside other online efforts towards men’s wellbeing and providing advice on issues such as loneliness and poor self esteem (Thorburn, 2023). However, it is suggested that these forums may not be beneficial for everyone, and the narratives contained in Manosphere ideologies may be difficult to counteract, for example conspiracy theories such as “gynocratic” institutions (Thorburn, 2023). This may be because the Red Pill can offer men a means of reacting and mourning the loss of male privilege, both within their own lives and in society more broadly (Botto &amp; Gottzén, 2024). Participants may feel justified in adopting those views, through finding others who have had similar experiences and may be similarly vulnerable, and finding a way of externalising their feelings through anger against women; however, when leaving Manosphere groups, those feelings are still there (Botto &amp; Gottzén, 2024). Furthermore, psychological effects remained with the participants, such as the internalising of painful emotions once pseudoscience could no longer be blamed for one’s failures, or being unable to relate to women in a healthy way, and some participants remained prone to the nihilistic worldview of the Manosphere (Smith et al, 2024; Botto &amp; Gottzén, 2024).</w:t>
      </w:r>
    </w:p>
    <w:p w14:paraId="59549740" w14:textId="77777777" w:rsidR="00351711" w:rsidRPr="00D73741" w:rsidRDefault="00351711" w:rsidP="008B7B90">
      <w:pPr>
        <w:spacing w:line="480" w:lineRule="auto"/>
        <w:jc w:val="both"/>
      </w:pPr>
    </w:p>
    <w:p w14:paraId="333C8F93" w14:textId="77777777" w:rsidR="00544E01" w:rsidRPr="00D73741" w:rsidRDefault="00544E01" w:rsidP="008B7B90">
      <w:pPr>
        <w:spacing w:line="480" w:lineRule="auto"/>
        <w:jc w:val="both"/>
      </w:pPr>
    </w:p>
    <w:p w14:paraId="10531FBF" w14:textId="5BF08D3D" w:rsidR="00736C0C" w:rsidRPr="00D73741" w:rsidRDefault="00544E01" w:rsidP="008B7B90">
      <w:pPr>
        <w:spacing w:line="480" w:lineRule="auto"/>
        <w:jc w:val="both"/>
      </w:pPr>
      <w:r w:rsidRPr="00D73741">
        <w:t>THE EXPERIENCES OF WOMEN IN ONLINE GAMING</w:t>
      </w:r>
      <w:bookmarkStart w:id="6" w:name="_Toc176262640"/>
    </w:p>
    <w:p w14:paraId="5FF58F0B" w14:textId="77777777" w:rsidR="00736C0C" w:rsidRPr="00D73741" w:rsidRDefault="00736C0C" w:rsidP="008B7B90">
      <w:pPr>
        <w:spacing w:line="480" w:lineRule="auto"/>
        <w:jc w:val="both"/>
      </w:pPr>
      <w:r w:rsidRPr="00D73741">
        <w:t>Gaming is an increasingly social activity, with around 60% of gamers playing online with other players around the world (Fox &amp; Tang, 2017). This environment can lead to hostile and aggressive behaviours due the context of online spaces, including factors such as the absence of non-verbal cues and physical presence, anonymity, questionable authority or moderation over online spaces, and the traditional notion of gaming and technology as a masculine domain (Fox &amp; Tang, 2017). This sense of a masculine space in gaming leads to the perception of women gamers as ‘other’, and, while men who game do experience abusive behaviours such as ‘trash talking’ and insults, women are more likely to experience stalking, sustained campaigns of harassment, and sexual harassment (Fox &amp; Tang, 2017). There investigation into harassment in online gaming indicated that women experience both generalised harassment and sexual harassment when gaming, and this has an impact on their likelihood to continuing to participate (Fox &amp; Tang, 2017). Their results supported the idea that abuse due to being ‘other’ was distinct from general harassment, and furthermore, the women who participated in the study indicated that it was necessary to employ strategies in avoiding this, such as ignoring the abuse, leaving the game, or making their avatars and usernames gender-neutral or masculine, in order to avoid becoming a target of this kind of abuse (Fox &amp; Tang, 2017).</w:t>
      </w:r>
    </w:p>
    <w:p w14:paraId="6A7D7CB9" w14:textId="77777777" w:rsidR="00736C0C" w:rsidRPr="00D73741" w:rsidRDefault="00736C0C" w:rsidP="008B7B90">
      <w:pPr>
        <w:spacing w:line="480" w:lineRule="auto"/>
        <w:jc w:val="both"/>
      </w:pPr>
      <w:r w:rsidRPr="00D73741">
        <w:t>Historically, video games were more likely to have protagonists who were men, with women assigned to the roles of ‘damsels in distress’ or more secondary roles (Robinson, 2022). This inequality was exacerbated by the gaming industry having far more men than women employed as game developers, resulting in more games being targeted towards men and boys (Robinson, 2022). During the 1990s, some games producers specifically targeted women as consumers, producing games such as Miss PacMan, and although companies have moved away from this approach, it has still been noted that women are more likely to play puzzle and relationship-based games or open-world ‘sandbox’ type games, with men typically preferring action or adventure based games, first person shooter games, or sports games (Robinson, 2022). The tradition of gaming being a male domain has led to men being perceived as ‘better’ gamers, with more knowledge and skill, creating an environment wherein women are disadvantaged (Robinson, 2022). Kelly et al (2023) conducted research in which participants rated the competency of other gamers and found that gamers identified as female were rated as less able as male players, even though the competency of the players was substantively the same as the men’s competency. Furthermore, this bias was even greater when the participants were told that the players, they were rating were professional players, as opposed to casual or hobby players (Kelly et al, 2023). These biases about women gamers are thought to contribute to a lack of women participants in e-sports, with women in e-sports describing stigma, harassment and discrimination, and the need to develop “mental grit” in order to cope with e-sports environments (Darvin et al, 2021).</w:t>
      </w:r>
    </w:p>
    <w:p w14:paraId="6B26BC57" w14:textId="77777777" w:rsidR="00736C0C" w:rsidRPr="00D73741" w:rsidRDefault="00736C0C" w:rsidP="008B7B90">
      <w:pPr>
        <w:spacing w:line="480" w:lineRule="auto"/>
        <w:jc w:val="both"/>
      </w:pPr>
    </w:p>
    <w:p w14:paraId="48144E77" w14:textId="77777777" w:rsidR="00736C0C" w:rsidRPr="00D73741" w:rsidRDefault="00736C0C" w:rsidP="008B7B90">
      <w:pPr>
        <w:spacing w:line="480" w:lineRule="auto"/>
        <w:jc w:val="both"/>
      </w:pPr>
      <w:r w:rsidRPr="00D73741">
        <w:t>Stereotypes about women are also evident in gaming; women are expected to fulfil certain roles in the team, such as supporting team-mates and healing, whereas men take on roles that are protective or aggressive (Robinson 2022). Furthermore, in the hugely popular MMOG World of Warcraft, the introductory character addresses male players as “strong” and “all the rage with the ladies”, while female players are addressed as “some kind of gorgeous” who “can’t keep the men off” (Braithwaite, 2014). When this was altered after complaints from female gamers, the move was heavily criticised by some male players of the game, who construed the women who had complained as ‘ruiners’ and ‘feminist killjoys’, and the character was said to have been castrated and demasculinized, and became an example within the views of the people posting in the game’s forums of the idea that men are under attack from and oppressed by feminist viewpoints (Braithwaite, 2014). This contributed to the feeling of ‘us vs them’ within the game, and the othering of people unwilling to tolerate sexist discourse; as one poster put it: “I’d rather they quit. Seriously, get out” (Ashirana &amp; Firepaw, 2012: 557, cited in Braithwaite, 2013). Also, the point was frequently made that World of Warcraft is a fantasy game, and a place where players go to escape the ‘real world’ (Braithwaite, 2013); however, gendered language and harassment clearly overlap into real life experience. The continued use of violent video games has been shown to increase gamers’ adherence to the notion of ‘traditional’ gender traits, such as dominant and aggressive behaviours and reduced emotionality, whatever the gender of the gamer in question (Blackburn &amp; Scharrer, 2018).</w:t>
      </w:r>
    </w:p>
    <w:p w14:paraId="4E13049F" w14:textId="77777777" w:rsidR="00736C0C" w:rsidRPr="00D73741" w:rsidRDefault="00736C0C" w:rsidP="008B7B90">
      <w:pPr>
        <w:spacing w:line="480" w:lineRule="auto"/>
        <w:jc w:val="both"/>
      </w:pPr>
    </w:p>
    <w:p w14:paraId="4AA515FD" w14:textId="77777777" w:rsidR="00736C0C" w:rsidRPr="00D73741" w:rsidRDefault="00736C0C" w:rsidP="008B7B90">
      <w:pPr>
        <w:spacing w:line="480" w:lineRule="auto"/>
        <w:jc w:val="both"/>
      </w:pPr>
      <w:r w:rsidRPr="00D73741">
        <w:t>It has been noted that the harassment experienced by women in real life has now evolved to include the online world generally (Salerno-Ferraro et al, 2022). Research shows that women experience messages including graphic sexual depictions, ‘dick pics’ in which unsolicited pictures of male genitalia are sent and offers of money for sexual favours (Salerno-Ferraro, 2022). It was found that young women were experiencing high volumes of this sort of contact, and that it had, in some cases, begun when they were young teenagers aged 13-14 (Salerno-Ferraro, 2022). Also, when women rejected these kinds of advances, the senders would persist, sometimes tracking women across multiple social media platforms, or becoming increasingly threatening (Salerno-Ferraro et al, 2022). There has been further evidence of resistance to the presence of women’s voices in the online sphere (Sobieraj, 2018). Misogynistic attacks on women have been seen to be using the techniques of intimidation, where threats of murder or rape are made or a woman is ‘doxxed’ or ‘swatted’, shaming, whereby personal information about the target of harassment is made public in order to draw public censure, such as details of their sexual history, and discrediting, where the target’s intelligence is questioned – “dumb blonde” – or their agenda is attributed to another cause, such as being a ‘social justice warrior’, and these attacks frequently use expressly gendered language (Sobieraj, 2018). It could be argued that, in the online arena, techniques that may be used by men to establish dominance, such as body language, are impossible, and the gendered language used is focused on women’s bodies as an attempt to reassert gender inequality in a sphere where masculine hegemony is under threat (Sobieraj, 2018).  Moloney and Love (ref) relate this idea to that of ‘virtual manhood acts’, whereby masculinity is asserted through overtly sexual language, emphasising their own virility (2017). This identifies them as masculine individuals, as well as reinforcing their position in social hierarchies (Moloney &amp; Love, 2017). Cole (2015) suggests that this kind of gendered language, and rape threats in particular, as being disciplinary in nature, with the end goal of silencing women, especially feminist women.</w:t>
      </w:r>
    </w:p>
    <w:p w14:paraId="2327AC1B" w14:textId="77777777" w:rsidR="00544E01" w:rsidRPr="00D73741" w:rsidRDefault="00544E01" w:rsidP="008B7B90">
      <w:pPr>
        <w:spacing w:line="480" w:lineRule="auto"/>
        <w:jc w:val="both"/>
      </w:pPr>
    </w:p>
    <w:p w14:paraId="3A4956AA" w14:textId="18D44A00" w:rsidR="00736C0C" w:rsidRPr="00D73741" w:rsidRDefault="00736C0C" w:rsidP="008B7B90">
      <w:pPr>
        <w:spacing w:line="480" w:lineRule="auto"/>
        <w:jc w:val="both"/>
      </w:pPr>
      <w:r w:rsidRPr="00D73741">
        <w:t xml:space="preserve">Harassment and abuse against women online has now spread from real-life settings into online communities in general (Sobieraj, 2018). This takes the form of three primary mechanisms: intimidation, shaming and discrediting (Sobieraj, 2018). Intimidation tactics draw upon the fear of physical violence and rape experienced by their victims, and in online contexts this is done by way of threats (Sobieraj, 2018). There might be the implication that online adversaries can find out personal addresses, or that their family could come to harm (Sobieraj, 2018). Sometimes accounts are hacked to make women feel vulnerable, or coordinated attacks can be made to ‘spam’ the users email or DM account (Sobieraj, 2018). Although rare, this can also take the form of “swatting”, a tactic where somebody will falsely call the authorities and report an active threat at the person’s home, such as a bomb, in an attempt to frighten and intimidate when the authorities arrive at their home (Sobieraj, 2018). Another tactic used is that of “doxing”, where an individual’s home address or other personal information will be shared online, with the implication that others will use that information negatively (Sobieraj, 2018). This tactic also exacerbates the fear and intimidation felt (Sobieraj, 2018). Shaming tactics are used to create a narrative that publicly sullies an individual’s reputation, and attempts to humiliate them (Sobieraj, 2018). This might be accomplished by the leaking of personal documents or images, such as revealing photographs or images taken without consent (Sobieraj, 2018). This can sometimes be acquired by hacking into a personal device like a phone or a laptop (Sobieraj, 2018). When this is done in conjunction with doxing, as previously mentioned, this can lead to landslide of harassment (Sobieraj, 2018). It can also take the form of spreading rumours about somebody, such as their sexual history, and it can be suggested that this is an attempt to assume control of somebody’s public persona (Sobieraj, 2018). Attempts to discredit women are pervasive online, and are frequently derived from reductive stereotypes about women’s intelligence or underhanded motivations, for example, “gold-digger”, “ditz” or “bitch” (Sobieraj, 2018). These tactics, when employed together, are intended to undermine and erase the presence and visibility of women online (Sobieraj, 2018). </w:t>
      </w:r>
    </w:p>
    <w:p w14:paraId="2A8E83BD" w14:textId="77777777" w:rsidR="00736C0C" w:rsidRPr="00D73741" w:rsidRDefault="00736C0C" w:rsidP="008B7B90">
      <w:pPr>
        <w:spacing w:line="480" w:lineRule="auto"/>
        <w:jc w:val="both"/>
      </w:pPr>
    </w:p>
    <w:p w14:paraId="3860A42E" w14:textId="57006FCE" w:rsidR="00736C0C" w:rsidRPr="00D73741" w:rsidRDefault="00736C0C" w:rsidP="008B7B90">
      <w:pPr>
        <w:spacing w:line="480" w:lineRule="auto"/>
        <w:jc w:val="both"/>
      </w:pPr>
      <w:r w:rsidRPr="00D73741">
        <w:t>As gaming technologies advance, different kinds of risks have begun to manifest. In early 2024, news reports detailed the case of a 16-year-old girl who was allegedly attacked while using a VR headset to play a game in the Metaverse, a virtual reality shared space, in what is reportedly the first instance when police in the UK are investigating virtual rape (The Guardian, 2024)</w:t>
      </w:r>
      <w:r w:rsidR="00544E01" w:rsidRPr="00D73741">
        <w:t xml:space="preserve">. </w:t>
      </w:r>
      <w:r w:rsidRPr="00D73741">
        <w:t>A virtual rape in this instance can be committed through the use of VR equipment involving haptics and sensory devices, where a user can cause sensory effects to another user without their consent (Strikwerda, 2014). However, virtual rape, or avatar violence, can be traced back to the beginnings of online gaming; in 1993, a user in the ‘multi user dimension’ text-based game LambdaMoo used a program to steal the avatars of other users and post depictions of them performing sexually explicit acts (Dibbell, 1993). In 2004, a user of virtual world Second Life used an ‘alt-cam’ to take photographs of other users and displayed them in an incident known as the ‘upskirt gallery’ (Vanacker &amp; Heider, 2012). While some users of Second Life defended the users actions, affirming that the images were no more than a collection of pixels and that Second Life is not real and just a game, others claimed that Second Life amounts to real life social interaction, and that the ‘upskirt gallery’ violated the social boundaries of that community, that their right to privacy should include their avatar, and that relationships developed throughout using the virtual world are valid (Vanacker &amp; Heider, 2012). It could be argued that an individual’s rights could extend to their avatars, depending on the degree to which they identify with it (Graber &amp; Graber, 2010). Powers (2006) asserts that social expectations, rules and practices are defined in each specific online community, with their own punishments for transgressors, for example, banning users from the community. However, it can be argued that avatar harm should be recognised as significant, as avatars are an expression of self-conception and identity, and therefore violence committed against them can cause harm (Wolfendale, 2007). One of the users targeted in the LAMDAMoo incident reported “post-traumatic tears” in the aftermath (Dibbell, 1993). It appears that emotional investment in online worlds is common, and an avatar is the expression of identity that an individual uses to interface in a virtual community (Wolfendale, 2007); also, newer VR technologies create an emotional and sensory experience of far greater impact, and there are far more ways in which perpetrators can sexually harass other users (Dvivedi et al, 2023). In the UK, online harassment is illegal via various legislation, including the Communications Act 2003 and the Protection from Harassment Act 1997, but due to the subjective nature of online communication harassment online may be difficult to challenge (Dvivedi et al, 2023).</w:t>
      </w:r>
    </w:p>
    <w:bookmarkEnd w:id="6"/>
    <w:p w14:paraId="0CE00A42" w14:textId="77777777" w:rsidR="00A16D95" w:rsidRPr="00D73741" w:rsidRDefault="00A16D95" w:rsidP="008B7B90">
      <w:pPr>
        <w:spacing w:line="480" w:lineRule="auto"/>
        <w:jc w:val="both"/>
      </w:pPr>
    </w:p>
    <w:p w14:paraId="330BB705" w14:textId="059877CB" w:rsidR="00B45F21" w:rsidRPr="00D73741" w:rsidRDefault="00A16D95" w:rsidP="008B7B90">
      <w:pPr>
        <w:spacing w:line="480" w:lineRule="auto"/>
        <w:jc w:val="both"/>
      </w:pPr>
      <w:r w:rsidRPr="00D73741">
        <w:t>WHAT WOMEN CAN DO</w:t>
      </w:r>
    </w:p>
    <w:p w14:paraId="6378FB2E" w14:textId="77777777" w:rsidR="00B45F21" w:rsidRPr="00D73741" w:rsidRDefault="00B45F21" w:rsidP="008B7B90">
      <w:pPr>
        <w:spacing w:line="480" w:lineRule="auto"/>
        <w:jc w:val="both"/>
      </w:pPr>
      <w:r w:rsidRPr="00D73741">
        <w:t xml:space="preserve">The violent and harassing language in online spheres has a significant impact on people’s lives (Martinez, 2020). However, there have been endeavours by the women affected by GamerGate to protect themselves and their communities from the harm of networked harassment. These include Anita Sarkeesian’s website Speak Up and Stay Safe(r), which provides a guide for women and others affected by harassment online on how to take steps to help keep themselves safe, such as password security, aliases, keeping home addresses secure and safety on social media (Martinez, 2020). Furthermore, Zoe’s website Crash Override provides resources and a helpline for those affected, and the creation of a ‘safe space’ for targets of harassment (Martinez, 2020). These initiatives have had a significant impact on legislation around online violence and may form the beginnings of more equal online spaces (Martinez, 2020). The GamerGate phenomenon also has led to increased awareness of diversity issues in the gaming industry, and some companies actively began to work towards more diversity and inclusion in gaming spaces (Tompkins &amp; Martins, 2022). Furthermore, a diverse range of strategies have arisen in the attempt to counteract misogyny online and elsewhere: Australian writer Alanah Pearce was the recipient of harassment online, and, on determining that several of the perpetrators were under 16, screen shotted the posts and sent them to their mothers. A social media campaign was launched to ‘name and shame’ “manspreaders”, in protest of men invading women’s personal space on public transport (Jane, 2016). This is a form of subversive sexist tropes and memes by use of humour, “ironic misandry” such as the slogan: “Men are temporary – cats are forever”, and satirical sites such as “Critique My Dick Pic” on Tumblr (Ringrose &amp; Lawrence, 2016). In addition, it could be considered an appropriation of anti-feminist slurs in an act of shamelessness, and owning the language so that attempts to silence activists through shame are ineffective (Sunden &amp; Paasonen, 2018). The companies who create and provide online games have established practices to address online harassment and  abusive behaviour in gaming communities. Activision, a large company in gaming which provides, along with other games, the hugely popular First Person Shooter series Call of Duty, has a three-tiered system for handling offensive behaviour, firstly, a temporary ban, secondly, a ban followed by loss of chat privileges, and finally a permanent ban (Activision, 2024). Sports games producer EA has a specific clause in their rules of conduct for players, which states it is forbidden to: “Harass, threaten, bully, embarrass, spam or do anything else to another player or any EA employee or representative that is unwanted, such as repeatedly sending unwanted messages or making personal attacks or statements about race, sexual orientation, religion, heritage, etc” (EA, 2024), although it can be noted that women are not specifically mentioned in this statement. Console manufacturer and game producers X-Box have ongoing monitoring of cases of verbal abuse across it’s games portfolio, with it’s “Platinum Rule” of treating other players in a way that you’d like to be treated, with punitive measures including account or console bans for breaking the community rules (X-Box, 2024). The primary mechanism for detecting wrongdoing across gaming communities is the ability for players to ‘report’ other players to alert moderators to their behaviour. However, it is contested that reporting players and issuing bans for breaching community rules is not effective (Kou, 2021). Furthermore, it could be argued that gaming platforms are hesitant to permanently ban players because of the potential for lost revenue: “Riot loses a customer every time they ban someone. Therefore, this is the last measure they’d take” (Kou, 2021). This may be misleading however, as it could be that the presence of badly-behaved players on a game platform may actually affect the number of players participating; new players could be deterred from using the platform (Kou, 2021). However, some players surveyed believed that the policy of allowing previously banned players to rejoin gaming communities by creating new accounts is a conscious strategy on the part of the games company in order to retain revenue: “If banned players create new accounts, they will likely spend money in game again” (Kou, 2021). It could be argued from these experiences that the gaming companies may have to balance their interests in generating revenue against protecting players against online harassment and abusive language. It was also speculated that companies rely on filters on chat platforms and digital tools to moderate their platforms, which can be inaccurate, as they don’t wish to pay staff (Kou, 2021). This would reinforce the idea that the games companies money-making concerns might be of higher importance to them than banning abusive players (Kou, 2021). </w:t>
      </w:r>
    </w:p>
    <w:p w14:paraId="3348EEAD" w14:textId="77777777" w:rsidR="00B45F21" w:rsidRPr="00D73741" w:rsidRDefault="00B45F21" w:rsidP="008B7B90">
      <w:pPr>
        <w:spacing w:line="480" w:lineRule="auto"/>
        <w:jc w:val="both"/>
      </w:pPr>
    </w:p>
    <w:p w14:paraId="68DFBA65" w14:textId="77777777" w:rsidR="00B45F21" w:rsidRPr="00D73741" w:rsidRDefault="00B45F21" w:rsidP="008B7B90">
      <w:pPr>
        <w:spacing w:line="480" w:lineRule="auto"/>
        <w:jc w:val="both"/>
      </w:pPr>
      <w:r w:rsidRPr="00D73741">
        <w:t xml:space="preserve">Some feminists have developed some ways of defending themselves against more general misogyny online that can be termed as “feminist affective resistance”, which may be defined as the way in which feminist digital activists use language and media in a way that presents a challenge to “dominant and oppressive pedagogies of emotion” in the effort to reframe how people are expected to feel, and how those feeling are presented, with the goal of a fairer system that takes survivors into account (Schoettler, 2023). There are a number of strategies that have developed as part of this effort (Schoettler, 2023). One such is that of the development of “feminist affective counterpublics”, which are groups that work together in reshaping the emotions attributed to them and the way in which they are expected to behave (Schoettler, 2023).  For example, groups of survivors of sexual assault reframing the shame and stigma associated with their experiences, validating and listening to each other’s accounts, and maintaining that appropriate measures to help be provided (Schoettler, 2023).  Counterpublics can also serve as a way of becoming engaged with feminist activist theory and become familiar with the way that feminist digital activism operates (Schoettler, 2023).  Another way in which feminist counterpublic groups provide support is through the provision of community-based care, with the focus being on healing and learning as a group, providing an empowering experience (Schoettler, 2023).  Another way of protecting oneself from the harm of online abuse is by “curating” social media feeds and FYPs by utilising “feminist digital curation”, a method of filtering the information, such as posts and messages, that individuals can be exposed through via the use of social media by “seeking out” harmful users, feeds, or sites, and “eliding” them, by blocking, muting or intentionally avoiding contact (Schoettler, 2023). There also may be a recognition that feminist content is not necessarily the predominant discourse in social media, and it may be that positive content needs to be sought out and “followed” in order to facilitate an acceptable online experience (Schoettler, 2023).  Tools such as ‘bookmark’ features can help to facilitate this (Schoettler, 2023).    </w:t>
      </w:r>
    </w:p>
    <w:p w14:paraId="456B0B49" w14:textId="77777777" w:rsidR="008C3788" w:rsidRPr="00D73741" w:rsidRDefault="008C3788" w:rsidP="008B7B90">
      <w:pPr>
        <w:spacing w:line="480" w:lineRule="auto"/>
        <w:jc w:val="both"/>
      </w:pPr>
    </w:p>
    <w:p w14:paraId="69FE9858" w14:textId="7AA5CB09" w:rsidR="00B45F21" w:rsidRPr="00D73741" w:rsidRDefault="00B45F21" w:rsidP="008B7B90">
      <w:pPr>
        <w:spacing w:line="480" w:lineRule="auto"/>
        <w:jc w:val="both"/>
      </w:pPr>
      <w:r w:rsidRPr="00D73741">
        <w:t xml:space="preserve">Another such way of responding to online misogynistic abuse is through “evidentiary activism”, and it could be that feminist organisations are active in the development of a process of finding and presenting evidence which supports their agenda (Kurasawa et al, 2021). This could be considered as “forging alternative epistemologies about how evidence of GBOV is produced, validated and interpreted” (Kurasawa et al, 2021). They assert their position as the public means of gathering, disseminating and presenting this evidence, with the aim of preventing and addressing the issue itself, and also of helping people who have experienced it (Kurasawa et al, 2021). This method has been seen to function at two levels; firstly, organisations have used formal rules for gathering, interpreting and presenting their evidence, in line with guidelines established by corporations and the state (Kurasawa et al, 2021). However, some organisations have become frustrated by this approach, deeming it inadequate in facing the reality of the abuse faced by women online, and have developed informal methods of gathering evidence based on the activities of digital communities (Kurasawa et al, 2021). </w:t>
      </w:r>
    </w:p>
    <w:p w14:paraId="67275822" w14:textId="77777777" w:rsidR="00B45F21" w:rsidRPr="00D73741" w:rsidRDefault="00B45F21" w:rsidP="008B7B90">
      <w:pPr>
        <w:spacing w:line="480" w:lineRule="auto"/>
        <w:jc w:val="both"/>
      </w:pPr>
      <w:r w:rsidRPr="00D73741">
        <w:t xml:space="preserve">This work can however be difficult, and feminists involved in digital activism report a number of difficulties (Mendes et al, 2018). The use of Twitter (now X) as a platform for feminist digital activism has been reported as positive, with study participants describing how the potential for engagement with others involved in similar activism on a global scale has been important to their work, creating a safe, shared space and facilitating education through shared resources such as blogs (Mendes et al, 2018). The practice of “calling out” sexist or misogynistic views is also a key feature in the activism on Twitter, with the goal of creating social change (Mendes et al, 2018). Having such a far reaching platform was also considered to be important in facilitating inclusion in the feminist movement, creating opportunities for diverse groups to connect, and for disabled people and others who may not be able to attend meetings or demonstrations to participate (Mendes et al, 2018). This may be important in the creation of truly intersectional feministic activism and the formation of new theory thereof (More, 2024). The use of Twitter, however, means that activists become vulnerable to abuse and trolling online (Mendes et al, 2018). 72% of respondents in this survey reported a backlash of hostility when stating their feminist views online, with comments ranging from insults such as “ugly” to detailed rape or death threats (Mendes et al, 2018). It was, however, reported that online forums for feminist discussion and activism was easier and safer for participants to attend, due to negative opinions around feminism within individuals’ social environments (Mendes et al, 2018). </w:t>
      </w:r>
    </w:p>
    <w:p w14:paraId="36DD2BFE" w14:textId="77777777" w:rsidR="008C3788" w:rsidRPr="00D73741" w:rsidRDefault="008C3788" w:rsidP="008B7B90">
      <w:pPr>
        <w:spacing w:line="480" w:lineRule="auto"/>
        <w:jc w:val="both"/>
      </w:pPr>
    </w:p>
    <w:p w14:paraId="6B6D0D54" w14:textId="369CC277" w:rsidR="00B45F21" w:rsidRPr="00D73741" w:rsidRDefault="00B45F21" w:rsidP="008B7B90">
      <w:pPr>
        <w:spacing w:line="480" w:lineRule="auto"/>
        <w:jc w:val="both"/>
      </w:pPr>
      <w:r w:rsidRPr="00D73741">
        <w:t>The viewing of feminism with negative connotations can be connected to the idea that feminist ‘digilantism’ has gone too far in the effort to address the abuse of women online (Nicolla, 2023). It has been shown that the idea of feminism, and feminist digital activism, can have negative connotations (Nicolla, 2023). These were grouped into a number of themes (Nicolla, 2023). It was shown that study participants avoided feminism, viewing it as an issue for “someone else” and was not relevant to their lives; this was reported by both male and female participants (Nicolla, 2023). Some actively avoided feminism, because of the worry of what other people would think, and this could imply that an individual’s social environment could have an impact on whether or not they identify as feminists or participate in feminist activism, as they may not wish to cause conflict (Nicolla, 2023). Furthermore, the term feminist itself was not considered positive, with participants describing stereotypes, such as “angry, hostile woman”, and some were unable to think of people they know, or know of, who could be called feminists, naming instead women in the public eye, such as Kamala Harris (Nicolla, 2023). This unwillingness to identify as feminist extended even to participants who supported gender equality, with a possible inference that feminists are “radical” (Nicolla, 2023). There was also seen to be a distinction between feminism as a concept and feminists or feminist activists (Nicolla, 2023). While the principles of gender equality were broadly approved of, feminist movements, such as #MeToo, were seen in a different light, with the idea that women were weaponizing feminism: “a lot of women also are using that as a vehicle to, you know, if a guy pissed them off then they’d blame other things on him" (Nicolla, 2023).</w:t>
      </w:r>
    </w:p>
    <w:p w14:paraId="7BF437BD" w14:textId="77777777" w:rsidR="008C3788" w:rsidRPr="00D73741" w:rsidRDefault="008C3788" w:rsidP="008B7B90">
      <w:pPr>
        <w:spacing w:line="480" w:lineRule="auto"/>
        <w:jc w:val="both"/>
      </w:pPr>
    </w:p>
    <w:p w14:paraId="51A54ED1" w14:textId="5DED842A" w:rsidR="00B45F21" w:rsidRPr="00D73741" w:rsidRDefault="00B45F21" w:rsidP="008B7B90">
      <w:pPr>
        <w:spacing w:line="480" w:lineRule="auto"/>
        <w:jc w:val="both"/>
      </w:pPr>
      <w:r w:rsidRPr="00D73741">
        <w:t>Online responses to patriarchy and misogyny are one of the focuses of the fourth wave of feminism (Peroni &amp; Rodak, 2020). Although the concerns of fourth Wave feminism build on those of previous waves, it particularly emphasises certain aspects such as women’s personal freedoms, the pervasive problems of inequality, violence and discrimination (Peroni &amp; Rodak, 2020). It includes the idea of body positivity, in the effort to empower people in the acceptance of all bodies, and is open to validity of all experiences (Peroni &amp; Rodak, 2020). It is concerned with the embracing of the positive aspects to femininity, sisterhood and female identity (Peroni &amp; Rodak, 2020). These aspects are facilitated and developed by means of online presence and “hashtag feminism” (Peroni &amp; Rodak, 2020). This method of gathering communities has resulted in the stronger cohesion and connection within feminist group, both online and offline, enabling contacts and strengthening bonds (Peroni &amp; Rodak, 2020). Online feminist groups may create leading voices in the feminist movement, creating the potential for change beyond local geographical environments (Peroni &amp; Rodak, 2020). Therefore it can be argued that, globally, the women’s movement aligns itself against current neoliberal ideologies (Peroni &amp; Rodak, 2020). This may not however be always the case, as it can be argued that feminist online activism can itself be “monetised” (Scharff, 2023). The effort to challenge misogynistic views “are mobilised in the context of making change and also money”, and that this phenomenon has increased in response to increased digital economy (Scharff, 2023). This could suggest that, while feminist digital activism is geared towards creating social and systemic change, facets of it are rooted in neoliberalism (Scharff, 2023).</w:t>
      </w:r>
    </w:p>
    <w:p w14:paraId="4429E3DC" w14:textId="77777777" w:rsidR="008C3788" w:rsidRPr="00D73741" w:rsidRDefault="008C3788" w:rsidP="008B7B90">
      <w:pPr>
        <w:spacing w:line="480" w:lineRule="auto"/>
        <w:jc w:val="both"/>
      </w:pPr>
    </w:p>
    <w:p w14:paraId="0B632474" w14:textId="630B50DC" w:rsidR="00B45F21" w:rsidRPr="00D73741" w:rsidRDefault="00B45F21" w:rsidP="008B7B90">
      <w:pPr>
        <w:spacing w:line="480" w:lineRule="auto"/>
        <w:jc w:val="both"/>
      </w:pPr>
      <w:r w:rsidRPr="00D73741">
        <w:t>More recent games have begun to include female characters who look and behave in a way that is not construed as stereotypically feminine. The character of Aloy in Horizon Zero Dawn has been argued to disrupt the usual feminine stereotypes seen in game characters (REF). This character is depicted as strong and autonomous without reference to her gender, and the role she enacts within the game is not dependent on her potential as a romantic or sexual object to the male characters in the game. In this way, she provides an example of a female character and narrative that is self-defined, rather than defined by the expectations of male characters in the game and the presumed-male gamer audience (Allen, 2023). Furthermore, the way that women are visually depicted in games is also beginning to change. The character of Abby in The Last of Us Part II (Naughty Dog, 2020) is depicted as very muscular, although this was not without considerable backlash from the gaming audience, who speculated that the way she looks is unrealistic, or that the character must be trans, and that this was linked to ‘virtue signalling’ within the game’s producers (Allen, 2023). The backlash against Abby contained sufficient vitriol that even the actress who provided the voice and motion capture for Abby was harassed and threatened on social media, suggesting that the notion of a rehabilitated equal space is still yet to come.</w:t>
      </w:r>
    </w:p>
    <w:p w14:paraId="15945AEC" w14:textId="77777777" w:rsidR="008C3788" w:rsidRPr="00D73741" w:rsidRDefault="008C3788" w:rsidP="008B7B90">
      <w:pPr>
        <w:spacing w:line="480" w:lineRule="auto"/>
        <w:jc w:val="both"/>
      </w:pPr>
    </w:p>
    <w:p w14:paraId="3BD2A23B" w14:textId="77777777" w:rsidR="008C3788" w:rsidRPr="00D73741" w:rsidRDefault="008C3788" w:rsidP="008B7B90">
      <w:pPr>
        <w:spacing w:line="480" w:lineRule="auto"/>
        <w:jc w:val="both"/>
      </w:pPr>
    </w:p>
    <w:p w14:paraId="0B5D39D8" w14:textId="0C1AAB78" w:rsidR="00FA6CB9" w:rsidRPr="00D73741" w:rsidRDefault="008C3788" w:rsidP="008B7B90">
      <w:pPr>
        <w:spacing w:line="480" w:lineRule="auto"/>
        <w:jc w:val="both"/>
      </w:pPr>
      <w:r w:rsidRPr="00D73741">
        <w:t>DISCUSSION</w:t>
      </w:r>
    </w:p>
    <w:p w14:paraId="1280C1DA" w14:textId="77777777" w:rsidR="00FA6CB9" w:rsidRPr="00D73741" w:rsidRDefault="00FA6CB9" w:rsidP="008B7B90">
      <w:pPr>
        <w:spacing w:line="480" w:lineRule="auto"/>
        <w:jc w:val="both"/>
      </w:pPr>
      <w:r w:rsidRPr="00D73741">
        <w:t>The themes discovered in the research relate to each other in several different ways. It could be argued that the male-dominated environments of gaming production companies perpetuate the cliched stereotypical characters that appear in some video games, from the highly sexualised appearance of female characters to the stereotypical roles that they inhabit, the dangerous-to-know adversary “vamp” and the submissive prize of a “virgin” (Tomkins et al, 2020). Fuelled by the revenue-machine that the games industry has become, these tropes continue to be pervasive, embedded in the history and business model that underpin it. Furthermore, games are an action media, with the requirement that a button is pressed or a joystick moved for engagement to take place (Galloway, 2006). In light of the current risks of harassment and abuse to women in gaming, it could be hypothesised that gaming not only constitutes a place where male-ness is considered hegemonic and women considered lesser, but the virtual worlds contained within a game can be seen as a playground for men who hate women and hate feminists, a space wherein a player can violently indulge his feelings towards women without consequence or shame.</w:t>
      </w:r>
    </w:p>
    <w:p w14:paraId="70998C61" w14:textId="77777777" w:rsidR="00FA6CB9" w:rsidRPr="00D73741" w:rsidRDefault="00FA6CB9" w:rsidP="008B7B90">
      <w:pPr>
        <w:spacing w:line="480" w:lineRule="auto"/>
        <w:jc w:val="both"/>
      </w:pPr>
    </w:p>
    <w:p w14:paraId="4DAB4A51" w14:textId="77777777" w:rsidR="00FA6CB9" w:rsidRPr="00D73741" w:rsidRDefault="00FA6CB9" w:rsidP="008B7B90">
      <w:pPr>
        <w:spacing w:line="480" w:lineRule="auto"/>
        <w:jc w:val="both"/>
      </w:pPr>
      <w:r w:rsidRPr="00D73741">
        <w:rPr>
          <w:noProof/>
        </w:rPr>
        <w:drawing>
          <wp:inline distT="0" distB="0" distL="0" distR="0" wp14:anchorId="77446112" wp14:editId="154CE63A">
            <wp:extent cx="4832350" cy="2717651"/>
            <wp:effectExtent l="0" t="0" r="6350" b="6985"/>
            <wp:docPr id="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A screenshot of a computer&#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840632" cy="2722309"/>
                    </a:xfrm>
                    <a:prstGeom prst="rect">
                      <a:avLst/>
                    </a:prstGeom>
                    <a:noFill/>
                    <a:ln>
                      <a:noFill/>
                    </a:ln>
                  </pic:spPr>
                </pic:pic>
              </a:graphicData>
            </a:graphic>
          </wp:inline>
        </w:drawing>
      </w:r>
      <w:r w:rsidRPr="00D73741">
        <w:t xml:space="preserve"> </w:t>
      </w:r>
    </w:p>
    <w:p w14:paraId="3F4EE09D" w14:textId="77777777" w:rsidR="00FA6CB9" w:rsidRPr="00D73741" w:rsidRDefault="00FA6CB9" w:rsidP="008B7B90">
      <w:pPr>
        <w:spacing w:line="480" w:lineRule="auto"/>
        <w:jc w:val="both"/>
      </w:pPr>
    </w:p>
    <w:p w14:paraId="72ECEB28" w14:textId="77777777" w:rsidR="00CA5A3C" w:rsidRPr="00D73741" w:rsidRDefault="00FA6CB9" w:rsidP="008B7B90">
      <w:pPr>
        <w:spacing w:line="480" w:lineRule="auto"/>
        <w:jc w:val="both"/>
      </w:pPr>
      <w:r w:rsidRPr="00D73741">
        <w:t xml:space="preserve"> The push towards maximising revenues gained by companies who produce games can also be seen in the way that the platforms themselves address the problem of harassment and abuse. Processes for sanctioning or banning players may be established, however, these may not be effective in excluding players who consistently break the rules (Kou, 2021). The gaming platforms themselves are hesitant in the banning of players due to the potential for lost revenue (Kou, 2021). This may feature particularly in “free-to-play” games, where money is made via frequent small “micro-transactions” in the newer model of “battle pass capitalism” (Joseph, 2021). Some platforms allow previously-banned players to rejoin, or fail to prevent them setting up new accounts, to retain players willing to spend money, compromising their responsibility to protect players from abuse because of their business interests (Kou, 2021). They may even outsource their monitoring of chat or messaging functions to digital tools and systems, in the name of economic efficiency, which may not recognise abusive language for what it is and fail to address concerns as the arise (Kou, 2021). It could be argued that the consequences of this are not only the exclusion of women and harm resulting from the abuse, but furthermore the platforms abdicating their responsibility to keep players safe creates a system whereby the onus is on women themselves to ensure their safety, sometimes having to compile a ‘safety checklist’ to monitor their actions online (Sobieraj, 2020, p.63). The things that make up this ‘checklist’ may include blocking or muting other users (Shoettler, 2023), or leaving certain games, or making their avatar male or gender neutral to avoid becoming a target (Fox &amp; Tang, 2017). It could be suggested that, by failing to ensure a safe environment by means of monitoring and banning abusive players, this further serves to exclude women from full participation in the gaming environment, because off the actions they have to take to protect themselves (Sobieraj, 2020, p.63).</w:t>
      </w:r>
    </w:p>
    <w:p w14:paraId="500BC30C" w14:textId="70AE89E4" w:rsidR="00FA6CB9" w:rsidRPr="00D73741" w:rsidRDefault="00FA6CB9" w:rsidP="008B7B90">
      <w:pPr>
        <w:spacing w:line="480" w:lineRule="auto"/>
        <w:jc w:val="both"/>
      </w:pPr>
      <w:r w:rsidRPr="00D73741">
        <w:t xml:space="preserve"> </w:t>
      </w:r>
    </w:p>
    <w:p w14:paraId="6E467F4B" w14:textId="77777777" w:rsidR="00FA6CB9" w:rsidRPr="00D73741" w:rsidRDefault="00FA6CB9" w:rsidP="008B7B90">
      <w:pPr>
        <w:spacing w:line="480" w:lineRule="auto"/>
        <w:jc w:val="both"/>
      </w:pPr>
      <w:r w:rsidRPr="00D73741">
        <w:t>In positing that the harassment of women in online gaming is situated in and derives from the wider online environment, it can be seen not only how bad the harassment and abuse is for women, but also the consequences for the men and boys who make up the Manosphere. The combination of traditional hegemonic masculinity and newer forms of “geek” masculinities appear to create confusion in how masculinity exists today. The links to Neo-liberalism further contribute to this sense of uncertainty, with the idea of masculinity compromised by external factors, such as job insecurity or wage cuts, the results of living in a capitalist society (Bujalka et al, 2022). The social circumstances experienced are however perceived to be the fault of “exploitative” gold-digging women (Van Valkenburgh, 2019). Because of these circumstances , the Incel groups consider themselves to be undesirable and inherently unlovable (Vallerga &amp; Zurbriggen, 2022), and via the method of ressentiment, transform their inadequacy and hurt into hate and blame directed towards others, while retaining their feelings of being morally ‘right’ and being a victim (Capelos et al, 2024). It could be suggested that these confusions over the nature of masculinity lead to the attempt to achieve some form of domination, and the competing interests for the establishment of masculine identity and the inclusion of women serve to antagonise the other, almost in a cyclical manner.</w:t>
      </w:r>
    </w:p>
    <w:p w14:paraId="3D2FC814" w14:textId="77777777" w:rsidR="00CA5A3C" w:rsidRPr="00D73741" w:rsidRDefault="00CA5A3C" w:rsidP="008B7B90">
      <w:pPr>
        <w:spacing w:line="480" w:lineRule="auto"/>
        <w:jc w:val="both"/>
      </w:pPr>
    </w:p>
    <w:p w14:paraId="218E5B95" w14:textId="06065D23" w:rsidR="00FA6CB9" w:rsidRPr="00D73741" w:rsidRDefault="00FA6CB9" w:rsidP="008B7B90">
      <w:pPr>
        <w:spacing w:line="480" w:lineRule="auto"/>
        <w:jc w:val="both"/>
      </w:pPr>
      <w:r w:rsidRPr="00D73741">
        <w:t xml:space="preserve">This can be seen in the way that female characters are created in games. They are hypersexual “vamps” who exist as antagonists to the male characters, or submissive “virgins” who are the prize or the sidekick (Tompkins et al, 2020). By adherence to the stereotypical ideas about women, the content of the games themselves serve to re-establish an archaic idea about what masculinity is, encompassing strength and heroism, masculinity as saviour or provider. The backlash against characters in games which do not conform to gender stereotypes, such as Abby in The Last Of Us Pt II (Naughty Dog, 2020) seem to confirm this; the presence of a muscular independent capable woman was seen as unrealistic, perhaps a trans character, and “virtue-signalling “ on the part of the games developers (Allen, 2023). </w:t>
      </w:r>
    </w:p>
    <w:p w14:paraId="535FD88A" w14:textId="77777777" w:rsidR="00CA5A3C" w:rsidRPr="00D73741" w:rsidRDefault="00CA5A3C" w:rsidP="008B7B90">
      <w:pPr>
        <w:spacing w:line="480" w:lineRule="auto"/>
        <w:jc w:val="both"/>
      </w:pPr>
    </w:p>
    <w:p w14:paraId="6D5C1601" w14:textId="6D1B823A" w:rsidR="00FA6CB9" w:rsidRPr="00D73741" w:rsidRDefault="00FA6CB9" w:rsidP="008B7B90">
      <w:pPr>
        <w:spacing w:line="480" w:lineRule="auto"/>
        <w:jc w:val="both"/>
      </w:pPr>
      <w:r w:rsidRPr="00D73741">
        <w:t xml:space="preserve">The Incels refer to themselves in derogatory ways, focusing on “Looks, Money and Status” as the only way of attracting and having relationships with women; the issue of the way they look is particularly targeted, with users referring to themselves as “troglodyte” or “deformed” (Scotto de Carlo, 2023). The groups talk about poor self-image and poor self-esteem; some groups create hierarchies based on who was the poorest, the ugliest, the one with the smallest penis (Smith et al, 2024). Some study participants reported a history of mental health problems, sometimes neglect, bullying or anxiety, reporting a lack of resources for men to share their experiences (Smith et al, 2024). They tended to be outliers in general society, with the greater the exclusion they experienced increasing their negativity and their anger (Habib et al, 2022). These anxieties may centre around the social expectations of them as men (Botto &amp; Gotzen, 2024), and these factors may combine to make them vulnerable. It can be deduced from these suggestions that Manosphere groups may contain thousands of excluded vulnerable men, perhaps victims of neglect or bullying, perhaps with poor mental health, who, in the effort to stop the pain that they experience due to their situation, collude with others to blame women for that pain: “It made me feel that nothing was my fault – it was the women doing this to me” (Smith et al, 2024). It could be that the solution to this, and the prevention of the subsequent abuse of women, could lie in the creation of men’s services and spaces, more acceptance of non-stereotypical forms of masculinity, and campaigns that focus on men’s mental health. </w:t>
      </w:r>
    </w:p>
    <w:p w14:paraId="53506C0A" w14:textId="77777777" w:rsidR="00CA5A3C" w:rsidRPr="00D73741" w:rsidRDefault="00CA5A3C" w:rsidP="008B7B90">
      <w:pPr>
        <w:spacing w:line="480" w:lineRule="auto"/>
        <w:jc w:val="both"/>
      </w:pPr>
    </w:p>
    <w:p w14:paraId="6570E970" w14:textId="5814AFD4" w:rsidR="00F63245" w:rsidRPr="00D73741" w:rsidRDefault="00CA5A3C" w:rsidP="008B7B90">
      <w:pPr>
        <w:spacing w:line="480" w:lineRule="auto"/>
        <w:jc w:val="both"/>
      </w:pPr>
      <w:r w:rsidRPr="00D73741">
        <w:t>CONCLUSIONS AND RECOMMENDATIONS</w:t>
      </w:r>
    </w:p>
    <w:p w14:paraId="37B86C3E" w14:textId="77777777" w:rsidR="00F63245" w:rsidRPr="00D73741" w:rsidRDefault="00F63245" w:rsidP="008B7B90">
      <w:pPr>
        <w:spacing w:line="480" w:lineRule="auto"/>
        <w:jc w:val="both"/>
      </w:pPr>
      <w:r w:rsidRPr="00D73741">
        <w:t>From the literature reviewed, it appears that the problem of harassment of women in gaming in structurally embedded, from the creation of games in studios that are unwelcoming to women, to the hyper sexualised and strictly defined characters depicted and the experiences of female players. This would appear to be cohesive with the overarching hostility to and derision of women online generally. It would appear that this can be linked with a crisis of masculinity experienced by men, who seek to dominate women in order to establish their masculine identity.</w:t>
      </w:r>
    </w:p>
    <w:p w14:paraId="193EA51C" w14:textId="77777777" w:rsidR="00CA5A3C" w:rsidRPr="00D73741" w:rsidRDefault="00CA5A3C" w:rsidP="008B7B90">
      <w:pPr>
        <w:spacing w:line="480" w:lineRule="auto"/>
        <w:jc w:val="both"/>
      </w:pPr>
    </w:p>
    <w:p w14:paraId="391D5859" w14:textId="77777777" w:rsidR="00F63245" w:rsidRPr="00D73741" w:rsidRDefault="00F63245" w:rsidP="008B7B90">
      <w:pPr>
        <w:spacing w:line="480" w:lineRule="auto"/>
        <w:jc w:val="both"/>
      </w:pPr>
      <w:r w:rsidRPr="00D73741">
        <w:t>This work began with searches related to “women”, “gaming” and “gamers”, and has uncovered the wider contexts that underpin the experiences of women in gaming. While some researchers detailed the harassment experienced and the methods of harassment used, this work has endeavoured to holistically assess the situation as it stands, and has also included the experiences of the men who perpetuate the Manosphere. It was uncovered just how bad this is for the men concerned, and how vulnerable men and boys can be indoctrinated into these views. However, as gaming has become a huge industry within entertainment, the inclusion and safety of women is now important to digital citizenship as a whole.</w:t>
      </w:r>
    </w:p>
    <w:p w14:paraId="23973E51" w14:textId="77777777" w:rsidR="00CA5A3C" w:rsidRPr="00D73741" w:rsidRDefault="00CA5A3C" w:rsidP="008B7B90">
      <w:pPr>
        <w:spacing w:line="480" w:lineRule="auto"/>
        <w:jc w:val="both"/>
      </w:pPr>
    </w:p>
    <w:p w14:paraId="35D30F4C" w14:textId="77777777" w:rsidR="00F63245" w:rsidRPr="00D73741" w:rsidRDefault="00F63245" w:rsidP="008B7B90">
      <w:pPr>
        <w:spacing w:line="480" w:lineRule="auto"/>
        <w:jc w:val="both"/>
        <w:rPr>
          <w:b/>
          <w:bCs/>
        </w:rPr>
      </w:pPr>
      <w:r w:rsidRPr="00D73741">
        <w:rPr>
          <w:b/>
          <w:bCs/>
        </w:rPr>
        <w:t>The following recommendations can be made on the basis of this work:</w:t>
      </w:r>
    </w:p>
    <w:p w14:paraId="7CFE9C97" w14:textId="77777777" w:rsidR="00F63245" w:rsidRPr="00D73741" w:rsidRDefault="00F63245" w:rsidP="00CA5A3C">
      <w:pPr>
        <w:pStyle w:val="ListParagraph"/>
        <w:numPr>
          <w:ilvl w:val="0"/>
          <w:numId w:val="21"/>
        </w:numPr>
        <w:spacing w:line="480" w:lineRule="auto"/>
        <w:jc w:val="both"/>
      </w:pPr>
      <w:r w:rsidRPr="00D73741">
        <w:t>The creation and implementation of legislation to improve the working environment of those who work in gaming development companies, to avoid the “crunch time” effects and to improve the working environment for women.</w:t>
      </w:r>
    </w:p>
    <w:p w14:paraId="4ECA3FB8" w14:textId="77777777" w:rsidR="00F63245" w:rsidRPr="00D73741" w:rsidRDefault="00F63245" w:rsidP="00CA5A3C">
      <w:pPr>
        <w:pStyle w:val="ListParagraph"/>
        <w:numPr>
          <w:ilvl w:val="0"/>
          <w:numId w:val="21"/>
        </w:numPr>
        <w:spacing w:line="480" w:lineRule="auto"/>
        <w:jc w:val="both"/>
      </w:pPr>
      <w:r w:rsidRPr="00D73741">
        <w:t>To improve the diversity of characters in games, perhaps by the recruitment of more women developers, or by subsidising and assisting “indie” companies.</w:t>
      </w:r>
    </w:p>
    <w:p w14:paraId="3FFB6137" w14:textId="77777777" w:rsidR="00F63245" w:rsidRPr="00D73741" w:rsidRDefault="00F63245" w:rsidP="00CA5A3C">
      <w:pPr>
        <w:pStyle w:val="ListParagraph"/>
        <w:numPr>
          <w:ilvl w:val="0"/>
          <w:numId w:val="21"/>
        </w:numPr>
        <w:spacing w:line="480" w:lineRule="auto"/>
        <w:jc w:val="both"/>
      </w:pPr>
      <w:r w:rsidRPr="00D73741">
        <w:t>To improve the processes by which abusive players are sanctioned and banned, so that the gaming environment can be made as safe as possible.</w:t>
      </w:r>
    </w:p>
    <w:p w14:paraId="29CD5FFC" w14:textId="77777777" w:rsidR="00F63245" w:rsidRPr="00D73741" w:rsidRDefault="00F63245" w:rsidP="00CA5A3C">
      <w:pPr>
        <w:pStyle w:val="ListParagraph"/>
        <w:numPr>
          <w:ilvl w:val="0"/>
          <w:numId w:val="21"/>
        </w:numPr>
        <w:spacing w:line="480" w:lineRule="auto"/>
        <w:jc w:val="both"/>
      </w:pPr>
      <w:r w:rsidRPr="00D73741">
        <w:t>The creation of services and spaces where men can seek help for their mental health, share their experiences and get peer support.</w:t>
      </w:r>
    </w:p>
    <w:p w14:paraId="46E81AB1" w14:textId="77777777" w:rsidR="00F63245" w:rsidRPr="00D73741" w:rsidRDefault="00F63245" w:rsidP="00CA5A3C">
      <w:pPr>
        <w:pStyle w:val="ListParagraph"/>
        <w:numPr>
          <w:ilvl w:val="0"/>
          <w:numId w:val="21"/>
        </w:numPr>
        <w:spacing w:line="480" w:lineRule="auto"/>
        <w:jc w:val="both"/>
      </w:pPr>
      <w:r w:rsidRPr="00D73741">
        <w:t>Further research into the workings of harassment and the Manosphere and how the online environment of misogyny informs misogyny in gaming.</w:t>
      </w:r>
    </w:p>
    <w:p w14:paraId="07AC479F" w14:textId="29D8DD62" w:rsidR="00FA6CB9" w:rsidRPr="00D73741" w:rsidRDefault="00FA6CB9" w:rsidP="008B7B90">
      <w:pPr>
        <w:spacing w:line="480" w:lineRule="auto"/>
        <w:jc w:val="both"/>
      </w:pPr>
    </w:p>
    <w:p w14:paraId="7F556DD3" w14:textId="77777777" w:rsidR="00B45F21" w:rsidRPr="00D73741" w:rsidRDefault="00B45F21" w:rsidP="008B7B90">
      <w:pPr>
        <w:spacing w:line="480" w:lineRule="auto"/>
        <w:jc w:val="both"/>
      </w:pPr>
    </w:p>
    <w:p w14:paraId="4B1F511A" w14:textId="77777777" w:rsidR="00F6445B" w:rsidRPr="00D73741" w:rsidRDefault="00F6445B" w:rsidP="008B7B90">
      <w:pPr>
        <w:spacing w:line="480" w:lineRule="auto"/>
        <w:jc w:val="both"/>
      </w:pPr>
    </w:p>
    <w:p w14:paraId="664355AD" w14:textId="634862CA" w:rsidR="00F8366C" w:rsidRPr="00D73741" w:rsidRDefault="005E060A" w:rsidP="00777D94">
      <w:pPr>
        <w:spacing w:line="480" w:lineRule="auto"/>
        <w:jc w:val="both"/>
      </w:pPr>
      <w:r w:rsidRPr="00D73741">
        <w:br w:type="page"/>
      </w:r>
    </w:p>
    <w:p w14:paraId="1A965116" w14:textId="77777777" w:rsidR="00F8366C" w:rsidRPr="00D73741" w:rsidRDefault="00F8366C" w:rsidP="008B7B90">
      <w:pPr>
        <w:spacing w:line="480" w:lineRule="auto"/>
        <w:jc w:val="both"/>
      </w:pPr>
    </w:p>
    <w:p w14:paraId="336C8BCD" w14:textId="73C227BC" w:rsidR="00F8366C" w:rsidRPr="00D73741" w:rsidRDefault="00777D94" w:rsidP="008B7B90">
      <w:pPr>
        <w:spacing w:line="480" w:lineRule="auto"/>
        <w:jc w:val="both"/>
      </w:pPr>
      <w:r w:rsidRPr="00D73741">
        <w:t>REFERENCES:</w:t>
      </w:r>
    </w:p>
    <w:p w14:paraId="1106530A" w14:textId="77777777" w:rsidR="007B72C9" w:rsidRPr="00D73741" w:rsidRDefault="007B72C9" w:rsidP="008B7B90">
      <w:pPr>
        <w:spacing w:line="480" w:lineRule="auto"/>
        <w:jc w:val="both"/>
      </w:pPr>
      <w:r w:rsidRPr="00D73741">
        <w:t xml:space="preserve">Activision, 2024 [Online]. Available at </w:t>
      </w:r>
      <w:hyperlink r:id="rId13" w:history="1">
        <w:r w:rsidRPr="00D73741">
          <w:rPr>
            <w:rStyle w:val="Hyperlink"/>
          </w:rPr>
          <w:t>https://support.activision.com/call-of-duty--black-ops-iii/articles/call-of-duty-black-ops-iii-security-enforcement-policy</w:t>
        </w:r>
      </w:hyperlink>
      <w:r w:rsidRPr="00D73741">
        <w:t xml:space="preserve"> (Accessed 29/09/2024).</w:t>
      </w:r>
    </w:p>
    <w:p w14:paraId="3AAC6EDD" w14:textId="77777777" w:rsidR="007B72C9" w:rsidRPr="00D73741" w:rsidRDefault="007B72C9" w:rsidP="002750B1">
      <w:pPr>
        <w:spacing w:line="480" w:lineRule="auto"/>
        <w:jc w:val="both"/>
      </w:pPr>
      <w:r w:rsidRPr="00D73741">
        <w:t xml:space="preserve">Allen, M. L. (2024). “How is it that Someone Like You: paragon, Damn Near Saint; Could Love this World so Damn Much but No One in It?”: Horizon Zero Dawn’s Aloy and the Disruption of Hetero-Amatonormative Benevolent Sexism in Female-led Games. </w:t>
      </w:r>
      <w:r w:rsidRPr="00D73741">
        <w:rPr>
          <w:i/>
          <w:iCs/>
        </w:rPr>
        <w:t>Games and Culture</w:t>
      </w:r>
      <w:r w:rsidRPr="00D73741">
        <w:t xml:space="preserve">, </w:t>
      </w:r>
      <w:r w:rsidRPr="00D73741">
        <w:rPr>
          <w:i/>
          <w:iCs/>
        </w:rPr>
        <w:t>19</w:t>
      </w:r>
      <w:r w:rsidRPr="00D73741">
        <w:t>(7), 851–871. https://doi.org/10.1177/15554120231179511</w:t>
      </w:r>
    </w:p>
    <w:p w14:paraId="0425F206" w14:textId="77777777" w:rsidR="007B72C9" w:rsidRPr="00D73741" w:rsidRDefault="007B72C9" w:rsidP="008B7B90">
      <w:pPr>
        <w:spacing w:line="480" w:lineRule="auto"/>
        <w:jc w:val="both"/>
      </w:pPr>
      <w:r w:rsidRPr="00D73741">
        <w:t xml:space="preserve">Bachaud, L., &amp; Johns, S. E. (2023). The use and misuse of evolutionary psychology in online manosphere communities: The case of female mating strategies. Evolutionary Human Sciences, 5, e28–e28. </w:t>
      </w:r>
      <w:hyperlink r:id="rId14" w:history="1">
        <w:r w:rsidRPr="00D73741">
          <w:rPr>
            <w:rStyle w:val="Hyperlink"/>
          </w:rPr>
          <w:t>https://doi.org/10.1017/ehs.2023.22</w:t>
        </w:r>
      </w:hyperlink>
    </w:p>
    <w:p w14:paraId="3EC28C93" w14:textId="77777777" w:rsidR="007B72C9" w:rsidRPr="00D73741" w:rsidRDefault="007B72C9" w:rsidP="008B7B90">
      <w:pPr>
        <w:spacing w:line="480" w:lineRule="auto"/>
        <w:jc w:val="both"/>
      </w:pPr>
      <w:r w:rsidRPr="00D73741">
        <w:t>Bailey, E. N., Miyata, K., &amp; Yoshida, T. (2021). Gender Composition of Teams and Studios in Video Game Development. Games and Culture, 16(1), 42–64. https://doi.org/10.1177/1555412019868381</w:t>
      </w:r>
    </w:p>
    <w:p w14:paraId="4897A650" w14:textId="77777777" w:rsidR="007B72C9" w:rsidRPr="00D73741" w:rsidRDefault="007B72C9" w:rsidP="008B7B90">
      <w:pPr>
        <w:spacing w:line="480" w:lineRule="auto"/>
        <w:jc w:val="both"/>
      </w:pPr>
      <w:r w:rsidRPr="00D73741">
        <w:t>Bazzano, M. (2022). Everybody wants to be a manager: On masculinity, microfascism and the manosphere. European Journal of Psychotherapy &amp; Counselling, 24(2), 173–186. https://doi.org/10.1080/13642537.2022.2090588</w:t>
      </w:r>
    </w:p>
    <w:p w14:paraId="7CD42CC4" w14:textId="77777777" w:rsidR="007B72C9" w:rsidRPr="00D73741" w:rsidRDefault="007B72C9" w:rsidP="008B7B90">
      <w:pPr>
        <w:spacing w:line="480" w:lineRule="auto"/>
        <w:jc w:val="both"/>
      </w:pPr>
      <w:r w:rsidRPr="00D73741">
        <w:t xml:space="preserve">Botto, M., &amp; Gottzén, L. (2024). Swallowing and spitting out the red pill: young men, vulnerability, and radicalization pathways in the manosphere. Journal of Gender Studies, 33(5), 596–608. </w:t>
      </w:r>
      <w:hyperlink r:id="rId15" w:history="1">
        <w:r w:rsidRPr="00D73741">
          <w:rPr>
            <w:rStyle w:val="Hyperlink"/>
          </w:rPr>
          <w:t>https://doi.org/10.1080/09589236.2023.2260318</w:t>
        </w:r>
      </w:hyperlink>
    </w:p>
    <w:p w14:paraId="72C65602" w14:textId="77777777" w:rsidR="007B72C9" w:rsidRPr="00D73741" w:rsidRDefault="007B72C9" w:rsidP="006A002E">
      <w:pPr>
        <w:spacing w:line="480" w:lineRule="auto"/>
        <w:jc w:val="both"/>
      </w:pPr>
      <w:r w:rsidRPr="00D73741">
        <w:t xml:space="preserve">Braithwaite, A. (2014). ‘Seriously, get out’: Feminists on the forums and the War(craft) on women. </w:t>
      </w:r>
      <w:r w:rsidRPr="00D73741">
        <w:rPr>
          <w:i/>
          <w:iCs/>
        </w:rPr>
        <w:t>New Media &amp; Society</w:t>
      </w:r>
      <w:r w:rsidRPr="00D73741">
        <w:t xml:space="preserve">, </w:t>
      </w:r>
      <w:r w:rsidRPr="00D73741">
        <w:rPr>
          <w:i/>
          <w:iCs/>
        </w:rPr>
        <w:t>16</w:t>
      </w:r>
      <w:r w:rsidRPr="00D73741">
        <w:t>(5), 703–718. https://doi.org/10.1177/1461444813489503</w:t>
      </w:r>
    </w:p>
    <w:p w14:paraId="3DDE7FD7" w14:textId="77777777" w:rsidR="007B72C9" w:rsidRPr="00D73741" w:rsidRDefault="007B72C9" w:rsidP="008B7B90">
      <w:pPr>
        <w:spacing w:line="480" w:lineRule="auto"/>
        <w:jc w:val="both"/>
      </w:pPr>
      <w:r w:rsidRPr="00D73741">
        <w:t>Bujalka, E., Rich, B., &amp; Bender, S. (2022). The Manosphere as an Online Protection Racket: How the Red Pill Monetizes Male Need for Security in Modern Society. https://doi.org/10.32855/fcapital.202201.001</w:t>
      </w:r>
    </w:p>
    <w:p w14:paraId="1BDB315A" w14:textId="77777777" w:rsidR="007B72C9" w:rsidRPr="00D73741" w:rsidRDefault="007B72C9" w:rsidP="008B7B90">
      <w:pPr>
        <w:spacing w:line="480" w:lineRule="auto"/>
        <w:jc w:val="both"/>
      </w:pPr>
      <w:r w:rsidRPr="00D73741">
        <w:t xml:space="preserve">Campbell, C. (2019) How Fortnite’s success led to months of intense crunch at Epic Games [Online]. Available at </w:t>
      </w:r>
      <w:hyperlink r:id="rId16" w:history="1">
        <w:r w:rsidRPr="00D73741">
          <w:rPr>
            <w:rStyle w:val="Hyperlink"/>
          </w:rPr>
          <w:t>https://www.polygon.com/2019/4/23/18507750/fortnite-work-crunch-epic-games</w:t>
        </w:r>
      </w:hyperlink>
      <w:r w:rsidRPr="00D73741">
        <w:t xml:space="preserve"> (Accessed 26/02/2025).</w:t>
      </w:r>
    </w:p>
    <w:p w14:paraId="4300FFCB" w14:textId="77777777" w:rsidR="007B72C9" w:rsidRPr="00D73741" w:rsidRDefault="007B72C9" w:rsidP="008B7B90">
      <w:pPr>
        <w:spacing w:line="480" w:lineRule="auto"/>
        <w:jc w:val="both"/>
      </w:pPr>
      <w:r w:rsidRPr="00D73741">
        <w:t>Canedo, E. D., Mendes, F., Cerqueira, A., Okimoto, M., Pinto, G., &amp; Bonifacio, R. (2021). Breaking one barrier at a time: how women developers cope in a men-dominated industry. Brazilian Symposium on Software Engineering, 378–387. https://doi.org/10.1145/3474624.3474638</w:t>
      </w:r>
    </w:p>
    <w:p w14:paraId="1861EE22" w14:textId="77777777" w:rsidR="007B72C9" w:rsidRPr="00D73741" w:rsidRDefault="007B72C9" w:rsidP="008B7B90">
      <w:pPr>
        <w:spacing w:line="480" w:lineRule="auto"/>
        <w:jc w:val="both"/>
      </w:pPr>
      <w:r w:rsidRPr="00D73741">
        <w:t>Cannito, M., &amp; Ferrero Camoletto, R. (2022). The Rules of Attraction: An Empirical Critique of Pseudoscientific Theories about Sex in the Manosphere. Sexes, 3(4), 593–607. https://doi.org/10.3390/sexes3040043</w:t>
      </w:r>
    </w:p>
    <w:p w14:paraId="7FF94A97" w14:textId="77777777" w:rsidR="007B72C9" w:rsidRPr="00D73741" w:rsidRDefault="007B72C9" w:rsidP="008B7B90">
      <w:pPr>
        <w:spacing w:line="480" w:lineRule="auto"/>
        <w:jc w:val="both"/>
      </w:pPr>
      <w:r w:rsidRPr="00D73741">
        <w:t>Capelos, T., Salmela, M., Talalakina, A., &amp; Cotena, O. (2024). Ressentiment in the Manosphere: Conceptions of Morality and Avenues for Resistance in the Incel Hatred Pipeline. Philosophies (Basel), 9(2), 36-. https://doi.org/10.3390/philosophies9020036</w:t>
      </w:r>
    </w:p>
    <w:p w14:paraId="19AF848F" w14:textId="77777777" w:rsidR="007B72C9" w:rsidRPr="00D73741" w:rsidRDefault="007B72C9" w:rsidP="008B7B90">
      <w:pPr>
        <w:spacing w:line="480" w:lineRule="auto"/>
        <w:jc w:val="both"/>
      </w:pPr>
      <w:r w:rsidRPr="00D73741">
        <w:t xml:space="preserve">Carter, J. (2024) About 1,600 women received payments from Riot Games after discrimination suit, GameDeveloper.com [Online]. Available at </w:t>
      </w:r>
      <w:hyperlink r:id="rId17" w:history="1">
        <w:r w:rsidRPr="00D73741">
          <w:rPr>
            <w:rStyle w:val="Hyperlink"/>
          </w:rPr>
          <w:t>https://www.gamedeveloper.com/business/about-1-600-women-received-payments-from-riot-games-after-discrimination-suit</w:t>
        </w:r>
      </w:hyperlink>
      <w:r w:rsidRPr="00D73741">
        <w:t xml:space="preserve"> (Accessed 26/02/2025).</w:t>
      </w:r>
    </w:p>
    <w:p w14:paraId="7D7D259B" w14:textId="77777777" w:rsidR="007B72C9" w:rsidRPr="00D73741" w:rsidRDefault="007B72C9" w:rsidP="008B7B90">
      <w:pPr>
        <w:spacing w:line="480" w:lineRule="auto"/>
        <w:jc w:val="both"/>
      </w:pPr>
      <w:r w:rsidRPr="00D73741">
        <w:t>Caterina Peroni, &amp; Lidia Rodak. (2020). Introduction. The fourth wave of feminism: From social networking and self-determination to sisterhood. Oñati Socio-Legal Series, 10(1S). https://doi.org/10.35295/OSLS.IISL/0000-0000-0000-1160</w:t>
      </w:r>
    </w:p>
    <w:p w14:paraId="4518AC56" w14:textId="77777777" w:rsidR="007B72C9" w:rsidRPr="00D73741" w:rsidRDefault="007B72C9" w:rsidP="008B7B90">
      <w:pPr>
        <w:spacing w:line="480" w:lineRule="auto"/>
        <w:jc w:val="both"/>
      </w:pPr>
      <w:r w:rsidRPr="00D73741">
        <w:t>Connell, R. W., &amp; Messerschmidt, J. W. (2005). Hegemonic Masculinity: Rethinking the Concept. Gender &amp; Society, 19(6), 829–859. https://doi.org/10.1177/0891243205278639</w:t>
      </w:r>
    </w:p>
    <w:p w14:paraId="5E9830FD" w14:textId="77777777" w:rsidR="007B72C9" w:rsidRPr="00D73741" w:rsidRDefault="007B72C9" w:rsidP="008B7B90">
      <w:pPr>
        <w:spacing w:line="480" w:lineRule="auto"/>
        <w:jc w:val="both"/>
      </w:pPr>
      <w:r w:rsidRPr="00D73741">
        <w:t>Dafaure, M. (2022). Memes, trolls and the manosphere: mapping the manifold expressions of antifeminism and misogyny online. European Journal of English Studies, 26(2), 236–254. https://doi.org/10.1080/13825577.2022.2091299</w:t>
      </w:r>
    </w:p>
    <w:p w14:paraId="0F9C3A45" w14:textId="77777777" w:rsidR="007B72C9" w:rsidRPr="00D73741" w:rsidRDefault="007B72C9" w:rsidP="008B7B90">
      <w:pPr>
        <w:spacing w:line="480" w:lineRule="auto"/>
        <w:jc w:val="both"/>
      </w:pPr>
      <w:r w:rsidRPr="00D73741">
        <w:t xml:space="preserve">EA, 2024 [Online]. Available at </w:t>
      </w:r>
      <w:hyperlink r:id="rId18" w:anchor="section6" w:history="1">
        <w:r w:rsidRPr="00D73741">
          <w:rPr>
            <w:rStyle w:val="Hyperlink"/>
          </w:rPr>
          <w:t>https://tos.ea.com/legalapp/WEBTERMS/US/en/PC#section6</w:t>
        </w:r>
      </w:hyperlink>
      <w:r w:rsidRPr="00D73741">
        <w:t xml:space="preserve"> (Accessed 29/09/2024).</w:t>
      </w:r>
    </w:p>
    <w:p w14:paraId="7774332B" w14:textId="77777777" w:rsidR="007B72C9" w:rsidRPr="00D73741" w:rsidRDefault="007B72C9" w:rsidP="008B7B90">
      <w:pPr>
        <w:spacing w:line="480" w:lineRule="auto"/>
        <w:jc w:val="both"/>
      </w:pPr>
      <w:r w:rsidRPr="00D73741">
        <w:t>Federici, S. (2004). Caliban and the witch. Autonomedia.</w:t>
      </w:r>
    </w:p>
    <w:p w14:paraId="3FDBEB1D" w14:textId="77777777" w:rsidR="007B72C9" w:rsidRPr="00D73741" w:rsidRDefault="007B72C9" w:rsidP="005926B4">
      <w:pPr>
        <w:spacing w:line="480" w:lineRule="auto"/>
        <w:jc w:val="both"/>
      </w:pPr>
      <w:r w:rsidRPr="00D73741">
        <w:t xml:space="preserve">Fox, J., &amp; Tang, W. Y. (2017). Women’s experiences with general and sexual harassment in online video games: Rumination, organizational responsiveness, withdrawal, and coping strategies. </w:t>
      </w:r>
      <w:r w:rsidRPr="00D73741">
        <w:rPr>
          <w:i/>
          <w:iCs/>
        </w:rPr>
        <w:t>New Media &amp; Society</w:t>
      </w:r>
      <w:r w:rsidRPr="00D73741">
        <w:t xml:space="preserve">, </w:t>
      </w:r>
      <w:r w:rsidRPr="00D73741">
        <w:rPr>
          <w:i/>
          <w:iCs/>
        </w:rPr>
        <w:t>19</w:t>
      </w:r>
      <w:r w:rsidRPr="00D73741">
        <w:t>(8), 1290–1307. https://doi.org/10.1177/1461444816635778</w:t>
      </w:r>
    </w:p>
    <w:p w14:paraId="72D77FFD" w14:textId="77777777" w:rsidR="007B72C9" w:rsidRPr="00D73741" w:rsidRDefault="007B72C9" w:rsidP="008B7B90">
      <w:pPr>
        <w:spacing w:line="480" w:lineRule="auto"/>
        <w:jc w:val="both"/>
      </w:pPr>
      <w:r w:rsidRPr="00D73741">
        <w:t>Games of Empire: Global Capitalism and Video Games (2009) Nick Dyer-Witheford and Greig de Peuter, University of Minnesota Press.</w:t>
      </w:r>
    </w:p>
    <w:p w14:paraId="5055FF8D" w14:textId="77777777" w:rsidR="007B72C9" w:rsidRPr="00D73741" w:rsidRDefault="007B72C9" w:rsidP="008B7B90">
      <w:pPr>
        <w:spacing w:line="480" w:lineRule="auto"/>
        <w:jc w:val="both"/>
      </w:pPr>
      <w:r w:rsidRPr="00D73741">
        <w:t xml:space="preserve">Ging, D. (2019). Alphas, Betas, and Incels: Theorizing the Masculinities of the Manosphere. Men and Masculinities, 22(4), 638–657. </w:t>
      </w:r>
      <w:hyperlink r:id="rId19" w:history="1">
        <w:r w:rsidRPr="00D73741">
          <w:rPr>
            <w:rStyle w:val="Hyperlink"/>
          </w:rPr>
          <w:t>https://doi.org/10.1177/1097184X17706401</w:t>
        </w:r>
      </w:hyperlink>
    </w:p>
    <w:p w14:paraId="0E399AC5" w14:textId="77777777" w:rsidR="007B72C9" w:rsidRPr="00D73741" w:rsidRDefault="007B72C9" w:rsidP="008B7B90">
      <w:pPr>
        <w:spacing w:line="480" w:lineRule="auto"/>
        <w:jc w:val="both"/>
      </w:pPr>
      <w:r w:rsidRPr="00D73741">
        <w:t>Ging, D., Lynn, T., &amp; Rosati, P. (2020). Neologising misogyny: Urban Dictionary’s folksonomies of sexual abuse. New Media &amp; Society, 22(5), 838–856. https://doi.org/10.1177/1461444819870306</w:t>
      </w:r>
    </w:p>
    <w:p w14:paraId="52F3232D" w14:textId="77777777" w:rsidR="007B72C9" w:rsidRPr="00D73741" w:rsidRDefault="007B72C9" w:rsidP="008B7B90">
      <w:pPr>
        <w:spacing w:line="480" w:lineRule="auto"/>
        <w:jc w:val="both"/>
      </w:pPr>
      <w:r w:rsidRPr="00D73741">
        <w:t>Gotell L and Dutton E (2016) Sexual violence in the ‘manosphere’: Antifeminist men’s rights discourses on rape. International Journal for Crime, Justice and Social Democracy 5(2): 65‐80. DOI: 10.5204/ijcjsd.v5i2.310.</w:t>
      </w:r>
    </w:p>
    <w:p w14:paraId="5499443F" w14:textId="77777777" w:rsidR="007B72C9" w:rsidRPr="00D73741" w:rsidRDefault="007B72C9" w:rsidP="008B7B90">
      <w:pPr>
        <w:spacing w:line="480" w:lineRule="auto"/>
        <w:jc w:val="both"/>
      </w:pPr>
      <w:r w:rsidRPr="00D73741">
        <w:t xml:space="preserve">Habib, H., Srinivasan, P., &amp; Nithyanand, R. (2022). Making a Radical Misogynist: How Online Social Engagement with the Manosphere Influences Traits of Radicalization. Proceedings of the ACM on Human-Computer Interaction, 6(CSCW2), 1–28. </w:t>
      </w:r>
      <w:hyperlink r:id="rId20" w:history="1">
        <w:r w:rsidRPr="00D73741">
          <w:rPr>
            <w:rStyle w:val="Hyperlink"/>
          </w:rPr>
          <w:t>https://doi.org/10.1145/3555551</w:t>
        </w:r>
      </w:hyperlink>
    </w:p>
    <w:p w14:paraId="16DC08FE" w14:textId="77777777" w:rsidR="007B72C9" w:rsidRPr="00D73741" w:rsidRDefault="007B72C9" w:rsidP="008B7B90">
      <w:pPr>
        <w:spacing w:line="480" w:lineRule="auto"/>
        <w:jc w:val="both"/>
      </w:pPr>
      <w:r w:rsidRPr="00D73741">
        <w:t>Han, X., &amp; Yin, C. (2023). Mapping the manosphere. Categorization of reactionary masculinity discourses in digital environment. Feminist Media Studies, 23(5), 1923–1940. https://doi.org/10.1080/14680777.2021.1998185</w:t>
      </w:r>
    </w:p>
    <w:p w14:paraId="1251C587" w14:textId="77777777" w:rsidR="007B72C9" w:rsidRPr="00D73741" w:rsidRDefault="007B72C9" w:rsidP="008B7B90">
      <w:pPr>
        <w:spacing w:line="480" w:lineRule="auto"/>
        <w:jc w:val="both"/>
      </w:pPr>
      <w:r w:rsidRPr="00D73741">
        <w:t>Haslop, C., Ringrose, J., Cambazoglu, I., &amp; Milne, B. (2024). Mainstreaming the Manosphere’s Misogyny Through Affective Homosocial Currencies: Exploring How Teen Boys Navigate the Andrew Tate Effect. Social Media + Society, 10(1). https://doi.org/10.1177/20563051241228811</w:t>
      </w:r>
    </w:p>
    <w:p w14:paraId="661389EF" w14:textId="77777777" w:rsidR="007B72C9" w:rsidRPr="00D73741" w:rsidRDefault="007B72C9" w:rsidP="008B7B90">
      <w:pPr>
        <w:spacing w:line="480" w:lineRule="auto"/>
        <w:jc w:val="both"/>
      </w:pPr>
      <w:r w:rsidRPr="00D73741">
        <w:t>Hopton, K., &amp; Langer, S. (2022). “Kick the XX out of your life”: An analysis of the manosphere’s discursive constructions of gender on Twitter. Feminism &amp; Psychology, 32(1), 3–22. https://doi.org/10.1177/09593535211033461</w:t>
      </w:r>
    </w:p>
    <w:p w14:paraId="169F7104" w14:textId="77777777" w:rsidR="007B72C9" w:rsidRPr="00D73741" w:rsidRDefault="007B72C9" w:rsidP="008B7B90">
      <w:pPr>
        <w:spacing w:line="480" w:lineRule="auto"/>
        <w:jc w:val="both"/>
      </w:pPr>
      <w:r w:rsidRPr="00D73741">
        <w:t>James, R. (2024). Take the Red Pill, Blame Feminism: Victimization Narratives Across the Manosphere. Men and Masculinities. https://doi.org/10.1177/1097184X241266209</w:t>
      </w:r>
    </w:p>
    <w:p w14:paraId="7DBF5C19" w14:textId="77777777" w:rsidR="007B72C9" w:rsidRPr="00D73741" w:rsidRDefault="007B72C9" w:rsidP="000A12DB">
      <w:pPr>
        <w:spacing w:line="480" w:lineRule="auto"/>
        <w:jc w:val="both"/>
      </w:pPr>
      <w:r w:rsidRPr="00D73741">
        <w:t xml:space="preserve">Jane, E. A. (2016). Online misogyny and feminist digilantism. </w:t>
      </w:r>
      <w:r w:rsidRPr="00D73741">
        <w:rPr>
          <w:i/>
          <w:iCs/>
        </w:rPr>
        <w:t>Continuum (Mount Lawley, W.A.)</w:t>
      </w:r>
      <w:r w:rsidRPr="00D73741">
        <w:t xml:space="preserve">, </w:t>
      </w:r>
      <w:r w:rsidRPr="00D73741">
        <w:rPr>
          <w:i/>
          <w:iCs/>
        </w:rPr>
        <w:t>30</w:t>
      </w:r>
      <w:r w:rsidRPr="00D73741">
        <w:t>(3), 284–297. https://doi.org/10.1080/10304312.2016.1166560</w:t>
      </w:r>
    </w:p>
    <w:p w14:paraId="313D2D62" w14:textId="77777777" w:rsidR="007B72C9" w:rsidRPr="00D73741" w:rsidRDefault="007B72C9" w:rsidP="008B7B90">
      <w:pPr>
        <w:spacing w:line="480" w:lineRule="auto"/>
        <w:jc w:val="both"/>
      </w:pPr>
      <w:r w:rsidRPr="00D73741">
        <w:t>Jane, E. A. (2017). ‘Dude … stop the spread’: antagonism, agonism, and #manspreading on social media. International Journal of Cultural Studies, 20(5), 459–475. https://doi.org/10.1177/1367877916637151</w:t>
      </w:r>
    </w:p>
    <w:p w14:paraId="1302DDA6" w14:textId="77777777" w:rsidR="007B72C9" w:rsidRPr="00D73741" w:rsidRDefault="007B72C9" w:rsidP="008B7B90">
      <w:pPr>
        <w:spacing w:line="480" w:lineRule="auto"/>
        <w:jc w:val="both"/>
      </w:pPr>
      <w:r w:rsidRPr="00D73741">
        <w:t>Jones, C., Trott, V., &amp; Wright, S. (2020). Sluts and soyboys: MGTOW and the production of misogynistic online harassment. New Media &amp; Society, 22(10), 1903–1921. https://doi.org/10.1177/1461444819887141</w:t>
      </w:r>
    </w:p>
    <w:p w14:paraId="6FFDE2FF" w14:textId="77777777" w:rsidR="007B72C9" w:rsidRPr="00D73741" w:rsidRDefault="007B72C9" w:rsidP="008B7B90">
      <w:pPr>
        <w:spacing w:line="480" w:lineRule="auto"/>
        <w:jc w:val="both"/>
      </w:pPr>
      <w:r w:rsidRPr="00D73741">
        <w:t>Joseph, D. (2021). Battle pass capitalism. Journal of Consumer Culture, 21(1), 68–83. https://doi.org/10.1177/1469540521993930</w:t>
      </w:r>
    </w:p>
    <w:p w14:paraId="79FA4B97" w14:textId="77777777" w:rsidR="007B72C9" w:rsidRPr="00D73741" w:rsidRDefault="007B72C9" w:rsidP="008B7B90">
      <w:pPr>
        <w:spacing w:line="480" w:lineRule="auto"/>
        <w:jc w:val="both"/>
      </w:pPr>
      <w:r w:rsidRPr="00D73741">
        <w:t>Kou, Y. (2021). Punishment and Its Discontents: An Analysis of Permanent Ban in an Online Game Community. Proceedings of the ACM on Human-Computer Interaction, 5(CSCW2), 1–21. https://doi.org/10.1145/3476075</w:t>
      </w:r>
    </w:p>
    <w:p w14:paraId="1232E2E8" w14:textId="77777777" w:rsidR="007B72C9" w:rsidRPr="00D73741" w:rsidRDefault="007B72C9" w:rsidP="008B7B90">
      <w:pPr>
        <w:spacing w:line="480" w:lineRule="auto"/>
        <w:jc w:val="both"/>
      </w:pPr>
      <w:r w:rsidRPr="00D73741">
        <w:t>Kurasawa, F., Rondinelli, E., &amp; Kilicaslan, G. (2021). Evidentiary activism in the digital age: on the rise of feminist struggles against gender-based online violence. Information, Communication &amp; Society, 24(14), 2174–2194. https://doi.org/10.1080/1369118X.2021.1962945</w:t>
      </w:r>
    </w:p>
    <w:p w14:paraId="4537AC48" w14:textId="77777777" w:rsidR="007B72C9" w:rsidRPr="00D73741" w:rsidRDefault="007B72C9" w:rsidP="008B7B90">
      <w:pPr>
        <w:spacing w:line="480" w:lineRule="auto"/>
        <w:jc w:val="both"/>
      </w:pPr>
      <w:r w:rsidRPr="00D73741">
        <w:t xml:space="preserve">Lindsay A (2022) Swallowing the black pill: Involuntary celibates’ (Incels) anti-feminism within digital society. International Journal for Crime, Justice and Social Democracy. 11(1): 210-224. </w:t>
      </w:r>
      <w:hyperlink r:id="rId21" w:history="1">
        <w:r w:rsidRPr="00D73741">
          <w:rPr>
            <w:rStyle w:val="Hyperlink"/>
          </w:rPr>
          <w:t>https://doi.org/10.5204/ijcjsd.2138</w:t>
        </w:r>
      </w:hyperlink>
    </w:p>
    <w:p w14:paraId="03D9235F" w14:textId="77777777" w:rsidR="007B72C9" w:rsidRPr="00D73741" w:rsidRDefault="007B72C9" w:rsidP="008B7B90">
      <w:pPr>
        <w:spacing w:line="480" w:lineRule="auto"/>
        <w:jc w:val="both"/>
      </w:pPr>
      <w:r w:rsidRPr="00D73741">
        <w:t>Manoel Horta Ribeiro, Blackburn, J., Bradlyn, B., De Cristofaro, E., Stringhini, G., Long, S., Greenberg, S., &amp; Zannettou, S. (2021). The Evolution of the Manosphere Across the Web. arXiv.Org. https://doi.org/10.48550/arxiv.2001.07600</w:t>
      </w:r>
    </w:p>
    <w:p w14:paraId="3C2EA57D" w14:textId="77777777" w:rsidR="007B72C9" w:rsidRPr="00D73741" w:rsidRDefault="007B72C9" w:rsidP="008B7B90">
      <w:pPr>
        <w:spacing w:line="480" w:lineRule="auto"/>
        <w:jc w:val="both"/>
      </w:pPr>
      <w:r w:rsidRPr="00D73741">
        <w:t>Marcus Maloney, Callum Jones, &amp; Steven Roberts. (2024). “I Can Choose to be a Good Man Even if I Got a Raw Deal”: Neoliberal Heteromasculinity as Manosphere Counter Narrative in r/Stoicism. Social Media + Society, 10. https://doi.org/10.1177/20563051241274677</w:t>
      </w:r>
    </w:p>
    <w:p w14:paraId="648F8C2B" w14:textId="77777777" w:rsidR="007B72C9" w:rsidRPr="00D73741" w:rsidRDefault="007B72C9" w:rsidP="006B7553">
      <w:pPr>
        <w:spacing w:line="480" w:lineRule="auto"/>
        <w:jc w:val="both"/>
      </w:pPr>
      <w:r w:rsidRPr="00D73741">
        <w:t xml:space="preserve">Marwick, A. E., &amp; Caplan, R. (2018). Drinking male tears: language, the manosphere, and networked harassment. </w:t>
      </w:r>
      <w:r w:rsidRPr="00D73741">
        <w:rPr>
          <w:i/>
          <w:iCs/>
        </w:rPr>
        <w:t>Feminist Media Studies</w:t>
      </w:r>
      <w:r w:rsidRPr="00D73741">
        <w:t xml:space="preserve">, </w:t>
      </w:r>
      <w:r w:rsidRPr="00D73741">
        <w:rPr>
          <w:i/>
          <w:iCs/>
        </w:rPr>
        <w:t>18</w:t>
      </w:r>
      <w:r w:rsidRPr="00D73741">
        <w:t>(4), 543–559. https://doi.org/10.1080/14680777.2018.1450568</w:t>
      </w:r>
    </w:p>
    <w:p w14:paraId="72012CB4" w14:textId="77777777" w:rsidR="007B72C9" w:rsidRPr="00D73741" w:rsidRDefault="007B72C9" w:rsidP="008B7B90">
      <w:pPr>
        <w:spacing w:line="480" w:lineRule="auto"/>
        <w:jc w:val="both"/>
      </w:pPr>
      <w:r w:rsidRPr="00D73741">
        <w:t>Meier, M. L., &amp; Sharp, K. (2024). Death to Chad and Stacy: Incels and anti-fandom as group identity. International Journal of Cultural Studies, 27(3), 349–367. https://doi.org/10.1177/13678779231220056</w:t>
      </w:r>
    </w:p>
    <w:p w14:paraId="321CE27D" w14:textId="77777777" w:rsidR="007B72C9" w:rsidRPr="00D73741" w:rsidRDefault="007B72C9" w:rsidP="008B7B90">
      <w:pPr>
        <w:spacing w:line="480" w:lineRule="auto"/>
        <w:jc w:val="both"/>
      </w:pPr>
      <w:r w:rsidRPr="00D73741">
        <w:t>Mendes, K., Ringrose, J., &amp; Keller, J. (2018). MeToo and the promise and pitfalls of challenging rape culture through digital feminist activism. The European Journal of Women’s Studies, 25(2), 236–246. https://doi.org/10.1177/1350506818765318</w:t>
      </w:r>
    </w:p>
    <w:p w14:paraId="19299ADF" w14:textId="77777777" w:rsidR="007B72C9" w:rsidRPr="00D73741" w:rsidRDefault="007B72C9" w:rsidP="008B7B90">
      <w:pPr>
        <w:spacing w:line="480" w:lineRule="auto"/>
        <w:jc w:val="both"/>
      </w:pPr>
      <w:r w:rsidRPr="00D73741">
        <w:t>Menzie, L. (2022). Stacys, Beckys, and Chads: the construction of femininity and hegemonic masculinity within incel rhetoric. Psychology and Sexuality, 13(1), 69–85. https://doi.org/10.1080/19419899.2020.1806915</w:t>
      </w:r>
    </w:p>
    <w:p w14:paraId="6C271F19" w14:textId="77777777" w:rsidR="007B72C9" w:rsidRPr="00D73741" w:rsidRDefault="007B72C9" w:rsidP="008B7B90">
      <w:pPr>
        <w:spacing w:line="480" w:lineRule="auto"/>
        <w:jc w:val="both"/>
      </w:pPr>
      <w:r w:rsidRPr="00D73741">
        <w:t>More, R. (2024). Storying ableism: proposing a feminist intersectional approach to linking theory and digital activism. Feminist Theory, 25(3), 322–337. https://doi.org/10.1177/14647001231173242</w:t>
      </w:r>
    </w:p>
    <w:p w14:paraId="33E0E3DD" w14:textId="77777777" w:rsidR="007B72C9" w:rsidRPr="00D73741" w:rsidRDefault="007B72C9" w:rsidP="00562988">
      <w:pPr>
        <w:spacing w:line="480" w:lineRule="auto"/>
        <w:jc w:val="both"/>
      </w:pPr>
      <w:r w:rsidRPr="00D73741">
        <w:t xml:space="preserve">Mortensen, T. E. (2018). Anger, Fear, and Games: The Long Event of #GamerGate. </w:t>
      </w:r>
      <w:r w:rsidRPr="00D73741">
        <w:rPr>
          <w:i/>
          <w:iCs/>
        </w:rPr>
        <w:t>Games and Culture</w:t>
      </w:r>
      <w:r w:rsidRPr="00D73741">
        <w:t xml:space="preserve">, </w:t>
      </w:r>
      <w:r w:rsidRPr="00D73741">
        <w:rPr>
          <w:i/>
          <w:iCs/>
        </w:rPr>
        <w:t>13</w:t>
      </w:r>
      <w:r w:rsidRPr="00D73741">
        <w:t>(8), 787–806. https://doi.org/10.1177/1555412016640408</w:t>
      </w:r>
    </w:p>
    <w:p w14:paraId="559270C6" w14:textId="77777777" w:rsidR="007B72C9" w:rsidRPr="00D73741" w:rsidRDefault="007B72C9" w:rsidP="008B7B90">
      <w:pPr>
        <w:spacing w:line="480" w:lineRule="auto"/>
        <w:jc w:val="both"/>
      </w:pPr>
      <w:r w:rsidRPr="00D73741">
        <w:t>Mulvey, L. (1989). Visual Pleasure and Narrative Cinema. In: Visual and Other Pleasures. Language, Discourse, Society. Palgrave Macmillan, London. https://doi.org/10.1007/978-1-349-19798-9_3</w:t>
      </w:r>
    </w:p>
    <w:p w14:paraId="6DFD2D73" w14:textId="77777777" w:rsidR="007B72C9" w:rsidRPr="00D73741" w:rsidRDefault="007B72C9" w:rsidP="008B7B90">
      <w:pPr>
        <w:spacing w:line="480" w:lineRule="auto"/>
        <w:jc w:val="both"/>
      </w:pPr>
      <w:r w:rsidRPr="00D73741">
        <w:t>Nicolla, S. (2023). Has feminism “gone too far?” A mixed-methods exploration of perceptions of digital feminist activism. Feminist Media Studies, 1–20. https://doi.org/10.1080/14680777.2023.2285712</w:t>
      </w:r>
    </w:p>
    <w:p w14:paraId="24C58698" w14:textId="77777777" w:rsidR="007B72C9" w:rsidRPr="00D73741" w:rsidRDefault="007B72C9" w:rsidP="008B7B90">
      <w:pPr>
        <w:spacing w:line="480" w:lineRule="auto"/>
        <w:jc w:val="both"/>
      </w:pPr>
      <w:r w:rsidRPr="00D73741">
        <w:t xml:space="preserve">Ringrose, J., &amp; Lawrence, E. (2018). Remixing misandry, manspreading, and dick pics: networked feminist humour on Tumblr. Feminist Media Studies, 18(4), 686–704. </w:t>
      </w:r>
      <w:hyperlink r:id="rId22" w:history="1">
        <w:r w:rsidRPr="00D73741">
          <w:rPr>
            <w:rStyle w:val="Hyperlink"/>
          </w:rPr>
          <w:t>https://doi.org/10.1080/14680777.2018.1450351</w:t>
        </w:r>
      </w:hyperlink>
    </w:p>
    <w:p w14:paraId="48C94BC3" w14:textId="77777777" w:rsidR="007B72C9" w:rsidRPr="00D73741" w:rsidRDefault="007B72C9" w:rsidP="008B7B90">
      <w:pPr>
        <w:spacing w:line="480" w:lineRule="auto"/>
        <w:jc w:val="both"/>
      </w:pPr>
      <w:r w:rsidRPr="00D73741">
        <w:t>Scharff, C. (2024). Feminist activists discuss practices of monetisation: Digital feminist activism, neoliberalism and subjectivity. European Journal of Cultural Studies, 27(3), 408–423. https://doi.org/10.1177/13675494231188224</w:t>
      </w:r>
    </w:p>
    <w:p w14:paraId="6D6C49CF" w14:textId="77777777" w:rsidR="007B72C9" w:rsidRPr="00D73741" w:rsidRDefault="007B72C9" w:rsidP="008B7B90">
      <w:pPr>
        <w:spacing w:line="480" w:lineRule="auto"/>
        <w:jc w:val="both"/>
      </w:pPr>
      <w:r w:rsidRPr="00D73741">
        <w:t>Schoettler, M. (2023). “Make your feed work for you”: Tactics of feminist affective resistance on social media. Computers and Composition, 67, 102762-. https://doi.org/10.1016/j.compcom.2023.102762</w:t>
      </w:r>
    </w:p>
    <w:p w14:paraId="6E587F76" w14:textId="77777777" w:rsidR="007B72C9" w:rsidRPr="00D73741" w:rsidRDefault="007B72C9" w:rsidP="008B7B90">
      <w:pPr>
        <w:spacing w:line="480" w:lineRule="auto"/>
        <w:jc w:val="both"/>
      </w:pPr>
      <w:r w:rsidRPr="00D73741">
        <w:t>Scotto di Carlo, G. (2023). An analysis of self-other representations in the incelosphere: Between online misogyny and self-contempt. Discourse &amp; Society, 34(1), 3–21. https://doi.org/10.1177/09579265221099380</w:t>
      </w:r>
    </w:p>
    <w:p w14:paraId="541EB60C" w14:textId="77777777" w:rsidR="007B72C9" w:rsidRPr="00D73741" w:rsidRDefault="007B72C9" w:rsidP="008B7B90">
      <w:pPr>
        <w:spacing w:line="480" w:lineRule="auto"/>
        <w:jc w:val="both"/>
      </w:pPr>
      <w:r w:rsidRPr="00D73741">
        <w:t>Sian Tomkinson, Tauel Harper &amp; Katie Attwell (2020) Confronting Incel: exploring possible policy responses to misogynistic violent extremism, Australian Journal of Political Science, 55:2, 152-169, DOI: 10.1080/10361146.2020.1747393</w:t>
      </w:r>
    </w:p>
    <w:p w14:paraId="393ABEA8" w14:textId="77777777" w:rsidR="007B72C9" w:rsidRPr="00D73741" w:rsidRDefault="007B72C9" w:rsidP="008B7B90">
      <w:pPr>
        <w:spacing w:line="480" w:lineRule="auto"/>
        <w:jc w:val="both"/>
      </w:pPr>
      <w:r w:rsidRPr="00D73741">
        <w:t>Simon Copland. (2023). Weak Men and the Feminisation of Society: Locating the Ideological Glue between the Manosphere and the Far-Right. In Global Perspectives on Anti-Feminism (pp. 116-). Edinburgh University Press.</w:t>
      </w:r>
    </w:p>
    <w:p w14:paraId="1DB0F3C6" w14:textId="77777777" w:rsidR="007B72C9" w:rsidRPr="00D73741" w:rsidRDefault="007B72C9" w:rsidP="008B7B90">
      <w:pPr>
        <w:spacing w:line="480" w:lineRule="auto"/>
        <w:jc w:val="both"/>
      </w:pPr>
      <w:r w:rsidRPr="00D73741">
        <w:t xml:space="preserve">Smith, D. S., Butler-Warke, A., &amp; Stevens, G. (2024). “Even though I’m not an incel, I’m still an involuntary celibate”: A journey in and out of inceldom. The Communication Review (Yverdon, Switzerland), 1–25. </w:t>
      </w:r>
      <w:hyperlink r:id="rId23" w:history="1">
        <w:r w:rsidRPr="00D73741">
          <w:rPr>
            <w:rStyle w:val="Hyperlink"/>
          </w:rPr>
          <w:t>https://doi.org/10.1080/10714421.2024.2383814</w:t>
        </w:r>
      </w:hyperlink>
    </w:p>
    <w:p w14:paraId="2884A402" w14:textId="77777777" w:rsidR="007B72C9" w:rsidRPr="00D73741" w:rsidRDefault="007B72C9" w:rsidP="008B7B90">
      <w:pPr>
        <w:spacing w:line="480" w:lineRule="auto"/>
        <w:jc w:val="both"/>
      </w:pPr>
      <w:r w:rsidRPr="00D73741">
        <w:t>Sobieraj, S. (2018). Bitch, slut, skank, cunt: patterned resistance to women’s visibility in digital publics. Information, Communication &amp; Society, 21(11), 1700–1714. https://doi.org/10.1080/1369118X.2017.1348535</w:t>
      </w:r>
    </w:p>
    <w:p w14:paraId="0394B998" w14:textId="77777777" w:rsidR="007B72C9" w:rsidRPr="00D73741" w:rsidRDefault="007B72C9" w:rsidP="008B7B90">
      <w:pPr>
        <w:spacing w:line="480" w:lineRule="auto"/>
        <w:jc w:val="both"/>
      </w:pPr>
      <w:r w:rsidRPr="00D73741">
        <w:t>Sobieraj, S. (2020). Credible threat : attacks against women online and the future of democracy. Oxford University Press.</w:t>
      </w:r>
    </w:p>
    <w:p w14:paraId="7BA0C007" w14:textId="77777777" w:rsidR="007B72C9" w:rsidRPr="00D73741" w:rsidRDefault="007B72C9" w:rsidP="008B7B90">
      <w:pPr>
        <w:spacing w:line="480" w:lineRule="auto"/>
        <w:jc w:val="both"/>
      </w:pPr>
      <w:r w:rsidRPr="00D73741">
        <w:t xml:space="preserve">Statista (2024) [Online]. Available at </w:t>
      </w:r>
      <w:hyperlink r:id="rId24" w:anchor="topicOverview" w:history="1">
        <w:r w:rsidRPr="00D73741">
          <w:rPr>
            <w:rStyle w:val="Hyperlink"/>
          </w:rPr>
          <w:t>https://www.statista.com/topics/1680/gaming/#topicOverview</w:t>
        </w:r>
      </w:hyperlink>
      <w:r w:rsidRPr="00D73741">
        <w:t xml:space="preserve"> (Accessed 29/09/2024).</w:t>
      </w:r>
    </w:p>
    <w:p w14:paraId="60F3B524" w14:textId="77777777" w:rsidR="007B72C9" w:rsidRPr="00D73741" w:rsidRDefault="007B72C9" w:rsidP="008B7B90">
      <w:pPr>
        <w:spacing w:line="480" w:lineRule="auto"/>
        <w:jc w:val="both"/>
      </w:pPr>
      <w:r w:rsidRPr="00D73741">
        <w:t>Suárez Estrada, M. (2023). Traversing bodies and territories: feminist activism against digital violence. Feminist Media Studies, 1–15. https://doi.org/10.1080/14680777.2023.2285713</w:t>
      </w:r>
    </w:p>
    <w:p w14:paraId="007915CD" w14:textId="77777777" w:rsidR="007B72C9" w:rsidRPr="00D73741" w:rsidRDefault="007B72C9" w:rsidP="008B7B90">
      <w:pPr>
        <w:spacing w:line="480" w:lineRule="auto"/>
        <w:jc w:val="both"/>
      </w:pPr>
      <w:r w:rsidRPr="00D73741">
        <w:t>Sundén, J., &amp; Paasonen, S. (2018). Shameless hags and tolerance whores: feminist resistance and the affective circuits of online hate. Feminist Media Studies, 18(4), 643–656. https://doi.org/10.1080/14680777.2018.1447427</w:t>
      </w:r>
    </w:p>
    <w:p w14:paraId="40460648" w14:textId="77777777" w:rsidR="007B72C9" w:rsidRPr="00D73741" w:rsidRDefault="007B72C9" w:rsidP="008B7B90">
      <w:pPr>
        <w:spacing w:line="480" w:lineRule="auto"/>
        <w:jc w:val="both"/>
      </w:pPr>
      <w:r w:rsidRPr="00D73741">
        <w:t xml:space="preserve">Thorburn, J. (2023). Exiting the Manosphere. A Gendered Analysis of Radicalization, Diversion and Deradicalization Narratives from r/IncelExit and r/ExRedPill. Studies in Conflict and Terrorism, 1–25. </w:t>
      </w:r>
      <w:hyperlink r:id="rId25" w:history="1">
        <w:r w:rsidRPr="00D73741">
          <w:rPr>
            <w:rStyle w:val="Hyperlink"/>
          </w:rPr>
          <w:t>https://doi.org/10.1080/1057610X.2023.2244192</w:t>
        </w:r>
      </w:hyperlink>
    </w:p>
    <w:p w14:paraId="596BC376" w14:textId="77777777" w:rsidR="007B72C9" w:rsidRPr="00D73741" w:rsidRDefault="007B72C9" w:rsidP="006971F0">
      <w:pPr>
        <w:spacing w:line="480" w:lineRule="auto"/>
        <w:jc w:val="both"/>
      </w:pPr>
      <w:r w:rsidRPr="00D73741">
        <w:t xml:space="preserve">Tompkins, J. E., &amp; Martins, N. (2022). Masculine Pleasures as Normalized Practices: Character Design in the Video Game Industry. </w:t>
      </w:r>
      <w:r w:rsidRPr="00D73741">
        <w:rPr>
          <w:i/>
          <w:iCs/>
        </w:rPr>
        <w:t>Games and Culture</w:t>
      </w:r>
      <w:r w:rsidRPr="00D73741">
        <w:t xml:space="preserve">, </w:t>
      </w:r>
      <w:r w:rsidRPr="00D73741">
        <w:rPr>
          <w:i/>
          <w:iCs/>
        </w:rPr>
        <w:t>17</w:t>
      </w:r>
      <w:r w:rsidRPr="00D73741">
        <w:t>(3), 399–420. https://doi.org/10.1177/15554120211034760</w:t>
      </w:r>
    </w:p>
    <w:p w14:paraId="163659DD" w14:textId="77777777" w:rsidR="007B72C9" w:rsidRPr="00D73741" w:rsidRDefault="007B72C9" w:rsidP="008B7B90">
      <w:pPr>
        <w:spacing w:line="480" w:lineRule="auto"/>
        <w:jc w:val="both"/>
      </w:pPr>
      <w:r w:rsidRPr="00D73741">
        <w:t xml:space="preserve">Vallerga, M., &amp; Zurbriggen, E. L. (2022). Hegemonic masculinities in the ‘Manosphere’: A thematic analysis of beliefs about men and women on The Red Pill and Incel. Analyses of Social Issues and Public Policy, 22(2), 602–625. </w:t>
      </w:r>
      <w:hyperlink r:id="rId26" w:history="1">
        <w:r w:rsidRPr="00D73741">
          <w:rPr>
            <w:rStyle w:val="Hyperlink"/>
          </w:rPr>
          <w:t>https://doi.org/10.1111/asap.12308</w:t>
        </w:r>
      </w:hyperlink>
    </w:p>
    <w:p w14:paraId="3E223E83" w14:textId="77777777" w:rsidR="007B72C9" w:rsidRPr="00D73741" w:rsidRDefault="007B72C9" w:rsidP="001E46A8">
      <w:pPr>
        <w:spacing w:line="480" w:lineRule="auto"/>
        <w:jc w:val="both"/>
      </w:pPr>
      <w:r w:rsidRPr="00D73741">
        <w:t xml:space="preserve">Vallerga, M., &amp; Zurbriggen, E. L. (2022). Hegemonic masculinities in the ‘Manosphere’: A thematic analysis of beliefs about men and women on The Red Pill and Incel. </w:t>
      </w:r>
      <w:r w:rsidRPr="00D73741">
        <w:rPr>
          <w:i/>
          <w:iCs/>
        </w:rPr>
        <w:t>Analyses of Social Issues and Public Policy</w:t>
      </w:r>
      <w:r w:rsidRPr="00D73741">
        <w:t xml:space="preserve">, </w:t>
      </w:r>
      <w:r w:rsidRPr="00D73741">
        <w:rPr>
          <w:i/>
          <w:iCs/>
        </w:rPr>
        <w:t>22</w:t>
      </w:r>
      <w:r w:rsidRPr="00D73741">
        <w:t>(2), 602–625. https://doi.org/10.1111/asap.12308</w:t>
      </w:r>
    </w:p>
    <w:p w14:paraId="42C50F84" w14:textId="77777777" w:rsidR="007B72C9" w:rsidRPr="00D73741" w:rsidRDefault="007B72C9" w:rsidP="008B7B90">
      <w:pPr>
        <w:spacing w:line="480" w:lineRule="auto"/>
        <w:jc w:val="both"/>
      </w:pPr>
      <w:r w:rsidRPr="00D73741">
        <w:t>Van Valkenburgh, S. P. (2019). “She Thinks of Him as a Machine”: On the Entanglements of Neoliberal Ideology and Misogynist Cybercrime. Social Media + Society, 5(3), 205630511987295-. https://doi.org/10.1177/2056305119872953</w:t>
      </w:r>
    </w:p>
    <w:p w14:paraId="1CF11252" w14:textId="77777777" w:rsidR="007B72C9" w:rsidRPr="00D73741" w:rsidRDefault="007B72C9" w:rsidP="008318E4">
      <w:pPr>
        <w:spacing w:line="480" w:lineRule="auto"/>
        <w:jc w:val="both"/>
      </w:pPr>
      <w:r w:rsidRPr="00D73741">
        <w:t xml:space="preserve">Wilson, F. (2003). Can compute, won’t compute: women’s participation in the culture of computing. </w:t>
      </w:r>
      <w:r w:rsidRPr="00D73741">
        <w:rPr>
          <w:i/>
          <w:iCs/>
        </w:rPr>
        <w:t>New Technology, Work, and Employment</w:t>
      </w:r>
      <w:r w:rsidRPr="00D73741">
        <w:t xml:space="preserve">, </w:t>
      </w:r>
      <w:r w:rsidRPr="00D73741">
        <w:rPr>
          <w:i/>
          <w:iCs/>
        </w:rPr>
        <w:t>18</w:t>
      </w:r>
      <w:r w:rsidRPr="00D73741">
        <w:t xml:space="preserve">(2), 127–142. </w:t>
      </w:r>
      <w:hyperlink r:id="rId27" w:history="1">
        <w:r w:rsidRPr="00D73741">
          <w:rPr>
            <w:rStyle w:val="Hyperlink"/>
          </w:rPr>
          <w:t>https://doi.org/10.1111/1468-005X.00115</w:t>
        </w:r>
      </w:hyperlink>
    </w:p>
    <w:p w14:paraId="6758A5AF" w14:textId="77777777" w:rsidR="007B72C9" w:rsidRPr="00D73741" w:rsidRDefault="007B72C9" w:rsidP="008B7B90">
      <w:pPr>
        <w:spacing w:line="480" w:lineRule="auto"/>
        <w:jc w:val="both"/>
      </w:pPr>
      <w:r w:rsidRPr="00D73741">
        <w:t xml:space="preserve">Women in Games (2024) [Online]. Available at </w:t>
      </w:r>
      <w:hyperlink r:id="rId28" w:history="1">
        <w:r w:rsidRPr="00D73741">
          <w:rPr>
            <w:rStyle w:val="Hyperlink"/>
          </w:rPr>
          <w:t>https://www.womeningames.org/over-half-of-women-gamers-experience-online-abuse-new-research/</w:t>
        </w:r>
      </w:hyperlink>
      <w:r w:rsidRPr="00D73741">
        <w:t xml:space="preserve"> (Accessed 29/09/2024).</w:t>
      </w:r>
    </w:p>
    <w:p w14:paraId="4ED918DE" w14:textId="77777777" w:rsidR="007B72C9" w:rsidRPr="00D73741" w:rsidRDefault="007B72C9" w:rsidP="008B7B90">
      <w:pPr>
        <w:spacing w:line="480" w:lineRule="auto"/>
        <w:jc w:val="both"/>
      </w:pPr>
      <w:r w:rsidRPr="00D73741">
        <w:t xml:space="preserve">Wood, A. (2023) Riot Games Will Compensate 1,548 Women For Gender Discrimination, IGN.com [Online]. Available at </w:t>
      </w:r>
      <w:hyperlink r:id="rId29" w:history="1">
        <w:r w:rsidRPr="00D73741">
          <w:rPr>
            <w:rStyle w:val="Hyperlink"/>
          </w:rPr>
          <w:t>https://www.ign.com/articles/riot-games-will-compensate-1548-women-for-gender-discrimination</w:t>
        </w:r>
      </w:hyperlink>
      <w:r w:rsidRPr="00D73741">
        <w:t xml:space="preserve"> (Accessed 26/02/2025).</w:t>
      </w:r>
    </w:p>
    <w:p w14:paraId="799BE4DF" w14:textId="77777777" w:rsidR="007B72C9" w:rsidRPr="00D73741" w:rsidRDefault="007B72C9" w:rsidP="008B7B90">
      <w:pPr>
        <w:spacing w:line="480" w:lineRule="auto"/>
        <w:jc w:val="both"/>
      </w:pPr>
      <w:r w:rsidRPr="00D73741">
        <w:t>Woodcock, Jamie (2019). Marx at the Arcade: Consoles, Controllers, and Class Struggle. Haymarket Books</w:t>
      </w:r>
    </w:p>
    <w:p w14:paraId="6CA83240" w14:textId="77777777" w:rsidR="007B72C9" w:rsidRPr="00D73741" w:rsidRDefault="007B72C9" w:rsidP="008B7B90">
      <w:pPr>
        <w:spacing w:line="480" w:lineRule="auto"/>
        <w:jc w:val="both"/>
      </w:pPr>
      <w:r w:rsidRPr="00D73741">
        <w:t xml:space="preserve">X-Box, 2024 [Online] Available at </w:t>
      </w:r>
      <w:hyperlink r:id="rId30" w:history="1">
        <w:r w:rsidRPr="00D73741">
          <w:rPr>
            <w:rStyle w:val="Hyperlink"/>
          </w:rPr>
          <w:t>https://support.xbox.com/en-GB/help/family-online-safety/enforcement/protecting-players-from-harassment</w:t>
        </w:r>
      </w:hyperlink>
      <w:r w:rsidRPr="00D73741">
        <w:t xml:space="preserve"> (Accessed 29/09/2024).</w:t>
      </w:r>
    </w:p>
    <w:p w14:paraId="0B9CA92E" w14:textId="77777777" w:rsidR="007B72C9" w:rsidRPr="005961CA" w:rsidRDefault="007B72C9" w:rsidP="008B7B90">
      <w:pPr>
        <w:spacing w:line="480" w:lineRule="auto"/>
        <w:jc w:val="both"/>
      </w:pPr>
      <w:r w:rsidRPr="00D73741">
        <w:t>Zimmerman, S. (2024). The Ideology of Incels: Misogyny and Victimhood as Justification for Political Violence. Terrorism and Political Violence, 36(2), 166–179. https://doi.org/10.1080/09546553.2022.2129014</w:t>
      </w:r>
    </w:p>
    <w:p w14:paraId="100C5B58" w14:textId="0B7E2126" w:rsidR="00C26D16" w:rsidRPr="005961CA" w:rsidRDefault="00C26D16" w:rsidP="008B7B90">
      <w:pPr>
        <w:spacing w:line="480" w:lineRule="auto"/>
        <w:jc w:val="both"/>
      </w:pPr>
    </w:p>
    <w:sectPr w:rsidR="00C26D16" w:rsidRPr="005961CA">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0EFB07" w14:textId="77777777" w:rsidR="00B01CB3" w:rsidRDefault="00B01CB3">
      <w:r>
        <w:separator/>
      </w:r>
    </w:p>
  </w:endnote>
  <w:endnote w:type="continuationSeparator" w:id="0">
    <w:p w14:paraId="1BD37A85" w14:textId="77777777" w:rsidR="00B01CB3" w:rsidRDefault="00B01C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Helvetica Neue LT Std">
    <w:altName w:val="Arial"/>
    <w:panose1 w:val="00000000000000000000"/>
    <w:charset w:val="00"/>
    <w:family w:val="swiss"/>
    <w:notTrueType/>
    <w:pitch w:val="default"/>
    <w:sig w:usb0="00000003" w:usb1="00000000" w:usb2="00000000" w:usb3="00000000" w:csb0="00000001" w:csb1="00000000"/>
  </w:font>
  <w:font w:name="Kozuka Gothic Pro B">
    <w:altName w:val="Calibri"/>
    <w:panose1 w:val="00000000000000000000"/>
    <w:charset w:val="00"/>
    <w:family w:val="swiss"/>
    <w:notTrueType/>
    <w:pitch w:val="default"/>
    <w:sig w:usb0="00000003" w:usb1="00000000" w:usb2="00000000" w:usb3="00000000" w:csb0="00000001" w:csb1="00000000"/>
  </w:font>
  <w:font w:name="Kozuka Gothic Pro M">
    <w:altName w:val="Calibri"/>
    <w:panose1 w:val="00000000000000000000"/>
    <w:charset w:val="00"/>
    <w:family w:val="swiss"/>
    <w:notTrueType/>
    <w:pitch w:val="default"/>
    <w:sig w:usb0="00000003" w:usb1="00000000" w:usb2="00000000" w:usb3="00000000" w:csb0="00000001"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928121" w14:textId="77777777" w:rsidR="006C4A4D" w:rsidRDefault="006C4A4D"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D34F5C7" w14:textId="77777777" w:rsidR="006C4A4D" w:rsidRDefault="006C4A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1396503"/>
      <w:docPartObj>
        <w:docPartGallery w:val="Page Numbers (Bottom of Page)"/>
        <w:docPartUnique/>
      </w:docPartObj>
    </w:sdtPr>
    <w:sdtEndPr/>
    <w:sdtContent>
      <w:p w14:paraId="66538EA2" w14:textId="4972234B" w:rsidR="005C04A3" w:rsidRDefault="005C04A3">
        <w:pPr>
          <w:pStyle w:val="Footer"/>
          <w:jc w:val="right"/>
        </w:pPr>
        <w:r>
          <w:fldChar w:fldCharType="begin"/>
        </w:r>
        <w:r>
          <w:instrText>PAGE   \* MERGEFORMAT</w:instrText>
        </w:r>
        <w:r>
          <w:fldChar w:fldCharType="separate"/>
        </w:r>
        <w:r>
          <w:t>2</w:t>
        </w:r>
        <w:r>
          <w:fldChar w:fldCharType="end"/>
        </w:r>
      </w:p>
    </w:sdtContent>
  </w:sdt>
  <w:p w14:paraId="34B3F2EB" w14:textId="77777777" w:rsidR="006C4A4D" w:rsidRDefault="006C4A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53B44B" w14:textId="77777777" w:rsidR="00B01CB3" w:rsidRDefault="00B01CB3">
      <w:r>
        <w:separator/>
      </w:r>
    </w:p>
  </w:footnote>
  <w:footnote w:type="continuationSeparator" w:id="0">
    <w:p w14:paraId="592CDD46" w14:textId="77777777" w:rsidR="00B01CB3" w:rsidRDefault="00B01C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93815" w14:textId="236103E9" w:rsidR="00A44F2A" w:rsidRDefault="005C04A3">
    <w:pPr>
      <w:pStyle w:val="Header"/>
    </w:pPr>
    <w:r>
      <w:t>ECED7002Q</w:t>
    </w:r>
    <w:r w:rsidR="00A44F2A">
      <w:ptab w:relativeTo="margin" w:alignment="center" w:leader="none"/>
    </w:r>
    <w:r w:rsidR="00F1010D">
      <w:t>Dissertation</w:t>
    </w:r>
    <w:r w:rsidR="00A44F2A">
      <w:ptab w:relativeTo="margin" w:alignment="right" w:leader="none"/>
    </w:r>
    <w:r w:rsidR="00F1010D">
      <w:t>2</w:t>
    </w:r>
    <w:r w:rsidR="000543A8">
      <w:t>1</w:t>
    </w:r>
    <w:r w:rsidR="00F1010D">
      <w:t>08399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51D4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7294FBC"/>
    <w:multiLevelType w:val="hybridMultilevel"/>
    <w:tmpl w:val="8BBE97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F30558"/>
    <w:multiLevelType w:val="hybridMultilevel"/>
    <w:tmpl w:val="433A7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E4CC6"/>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19050E8E"/>
    <w:multiLevelType w:val="hybridMultilevel"/>
    <w:tmpl w:val="2BFA8E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1F773E25"/>
    <w:multiLevelType w:val="hybridMultilevel"/>
    <w:tmpl w:val="A16091F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DE05A7"/>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15:restartNumberingAfterBreak="0">
    <w:nsid w:val="28822DCF"/>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C3F2FD1"/>
    <w:multiLevelType w:val="multilevel"/>
    <w:tmpl w:val="1FA6A3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D351284"/>
    <w:multiLevelType w:val="hybridMultilevel"/>
    <w:tmpl w:val="EA6CB01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1D14FB0"/>
    <w:multiLevelType w:val="hybridMultilevel"/>
    <w:tmpl w:val="98BCF3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49C74F0"/>
    <w:multiLevelType w:val="hybridMultilevel"/>
    <w:tmpl w:val="E2E2B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4D01E4F"/>
    <w:multiLevelType w:val="hybridMultilevel"/>
    <w:tmpl w:val="C61E1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7B033C5"/>
    <w:multiLevelType w:val="hybridMultilevel"/>
    <w:tmpl w:val="76FE9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F6002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31018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ABF60FA"/>
    <w:multiLevelType w:val="hybridMultilevel"/>
    <w:tmpl w:val="4B265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870660"/>
    <w:multiLevelType w:val="hybridMultilevel"/>
    <w:tmpl w:val="9EE66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F9958EB"/>
    <w:multiLevelType w:val="hybridMultilevel"/>
    <w:tmpl w:val="DDBAB5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899825244">
    <w:abstractNumId w:val="15"/>
  </w:num>
  <w:num w:numId="2" w16cid:durableId="1905413844">
    <w:abstractNumId w:val="5"/>
  </w:num>
  <w:num w:numId="3" w16cid:durableId="1516924712">
    <w:abstractNumId w:val="13"/>
  </w:num>
  <w:num w:numId="4" w16cid:durableId="552697121">
    <w:abstractNumId w:val="19"/>
  </w:num>
  <w:num w:numId="5" w16cid:durableId="784345881">
    <w:abstractNumId w:val="12"/>
  </w:num>
  <w:num w:numId="6" w16cid:durableId="254630349">
    <w:abstractNumId w:val="9"/>
  </w:num>
  <w:num w:numId="7" w16cid:durableId="1222520508">
    <w:abstractNumId w:val="18"/>
  </w:num>
  <w:num w:numId="8" w16cid:durableId="592857527">
    <w:abstractNumId w:val="17"/>
  </w:num>
  <w:num w:numId="9" w16cid:durableId="1184899014">
    <w:abstractNumId w:val="8"/>
  </w:num>
  <w:num w:numId="10" w16cid:durableId="938946098">
    <w:abstractNumId w:val="7"/>
  </w:num>
  <w:num w:numId="11" w16cid:durableId="1909731416">
    <w:abstractNumId w:val="3"/>
  </w:num>
  <w:num w:numId="12" w16cid:durableId="1579906158">
    <w:abstractNumId w:val="14"/>
  </w:num>
  <w:num w:numId="13" w16cid:durableId="1729105023">
    <w:abstractNumId w:val="10"/>
  </w:num>
  <w:num w:numId="14" w16cid:durableId="530648923">
    <w:abstractNumId w:val="6"/>
  </w:num>
  <w:num w:numId="15" w16cid:durableId="1042822965">
    <w:abstractNumId w:val="20"/>
  </w:num>
  <w:num w:numId="16" w16cid:durableId="991642718">
    <w:abstractNumId w:val="1"/>
  </w:num>
  <w:num w:numId="17" w16cid:durableId="497309983">
    <w:abstractNumId w:val="4"/>
  </w:num>
  <w:num w:numId="18" w16cid:durableId="1209993873">
    <w:abstractNumId w:val="11"/>
  </w:num>
  <w:num w:numId="19" w16cid:durableId="671759859">
    <w:abstractNumId w:val="16"/>
  </w:num>
  <w:num w:numId="20" w16cid:durableId="416438900">
    <w:abstractNumId w:val="0"/>
  </w:num>
  <w:num w:numId="21" w16cid:durableId="5676124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7A6"/>
    <w:rsid w:val="00003E03"/>
    <w:rsid w:val="0000522C"/>
    <w:rsid w:val="00005F26"/>
    <w:rsid w:val="0000701A"/>
    <w:rsid w:val="00007277"/>
    <w:rsid w:val="00007CF9"/>
    <w:rsid w:val="00007F54"/>
    <w:rsid w:val="00012FE7"/>
    <w:rsid w:val="00015249"/>
    <w:rsid w:val="000178A0"/>
    <w:rsid w:val="00026F5F"/>
    <w:rsid w:val="000278A7"/>
    <w:rsid w:val="00032BA5"/>
    <w:rsid w:val="000339E3"/>
    <w:rsid w:val="00033CD4"/>
    <w:rsid w:val="00041991"/>
    <w:rsid w:val="00042E52"/>
    <w:rsid w:val="000451C2"/>
    <w:rsid w:val="00045BB8"/>
    <w:rsid w:val="000461FD"/>
    <w:rsid w:val="00047368"/>
    <w:rsid w:val="000473FC"/>
    <w:rsid w:val="000501B5"/>
    <w:rsid w:val="000543A8"/>
    <w:rsid w:val="00057D2D"/>
    <w:rsid w:val="00060EB0"/>
    <w:rsid w:val="000658C5"/>
    <w:rsid w:val="0006611B"/>
    <w:rsid w:val="00067DE7"/>
    <w:rsid w:val="0007118D"/>
    <w:rsid w:val="00071C8C"/>
    <w:rsid w:val="000730DC"/>
    <w:rsid w:val="00074451"/>
    <w:rsid w:val="0007496B"/>
    <w:rsid w:val="00080651"/>
    <w:rsid w:val="00083173"/>
    <w:rsid w:val="00084306"/>
    <w:rsid w:val="0009234C"/>
    <w:rsid w:val="00094555"/>
    <w:rsid w:val="00094BC3"/>
    <w:rsid w:val="000968BC"/>
    <w:rsid w:val="000A09E2"/>
    <w:rsid w:val="000A09FF"/>
    <w:rsid w:val="000A12DB"/>
    <w:rsid w:val="000A1F7C"/>
    <w:rsid w:val="000A725B"/>
    <w:rsid w:val="000B1192"/>
    <w:rsid w:val="000C2DB9"/>
    <w:rsid w:val="000D683C"/>
    <w:rsid w:val="000D697A"/>
    <w:rsid w:val="000D697E"/>
    <w:rsid w:val="000D75B4"/>
    <w:rsid w:val="000E214B"/>
    <w:rsid w:val="000E3A7F"/>
    <w:rsid w:val="000E45AC"/>
    <w:rsid w:val="000E75F5"/>
    <w:rsid w:val="000F2FA7"/>
    <w:rsid w:val="000F4413"/>
    <w:rsid w:val="0010077C"/>
    <w:rsid w:val="001042CB"/>
    <w:rsid w:val="00104C04"/>
    <w:rsid w:val="00111D16"/>
    <w:rsid w:val="00111D6F"/>
    <w:rsid w:val="00112FEC"/>
    <w:rsid w:val="0011348A"/>
    <w:rsid w:val="00115A75"/>
    <w:rsid w:val="0011740D"/>
    <w:rsid w:val="00117414"/>
    <w:rsid w:val="00117786"/>
    <w:rsid w:val="00120225"/>
    <w:rsid w:val="00123254"/>
    <w:rsid w:val="001247EE"/>
    <w:rsid w:val="00125A7F"/>
    <w:rsid w:val="001300C6"/>
    <w:rsid w:val="0013083A"/>
    <w:rsid w:val="00133246"/>
    <w:rsid w:val="00134C1D"/>
    <w:rsid w:val="001361EE"/>
    <w:rsid w:val="00136A52"/>
    <w:rsid w:val="0014385B"/>
    <w:rsid w:val="0014538C"/>
    <w:rsid w:val="001468F8"/>
    <w:rsid w:val="0014719A"/>
    <w:rsid w:val="00151692"/>
    <w:rsid w:val="00157F4C"/>
    <w:rsid w:val="00163A20"/>
    <w:rsid w:val="00170307"/>
    <w:rsid w:val="00173877"/>
    <w:rsid w:val="001743B6"/>
    <w:rsid w:val="001743BA"/>
    <w:rsid w:val="001870C1"/>
    <w:rsid w:val="00190187"/>
    <w:rsid w:val="00197564"/>
    <w:rsid w:val="001A006A"/>
    <w:rsid w:val="001A1A75"/>
    <w:rsid w:val="001A240D"/>
    <w:rsid w:val="001A5A85"/>
    <w:rsid w:val="001A5AB7"/>
    <w:rsid w:val="001B19F7"/>
    <w:rsid w:val="001B2A30"/>
    <w:rsid w:val="001B48A8"/>
    <w:rsid w:val="001B4BF8"/>
    <w:rsid w:val="001B4D02"/>
    <w:rsid w:val="001C119F"/>
    <w:rsid w:val="001C249E"/>
    <w:rsid w:val="001C49A5"/>
    <w:rsid w:val="001D0AC6"/>
    <w:rsid w:val="001D56A5"/>
    <w:rsid w:val="001D6436"/>
    <w:rsid w:val="001D65C8"/>
    <w:rsid w:val="001D6611"/>
    <w:rsid w:val="001E293E"/>
    <w:rsid w:val="001E46A8"/>
    <w:rsid w:val="001E7530"/>
    <w:rsid w:val="002041C5"/>
    <w:rsid w:val="002047F4"/>
    <w:rsid w:val="00205291"/>
    <w:rsid w:val="00213F51"/>
    <w:rsid w:val="00217385"/>
    <w:rsid w:val="002225E6"/>
    <w:rsid w:val="002258E6"/>
    <w:rsid w:val="00227D33"/>
    <w:rsid w:val="00231868"/>
    <w:rsid w:val="00237CD0"/>
    <w:rsid w:val="002418A7"/>
    <w:rsid w:val="00243984"/>
    <w:rsid w:val="00246786"/>
    <w:rsid w:val="00252332"/>
    <w:rsid w:val="00254DAA"/>
    <w:rsid w:val="00260D2B"/>
    <w:rsid w:val="00263D93"/>
    <w:rsid w:val="002650A6"/>
    <w:rsid w:val="00272317"/>
    <w:rsid w:val="00272C89"/>
    <w:rsid w:val="002750B1"/>
    <w:rsid w:val="00277E7B"/>
    <w:rsid w:val="00277E95"/>
    <w:rsid w:val="00280A07"/>
    <w:rsid w:val="0028308D"/>
    <w:rsid w:val="0028348F"/>
    <w:rsid w:val="0029646D"/>
    <w:rsid w:val="00297CC2"/>
    <w:rsid w:val="002A1879"/>
    <w:rsid w:val="002A5000"/>
    <w:rsid w:val="002B0FD6"/>
    <w:rsid w:val="002B2C07"/>
    <w:rsid w:val="002B4A45"/>
    <w:rsid w:val="002B581F"/>
    <w:rsid w:val="002B7846"/>
    <w:rsid w:val="002C065C"/>
    <w:rsid w:val="002C2781"/>
    <w:rsid w:val="002D08E0"/>
    <w:rsid w:val="002D12C6"/>
    <w:rsid w:val="002E179B"/>
    <w:rsid w:val="002E6303"/>
    <w:rsid w:val="002E6FE7"/>
    <w:rsid w:val="002F179A"/>
    <w:rsid w:val="002F1C76"/>
    <w:rsid w:val="002F1CEE"/>
    <w:rsid w:val="002F5A42"/>
    <w:rsid w:val="00302444"/>
    <w:rsid w:val="003029A1"/>
    <w:rsid w:val="00305F37"/>
    <w:rsid w:val="00311996"/>
    <w:rsid w:val="0031240E"/>
    <w:rsid w:val="00314927"/>
    <w:rsid w:val="00314CE6"/>
    <w:rsid w:val="003160E1"/>
    <w:rsid w:val="00320609"/>
    <w:rsid w:val="00320B99"/>
    <w:rsid w:val="00327C48"/>
    <w:rsid w:val="00333BAD"/>
    <w:rsid w:val="00334F5E"/>
    <w:rsid w:val="003366DD"/>
    <w:rsid w:val="00336DCA"/>
    <w:rsid w:val="003402AD"/>
    <w:rsid w:val="00341E9B"/>
    <w:rsid w:val="003422D4"/>
    <w:rsid w:val="003434F6"/>
    <w:rsid w:val="0034644F"/>
    <w:rsid w:val="0034788B"/>
    <w:rsid w:val="003479DF"/>
    <w:rsid w:val="00347F3B"/>
    <w:rsid w:val="00351711"/>
    <w:rsid w:val="00352558"/>
    <w:rsid w:val="00352FA1"/>
    <w:rsid w:val="0035661E"/>
    <w:rsid w:val="00360CAF"/>
    <w:rsid w:val="00362DC6"/>
    <w:rsid w:val="00364A2B"/>
    <w:rsid w:val="00371807"/>
    <w:rsid w:val="003739F1"/>
    <w:rsid w:val="00383384"/>
    <w:rsid w:val="00385178"/>
    <w:rsid w:val="00387745"/>
    <w:rsid w:val="00387858"/>
    <w:rsid w:val="00390CC5"/>
    <w:rsid w:val="00396F71"/>
    <w:rsid w:val="003A686E"/>
    <w:rsid w:val="003A722B"/>
    <w:rsid w:val="003B052C"/>
    <w:rsid w:val="003B3925"/>
    <w:rsid w:val="003B407C"/>
    <w:rsid w:val="003B5452"/>
    <w:rsid w:val="003B55C1"/>
    <w:rsid w:val="003B5EBB"/>
    <w:rsid w:val="003B6219"/>
    <w:rsid w:val="003C130A"/>
    <w:rsid w:val="003C25FC"/>
    <w:rsid w:val="003D322F"/>
    <w:rsid w:val="003D3B35"/>
    <w:rsid w:val="003D67B5"/>
    <w:rsid w:val="003D6AF1"/>
    <w:rsid w:val="003D6F23"/>
    <w:rsid w:val="003D76CF"/>
    <w:rsid w:val="003E60AC"/>
    <w:rsid w:val="003E75DE"/>
    <w:rsid w:val="003F0EF9"/>
    <w:rsid w:val="003F21D1"/>
    <w:rsid w:val="003F2C0F"/>
    <w:rsid w:val="003F2EFE"/>
    <w:rsid w:val="004001DE"/>
    <w:rsid w:val="00401875"/>
    <w:rsid w:val="0040396D"/>
    <w:rsid w:val="00411BC5"/>
    <w:rsid w:val="0041500F"/>
    <w:rsid w:val="00416561"/>
    <w:rsid w:val="00421F44"/>
    <w:rsid w:val="004236B5"/>
    <w:rsid w:val="00430B4A"/>
    <w:rsid w:val="00430E85"/>
    <w:rsid w:val="0043136C"/>
    <w:rsid w:val="004317A6"/>
    <w:rsid w:val="00432EA1"/>
    <w:rsid w:val="00433182"/>
    <w:rsid w:val="0044226F"/>
    <w:rsid w:val="00443EF0"/>
    <w:rsid w:val="004442FC"/>
    <w:rsid w:val="00447D84"/>
    <w:rsid w:val="00450A6F"/>
    <w:rsid w:val="0045206E"/>
    <w:rsid w:val="00452254"/>
    <w:rsid w:val="00453F88"/>
    <w:rsid w:val="00454C24"/>
    <w:rsid w:val="00454E19"/>
    <w:rsid w:val="0045676A"/>
    <w:rsid w:val="00456B52"/>
    <w:rsid w:val="00460633"/>
    <w:rsid w:val="00470427"/>
    <w:rsid w:val="00470F94"/>
    <w:rsid w:val="00481382"/>
    <w:rsid w:val="00484755"/>
    <w:rsid w:val="00485194"/>
    <w:rsid w:val="00485312"/>
    <w:rsid w:val="00491E4F"/>
    <w:rsid w:val="00495216"/>
    <w:rsid w:val="0049567D"/>
    <w:rsid w:val="004A0208"/>
    <w:rsid w:val="004A0DA0"/>
    <w:rsid w:val="004A2E9F"/>
    <w:rsid w:val="004A2EEB"/>
    <w:rsid w:val="004A7F7C"/>
    <w:rsid w:val="004B22CD"/>
    <w:rsid w:val="004B28C1"/>
    <w:rsid w:val="004B3208"/>
    <w:rsid w:val="004B60AE"/>
    <w:rsid w:val="004B6295"/>
    <w:rsid w:val="004B7DF1"/>
    <w:rsid w:val="004C08AF"/>
    <w:rsid w:val="004C25E2"/>
    <w:rsid w:val="004C626B"/>
    <w:rsid w:val="004C6A7C"/>
    <w:rsid w:val="004C7086"/>
    <w:rsid w:val="004C7686"/>
    <w:rsid w:val="004D094A"/>
    <w:rsid w:val="004D7AB7"/>
    <w:rsid w:val="004E140D"/>
    <w:rsid w:val="004E19CB"/>
    <w:rsid w:val="004E4A2C"/>
    <w:rsid w:val="004E5CAC"/>
    <w:rsid w:val="004F6065"/>
    <w:rsid w:val="004F6972"/>
    <w:rsid w:val="004F7FBF"/>
    <w:rsid w:val="00502896"/>
    <w:rsid w:val="005036C0"/>
    <w:rsid w:val="00521881"/>
    <w:rsid w:val="00522694"/>
    <w:rsid w:val="00522B19"/>
    <w:rsid w:val="00522FC2"/>
    <w:rsid w:val="00523D70"/>
    <w:rsid w:val="00524E09"/>
    <w:rsid w:val="00525CDA"/>
    <w:rsid w:val="00525F2F"/>
    <w:rsid w:val="0053005B"/>
    <w:rsid w:val="00530886"/>
    <w:rsid w:val="005311A4"/>
    <w:rsid w:val="0053436A"/>
    <w:rsid w:val="00535D08"/>
    <w:rsid w:val="005363E4"/>
    <w:rsid w:val="005401F1"/>
    <w:rsid w:val="00540556"/>
    <w:rsid w:val="00542D23"/>
    <w:rsid w:val="00543A97"/>
    <w:rsid w:val="00544E01"/>
    <w:rsid w:val="005534FF"/>
    <w:rsid w:val="005563AE"/>
    <w:rsid w:val="00562988"/>
    <w:rsid w:val="0056423B"/>
    <w:rsid w:val="00564F94"/>
    <w:rsid w:val="0056519D"/>
    <w:rsid w:val="00570158"/>
    <w:rsid w:val="00582E7E"/>
    <w:rsid w:val="00583672"/>
    <w:rsid w:val="00583E59"/>
    <w:rsid w:val="0058479D"/>
    <w:rsid w:val="00584DD9"/>
    <w:rsid w:val="00590755"/>
    <w:rsid w:val="0059085C"/>
    <w:rsid w:val="00590D93"/>
    <w:rsid w:val="00592587"/>
    <w:rsid w:val="005926B4"/>
    <w:rsid w:val="0059366E"/>
    <w:rsid w:val="0059498C"/>
    <w:rsid w:val="005961CA"/>
    <w:rsid w:val="00596A24"/>
    <w:rsid w:val="00597270"/>
    <w:rsid w:val="005A0FA2"/>
    <w:rsid w:val="005A214D"/>
    <w:rsid w:val="005A3343"/>
    <w:rsid w:val="005B553D"/>
    <w:rsid w:val="005B609B"/>
    <w:rsid w:val="005C04A3"/>
    <w:rsid w:val="005C6BBB"/>
    <w:rsid w:val="005C7AF4"/>
    <w:rsid w:val="005D36F6"/>
    <w:rsid w:val="005D5E13"/>
    <w:rsid w:val="005E060A"/>
    <w:rsid w:val="005E328A"/>
    <w:rsid w:val="005E4EAE"/>
    <w:rsid w:val="005E5735"/>
    <w:rsid w:val="005E5F00"/>
    <w:rsid w:val="005E6C4A"/>
    <w:rsid w:val="005F0579"/>
    <w:rsid w:val="0060288D"/>
    <w:rsid w:val="00603FAF"/>
    <w:rsid w:val="006048DA"/>
    <w:rsid w:val="00607510"/>
    <w:rsid w:val="00625616"/>
    <w:rsid w:val="00634623"/>
    <w:rsid w:val="0064511D"/>
    <w:rsid w:val="006519E2"/>
    <w:rsid w:val="00655E75"/>
    <w:rsid w:val="00656651"/>
    <w:rsid w:val="00665775"/>
    <w:rsid w:val="006717BF"/>
    <w:rsid w:val="006719EF"/>
    <w:rsid w:val="006730FA"/>
    <w:rsid w:val="006815AF"/>
    <w:rsid w:val="00681FA1"/>
    <w:rsid w:val="0068377B"/>
    <w:rsid w:val="00683DD3"/>
    <w:rsid w:val="00685B23"/>
    <w:rsid w:val="006922F9"/>
    <w:rsid w:val="006957B0"/>
    <w:rsid w:val="00696CE0"/>
    <w:rsid w:val="006971F0"/>
    <w:rsid w:val="006A002E"/>
    <w:rsid w:val="006B1B48"/>
    <w:rsid w:val="006B7553"/>
    <w:rsid w:val="006B76E1"/>
    <w:rsid w:val="006B78AF"/>
    <w:rsid w:val="006C4A4D"/>
    <w:rsid w:val="006C53E3"/>
    <w:rsid w:val="006D5BF3"/>
    <w:rsid w:val="006D6B99"/>
    <w:rsid w:val="006E1A56"/>
    <w:rsid w:val="006E492B"/>
    <w:rsid w:val="006E4BE6"/>
    <w:rsid w:val="006F0FCC"/>
    <w:rsid w:val="006F180F"/>
    <w:rsid w:val="006F1D11"/>
    <w:rsid w:val="006F5953"/>
    <w:rsid w:val="00700CA4"/>
    <w:rsid w:val="00700D92"/>
    <w:rsid w:val="00701513"/>
    <w:rsid w:val="0070217A"/>
    <w:rsid w:val="007036F7"/>
    <w:rsid w:val="007269DD"/>
    <w:rsid w:val="00727404"/>
    <w:rsid w:val="00731D62"/>
    <w:rsid w:val="007324BE"/>
    <w:rsid w:val="007329A7"/>
    <w:rsid w:val="00733D9C"/>
    <w:rsid w:val="00736C0C"/>
    <w:rsid w:val="00736E44"/>
    <w:rsid w:val="00737424"/>
    <w:rsid w:val="0074264D"/>
    <w:rsid w:val="007457C2"/>
    <w:rsid w:val="00745956"/>
    <w:rsid w:val="00750553"/>
    <w:rsid w:val="00752BDB"/>
    <w:rsid w:val="00754A9F"/>
    <w:rsid w:val="00754ACA"/>
    <w:rsid w:val="00754D14"/>
    <w:rsid w:val="00760203"/>
    <w:rsid w:val="00763690"/>
    <w:rsid w:val="00776B1F"/>
    <w:rsid w:val="00777D94"/>
    <w:rsid w:val="0078013A"/>
    <w:rsid w:val="0078186E"/>
    <w:rsid w:val="007831DE"/>
    <w:rsid w:val="00792160"/>
    <w:rsid w:val="00793FD0"/>
    <w:rsid w:val="007958C6"/>
    <w:rsid w:val="007962E6"/>
    <w:rsid w:val="00797BD0"/>
    <w:rsid w:val="007A1DCC"/>
    <w:rsid w:val="007A5FC4"/>
    <w:rsid w:val="007A79A3"/>
    <w:rsid w:val="007B0B05"/>
    <w:rsid w:val="007B1CFE"/>
    <w:rsid w:val="007B2C71"/>
    <w:rsid w:val="007B6AD6"/>
    <w:rsid w:val="007B72C9"/>
    <w:rsid w:val="007C2123"/>
    <w:rsid w:val="007C4155"/>
    <w:rsid w:val="007D298A"/>
    <w:rsid w:val="007D36EA"/>
    <w:rsid w:val="007D440B"/>
    <w:rsid w:val="007D474D"/>
    <w:rsid w:val="007D49F8"/>
    <w:rsid w:val="007D5D00"/>
    <w:rsid w:val="007D5D8F"/>
    <w:rsid w:val="007D6E4B"/>
    <w:rsid w:val="007D6E4C"/>
    <w:rsid w:val="007E0CB9"/>
    <w:rsid w:val="007E4284"/>
    <w:rsid w:val="007E4A47"/>
    <w:rsid w:val="007E744B"/>
    <w:rsid w:val="007F0E35"/>
    <w:rsid w:val="007F4C2E"/>
    <w:rsid w:val="007F5698"/>
    <w:rsid w:val="007F687D"/>
    <w:rsid w:val="00800D09"/>
    <w:rsid w:val="00800EA3"/>
    <w:rsid w:val="00800EC0"/>
    <w:rsid w:val="00806D2B"/>
    <w:rsid w:val="00814EC6"/>
    <w:rsid w:val="008318E4"/>
    <w:rsid w:val="0083215B"/>
    <w:rsid w:val="00833C4D"/>
    <w:rsid w:val="00836C9B"/>
    <w:rsid w:val="00840E8F"/>
    <w:rsid w:val="008452AF"/>
    <w:rsid w:val="008500D8"/>
    <w:rsid w:val="00851F86"/>
    <w:rsid w:val="00852DCB"/>
    <w:rsid w:val="0085455E"/>
    <w:rsid w:val="008578D3"/>
    <w:rsid w:val="00862F4A"/>
    <w:rsid w:val="00863033"/>
    <w:rsid w:val="0086664B"/>
    <w:rsid w:val="00870AAE"/>
    <w:rsid w:val="008713DD"/>
    <w:rsid w:val="0087519B"/>
    <w:rsid w:val="00876BA7"/>
    <w:rsid w:val="008812AD"/>
    <w:rsid w:val="008822B1"/>
    <w:rsid w:val="00884A15"/>
    <w:rsid w:val="0088647D"/>
    <w:rsid w:val="00895E35"/>
    <w:rsid w:val="008978D1"/>
    <w:rsid w:val="008A1D3C"/>
    <w:rsid w:val="008A3C2E"/>
    <w:rsid w:val="008A495D"/>
    <w:rsid w:val="008A582A"/>
    <w:rsid w:val="008B48E3"/>
    <w:rsid w:val="008B7B90"/>
    <w:rsid w:val="008B7D91"/>
    <w:rsid w:val="008C0E70"/>
    <w:rsid w:val="008C30FF"/>
    <w:rsid w:val="008C3109"/>
    <w:rsid w:val="008C3788"/>
    <w:rsid w:val="008C3A3B"/>
    <w:rsid w:val="008C5B8F"/>
    <w:rsid w:val="008D5EB5"/>
    <w:rsid w:val="008D6DF0"/>
    <w:rsid w:val="008E29A8"/>
    <w:rsid w:val="008E2A8B"/>
    <w:rsid w:val="008E45BC"/>
    <w:rsid w:val="008E674D"/>
    <w:rsid w:val="008E6DB3"/>
    <w:rsid w:val="008F05B6"/>
    <w:rsid w:val="008F27D2"/>
    <w:rsid w:val="008F4173"/>
    <w:rsid w:val="008F765D"/>
    <w:rsid w:val="00900741"/>
    <w:rsid w:val="00901008"/>
    <w:rsid w:val="00917A24"/>
    <w:rsid w:val="00920117"/>
    <w:rsid w:val="0092064C"/>
    <w:rsid w:val="00921BFF"/>
    <w:rsid w:val="00924AF6"/>
    <w:rsid w:val="00926042"/>
    <w:rsid w:val="00926622"/>
    <w:rsid w:val="00926E8B"/>
    <w:rsid w:val="0093358D"/>
    <w:rsid w:val="00933EB1"/>
    <w:rsid w:val="00934E97"/>
    <w:rsid w:val="00943116"/>
    <w:rsid w:val="00944451"/>
    <w:rsid w:val="00951620"/>
    <w:rsid w:val="0095418C"/>
    <w:rsid w:val="00957EF4"/>
    <w:rsid w:val="00960639"/>
    <w:rsid w:val="00961292"/>
    <w:rsid w:val="00961470"/>
    <w:rsid w:val="0096196B"/>
    <w:rsid w:val="009638EF"/>
    <w:rsid w:val="00964136"/>
    <w:rsid w:val="0096670D"/>
    <w:rsid w:val="00966DD7"/>
    <w:rsid w:val="00973DA0"/>
    <w:rsid w:val="009740B6"/>
    <w:rsid w:val="009831FB"/>
    <w:rsid w:val="00985E8C"/>
    <w:rsid w:val="0098637A"/>
    <w:rsid w:val="00986677"/>
    <w:rsid w:val="00987CA8"/>
    <w:rsid w:val="0099670E"/>
    <w:rsid w:val="009974BC"/>
    <w:rsid w:val="009A425D"/>
    <w:rsid w:val="009A579A"/>
    <w:rsid w:val="009B03F3"/>
    <w:rsid w:val="009B45BD"/>
    <w:rsid w:val="009B6015"/>
    <w:rsid w:val="009B6F53"/>
    <w:rsid w:val="009C0C80"/>
    <w:rsid w:val="009C2D42"/>
    <w:rsid w:val="009D25CE"/>
    <w:rsid w:val="009D5B38"/>
    <w:rsid w:val="009D649A"/>
    <w:rsid w:val="009D7798"/>
    <w:rsid w:val="009E2465"/>
    <w:rsid w:val="009E30A0"/>
    <w:rsid w:val="009F2960"/>
    <w:rsid w:val="009F3986"/>
    <w:rsid w:val="009F48A3"/>
    <w:rsid w:val="009F5834"/>
    <w:rsid w:val="009F63B0"/>
    <w:rsid w:val="00A01AA8"/>
    <w:rsid w:val="00A05271"/>
    <w:rsid w:val="00A067BA"/>
    <w:rsid w:val="00A10E54"/>
    <w:rsid w:val="00A119DF"/>
    <w:rsid w:val="00A13C1F"/>
    <w:rsid w:val="00A1571F"/>
    <w:rsid w:val="00A16ACB"/>
    <w:rsid w:val="00A16D95"/>
    <w:rsid w:val="00A16DB8"/>
    <w:rsid w:val="00A25710"/>
    <w:rsid w:val="00A31EDC"/>
    <w:rsid w:val="00A351D0"/>
    <w:rsid w:val="00A37455"/>
    <w:rsid w:val="00A37EAF"/>
    <w:rsid w:val="00A41387"/>
    <w:rsid w:val="00A416A8"/>
    <w:rsid w:val="00A44073"/>
    <w:rsid w:val="00A44802"/>
    <w:rsid w:val="00A44906"/>
    <w:rsid w:val="00A44F2A"/>
    <w:rsid w:val="00A51383"/>
    <w:rsid w:val="00A51965"/>
    <w:rsid w:val="00A5222F"/>
    <w:rsid w:val="00A55674"/>
    <w:rsid w:val="00A614F7"/>
    <w:rsid w:val="00A630E0"/>
    <w:rsid w:val="00A642F1"/>
    <w:rsid w:val="00A647F2"/>
    <w:rsid w:val="00A658F7"/>
    <w:rsid w:val="00A65DC0"/>
    <w:rsid w:val="00A66B48"/>
    <w:rsid w:val="00A725BE"/>
    <w:rsid w:val="00A74A7B"/>
    <w:rsid w:val="00A84B12"/>
    <w:rsid w:val="00A90E90"/>
    <w:rsid w:val="00A9360F"/>
    <w:rsid w:val="00A94F01"/>
    <w:rsid w:val="00A95177"/>
    <w:rsid w:val="00A967BF"/>
    <w:rsid w:val="00AA53DA"/>
    <w:rsid w:val="00AA5BBF"/>
    <w:rsid w:val="00AB06C7"/>
    <w:rsid w:val="00AB1B85"/>
    <w:rsid w:val="00AB2001"/>
    <w:rsid w:val="00AB4396"/>
    <w:rsid w:val="00AC1ABA"/>
    <w:rsid w:val="00AC4AC5"/>
    <w:rsid w:val="00AC5734"/>
    <w:rsid w:val="00AC7B8E"/>
    <w:rsid w:val="00AD0BF4"/>
    <w:rsid w:val="00AD19CD"/>
    <w:rsid w:val="00AD2B57"/>
    <w:rsid w:val="00AD5904"/>
    <w:rsid w:val="00AD5C5B"/>
    <w:rsid w:val="00AE137A"/>
    <w:rsid w:val="00AE576A"/>
    <w:rsid w:val="00AE7172"/>
    <w:rsid w:val="00AF1923"/>
    <w:rsid w:val="00AF441E"/>
    <w:rsid w:val="00AF5DA3"/>
    <w:rsid w:val="00B01CB3"/>
    <w:rsid w:val="00B0218A"/>
    <w:rsid w:val="00B11E0E"/>
    <w:rsid w:val="00B124EF"/>
    <w:rsid w:val="00B2373A"/>
    <w:rsid w:val="00B23E56"/>
    <w:rsid w:val="00B24403"/>
    <w:rsid w:val="00B26EE8"/>
    <w:rsid w:val="00B31938"/>
    <w:rsid w:val="00B338F8"/>
    <w:rsid w:val="00B359DD"/>
    <w:rsid w:val="00B36781"/>
    <w:rsid w:val="00B36CD0"/>
    <w:rsid w:val="00B36DB2"/>
    <w:rsid w:val="00B41BD0"/>
    <w:rsid w:val="00B45F21"/>
    <w:rsid w:val="00B46A65"/>
    <w:rsid w:val="00B51263"/>
    <w:rsid w:val="00B541F6"/>
    <w:rsid w:val="00B60D00"/>
    <w:rsid w:val="00B66317"/>
    <w:rsid w:val="00B7221D"/>
    <w:rsid w:val="00B7462C"/>
    <w:rsid w:val="00B76360"/>
    <w:rsid w:val="00B77A09"/>
    <w:rsid w:val="00B81A3F"/>
    <w:rsid w:val="00B8278F"/>
    <w:rsid w:val="00B852A7"/>
    <w:rsid w:val="00B868DF"/>
    <w:rsid w:val="00B87F13"/>
    <w:rsid w:val="00B94389"/>
    <w:rsid w:val="00B956A9"/>
    <w:rsid w:val="00B95862"/>
    <w:rsid w:val="00B97600"/>
    <w:rsid w:val="00BA012D"/>
    <w:rsid w:val="00BA4C27"/>
    <w:rsid w:val="00BA6954"/>
    <w:rsid w:val="00BA7FED"/>
    <w:rsid w:val="00BB0054"/>
    <w:rsid w:val="00BB027A"/>
    <w:rsid w:val="00BB0FDE"/>
    <w:rsid w:val="00BB3979"/>
    <w:rsid w:val="00BB7450"/>
    <w:rsid w:val="00BC57B6"/>
    <w:rsid w:val="00BC5826"/>
    <w:rsid w:val="00BD4045"/>
    <w:rsid w:val="00BD5554"/>
    <w:rsid w:val="00BD683E"/>
    <w:rsid w:val="00BD71B4"/>
    <w:rsid w:val="00BD7E7C"/>
    <w:rsid w:val="00BE0ACE"/>
    <w:rsid w:val="00BE22FA"/>
    <w:rsid w:val="00BE4407"/>
    <w:rsid w:val="00BE5827"/>
    <w:rsid w:val="00BE6090"/>
    <w:rsid w:val="00BE692D"/>
    <w:rsid w:val="00BE72F3"/>
    <w:rsid w:val="00BE7D8D"/>
    <w:rsid w:val="00BF7248"/>
    <w:rsid w:val="00BF790B"/>
    <w:rsid w:val="00C007B6"/>
    <w:rsid w:val="00C02429"/>
    <w:rsid w:val="00C025DF"/>
    <w:rsid w:val="00C04BF1"/>
    <w:rsid w:val="00C06EB9"/>
    <w:rsid w:val="00C07F4C"/>
    <w:rsid w:val="00C109AC"/>
    <w:rsid w:val="00C11FCD"/>
    <w:rsid w:val="00C15C00"/>
    <w:rsid w:val="00C16BD5"/>
    <w:rsid w:val="00C17087"/>
    <w:rsid w:val="00C17D21"/>
    <w:rsid w:val="00C218CB"/>
    <w:rsid w:val="00C2549C"/>
    <w:rsid w:val="00C26CCB"/>
    <w:rsid w:val="00C26D16"/>
    <w:rsid w:val="00C3795E"/>
    <w:rsid w:val="00C41811"/>
    <w:rsid w:val="00C44549"/>
    <w:rsid w:val="00C4543B"/>
    <w:rsid w:val="00C47A6C"/>
    <w:rsid w:val="00C47F02"/>
    <w:rsid w:val="00C5162F"/>
    <w:rsid w:val="00C547F4"/>
    <w:rsid w:val="00C60B27"/>
    <w:rsid w:val="00C62045"/>
    <w:rsid w:val="00C626A9"/>
    <w:rsid w:val="00C63929"/>
    <w:rsid w:val="00C641AE"/>
    <w:rsid w:val="00C67D0C"/>
    <w:rsid w:val="00C713E8"/>
    <w:rsid w:val="00C71BC0"/>
    <w:rsid w:val="00C740DE"/>
    <w:rsid w:val="00C75E6E"/>
    <w:rsid w:val="00C80347"/>
    <w:rsid w:val="00C81E7B"/>
    <w:rsid w:val="00C82C1C"/>
    <w:rsid w:val="00C84206"/>
    <w:rsid w:val="00C910FD"/>
    <w:rsid w:val="00C930B7"/>
    <w:rsid w:val="00CA4100"/>
    <w:rsid w:val="00CA5A3C"/>
    <w:rsid w:val="00CB3843"/>
    <w:rsid w:val="00CB46EB"/>
    <w:rsid w:val="00CC5031"/>
    <w:rsid w:val="00CC5991"/>
    <w:rsid w:val="00CC5F75"/>
    <w:rsid w:val="00CC6C30"/>
    <w:rsid w:val="00CC7F6B"/>
    <w:rsid w:val="00CD0DD7"/>
    <w:rsid w:val="00CD3F48"/>
    <w:rsid w:val="00CD5DBD"/>
    <w:rsid w:val="00CE48ED"/>
    <w:rsid w:val="00CE683F"/>
    <w:rsid w:val="00CF2968"/>
    <w:rsid w:val="00CF5966"/>
    <w:rsid w:val="00CF70AD"/>
    <w:rsid w:val="00CF7B38"/>
    <w:rsid w:val="00D02932"/>
    <w:rsid w:val="00D135F8"/>
    <w:rsid w:val="00D14A5A"/>
    <w:rsid w:val="00D15B07"/>
    <w:rsid w:val="00D22B29"/>
    <w:rsid w:val="00D23F2D"/>
    <w:rsid w:val="00D242C8"/>
    <w:rsid w:val="00D24DB0"/>
    <w:rsid w:val="00D26D21"/>
    <w:rsid w:val="00D27617"/>
    <w:rsid w:val="00D27AAA"/>
    <w:rsid w:val="00D32747"/>
    <w:rsid w:val="00D33520"/>
    <w:rsid w:val="00D34D7B"/>
    <w:rsid w:val="00D37F9B"/>
    <w:rsid w:val="00D4114F"/>
    <w:rsid w:val="00D61A2F"/>
    <w:rsid w:val="00D62BD8"/>
    <w:rsid w:val="00D6662B"/>
    <w:rsid w:val="00D66D22"/>
    <w:rsid w:val="00D66FE9"/>
    <w:rsid w:val="00D67DCA"/>
    <w:rsid w:val="00D73741"/>
    <w:rsid w:val="00D739C7"/>
    <w:rsid w:val="00D773D2"/>
    <w:rsid w:val="00D82EE5"/>
    <w:rsid w:val="00D83FEE"/>
    <w:rsid w:val="00D8748F"/>
    <w:rsid w:val="00D90EE1"/>
    <w:rsid w:val="00DA0CFD"/>
    <w:rsid w:val="00DA2D50"/>
    <w:rsid w:val="00DA3764"/>
    <w:rsid w:val="00DA7400"/>
    <w:rsid w:val="00DB1521"/>
    <w:rsid w:val="00DB3985"/>
    <w:rsid w:val="00DB67EF"/>
    <w:rsid w:val="00DC0728"/>
    <w:rsid w:val="00DC2E3D"/>
    <w:rsid w:val="00DC32B4"/>
    <w:rsid w:val="00DC64EE"/>
    <w:rsid w:val="00DD2C27"/>
    <w:rsid w:val="00DD4DE5"/>
    <w:rsid w:val="00DD51C2"/>
    <w:rsid w:val="00DD79CE"/>
    <w:rsid w:val="00DE1A73"/>
    <w:rsid w:val="00DE6A5A"/>
    <w:rsid w:val="00DE74AD"/>
    <w:rsid w:val="00DE7795"/>
    <w:rsid w:val="00DE797D"/>
    <w:rsid w:val="00DF0184"/>
    <w:rsid w:val="00DF15D7"/>
    <w:rsid w:val="00DF18BE"/>
    <w:rsid w:val="00DF1ED3"/>
    <w:rsid w:val="00DF47E8"/>
    <w:rsid w:val="00DF56D6"/>
    <w:rsid w:val="00E020C5"/>
    <w:rsid w:val="00E05AC7"/>
    <w:rsid w:val="00E05B7A"/>
    <w:rsid w:val="00E077F6"/>
    <w:rsid w:val="00E12D45"/>
    <w:rsid w:val="00E1569E"/>
    <w:rsid w:val="00E17091"/>
    <w:rsid w:val="00E17B9D"/>
    <w:rsid w:val="00E2006B"/>
    <w:rsid w:val="00E22BB6"/>
    <w:rsid w:val="00E22DF1"/>
    <w:rsid w:val="00E31035"/>
    <w:rsid w:val="00E34EBC"/>
    <w:rsid w:val="00E41F7E"/>
    <w:rsid w:val="00E42F94"/>
    <w:rsid w:val="00E442BA"/>
    <w:rsid w:val="00E45638"/>
    <w:rsid w:val="00E509F2"/>
    <w:rsid w:val="00E51982"/>
    <w:rsid w:val="00E52FC0"/>
    <w:rsid w:val="00E530D1"/>
    <w:rsid w:val="00E536E9"/>
    <w:rsid w:val="00E573EF"/>
    <w:rsid w:val="00E57551"/>
    <w:rsid w:val="00E575D6"/>
    <w:rsid w:val="00E60662"/>
    <w:rsid w:val="00E60C76"/>
    <w:rsid w:val="00E65F38"/>
    <w:rsid w:val="00E71416"/>
    <w:rsid w:val="00E71903"/>
    <w:rsid w:val="00E71A3E"/>
    <w:rsid w:val="00E77025"/>
    <w:rsid w:val="00E80107"/>
    <w:rsid w:val="00E83061"/>
    <w:rsid w:val="00E832A5"/>
    <w:rsid w:val="00E8580F"/>
    <w:rsid w:val="00E86FD1"/>
    <w:rsid w:val="00E90ADB"/>
    <w:rsid w:val="00E90EB2"/>
    <w:rsid w:val="00E96335"/>
    <w:rsid w:val="00E9647F"/>
    <w:rsid w:val="00EA67AC"/>
    <w:rsid w:val="00EB0BF3"/>
    <w:rsid w:val="00EB3897"/>
    <w:rsid w:val="00EB477F"/>
    <w:rsid w:val="00EB5272"/>
    <w:rsid w:val="00EB57F8"/>
    <w:rsid w:val="00EB754E"/>
    <w:rsid w:val="00EC13E0"/>
    <w:rsid w:val="00EC431C"/>
    <w:rsid w:val="00EC50E5"/>
    <w:rsid w:val="00EC6AF7"/>
    <w:rsid w:val="00EC782F"/>
    <w:rsid w:val="00ED2AD4"/>
    <w:rsid w:val="00ED7A52"/>
    <w:rsid w:val="00EE052E"/>
    <w:rsid w:val="00EE17E0"/>
    <w:rsid w:val="00EE1F30"/>
    <w:rsid w:val="00EE2498"/>
    <w:rsid w:val="00EF590F"/>
    <w:rsid w:val="00EF7CF2"/>
    <w:rsid w:val="00F0045C"/>
    <w:rsid w:val="00F005DC"/>
    <w:rsid w:val="00F02EE8"/>
    <w:rsid w:val="00F06BD7"/>
    <w:rsid w:val="00F07F81"/>
    <w:rsid w:val="00F1010D"/>
    <w:rsid w:val="00F10487"/>
    <w:rsid w:val="00F10C26"/>
    <w:rsid w:val="00F13A9B"/>
    <w:rsid w:val="00F1448A"/>
    <w:rsid w:val="00F21CC6"/>
    <w:rsid w:val="00F2365C"/>
    <w:rsid w:val="00F246EE"/>
    <w:rsid w:val="00F27996"/>
    <w:rsid w:val="00F30407"/>
    <w:rsid w:val="00F33DCC"/>
    <w:rsid w:val="00F34150"/>
    <w:rsid w:val="00F4303F"/>
    <w:rsid w:val="00F43F8E"/>
    <w:rsid w:val="00F54AFF"/>
    <w:rsid w:val="00F561A8"/>
    <w:rsid w:val="00F56241"/>
    <w:rsid w:val="00F5709C"/>
    <w:rsid w:val="00F61F9E"/>
    <w:rsid w:val="00F62B5D"/>
    <w:rsid w:val="00F63245"/>
    <w:rsid w:val="00F643AB"/>
    <w:rsid w:val="00F6445B"/>
    <w:rsid w:val="00F64E91"/>
    <w:rsid w:val="00F66D31"/>
    <w:rsid w:val="00F75659"/>
    <w:rsid w:val="00F809C9"/>
    <w:rsid w:val="00F82260"/>
    <w:rsid w:val="00F8366C"/>
    <w:rsid w:val="00F97FE7"/>
    <w:rsid w:val="00FA2F54"/>
    <w:rsid w:val="00FA541E"/>
    <w:rsid w:val="00FA63A1"/>
    <w:rsid w:val="00FA6CB9"/>
    <w:rsid w:val="00FA79D6"/>
    <w:rsid w:val="00FB3115"/>
    <w:rsid w:val="00FC1290"/>
    <w:rsid w:val="00FC42EF"/>
    <w:rsid w:val="00FC762C"/>
    <w:rsid w:val="00FD20D9"/>
    <w:rsid w:val="00FD21A4"/>
    <w:rsid w:val="00FD657B"/>
    <w:rsid w:val="00FD7239"/>
    <w:rsid w:val="00FE0242"/>
    <w:rsid w:val="00FE0D44"/>
    <w:rsid w:val="00FE0FD1"/>
    <w:rsid w:val="00FE2625"/>
    <w:rsid w:val="00FE2F22"/>
    <w:rsid w:val="00FE4920"/>
    <w:rsid w:val="00FE58D2"/>
    <w:rsid w:val="00FE7B91"/>
    <w:rsid w:val="00FF595E"/>
    <w:rsid w:val="00FF5CD5"/>
    <w:rsid w:val="00FF608F"/>
    <w:rsid w:val="00FF71D2"/>
    <w:rsid w:val="13B06F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BB1769"/>
  <w15:chartTrackingRefBased/>
  <w15:docId w15:val="{AB98F462-40DD-4024-8FE6-7BD210F1D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GB"/>
    </w:rPr>
  </w:style>
  <w:style w:type="paragraph" w:styleId="Heading1">
    <w:name w:val="heading 1"/>
    <w:basedOn w:val="Normal"/>
    <w:next w:val="Normal"/>
    <w:link w:val="Heading1Char"/>
    <w:uiPriority w:val="9"/>
    <w:qFormat/>
    <w:rsid w:val="00012FE7"/>
    <w:pPr>
      <w:keepNext/>
      <w:spacing w:before="240" w:after="60"/>
      <w:outlineLvl w:val="0"/>
    </w:pPr>
    <w:rPr>
      <w:rFonts w:ascii="Calibri Light" w:eastAsia="DengXian Light" w:hAnsi="Calibri Light"/>
      <w:b/>
      <w:bCs/>
      <w:kern w:val="32"/>
      <w:sz w:val="32"/>
      <w:szCs w:val="32"/>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39"/>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character" w:customStyle="1" w:styleId="Heading1Char">
    <w:name w:val="Heading 1 Char"/>
    <w:link w:val="Heading1"/>
    <w:uiPriority w:val="9"/>
    <w:rsid w:val="00012FE7"/>
    <w:rPr>
      <w:rFonts w:ascii="Calibri Light" w:eastAsia="DengXian Light" w:hAnsi="Calibri Light" w:cs="Times New Roman"/>
      <w:b/>
      <w:bCs/>
      <w:kern w:val="32"/>
      <w:sz w:val="32"/>
      <w:szCs w:val="32"/>
      <w:lang w:eastAsia="en-GB"/>
    </w:rPr>
  </w:style>
  <w:style w:type="character" w:styleId="UnresolvedMention">
    <w:name w:val="Unresolved Mention"/>
    <w:uiPriority w:val="99"/>
    <w:semiHidden/>
    <w:unhideWhenUsed/>
    <w:rsid w:val="0034788B"/>
    <w:rPr>
      <w:color w:val="605E5C"/>
      <w:shd w:val="clear" w:color="auto" w:fill="E1DFDD"/>
    </w:rPr>
  </w:style>
  <w:style w:type="paragraph" w:customStyle="1" w:styleId="Default">
    <w:name w:val="Default"/>
    <w:rsid w:val="00FA79D6"/>
    <w:pPr>
      <w:autoSpaceDE w:val="0"/>
      <w:autoSpaceDN w:val="0"/>
      <w:adjustRightInd w:val="0"/>
    </w:pPr>
    <w:rPr>
      <w:rFonts w:ascii="Helvetica Neue LT Std" w:hAnsi="Helvetica Neue LT Std" w:cs="Helvetica Neue LT Std"/>
      <w:color w:val="000000"/>
      <w:sz w:val="24"/>
      <w:szCs w:val="24"/>
      <w:lang w:eastAsia="en-GB"/>
    </w:rPr>
  </w:style>
  <w:style w:type="character" w:customStyle="1" w:styleId="A3">
    <w:name w:val="A3"/>
    <w:uiPriority w:val="99"/>
    <w:rsid w:val="00FA79D6"/>
    <w:rPr>
      <w:rFonts w:cs="Helvetica Neue LT Std"/>
      <w:i/>
      <w:iCs/>
      <w:color w:val="000000"/>
      <w:sz w:val="11"/>
      <w:szCs w:val="11"/>
    </w:rPr>
  </w:style>
  <w:style w:type="paragraph" w:customStyle="1" w:styleId="Pa7">
    <w:name w:val="Pa7"/>
    <w:basedOn w:val="Default"/>
    <w:next w:val="Default"/>
    <w:uiPriority w:val="99"/>
    <w:rsid w:val="009831FB"/>
    <w:pPr>
      <w:spacing w:line="281" w:lineRule="atLeast"/>
    </w:pPr>
    <w:rPr>
      <w:rFonts w:ascii="Kozuka Gothic Pro B" w:hAnsi="Kozuka Gothic Pro B" w:cs="Times New Roman"/>
      <w:color w:val="auto"/>
    </w:rPr>
  </w:style>
  <w:style w:type="character" w:customStyle="1" w:styleId="A16">
    <w:name w:val="A16"/>
    <w:uiPriority w:val="99"/>
    <w:rsid w:val="009831FB"/>
    <w:rPr>
      <w:rFonts w:cs="Kozuka Gothic Pro B"/>
      <w:b/>
      <w:bCs/>
      <w:color w:val="000000"/>
    </w:rPr>
  </w:style>
  <w:style w:type="character" w:customStyle="1" w:styleId="A2">
    <w:name w:val="A2"/>
    <w:uiPriority w:val="99"/>
    <w:rsid w:val="009831FB"/>
    <w:rPr>
      <w:rFonts w:ascii="Kozuka Gothic Pro M" w:hAnsi="Kozuka Gothic Pro M" w:cs="Kozuka Gothic Pro M"/>
      <w:color w:val="000000"/>
      <w:sz w:val="20"/>
      <w:szCs w:val="20"/>
    </w:rPr>
  </w:style>
  <w:style w:type="character" w:styleId="FollowedHyperlink">
    <w:name w:val="FollowedHyperlink"/>
    <w:uiPriority w:val="99"/>
    <w:semiHidden/>
    <w:unhideWhenUsed/>
    <w:rsid w:val="00D90EE1"/>
    <w:rPr>
      <w:color w:val="954F72"/>
      <w:u w:val="single"/>
    </w:rPr>
  </w:style>
  <w:style w:type="character" w:styleId="CommentReference">
    <w:name w:val="annotation reference"/>
    <w:basedOn w:val="DefaultParagraphFont"/>
    <w:uiPriority w:val="99"/>
    <w:semiHidden/>
    <w:unhideWhenUsed/>
    <w:rsid w:val="001A240D"/>
    <w:rPr>
      <w:sz w:val="16"/>
      <w:szCs w:val="16"/>
    </w:rPr>
  </w:style>
  <w:style w:type="paragraph" w:styleId="CommentText">
    <w:name w:val="annotation text"/>
    <w:basedOn w:val="Normal"/>
    <w:link w:val="CommentTextChar"/>
    <w:uiPriority w:val="99"/>
    <w:unhideWhenUsed/>
    <w:rsid w:val="001A240D"/>
    <w:rPr>
      <w:sz w:val="20"/>
      <w:szCs w:val="20"/>
    </w:rPr>
  </w:style>
  <w:style w:type="character" w:customStyle="1" w:styleId="CommentTextChar">
    <w:name w:val="Comment Text Char"/>
    <w:basedOn w:val="DefaultParagraphFont"/>
    <w:link w:val="CommentText"/>
    <w:uiPriority w:val="99"/>
    <w:rsid w:val="001A240D"/>
    <w:rPr>
      <w:lang w:eastAsia="en-GB"/>
    </w:rPr>
  </w:style>
  <w:style w:type="paragraph" w:styleId="CommentSubject">
    <w:name w:val="annotation subject"/>
    <w:basedOn w:val="CommentText"/>
    <w:next w:val="CommentText"/>
    <w:link w:val="CommentSubjectChar"/>
    <w:uiPriority w:val="99"/>
    <w:semiHidden/>
    <w:unhideWhenUsed/>
    <w:rsid w:val="001A240D"/>
    <w:rPr>
      <w:b/>
      <w:bCs/>
    </w:rPr>
  </w:style>
  <w:style w:type="character" w:customStyle="1" w:styleId="CommentSubjectChar">
    <w:name w:val="Comment Subject Char"/>
    <w:basedOn w:val="CommentTextChar"/>
    <w:link w:val="CommentSubject"/>
    <w:uiPriority w:val="99"/>
    <w:semiHidden/>
    <w:rsid w:val="001A240D"/>
    <w:rPr>
      <w:b/>
      <w:bCs/>
      <w:lang w:eastAsia="en-GB"/>
    </w:rPr>
  </w:style>
  <w:style w:type="paragraph" w:styleId="Header">
    <w:name w:val="header"/>
    <w:basedOn w:val="Normal"/>
    <w:link w:val="HeaderChar"/>
    <w:uiPriority w:val="99"/>
    <w:unhideWhenUsed/>
    <w:rsid w:val="00A44F2A"/>
    <w:pPr>
      <w:tabs>
        <w:tab w:val="center" w:pos="4513"/>
        <w:tab w:val="right" w:pos="9026"/>
      </w:tabs>
    </w:pPr>
  </w:style>
  <w:style w:type="character" w:customStyle="1" w:styleId="HeaderChar">
    <w:name w:val="Header Char"/>
    <w:basedOn w:val="DefaultParagraphFont"/>
    <w:link w:val="Header"/>
    <w:uiPriority w:val="99"/>
    <w:rsid w:val="00A44F2A"/>
    <w:rPr>
      <w:sz w:val="24"/>
      <w:szCs w:val="24"/>
      <w:lang w:eastAsia="en-GB"/>
    </w:rPr>
  </w:style>
  <w:style w:type="character" w:customStyle="1" w:styleId="FooterChar">
    <w:name w:val="Footer Char"/>
    <w:basedOn w:val="DefaultParagraphFont"/>
    <w:link w:val="Footer"/>
    <w:uiPriority w:val="99"/>
    <w:rsid w:val="005C04A3"/>
    <w:rPr>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971253">
      <w:bodyDiv w:val="1"/>
      <w:marLeft w:val="0"/>
      <w:marRight w:val="0"/>
      <w:marTop w:val="0"/>
      <w:marBottom w:val="0"/>
      <w:divBdr>
        <w:top w:val="none" w:sz="0" w:space="0" w:color="auto"/>
        <w:left w:val="none" w:sz="0" w:space="0" w:color="auto"/>
        <w:bottom w:val="none" w:sz="0" w:space="0" w:color="auto"/>
        <w:right w:val="none" w:sz="0" w:space="0" w:color="auto"/>
      </w:divBdr>
      <w:divsChild>
        <w:div w:id="1116292061">
          <w:marLeft w:val="0"/>
          <w:marRight w:val="0"/>
          <w:marTop w:val="0"/>
          <w:marBottom w:val="0"/>
          <w:divBdr>
            <w:top w:val="none" w:sz="0" w:space="0" w:color="auto"/>
            <w:left w:val="none" w:sz="0" w:space="0" w:color="auto"/>
            <w:bottom w:val="none" w:sz="0" w:space="0" w:color="auto"/>
            <w:right w:val="none" w:sz="0" w:space="0" w:color="auto"/>
          </w:divBdr>
          <w:divsChild>
            <w:div w:id="1828280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805783">
      <w:bodyDiv w:val="1"/>
      <w:marLeft w:val="0"/>
      <w:marRight w:val="0"/>
      <w:marTop w:val="0"/>
      <w:marBottom w:val="0"/>
      <w:divBdr>
        <w:top w:val="none" w:sz="0" w:space="0" w:color="auto"/>
        <w:left w:val="none" w:sz="0" w:space="0" w:color="auto"/>
        <w:bottom w:val="none" w:sz="0" w:space="0" w:color="auto"/>
        <w:right w:val="none" w:sz="0" w:space="0" w:color="auto"/>
      </w:divBdr>
      <w:divsChild>
        <w:div w:id="1041856297">
          <w:marLeft w:val="0"/>
          <w:marRight w:val="0"/>
          <w:marTop w:val="0"/>
          <w:marBottom w:val="0"/>
          <w:divBdr>
            <w:top w:val="none" w:sz="0" w:space="0" w:color="auto"/>
            <w:left w:val="none" w:sz="0" w:space="0" w:color="auto"/>
            <w:bottom w:val="none" w:sz="0" w:space="0" w:color="auto"/>
            <w:right w:val="none" w:sz="0" w:space="0" w:color="auto"/>
          </w:divBdr>
          <w:divsChild>
            <w:div w:id="28300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645735">
      <w:bodyDiv w:val="1"/>
      <w:marLeft w:val="0"/>
      <w:marRight w:val="0"/>
      <w:marTop w:val="0"/>
      <w:marBottom w:val="0"/>
      <w:divBdr>
        <w:top w:val="none" w:sz="0" w:space="0" w:color="auto"/>
        <w:left w:val="none" w:sz="0" w:space="0" w:color="auto"/>
        <w:bottom w:val="none" w:sz="0" w:space="0" w:color="auto"/>
        <w:right w:val="none" w:sz="0" w:space="0" w:color="auto"/>
      </w:divBdr>
      <w:divsChild>
        <w:div w:id="943027802">
          <w:marLeft w:val="0"/>
          <w:marRight w:val="0"/>
          <w:marTop w:val="0"/>
          <w:marBottom w:val="0"/>
          <w:divBdr>
            <w:top w:val="none" w:sz="0" w:space="0" w:color="auto"/>
            <w:left w:val="none" w:sz="0" w:space="0" w:color="auto"/>
            <w:bottom w:val="none" w:sz="0" w:space="0" w:color="auto"/>
            <w:right w:val="none" w:sz="0" w:space="0" w:color="auto"/>
          </w:divBdr>
          <w:divsChild>
            <w:div w:id="786972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132352">
      <w:bodyDiv w:val="1"/>
      <w:marLeft w:val="0"/>
      <w:marRight w:val="0"/>
      <w:marTop w:val="0"/>
      <w:marBottom w:val="0"/>
      <w:divBdr>
        <w:top w:val="none" w:sz="0" w:space="0" w:color="auto"/>
        <w:left w:val="none" w:sz="0" w:space="0" w:color="auto"/>
        <w:bottom w:val="none" w:sz="0" w:space="0" w:color="auto"/>
        <w:right w:val="none" w:sz="0" w:space="0" w:color="auto"/>
      </w:divBdr>
      <w:divsChild>
        <w:div w:id="87653929">
          <w:marLeft w:val="0"/>
          <w:marRight w:val="0"/>
          <w:marTop w:val="0"/>
          <w:marBottom w:val="0"/>
          <w:divBdr>
            <w:top w:val="none" w:sz="0" w:space="0" w:color="auto"/>
            <w:left w:val="none" w:sz="0" w:space="0" w:color="auto"/>
            <w:bottom w:val="none" w:sz="0" w:space="0" w:color="auto"/>
            <w:right w:val="none" w:sz="0" w:space="0" w:color="auto"/>
          </w:divBdr>
          <w:divsChild>
            <w:div w:id="413819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5692770">
      <w:bodyDiv w:val="1"/>
      <w:marLeft w:val="0"/>
      <w:marRight w:val="0"/>
      <w:marTop w:val="0"/>
      <w:marBottom w:val="0"/>
      <w:divBdr>
        <w:top w:val="none" w:sz="0" w:space="0" w:color="auto"/>
        <w:left w:val="none" w:sz="0" w:space="0" w:color="auto"/>
        <w:bottom w:val="none" w:sz="0" w:space="0" w:color="auto"/>
        <w:right w:val="none" w:sz="0" w:space="0" w:color="auto"/>
      </w:divBdr>
      <w:divsChild>
        <w:div w:id="1470779181">
          <w:marLeft w:val="0"/>
          <w:marRight w:val="0"/>
          <w:marTop w:val="0"/>
          <w:marBottom w:val="0"/>
          <w:divBdr>
            <w:top w:val="none" w:sz="0" w:space="0" w:color="auto"/>
            <w:left w:val="none" w:sz="0" w:space="0" w:color="auto"/>
            <w:bottom w:val="none" w:sz="0" w:space="0" w:color="auto"/>
            <w:right w:val="none" w:sz="0" w:space="0" w:color="auto"/>
          </w:divBdr>
          <w:divsChild>
            <w:div w:id="324358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465220">
      <w:bodyDiv w:val="1"/>
      <w:marLeft w:val="0"/>
      <w:marRight w:val="0"/>
      <w:marTop w:val="0"/>
      <w:marBottom w:val="0"/>
      <w:divBdr>
        <w:top w:val="none" w:sz="0" w:space="0" w:color="auto"/>
        <w:left w:val="none" w:sz="0" w:space="0" w:color="auto"/>
        <w:bottom w:val="none" w:sz="0" w:space="0" w:color="auto"/>
        <w:right w:val="none" w:sz="0" w:space="0" w:color="auto"/>
      </w:divBdr>
      <w:divsChild>
        <w:div w:id="153105439">
          <w:marLeft w:val="0"/>
          <w:marRight w:val="0"/>
          <w:marTop w:val="0"/>
          <w:marBottom w:val="0"/>
          <w:divBdr>
            <w:top w:val="none" w:sz="0" w:space="0" w:color="auto"/>
            <w:left w:val="none" w:sz="0" w:space="0" w:color="auto"/>
            <w:bottom w:val="none" w:sz="0" w:space="0" w:color="auto"/>
            <w:right w:val="none" w:sz="0" w:space="0" w:color="auto"/>
          </w:divBdr>
          <w:divsChild>
            <w:div w:id="57900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465465">
      <w:bodyDiv w:val="1"/>
      <w:marLeft w:val="0"/>
      <w:marRight w:val="0"/>
      <w:marTop w:val="0"/>
      <w:marBottom w:val="0"/>
      <w:divBdr>
        <w:top w:val="none" w:sz="0" w:space="0" w:color="auto"/>
        <w:left w:val="none" w:sz="0" w:space="0" w:color="auto"/>
        <w:bottom w:val="none" w:sz="0" w:space="0" w:color="auto"/>
        <w:right w:val="none" w:sz="0" w:space="0" w:color="auto"/>
      </w:divBdr>
      <w:divsChild>
        <w:div w:id="130828761">
          <w:marLeft w:val="0"/>
          <w:marRight w:val="0"/>
          <w:marTop w:val="0"/>
          <w:marBottom w:val="0"/>
          <w:divBdr>
            <w:top w:val="none" w:sz="0" w:space="0" w:color="auto"/>
            <w:left w:val="none" w:sz="0" w:space="0" w:color="auto"/>
            <w:bottom w:val="none" w:sz="0" w:space="0" w:color="auto"/>
            <w:right w:val="none" w:sz="0" w:space="0" w:color="auto"/>
          </w:divBdr>
          <w:divsChild>
            <w:div w:id="1989241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7427">
      <w:bodyDiv w:val="1"/>
      <w:marLeft w:val="0"/>
      <w:marRight w:val="0"/>
      <w:marTop w:val="0"/>
      <w:marBottom w:val="0"/>
      <w:divBdr>
        <w:top w:val="none" w:sz="0" w:space="0" w:color="auto"/>
        <w:left w:val="none" w:sz="0" w:space="0" w:color="auto"/>
        <w:bottom w:val="none" w:sz="0" w:space="0" w:color="auto"/>
        <w:right w:val="none" w:sz="0" w:space="0" w:color="auto"/>
      </w:divBdr>
      <w:divsChild>
        <w:div w:id="1732728122">
          <w:marLeft w:val="0"/>
          <w:marRight w:val="0"/>
          <w:marTop w:val="0"/>
          <w:marBottom w:val="0"/>
          <w:divBdr>
            <w:top w:val="none" w:sz="0" w:space="0" w:color="auto"/>
            <w:left w:val="none" w:sz="0" w:space="0" w:color="auto"/>
            <w:bottom w:val="none" w:sz="0" w:space="0" w:color="auto"/>
            <w:right w:val="none" w:sz="0" w:space="0" w:color="auto"/>
          </w:divBdr>
          <w:divsChild>
            <w:div w:id="210660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268864">
      <w:bodyDiv w:val="1"/>
      <w:marLeft w:val="0"/>
      <w:marRight w:val="0"/>
      <w:marTop w:val="0"/>
      <w:marBottom w:val="0"/>
      <w:divBdr>
        <w:top w:val="none" w:sz="0" w:space="0" w:color="auto"/>
        <w:left w:val="none" w:sz="0" w:space="0" w:color="auto"/>
        <w:bottom w:val="none" w:sz="0" w:space="0" w:color="auto"/>
        <w:right w:val="none" w:sz="0" w:space="0" w:color="auto"/>
      </w:divBdr>
      <w:divsChild>
        <w:div w:id="1053427587">
          <w:marLeft w:val="0"/>
          <w:marRight w:val="0"/>
          <w:marTop w:val="0"/>
          <w:marBottom w:val="0"/>
          <w:divBdr>
            <w:top w:val="none" w:sz="0" w:space="0" w:color="auto"/>
            <w:left w:val="none" w:sz="0" w:space="0" w:color="auto"/>
            <w:bottom w:val="none" w:sz="0" w:space="0" w:color="auto"/>
            <w:right w:val="none" w:sz="0" w:space="0" w:color="auto"/>
          </w:divBdr>
          <w:divsChild>
            <w:div w:id="88290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3416645">
      <w:bodyDiv w:val="1"/>
      <w:marLeft w:val="0"/>
      <w:marRight w:val="0"/>
      <w:marTop w:val="0"/>
      <w:marBottom w:val="0"/>
      <w:divBdr>
        <w:top w:val="none" w:sz="0" w:space="0" w:color="auto"/>
        <w:left w:val="none" w:sz="0" w:space="0" w:color="auto"/>
        <w:bottom w:val="none" w:sz="0" w:space="0" w:color="auto"/>
        <w:right w:val="none" w:sz="0" w:space="0" w:color="auto"/>
      </w:divBdr>
      <w:divsChild>
        <w:div w:id="181170419">
          <w:marLeft w:val="0"/>
          <w:marRight w:val="0"/>
          <w:marTop w:val="0"/>
          <w:marBottom w:val="0"/>
          <w:divBdr>
            <w:top w:val="none" w:sz="0" w:space="0" w:color="auto"/>
            <w:left w:val="none" w:sz="0" w:space="0" w:color="auto"/>
            <w:bottom w:val="none" w:sz="0" w:space="0" w:color="auto"/>
            <w:right w:val="none" w:sz="0" w:space="0" w:color="auto"/>
          </w:divBdr>
          <w:divsChild>
            <w:div w:id="1038311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964533">
      <w:bodyDiv w:val="1"/>
      <w:marLeft w:val="0"/>
      <w:marRight w:val="0"/>
      <w:marTop w:val="0"/>
      <w:marBottom w:val="0"/>
      <w:divBdr>
        <w:top w:val="none" w:sz="0" w:space="0" w:color="auto"/>
        <w:left w:val="none" w:sz="0" w:space="0" w:color="auto"/>
        <w:bottom w:val="none" w:sz="0" w:space="0" w:color="auto"/>
        <w:right w:val="none" w:sz="0" w:space="0" w:color="auto"/>
      </w:divBdr>
      <w:divsChild>
        <w:div w:id="1834565891">
          <w:marLeft w:val="0"/>
          <w:marRight w:val="0"/>
          <w:marTop w:val="0"/>
          <w:marBottom w:val="0"/>
          <w:divBdr>
            <w:top w:val="none" w:sz="0" w:space="0" w:color="auto"/>
            <w:left w:val="none" w:sz="0" w:space="0" w:color="auto"/>
            <w:bottom w:val="none" w:sz="0" w:space="0" w:color="auto"/>
            <w:right w:val="none" w:sz="0" w:space="0" w:color="auto"/>
          </w:divBdr>
          <w:divsChild>
            <w:div w:id="73886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 w:id="1103454694">
      <w:bodyDiv w:val="1"/>
      <w:marLeft w:val="0"/>
      <w:marRight w:val="0"/>
      <w:marTop w:val="0"/>
      <w:marBottom w:val="0"/>
      <w:divBdr>
        <w:top w:val="none" w:sz="0" w:space="0" w:color="auto"/>
        <w:left w:val="none" w:sz="0" w:space="0" w:color="auto"/>
        <w:bottom w:val="none" w:sz="0" w:space="0" w:color="auto"/>
        <w:right w:val="none" w:sz="0" w:space="0" w:color="auto"/>
      </w:divBdr>
      <w:divsChild>
        <w:div w:id="53164571">
          <w:marLeft w:val="0"/>
          <w:marRight w:val="0"/>
          <w:marTop w:val="0"/>
          <w:marBottom w:val="0"/>
          <w:divBdr>
            <w:top w:val="none" w:sz="0" w:space="0" w:color="auto"/>
            <w:left w:val="none" w:sz="0" w:space="0" w:color="auto"/>
            <w:bottom w:val="none" w:sz="0" w:space="0" w:color="auto"/>
            <w:right w:val="none" w:sz="0" w:space="0" w:color="auto"/>
          </w:divBdr>
          <w:divsChild>
            <w:div w:id="971443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071829">
      <w:bodyDiv w:val="1"/>
      <w:marLeft w:val="0"/>
      <w:marRight w:val="0"/>
      <w:marTop w:val="0"/>
      <w:marBottom w:val="0"/>
      <w:divBdr>
        <w:top w:val="none" w:sz="0" w:space="0" w:color="auto"/>
        <w:left w:val="none" w:sz="0" w:space="0" w:color="auto"/>
        <w:bottom w:val="none" w:sz="0" w:space="0" w:color="auto"/>
        <w:right w:val="none" w:sz="0" w:space="0" w:color="auto"/>
      </w:divBdr>
      <w:divsChild>
        <w:div w:id="976060380">
          <w:marLeft w:val="0"/>
          <w:marRight w:val="0"/>
          <w:marTop w:val="0"/>
          <w:marBottom w:val="0"/>
          <w:divBdr>
            <w:top w:val="none" w:sz="0" w:space="0" w:color="auto"/>
            <w:left w:val="none" w:sz="0" w:space="0" w:color="auto"/>
            <w:bottom w:val="none" w:sz="0" w:space="0" w:color="auto"/>
            <w:right w:val="none" w:sz="0" w:space="0" w:color="auto"/>
          </w:divBdr>
          <w:divsChild>
            <w:div w:id="1604456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623789">
      <w:bodyDiv w:val="1"/>
      <w:marLeft w:val="0"/>
      <w:marRight w:val="0"/>
      <w:marTop w:val="0"/>
      <w:marBottom w:val="0"/>
      <w:divBdr>
        <w:top w:val="none" w:sz="0" w:space="0" w:color="auto"/>
        <w:left w:val="none" w:sz="0" w:space="0" w:color="auto"/>
        <w:bottom w:val="none" w:sz="0" w:space="0" w:color="auto"/>
        <w:right w:val="none" w:sz="0" w:space="0" w:color="auto"/>
      </w:divBdr>
      <w:divsChild>
        <w:div w:id="1606692946">
          <w:marLeft w:val="0"/>
          <w:marRight w:val="0"/>
          <w:marTop w:val="0"/>
          <w:marBottom w:val="0"/>
          <w:divBdr>
            <w:top w:val="none" w:sz="0" w:space="0" w:color="auto"/>
            <w:left w:val="none" w:sz="0" w:space="0" w:color="auto"/>
            <w:bottom w:val="none" w:sz="0" w:space="0" w:color="auto"/>
            <w:right w:val="none" w:sz="0" w:space="0" w:color="auto"/>
          </w:divBdr>
          <w:divsChild>
            <w:div w:id="1812095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4568244">
      <w:bodyDiv w:val="1"/>
      <w:marLeft w:val="0"/>
      <w:marRight w:val="0"/>
      <w:marTop w:val="0"/>
      <w:marBottom w:val="0"/>
      <w:divBdr>
        <w:top w:val="none" w:sz="0" w:space="0" w:color="auto"/>
        <w:left w:val="none" w:sz="0" w:space="0" w:color="auto"/>
        <w:bottom w:val="none" w:sz="0" w:space="0" w:color="auto"/>
        <w:right w:val="none" w:sz="0" w:space="0" w:color="auto"/>
      </w:divBdr>
      <w:divsChild>
        <w:div w:id="1815177195">
          <w:marLeft w:val="0"/>
          <w:marRight w:val="0"/>
          <w:marTop w:val="0"/>
          <w:marBottom w:val="0"/>
          <w:divBdr>
            <w:top w:val="none" w:sz="0" w:space="0" w:color="auto"/>
            <w:left w:val="none" w:sz="0" w:space="0" w:color="auto"/>
            <w:bottom w:val="none" w:sz="0" w:space="0" w:color="auto"/>
            <w:right w:val="none" w:sz="0" w:space="0" w:color="auto"/>
          </w:divBdr>
          <w:divsChild>
            <w:div w:id="29445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0249633">
      <w:bodyDiv w:val="1"/>
      <w:marLeft w:val="0"/>
      <w:marRight w:val="0"/>
      <w:marTop w:val="0"/>
      <w:marBottom w:val="0"/>
      <w:divBdr>
        <w:top w:val="none" w:sz="0" w:space="0" w:color="auto"/>
        <w:left w:val="none" w:sz="0" w:space="0" w:color="auto"/>
        <w:bottom w:val="none" w:sz="0" w:space="0" w:color="auto"/>
        <w:right w:val="none" w:sz="0" w:space="0" w:color="auto"/>
      </w:divBdr>
      <w:divsChild>
        <w:div w:id="32536536">
          <w:marLeft w:val="0"/>
          <w:marRight w:val="0"/>
          <w:marTop w:val="0"/>
          <w:marBottom w:val="0"/>
          <w:divBdr>
            <w:top w:val="none" w:sz="0" w:space="0" w:color="auto"/>
            <w:left w:val="none" w:sz="0" w:space="0" w:color="auto"/>
            <w:bottom w:val="none" w:sz="0" w:space="0" w:color="auto"/>
            <w:right w:val="none" w:sz="0" w:space="0" w:color="auto"/>
          </w:divBdr>
          <w:divsChild>
            <w:div w:id="2057729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4276508">
      <w:bodyDiv w:val="1"/>
      <w:marLeft w:val="0"/>
      <w:marRight w:val="0"/>
      <w:marTop w:val="0"/>
      <w:marBottom w:val="0"/>
      <w:divBdr>
        <w:top w:val="none" w:sz="0" w:space="0" w:color="auto"/>
        <w:left w:val="none" w:sz="0" w:space="0" w:color="auto"/>
        <w:bottom w:val="none" w:sz="0" w:space="0" w:color="auto"/>
        <w:right w:val="none" w:sz="0" w:space="0" w:color="auto"/>
      </w:divBdr>
      <w:divsChild>
        <w:div w:id="492138449">
          <w:marLeft w:val="0"/>
          <w:marRight w:val="0"/>
          <w:marTop w:val="0"/>
          <w:marBottom w:val="0"/>
          <w:divBdr>
            <w:top w:val="none" w:sz="0" w:space="0" w:color="auto"/>
            <w:left w:val="none" w:sz="0" w:space="0" w:color="auto"/>
            <w:bottom w:val="none" w:sz="0" w:space="0" w:color="auto"/>
            <w:right w:val="none" w:sz="0" w:space="0" w:color="auto"/>
          </w:divBdr>
          <w:divsChild>
            <w:div w:id="194603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449914">
      <w:bodyDiv w:val="1"/>
      <w:marLeft w:val="0"/>
      <w:marRight w:val="0"/>
      <w:marTop w:val="0"/>
      <w:marBottom w:val="0"/>
      <w:divBdr>
        <w:top w:val="none" w:sz="0" w:space="0" w:color="auto"/>
        <w:left w:val="none" w:sz="0" w:space="0" w:color="auto"/>
        <w:bottom w:val="none" w:sz="0" w:space="0" w:color="auto"/>
        <w:right w:val="none" w:sz="0" w:space="0" w:color="auto"/>
      </w:divBdr>
      <w:divsChild>
        <w:div w:id="308363111">
          <w:marLeft w:val="0"/>
          <w:marRight w:val="0"/>
          <w:marTop w:val="0"/>
          <w:marBottom w:val="0"/>
          <w:divBdr>
            <w:top w:val="none" w:sz="0" w:space="0" w:color="auto"/>
            <w:left w:val="none" w:sz="0" w:space="0" w:color="auto"/>
            <w:bottom w:val="none" w:sz="0" w:space="0" w:color="auto"/>
            <w:right w:val="none" w:sz="0" w:space="0" w:color="auto"/>
          </w:divBdr>
          <w:divsChild>
            <w:div w:id="2068918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562777">
      <w:bodyDiv w:val="1"/>
      <w:marLeft w:val="0"/>
      <w:marRight w:val="0"/>
      <w:marTop w:val="0"/>
      <w:marBottom w:val="0"/>
      <w:divBdr>
        <w:top w:val="none" w:sz="0" w:space="0" w:color="auto"/>
        <w:left w:val="none" w:sz="0" w:space="0" w:color="auto"/>
        <w:bottom w:val="none" w:sz="0" w:space="0" w:color="auto"/>
        <w:right w:val="none" w:sz="0" w:space="0" w:color="auto"/>
      </w:divBdr>
      <w:divsChild>
        <w:div w:id="1777409736">
          <w:marLeft w:val="0"/>
          <w:marRight w:val="0"/>
          <w:marTop w:val="0"/>
          <w:marBottom w:val="0"/>
          <w:divBdr>
            <w:top w:val="none" w:sz="0" w:space="0" w:color="auto"/>
            <w:left w:val="none" w:sz="0" w:space="0" w:color="auto"/>
            <w:bottom w:val="none" w:sz="0" w:space="0" w:color="auto"/>
            <w:right w:val="none" w:sz="0" w:space="0" w:color="auto"/>
          </w:divBdr>
          <w:divsChild>
            <w:div w:id="1343245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5098117">
      <w:bodyDiv w:val="1"/>
      <w:marLeft w:val="0"/>
      <w:marRight w:val="0"/>
      <w:marTop w:val="0"/>
      <w:marBottom w:val="0"/>
      <w:divBdr>
        <w:top w:val="none" w:sz="0" w:space="0" w:color="auto"/>
        <w:left w:val="none" w:sz="0" w:space="0" w:color="auto"/>
        <w:bottom w:val="none" w:sz="0" w:space="0" w:color="auto"/>
        <w:right w:val="none" w:sz="0" w:space="0" w:color="auto"/>
      </w:divBdr>
      <w:divsChild>
        <w:div w:id="1363943532">
          <w:marLeft w:val="0"/>
          <w:marRight w:val="0"/>
          <w:marTop w:val="0"/>
          <w:marBottom w:val="0"/>
          <w:divBdr>
            <w:top w:val="none" w:sz="0" w:space="0" w:color="auto"/>
            <w:left w:val="none" w:sz="0" w:space="0" w:color="auto"/>
            <w:bottom w:val="none" w:sz="0" w:space="0" w:color="auto"/>
            <w:right w:val="none" w:sz="0" w:space="0" w:color="auto"/>
          </w:divBdr>
          <w:divsChild>
            <w:div w:id="45521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553996">
      <w:bodyDiv w:val="1"/>
      <w:marLeft w:val="0"/>
      <w:marRight w:val="0"/>
      <w:marTop w:val="0"/>
      <w:marBottom w:val="0"/>
      <w:divBdr>
        <w:top w:val="none" w:sz="0" w:space="0" w:color="auto"/>
        <w:left w:val="none" w:sz="0" w:space="0" w:color="auto"/>
        <w:bottom w:val="none" w:sz="0" w:space="0" w:color="auto"/>
        <w:right w:val="none" w:sz="0" w:space="0" w:color="auto"/>
      </w:divBdr>
      <w:divsChild>
        <w:div w:id="132332544">
          <w:marLeft w:val="0"/>
          <w:marRight w:val="0"/>
          <w:marTop w:val="0"/>
          <w:marBottom w:val="0"/>
          <w:divBdr>
            <w:top w:val="none" w:sz="0" w:space="0" w:color="auto"/>
            <w:left w:val="none" w:sz="0" w:space="0" w:color="auto"/>
            <w:bottom w:val="none" w:sz="0" w:space="0" w:color="auto"/>
            <w:right w:val="none" w:sz="0" w:space="0" w:color="auto"/>
          </w:divBdr>
          <w:divsChild>
            <w:div w:id="1698038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075666">
      <w:bodyDiv w:val="1"/>
      <w:marLeft w:val="0"/>
      <w:marRight w:val="0"/>
      <w:marTop w:val="0"/>
      <w:marBottom w:val="0"/>
      <w:divBdr>
        <w:top w:val="none" w:sz="0" w:space="0" w:color="auto"/>
        <w:left w:val="none" w:sz="0" w:space="0" w:color="auto"/>
        <w:bottom w:val="none" w:sz="0" w:space="0" w:color="auto"/>
        <w:right w:val="none" w:sz="0" w:space="0" w:color="auto"/>
      </w:divBdr>
      <w:divsChild>
        <w:div w:id="603417463">
          <w:marLeft w:val="0"/>
          <w:marRight w:val="0"/>
          <w:marTop w:val="0"/>
          <w:marBottom w:val="0"/>
          <w:divBdr>
            <w:top w:val="none" w:sz="0" w:space="0" w:color="auto"/>
            <w:left w:val="none" w:sz="0" w:space="0" w:color="auto"/>
            <w:bottom w:val="none" w:sz="0" w:space="0" w:color="auto"/>
            <w:right w:val="none" w:sz="0" w:space="0" w:color="auto"/>
          </w:divBdr>
          <w:divsChild>
            <w:div w:id="1864594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755348">
      <w:bodyDiv w:val="1"/>
      <w:marLeft w:val="0"/>
      <w:marRight w:val="0"/>
      <w:marTop w:val="0"/>
      <w:marBottom w:val="0"/>
      <w:divBdr>
        <w:top w:val="none" w:sz="0" w:space="0" w:color="auto"/>
        <w:left w:val="none" w:sz="0" w:space="0" w:color="auto"/>
        <w:bottom w:val="none" w:sz="0" w:space="0" w:color="auto"/>
        <w:right w:val="none" w:sz="0" w:space="0" w:color="auto"/>
      </w:divBdr>
      <w:divsChild>
        <w:div w:id="759759641">
          <w:marLeft w:val="0"/>
          <w:marRight w:val="0"/>
          <w:marTop w:val="0"/>
          <w:marBottom w:val="0"/>
          <w:divBdr>
            <w:top w:val="none" w:sz="0" w:space="0" w:color="auto"/>
            <w:left w:val="none" w:sz="0" w:space="0" w:color="auto"/>
            <w:bottom w:val="none" w:sz="0" w:space="0" w:color="auto"/>
            <w:right w:val="none" w:sz="0" w:space="0" w:color="auto"/>
          </w:divBdr>
          <w:divsChild>
            <w:div w:id="335773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9953326">
      <w:bodyDiv w:val="1"/>
      <w:marLeft w:val="0"/>
      <w:marRight w:val="0"/>
      <w:marTop w:val="0"/>
      <w:marBottom w:val="0"/>
      <w:divBdr>
        <w:top w:val="none" w:sz="0" w:space="0" w:color="auto"/>
        <w:left w:val="none" w:sz="0" w:space="0" w:color="auto"/>
        <w:bottom w:val="none" w:sz="0" w:space="0" w:color="auto"/>
        <w:right w:val="none" w:sz="0" w:space="0" w:color="auto"/>
      </w:divBdr>
      <w:divsChild>
        <w:div w:id="2047287175">
          <w:marLeft w:val="0"/>
          <w:marRight w:val="0"/>
          <w:marTop w:val="0"/>
          <w:marBottom w:val="0"/>
          <w:divBdr>
            <w:top w:val="none" w:sz="0" w:space="0" w:color="auto"/>
            <w:left w:val="none" w:sz="0" w:space="0" w:color="auto"/>
            <w:bottom w:val="none" w:sz="0" w:space="0" w:color="auto"/>
            <w:right w:val="none" w:sz="0" w:space="0" w:color="auto"/>
          </w:divBdr>
          <w:divsChild>
            <w:div w:id="594090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support.activision.com/call-of-duty--black-ops-iii/articles/call-of-duty-black-ops-iii-security-enforcement-policy" TargetMode="External"/><Relationship Id="rId18" Type="http://schemas.openxmlformats.org/officeDocument/2006/relationships/hyperlink" Target="https://tos.ea.com/legalapp/WEBTERMS/US/en/PC" TargetMode="External"/><Relationship Id="rId26" Type="http://schemas.openxmlformats.org/officeDocument/2006/relationships/hyperlink" Target="https://doi.org/10.1111/asap.12308" TargetMode="External"/><Relationship Id="rId3" Type="http://schemas.openxmlformats.org/officeDocument/2006/relationships/styles" Target="styles.xml"/><Relationship Id="rId21" Type="http://schemas.openxmlformats.org/officeDocument/2006/relationships/hyperlink" Target="https://doi.org/10.5204/ijcjsd.2138"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gamedeveloper.com/business/about-1-600-women-received-payments-from-riot-games-after-discrimination-suit" TargetMode="External"/><Relationship Id="rId25" Type="http://schemas.openxmlformats.org/officeDocument/2006/relationships/hyperlink" Target="https://doi.org/10.1080/1057610X.2023.2244192" TargetMode="External"/><Relationship Id="rId2" Type="http://schemas.openxmlformats.org/officeDocument/2006/relationships/numbering" Target="numbering.xml"/><Relationship Id="rId16" Type="http://schemas.openxmlformats.org/officeDocument/2006/relationships/hyperlink" Target="https://www.polygon.com/2019/4/23/18507750/fortnite-work-crunch-epic-games" TargetMode="External"/><Relationship Id="rId20" Type="http://schemas.openxmlformats.org/officeDocument/2006/relationships/hyperlink" Target="https://doi.org/10.1145/3555551" TargetMode="External"/><Relationship Id="rId29" Type="http://schemas.openxmlformats.org/officeDocument/2006/relationships/hyperlink" Target="https://www.ign.com/articles/riot-games-will-compensate-1548-women-for-gender-discrimination"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statista.com/topics/1680/gaming/"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doi.org/10.1080/09589236.2023.2260318" TargetMode="External"/><Relationship Id="rId23" Type="http://schemas.openxmlformats.org/officeDocument/2006/relationships/hyperlink" Target="https://doi.org/10.1080/10714421.2024.2383814" TargetMode="External"/><Relationship Id="rId28" Type="http://schemas.openxmlformats.org/officeDocument/2006/relationships/hyperlink" Target="https://www.womeningames.org/over-half-of-women-gamers-experience-online-abuse-new-research/" TargetMode="External"/><Relationship Id="rId10" Type="http://schemas.openxmlformats.org/officeDocument/2006/relationships/footer" Target="footer1.xml"/><Relationship Id="rId19" Type="http://schemas.openxmlformats.org/officeDocument/2006/relationships/hyperlink" Target="https://doi.org/10.1177/1097184X17706401"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doi.org/10.1017/ehs.2023.22" TargetMode="External"/><Relationship Id="rId22" Type="http://schemas.openxmlformats.org/officeDocument/2006/relationships/hyperlink" Target="https://doi.org/10.1080/14680777.2018.1450351" TargetMode="External"/><Relationship Id="rId27" Type="http://schemas.openxmlformats.org/officeDocument/2006/relationships/hyperlink" Target="https://doi.org/10.1111/1468-005X.00115" TargetMode="External"/><Relationship Id="rId30" Type="http://schemas.openxmlformats.org/officeDocument/2006/relationships/hyperlink" Target="https://support.xbox.com/en-GB/help/family-online-safety/enforcement/protecting-players-from-harass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74ADDC-BF16-4F37-80CA-FD2393CAA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16796</Words>
  <Characters>95739</Characters>
  <Application>Microsoft Office Word</Application>
  <DocSecurity>0</DocSecurity>
  <Lines>797</Lines>
  <Paragraphs>224</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112311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Bethan James</cp:lastModifiedBy>
  <cp:revision>2</cp:revision>
  <cp:lastPrinted>2024-05-13T10:13:00Z</cp:lastPrinted>
  <dcterms:created xsi:type="dcterms:W3CDTF">2025-02-28T20:11:00Z</dcterms:created>
  <dcterms:modified xsi:type="dcterms:W3CDTF">2025-02-28T20:11:00Z</dcterms:modified>
</cp:coreProperties>
</file>