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35345FA" w:rsidR="7908378C" w:rsidRDefault="7908378C" w:rsidP="33572C6E">
            <w:pPr>
              <w:ind w:right="237"/>
              <w:rPr>
                <w:b/>
                <w:bCs/>
                <w:color w:val="auto"/>
                <w:sz w:val="32"/>
                <w:szCs w:val="32"/>
              </w:rPr>
            </w:pPr>
            <w:r w:rsidRPr="33572C6E">
              <w:rPr>
                <w:b/>
                <w:bCs/>
                <w:color w:val="auto"/>
                <w:sz w:val="32"/>
                <w:szCs w:val="32"/>
              </w:rPr>
              <w:t xml:space="preserve">Learner name: </w:t>
            </w:r>
            <w:r w:rsidR="00AC5148">
              <w:rPr>
                <w:b/>
                <w:bCs/>
                <w:color w:val="auto"/>
                <w:sz w:val="32"/>
                <w:szCs w:val="32"/>
              </w:rPr>
              <w:t>Lois Collins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20BBFD4B" w14:textId="77777777" w:rsidR="00AC5148" w:rsidRPr="00AC5148" w:rsidRDefault="00AC5148" w:rsidP="00AC5148">
            <w:pPr>
              <w:ind w:right="237"/>
              <w:rPr>
                <w:b/>
                <w:bCs/>
                <w:color w:val="auto"/>
                <w:sz w:val="32"/>
                <w:szCs w:val="32"/>
              </w:rPr>
            </w:pPr>
            <w:r w:rsidRPr="00AC5148">
              <w:rPr>
                <w:b/>
                <w:bCs/>
                <w:color w:val="auto"/>
                <w:sz w:val="32"/>
                <w:szCs w:val="32"/>
              </w:rPr>
              <w:t>2131763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550D5E6" w14:textId="77777777" w:rsidR="007E1F14" w:rsidRDefault="007E1F14" w:rsidP="5B843AF0">
      <w:pPr>
        <w:ind w:right="237"/>
        <w:jc w:val="both"/>
        <w:rPr>
          <w:rFonts w:eastAsia="Arial"/>
          <w:b/>
          <w:bCs/>
          <w:color w:val="000000" w:themeColor="text1"/>
          <w:sz w:val="24"/>
          <w:szCs w:val="24"/>
        </w:rPr>
      </w:pPr>
    </w:p>
    <w:p w14:paraId="58422DF1" w14:textId="77777777" w:rsidR="002D0502" w:rsidRDefault="007E1F14" w:rsidP="5B843AF0">
      <w:pPr>
        <w:ind w:right="237"/>
        <w:jc w:val="both"/>
        <w:rPr>
          <w:rFonts w:eastAsia="Arial"/>
          <w:color w:val="000000" w:themeColor="text1"/>
          <w:sz w:val="24"/>
          <w:szCs w:val="24"/>
        </w:rPr>
      </w:pPr>
      <w:r w:rsidRPr="007E1F14">
        <w:rPr>
          <w:rFonts w:eastAsia="Arial"/>
          <w:color w:val="000000" w:themeColor="text1"/>
          <w:sz w:val="24"/>
          <w:szCs w:val="24"/>
        </w:rPr>
        <w:t xml:space="preserve">This essay will explore </w:t>
      </w:r>
      <w:r>
        <w:rPr>
          <w:rFonts w:eastAsia="Arial"/>
          <w:color w:val="000000" w:themeColor="text1"/>
          <w:sz w:val="24"/>
          <w:szCs w:val="24"/>
        </w:rPr>
        <w:t>a domestic incident I attended during my role as a police officer whereby I played a crucial part in dealing with the victim.</w:t>
      </w:r>
      <w:r w:rsidR="00F46AD7">
        <w:rPr>
          <w:rFonts w:eastAsia="Arial"/>
          <w:color w:val="000000" w:themeColor="text1"/>
          <w:sz w:val="24"/>
          <w:szCs w:val="24"/>
        </w:rPr>
        <w:t xml:space="preserve"> During this essay I will use Gibbs Model of Reflection (1988) </w:t>
      </w:r>
      <w:r w:rsidR="00535A69">
        <w:rPr>
          <w:rFonts w:eastAsia="Arial"/>
          <w:color w:val="000000" w:themeColor="text1"/>
          <w:sz w:val="24"/>
          <w:szCs w:val="24"/>
        </w:rPr>
        <w:t xml:space="preserve">as a framework </w:t>
      </w:r>
      <w:r w:rsidR="00F46AD7">
        <w:rPr>
          <w:rFonts w:eastAsia="Arial"/>
          <w:color w:val="000000" w:themeColor="text1"/>
          <w:sz w:val="24"/>
          <w:szCs w:val="24"/>
        </w:rPr>
        <w:t>to reflect on what happened</w:t>
      </w:r>
      <w:r w:rsidR="002D0502">
        <w:rPr>
          <w:rFonts w:eastAsia="Arial"/>
          <w:color w:val="000000" w:themeColor="text1"/>
          <w:sz w:val="24"/>
          <w:szCs w:val="24"/>
        </w:rPr>
        <w:t xml:space="preserve">, exploring the actions I took during the incident and the impact whilst </w:t>
      </w:r>
      <w:proofErr w:type="gramStart"/>
      <w:r w:rsidR="002D0502">
        <w:rPr>
          <w:rFonts w:eastAsia="Arial"/>
          <w:color w:val="000000" w:themeColor="text1"/>
          <w:sz w:val="24"/>
          <w:szCs w:val="24"/>
        </w:rPr>
        <w:t>taking into account</w:t>
      </w:r>
      <w:proofErr w:type="gramEnd"/>
      <w:r w:rsidR="002D0502">
        <w:rPr>
          <w:rFonts w:eastAsia="Arial"/>
          <w:color w:val="000000" w:themeColor="text1"/>
          <w:sz w:val="24"/>
          <w:szCs w:val="24"/>
        </w:rPr>
        <w:t xml:space="preserve"> social, cultural and legislative contexts</w:t>
      </w:r>
      <w:r w:rsidR="00F46AD7">
        <w:rPr>
          <w:rFonts w:eastAsia="Arial"/>
          <w:color w:val="000000" w:themeColor="text1"/>
          <w:sz w:val="24"/>
          <w:szCs w:val="24"/>
        </w:rPr>
        <w:t>.</w:t>
      </w:r>
      <w:r w:rsidR="004E1383">
        <w:rPr>
          <w:rFonts w:eastAsia="Arial"/>
          <w:color w:val="000000" w:themeColor="text1"/>
          <w:sz w:val="24"/>
          <w:szCs w:val="24"/>
        </w:rPr>
        <w:t xml:space="preserve"> This discussion will critically evaluate different approaches of how police and other agencies support vulnerable people who are victims of domestic abuse. Finally</w:t>
      </w:r>
      <w:r w:rsidR="002D0502">
        <w:rPr>
          <w:rFonts w:eastAsia="Arial"/>
          <w:color w:val="000000" w:themeColor="text1"/>
          <w:sz w:val="24"/>
          <w:szCs w:val="24"/>
        </w:rPr>
        <w:t>,</w:t>
      </w:r>
      <w:r w:rsidR="004E1383">
        <w:rPr>
          <w:rFonts w:eastAsia="Arial"/>
          <w:color w:val="000000" w:themeColor="text1"/>
          <w:sz w:val="24"/>
          <w:szCs w:val="24"/>
        </w:rPr>
        <w:t xml:space="preserve"> this essay will explore the effectiveness of </w:t>
      </w:r>
      <w:r w:rsidR="002D0502">
        <w:rPr>
          <w:rFonts w:eastAsia="Arial"/>
          <w:color w:val="000000" w:themeColor="text1"/>
          <w:sz w:val="24"/>
          <w:szCs w:val="24"/>
        </w:rPr>
        <w:t>reducing</w:t>
      </w:r>
      <w:r w:rsidR="004E1383">
        <w:rPr>
          <w:rFonts w:eastAsia="Arial"/>
          <w:color w:val="000000" w:themeColor="text1"/>
          <w:sz w:val="24"/>
          <w:szCs w:val="24"/>
        </w:rPr>
        <w:t xml:space="preserve"> repeat victimisation using evidence-based policing.</w:t>
      </w:r>
    </w:p>
    <w:p w14:paraId="7C4A8C26" w14:textId="77777777" w:rsidR="002D0502" w:rsidRDefault="002D0502" w:rsidP="5B843AF0">
      <w:pPr>
        <w:ind w:right="237"/>
        <w:jc w:val="both"/>
        <w:rPr>
          <w:rFonts w:eastAsia="Arial"/>
          <w:color w:val="000000" w:themeColor="text1"/>
          <w:sz w:val="24"/>
          <w:szCs w:val="24"/>
        </w:rPr>
      </w:pPr>
    </w:p>
    <w:p w14:paraId="5BED2B2B" w14:textId="63D6931C" w:rsidR="00F22695" w:rsidRDefault="00F22695" w:rsidP="004203C4">
      <w:pPr>
        <w:ind w:right="237"/>
        <w:jc w:val="both"/>
        <w:rPr>
          <w:rFonts w:eastAsia="Arial"/>
          <w:color w:val="000000" w:themeColor="text1"/>
          <w:sz w:val="24"/>
          <w:szCs w:val="24"/>
        </w:rPr>
      </w:pPr>
      <w:r>
        <w:rPr>
          <w:rFonts w:eastAsia="Arial"/>
          <w:color w:val="000000" w:themeColor="text1"/>
          <w:sz w:val="24"/>
          <w:szCs w:val="24"/>
        </w:rPr>
        <w:t xml:space="preserve">Gibbs Model of Reflection (1988) is a </w:t>
      </w:r>
      <w:proofErr w:type="gramStart"/>
      <w:r>
        <w:rPr>
          <w:rFonts w:eastAsia="Arial"/>
          <w:color w:val="000000" w:themeColor="text1"/>
          <w:sz w:val="24"/>
          <w:szCs w:val="24"/>
        </w:rPr>
        <w:t>six stage</w:t>
      </w:r>
      <w:proofErr w:type="gramEnd"/>
      <w:r>
        <w:rPr>
          <w:rFonts w:eastAsia="Arial"/>
          <w:color w:val="000000" w:themeColor="text1"/>
          <w:sz w:val="24"/>
          <w:szCs w:val="24"/>
        </w:rPr>
        <w:t xml:space="preserve"> model that helps an individual reflect on their experiences in a structured way which include: description, feelings, evaluation, analysis, conclusion and action plan</w:t>
      </w:r>
      <w:r w:rsidR="00116DAA">
        <w:rPr>
          <w:rFonts w:eastAsia="Arial"/>
          <w:color w:val="000000" w:themeColor="text1"/>
          <w:sz w:val="24"/>
          <w:szCs w:val="24"/>
        </w:rPr>
        <w:t xml:space="preserve">. </w:t>
      </w:r>
      <w:r>
        <w:rPr>
          <w:rFonts w:eastAsia="Arial"/>
          <w:color w:val="000000" w:themeColor="text1"/>
          <w:sz w:val="24"/>
          <w:szCs w:val="24"/>
        </w:rPr>
        <w:t>I will use Gibbs Model of Reflection to reflect on my ability to deal with a domestic situation.</w:t>
      </w:r>
    </w:p>
    <w:p w14:paraId="2CFE5716" w14:textId="77777777" w:rsidR="00F22695" w:rsidRDefault="00F22695" w:rsidP="004203C4">
      <w:pPr>
        <w:ind w:right="237"/>
        <w:jc w:val="both"/>
        <w:rPr>
          <w:rFonts w:eastAsia="Arial"/>
          <w:color w:val="000000" w:themeColor="text1"/>
          <w:sz w:val="24"/>
          <w:szCs w:val="24"/>
        </w:rPr>
      </w:pPr>
    </w:p>
    <w:p w14:paraId="5505BC67" w14:textId="33D2F5D1" w:rsidR="002A2440" w:rsidRDefault="002A2440" w:rsidP="004203C4">
      <w:pPr>
        <w:ind w:right="237"/>
        <w:jc w:val="both"/>
        <w:rPr>
          <w:rFonts w:eastAsia="Arial"/>
          <w:color w:val="000000" w:themeColor="text1"/>
          <w:sz w:val="24"/>
          <w:szCs w:val="24"/>
        </w:rPr>
      </w:pPr>
      <w:r>
        <w:rPr>
          <w:rFonts w:eastAsia="Arial"/>
          <w:color w:val="000000" w:themeColor="text1"/>
          <w:sz w:val="24"/>
          <w:szCs w:val="24"/>
        </w:rPr>
        <w:t>The first stage of Gibbs Model of reflection (1988) cycle is description, this essay will look at describing the events of a domestic incident, who was involved which includes a female who is the victim and a male who is the perpetrator and the outcome of the incident which led to an arrest.</w:t>
      </w:r>
    </w:p>
    <w:p w14:paraId="673DE521" w14:textId="77777777" w:rsidR="002A2440" w:rsidRDefault="002A2440" w:rsidP="004203C4">
      <w:pPr>
        <w:ind w:right="237"/>
        <w:jc w:val="both"/>
        <w:rPr>
          <w:rFonts w:eastAsia="Arial"/>
          <w:color w:val="000000" w:themeColor="text1"/>
          <w:sz w:val="24"/>
          <w:szCs w:val="24"/>
        </w:rPr>
      </w:pPr>
    </w:p>
    <w:p w14:paraId="3BB23A5F" w14:textId="34D09F57" w:rsidR="00477DC2" w:rsidRDefault="002D0502" w:rsidP="004203C4">
      <w:pPr>
        <w:ind w:right="237"/>
        <w:jc w:val="both"/>
        <w:rPr>
          <w:rFonts w:eastAsia="Arial"/>
          <w:color w:val="000000" w:themeColor="text1"/>
          <w:sz w:val="24"/>
          <w:szCs w:val="24"/>
        </w:rPr>
      </w:pPr>
      <w:r>
        <w:rPr>
          <w:rFonts w:eastAsia="Arial"/>
          <w:color w:val="000000" w:themeColor="text1"/>
          <w:sz w:val="24"/>
          <w:szCs w:val="24"/>
        </w:rPr>
        <w:t xml:space="preserve">Whilst conducting my duty as a police officer I was asked to respond to an emergency call which was to a potential domestic disturbance. </w:t>
      </w:r>
      <w:r w:rsidR="000B7467">
        <w:rPr>
          <w:rFonts w:eastAsia="Arial"/>
          <w:color w:val="000000" w:themeColor="text1"/>
          <w:sz w:val="24"/>
          <w:szCs w:val="24"/>
        </w:rPr>
        <w:t xml:space="preserve">The call originated from a neighbour who stated that she could hear an ongoing argument between the couple that lived next door. The couple were unknown to police and there was no information relating to them on the police system. On arrival a male answered the </w:t>
      </w:r>
      <w:r w:rsidR="000B7467">
        <w:rPr>
          <w:rFonts w:eastAsia="Arial"/>
          <w:color w:val="000000" w:themeColor="text1"/>
          <w:sz w:val="24"/>
          <w:szCs w:val="24"/>
        </w:rPr>
        <w:lastRenderedPageBreak/>
        <w:t xml:space="preserve">door and was dismissive towards myself and my colleague and did not want us to enter his property. Due to this I started to think about my powers with relation to entering the property. I explained to the male that I </w:t>
      </w:r>
      <w:r w:rsidR="004203C4">
        <w:rPr>
          <w:rFonts w:eastAsia="Arial"/>
          <w:color w:val="000000" w:themeColor="text1"/>
          <w:sz w:val="24"/>
          <w:szCs w:val="24"/>
        </w:rPr>
        <w:t xml:space="preserve">had a </w:t>
      </w:r>
      <w:r w:rsidR="00034EBB">
        <w:rPr>
          <w:rFonts w:eastAsia="Arial"/>
          <w:color w:val="000000" w:themeColor="text1"/>
          <w:sz w:val="24"/>
          <w:szCs w:val="24"/>
        </w:rPr>
        <w:t>legal power</w:t>
      </w:r>
      <w:r w:rsidR="004203C4">
        <w:rPr>
          <w:rFonts w:eastAsia="Arial"/>
          <w:color w:val="000000" w:themeColor="text1"/>
          <w:sz w:val="24"/>
          <w:szCs w:val="24"/>
        </w:rPr>
        <w:t xml:space="preserve"> to enter </w:t>
      </w:r>
      <w:r w:rsidR="00034EBB">
        <w:rPr>
          <w:rFonts w:eastAsia="Arial"/>
          <w:color w:val="000000" w:themeColor="text1"/>
          <w:sz w:val="24"/>
          <w:szCs w:val="24"/>
        </w:rPr>
        <w:t xml:space="preserve">the property </w:t>
      </w:r>
      <w:r w:rsidR="004203C4">
        <w:rPr>
          <w:rFonts w:eastAsia="Arial"/>
          <w:color w:val="000000" w:themeColor="text1"/>
          <w:sz w:val="24"/>
          <w:szCs w:val="24"/>
        </w:rPr>
        <w:t>under Section 17 of the Police and Criminal Evidence Act (1984) which states “</w:t>
      </w:r>
      <w:r w:rsidR="004203C4" w:rsidRPr="004203C4">
        <w:rPr>
          <w:rFonts w:eastAsia="Arial"/>
          <w:color w:val="000000" w:themeColor="text1"/>
          <w:sz w:val="24"/>
          <w:szCs w:val="24"/>
        </w:rPr>
        <w:t>To enter and search any premises to:</w:t>
      </w:r>
      <w:r w:rsidR="004203C4">
        <w:rPr>
          <w:rFonts w:eastAsia="Arial"/>
          <w:color w:val="000000" w:themeColor="text1"/>
          <w:sz w:val="24"/>
          <w:szCs w:val="24"/>
        </w:rPr>
        <w:t xml:space="preserve"> </w:t>
      </w:r>
      <w:r w:rsidR="004203C4" w:rsidRPr="004203C4">
        <w:rPr>
          <w:rFonts w:eastAsia="Arial"/>
          <w:color w:val="000000" w:themeColor="text1"/>
          <w:sz w:val="24"/>
          <w:szCs w:val="24"/>
        </w:rPr>
        <w:t>execute an arrest warrant, arrest or recapture a person on any premises</w:t>
      </w:r>
      <w:r w:rsidR="004203C4">
        <w:rPr>
          <w:rFonts w:eastAsia="Arial"/>
          <w:color w:val="000000" w:themeColor="text1"/>
          <w:sz w:val="24"/>
          <w:szCs w:val="24"/>
        </w:rPr>
        <w:t xml:space="preserve"> or </w:t>
      </w:r>
      <w:r w:rsidR="004203C4" w:rsidRPr="004203C4">
        <w:rPr>
          <w:rFonts w:eastAsia="Arial"/>
          <w:color w:val="000000" w:themeColor="text1"/>
          <w:sz w:val="24"/>
          <w:szCs w:val="24"/>
        </w:rPr>
        <w:t>save life and limb or prevent serious damage to property</w:t>
      </w:r>
      <w:r w:rsidR="004203C4">
        <w:rPr>
          <w:rFonts w:eastAsia="Arial"/>
          <w:color w:val="000000" w:themeColor="text1"/>
          <w:sz w:val="24"/>
          <w:szCs w:val="24"/>
        </w:rPr>
        <w:t>”.</w:t>
      </w:r>
      <w:r w:rsidR="00034EBB">
        <w:rPr>
          <w:rFonts w:eastAsia="Arial"/>
          <w:color w:val="000000" w:themeColor="text1"/>
          <w:sz w:val="24"/>
          <w:szCs w:val="24"/>
        </w:rPr>
        <w:t xml:space="preserve"> </w:t>
      </w:r>
      <w:r w:rsidR="00E04650">
        <w:rPr>
          <w:rFonts w:eastAsia="Arial"/>
          <w:color w:val="000000" w:themeColor="text1"/>
          <w:sz w:val="24"/>
          <w:szCs w:val="24"/>
        </w:rPr>
        <w:t xml:space="preserve">Upon explaining the </w:t>
      </w:r>
      <w:proofErr w:type="gramStart"/>
      <w:r w:rsidR="00E04650">
        <w:rPr>
          <w:rFonts w:eastAsia="Arial"/>
          <w:color w:val="000000" w:themeColor="text1"/>
          <w:sz w:val="24"/>
          <w:szCs w:val="24"/>
        </w:rPr>
        <w:t>legislation</w:t>
      </w:r>
      <w:proofErr w:type="gramEnd"/>
      <w:r w:rsidR="005E5568">
        <w:rPr>
          <w:rFonts w:eastAsia="Arial"/>
          <w:color w:val="000000" w:themeColor="text1"/>
          <w:sz w:val="24"/>
          <w:szCs w:val="24"/>
        </w:rPr>
        <w:t xml:space="preserve"> the male allowed for me to enter, I went straight to the female who was visibly upset and looked like she had been crying.</w:t>
      </w:r>
      <w:r w:rsidR="00477DC2">
        <w:rPr>
          <w:rFonts w:eastAsia="Arial"/>
          <w:color w:val="000000" w:themeColor="text1"/>
          <w:sz w:val="24"/>
          <w:szCs w:val="24"/>
        </w:rPr>
        <w:t xml:space="preserve"> In the living room of the address there were signs of a disturbance, furniture was scattered across the living room and there was liquid over the floor.</w:t>
      </w:r>
    </w:p>
    <w:p w14:paraId="42C8E7C0" w14:textId="77777777" w:rsidR="00477DC2" w:rsidRDefault="00477DC2" w:rsidP="004203C4">
      <w:pPr>
        <w:ind w:right="237"/>
        <w:jc w:val="both"/>
        <w:rPr>
          <w:rFonts w:eastAsia="Arial"/>
          <w:color w:val="000000" w:themeColor="text1"/>
          <w:sz w:val="24"/>
          <w:szCs w:val="24"/>
        </w:rPr>
      </w:pPr>
    </w:p>
    <w:p w14:paraId="65FF219C" w14:textId="6930978A" w:rsidR="005E77EF" w:rsidRDefault="00477DC2" w:rsidP="004203C4">
      <w:pPr>
        <w:ind w:right="237"/>
        <w:jc w:val="both"/>
        <w:rPr>
          <w:rFonts w:eastAsia="Arial"/>
          <w:color w:val="000000" w:themeColor="text1"/>
          <w:sz w:val="24"/>
          <w:szCs w:val="24"/>
        </w:rPr>
      </w:pPr>
      <w:r>
        <w:rPr>
          <w:rFonts w:eastAsia="Arial"/>
          <w:color w:val="000000" w:themeColor="text1"/>
          <w:sz w:val="24"/>
          <w:szCs w:val="24"/>
        </w:rPr>
        <w:t>The female was not originally from the UK and did not speak great English. The female was reluctant to speak to m</w:t>
      </w:r>
      <w:r w:rsidR="004E2F97">
        <w:rPr>
          <w:rFonts w:eastAsia="Arial"/>
          <w:color w:val="000000" w:themeColor="text1"/>
          <w:sz w:val="24"/>
          <w:szCs w:val="24"/>
        </w:rPr>
        <w:t>yself</w:t>
      </w:r>
      <w:r>
        <w:rPr>
          <w:rFonts w:eastAsia="Arial"/>
          <w:color w:val="000000" w:themeColor="text1"/>
          <w:sz w:val="24"/>
          <w:szCs w:val="24"/>
        </w:rPr>
        <w:t xml:space="preserve"> and was happy for the male to speak on her behalf. I did not feel this was appropriate and decided to take the female into a different room to speak with her on her own to obtain an independent account. The female was very frightened and showed signs of emotional trauma, she was jumping at any slight noise. The female kept repeating for the police to leave or she will be in trouble. Due to the language </w:t>
      </w:r>
      <w:r w:rsidR="004E2F97">
        <w:rPr>
          <w:rFonts w:eastAsia="Arial"/>
          <w:color w:val="000000" w:themeColor="text1"/>
          <w:sz w:val="24"/>
          <w:szCs w:val="24"/>
        </w:rPr>
        <w:t>barrier,</w:t>
      </w:r>
      <w:r>
        <w:rPr>
          <w:rFonts w:eastAsia="Arial"/>
          <w:color w:val="000000" w:themeColor="text1"/>
          <w:sz w:val="24"/>
          <w:szCs w:val="24"/>
        </w:rPr>
        <w:t xml:space="preserve"> I have contacted language line for assistance from an interpreter </w:t>
      </w:r>
      <w:r w:rsidR="005461A8">
        <w:rPr>
          <w:rFonts w:eastAsia="Arial"/>
          <w:color w:val="000000" w:themeColor="text1"/>
          <w:sz w:val="24"/>
          <w:szCs w:val="24"/>
        </w:rPr>
        <w:t>to</w:t>
      </w:r>
      <w:r>
        <w:rPr>
          <w:rFonts w:eastAsia="Arial"/>
          <w:color w:val="000000" w:themeColor="text1"/>
          <w:sz w:val="24"/>
          <w:szCs w:val="24"/>
        </w:rPr>
        <w:t xml:space="preserve"> obtain an accurate disclosure. </w:t>
      </w:r>
      <w:r w:rsidR="004E2F97">
        <w:rPr>
          <w:rFonts w:eastAsia="Arial"/>
          <w:color w:val="000000" w:themeColor="text1"/>
          <w:sz w:val="24"/>
          <w:szCs w:val="24"/>
        </w:rPr>
        <w:t>The female disclosed elements of coercive control which included verbal abuse, financial control</w:t>
      </w:r>
      <w:r w:rsidR="00214C11">
        <w:rPr>
          <w:rFonts w:eastAsia="Arial"/>
          <w:color w:val="000000" w:themeColor="text1"/>
          <w:sz w:val="24"/>
          <w:szCs w:val="24"/>
        </w:rPr>
        <w:t>, monitoring online communication and</w:t>
      </w:r>
      <w:r w:rsidR="004E2F97">
        <w:rPr>
          <w:rFonts w:eastAsia="Arial"/>
          <w:color w:val="000000" w:themeColor="text1"/>
          <w:sz w:val="24"/>
          <w:szCs w:val="24"/>
        </w:rPr>
        <w:t xml:space="preserve"> isolation from family and friends.</w:t>
      </w:r>
      <w:r w:rsidR="005E77EF">
        <w:rPr>
          <w:rFonts w:eastAsia="Arial"/>
          <w:color w:val="000000" w:themeColor="text1"/>
          <w:sz w:val="24"/>
          <w:szCs w:val="24"/>
        </w:rPr>
        <w:t xml:space="preserve"> The female did not understand that what she disclosed constitutes to a criminal offence</w:t>
      </w:r>
      <w:r w:rsidR="00214C11">
        <w:rPr>
          <w:rFonts w:eastAsia="Arial"/>
          <w:color w:val="000000" w:themeColor="text1"/>
          <w:sz w:val="24"/>
          <w:szCs w:val="24"/>
        </w:rPr>
        <w:t>.</w:t>
      </w:r>
      <w:r w:rsidR="005E77EF">
        <w:rPr>
          <w:rFonts w:eastAsia="Arial"/>
          <w:color w:val="000000" w:themeColor="text1"/>
          <w:sz w:val="24"/>
          <w:szCs w:val="24"/>
        </w:rPr>
        <w:t xml:space="preserve"> I explained to the female that this was an offence under Section 76 of the Serious Crime Act (2015). Section 76 of the Serious Crime Act (2015) states that “a person (A) commits an offence if a repeatedly or continuously engages in behaviour towards another person (B) that is controlling or coercive”. </w:t>
      </w:r>
    </w:p>
    <w:p w14:paraId="6A061211" w14:textId="77777777" w:rsidR="005E77EF" w:rsidRDefault="005E77EF" w:rsidP="004203C4">
      <w:pPr>
        <w:ind w:right="237"/>
        <w:jc w:val="both"/>
        <w:rPr>
          <w:rFonts w:eastAsia="Arial"/>
          <w:color w:val="000000" w:themeColor="text1"/>
          <w:sz w:val="24"/>
          <w:szCs w:val="24"/>
        </w:rPr>
      </w:pPr>
    </w:p>
    <w:p w14:paraId="13FA55D9" w14:textId="63005D06" w:rsidR="004E1383" w:rsidRDefault="004E2F97" w:rsidP="004203C4">
      <w:pPr>
        <w:ind w:right="237"/>
        <w:jc w:val="both"/>
        <w:rPr>
          <w:rFonts w:eastAsia="Arial"/>
          <w:color w:val="000000" w:themeColor="text1"/>
          <w:sz w:val="24"/>
          <w:szCs w:val="24"/>
        </w:rPr>
      </w:pPr>
      <w:r>
        <w:rPr>
          <w:rFonts w:eastAsia="Arial"/>
          <w:color w:val="000000" w:themeColor="text1"/>
          <w:sz w:val="24"/>
          <w:szCs w:val="24"/>
        </w:rPr>
        <w:t xml:space="preserve">The female was not willing to engage with officers and would not provide a positive statement of complaint. I carried out the DASH risk assessment </w:t>
      </w:r>
      <w:r w:rsidR="00214C11">
        <w:rPr>
          <w:rFonts w:eastAsia="Arial"/>
          <w:color w:val="000000" w:themeColor="text1"/>
          <w:sz w:val="24"/>
          <w:szCs w:val="24"/>
        </w:rPr>
        <w:t>to</w:t>
      </w:r>
      <w:r>
        <w:rPr>
          <w:rFonts w:eastAsia="Arial"/>
          <w:color w:val="000000" w:themeColor="text1"/>
          <w:sz w:val="24"/>
          <w:szCs w:val="24"/>
        </w:rPr>
        <w:t xml:space="preserve"> submit a public protection notification </w:t>
      </w:r>
      <w:r w:rsidR="00214C11">
        <w:rPr>
          <w:rFonts w:eastAsia="Arial"/>
          <w:color w:val="000000" w:themeColor="text1"/>
          <w:sz w:val="24"/>
          <w:szCs w:val="24"/>
        </w:rPr>
        <w:t xml:space="preserve">report </w:t>
      </w:r>
      <w:r>
        <w:rPr>
          <w:rFonts w:eastAsia="Arial"/>
          <w:color w:val="000000" w:themeColor="text1"/>
          <w:sz w:val="24"/>
          <w:szCs w:val="24"/>
        </w:rPr>
        <w:t>to safeguard the victim. Although t</w:t>
      </w:r>
      <w:r w:rsidR="00214C11">
        <w:rPr>
          <w:rFonts w:eastAsia="Arial"/>
          <w:color w:val="000000" w:themeColor="text1"/>
          <w:sz w:val="24"/>
          <w:szCs w:val="24"/>
        </w:rPr>
        <w:t>he female answered some of the questions she did not elaborate on her answers. However, from what she did disclose I was able to identify that she was a high-risk victim. The female was signposted to relevant independent support agencies such as Live Fear Free and a referral was made to appoint her with an Independent Domestic Violence Advocate. Due to initial disclosure an arrest was necessary for the male. Following this the process was started for a DVPO and DVPN</w:t>
      </w:r>
      <w:r w:rsidR="000346E4">
        <w:rPr>
          <w:rFonts w:eastAsia="Arial"/>
          <w:color w:val="000000" w:themeColor="text1"/>
          <w:sz w:val="24"/>
          <w:szCs w:val="24"/>
        </w:rPr>
        <w:t xml:space="preserve"> to be put in place. </w:t>
      </w:r>
    </w:p>
    <w:p w14:paraId="5EABFD66" w14:textId="77777777" w:rsidR="000346E4" w:rsidRDefault="000346E4" w:rsidP="004203C4">
      <w:pPr>
        <w:ind w:right="237"/>
        <w:jc w:val="both"/>
        <w:rPr>
          <w:rFonts w:eastAsia="Arial"/>
          <w:color w:val="000000" w:themeColor="text1"/>
          <w:sz w:val="24"/>
          <w:szCs w:val="24"/>
        </w:rPr>
      </w:pPr>
    </w:p>
    <w:p w14:paraId="34209809" w14:textId="2345F58C" w:rsidR="000346E4" w:rsidRDefault="000346E4" w:rsidP="004203C4">
      <w:pPr>
        <w:ind w:right="237"/>
        <w:jc w:val="both"/>
        <w:rPr>
          <w:rFonts w:eastAsia="Arial"/>
          <w:color w:val="000000" w:themeColor="text1"/>
          <w:sz w:val="24"/>
          <w:szCs w:val="24"/>
        </w:rPr>
      </w:pPr>
      <w:r>
        <w:rPr>
          <w:rFonts w:eastAsia="Arial"/>
          <w:color w:val="000000" w:themeColor="text1"/>
          <w:sz w:val="24"/>
          <w:szCs w:val="24"/>
        </w:rPr>
        <w:t xml:space="preserve">The second stage of Gibbs Model of Reflection (1988) is feelings, this essay will look at my feelings and responses during this incident and in addition the thoughts and feelings of the male and female involved. At first, I felt extremely confident with dealing with this incident as I am dealing with domestic calls day in day out. However, this was my first domestic incident where the victim did not speak fluent English. I felt quite anxious as I could see that there was concern for the </w:t>
      </w:r>
      <w:proofErr w:type="gramStart"/>
      <w:r>
        <w:rPr>
          <w:rFonts w:eastAsia="Arial"/>
          <w:color w:val="000000" w:themeColor="text1"/>
          <w:sz w:val="24"/>
          <w:szCs w:val="24"/>
        </w:rPr>
        <w:t>females</w:t>
      </w:r>
      <w:proofErr w:type="gramEnd"/>
      <w:r>
        <w:rPr>
          <w:rFonts w:eastAsia="Arial"/>
          <w:color w:val="000000" w:themeColor="text1"/>
          <w:sz w:val="24"/>
          <w:szCs w:val="24"/>
        </w:rPr>
        <w:t xml:space="preserve"> safety and future wellbeing, I was adamant I wanted to do a good job and protect the female from further harm and abuse. I felt quite disappointed after the female brought to my attention that this is not the first time she has been involved with the police. The female explained how she had been let down by the system and was not provided with any support following previous encounters. Despite this, I wanted to ensure I provided the female with the best possible service by providing her with </w:t>
      </w:r>
      <w:r>
        <w:rPr>
          <w:rFonts w:eastAsia="Arial"/>
          <w:color w:val="000000" w:themeColor="text1"/>
          <w:sz w:val="24"/>
          <w:szCs w:val="24"/>
        </w:rPr>
        <w:lastRenderedPageBreak/>
        <w:t xml:space="preserve">outstanding support to safeguard her. The female told me that she felt she had finally been taken seriously and was thankful for </w:t>
      </w:r>
      <w:r w:rsidR="005461A8">
        <w:rPr>
          <w:rFonts w:eastAsia="Arial"/>
          <w:color w:val="000000" w:themeColor="text1"/>
          <w:sz w:val="24"/>
          <w:szCs w:val="24"/>
        </w:rPr>
        <w:t xml:space="preserve">my colleague and </w:t>
      </w:r>
      <w:proofErr w:type="gramStart"/>
      <w:r w:rsidR="005461A8">
        <w:rPr>
          <w:rFonts w:eastAsia="Arial"/>
          <w:color w:val="000000" w:themeColor="text1"/>
          <w:sz w:val="24"/>
          <w:szCs w:val="24"/>
        </w:rPr>
        <w:t>I.</w:t>
      </w:r>
      <w:proofErr w:type="gramEnd"/>
    </w:p>
    <w:p w14:paraId="1B652BFB" w14:textId="77777777" w:rsidR="005461A8" w:rsidRDefault="005461A8" w:rsidP="004203C4">
      <w:pPr>
        <w:ind w:right="237"/>
        <w:jc w:val="both"/>
        <w:rPr>
          <w:rFonts w:eastAsia="Arial"/>
          <w:color w:val="000000" w:themeColor="text1"/>
          <w:sz w:val="24"/>
          <w:szCs w:val="24"/>
        </w:rPr>
      </w:pPr>
    </w:p>
    <w:p w14:paraId="40FE8414" w14:textId="3F4844A7" w:rsidR="005461A8" w:rsidRDefault="005461A8" w:rsidP="004203C4">
      <w:pPr>
        <w:ind w:right="237"/>
        <w:jc w:val="both"/>
        <w:rPr>
          <w:rFonts w:eastAsia="Arial"/>
          <w:color w:val="000000" w:themeColor="text1"/>
          <w:sz w:val="24"/>
          <w:szCs w:val="24"/>
        </w:rPr>
      </w:pPr>
      <w:r>
        <w:rPr>
          <w:rFonts w:eastAsia="Arial"/>
          <w:color w:val="000000" w:themeColor="text1"/>
          <w:sz w:val="24"/>
          <w:szCs w:val="24"/>
        </w:rPr>
        <w:t>The third stage of Gibbs Model of Reflection (1988) is evaluation, this will look at positive and negative aspects of how I dealt with the incident. This situation was managed in a professional manner and in line with South Wales Police force policy. The use of a telephone interpreter significantly improved the communication between me and the victim. Another positive decision during this incident included separating both female and male enabled the victim to have a safe space to share her account with me.</w:t>
      </w:r>
      <w:r w:rsidR="00AD34F7">
        <w:rPr>
          <w:rFonts w:eastAsia="Arial"/>
          <w:color w:val="000000" w:themeColor="text1"/>
          <w:sz w:val="24"/>
          <w:szCs w:val="24"/>
        </w:rPr>
        <w:t xml:space="preserve"> Upon evaluating this </w:t>
      </w:r>
      <w:proofErr w:type="gramStart"/>
      <w:r w:rsidR="00AD34F7">
        <w:rPr>
          <w:rFonts w:eastAsia="Arial"/>
          <w:color w:val="000000" w:themeColor="text1"/>
          <w:sz w:val="24"/>
          <w:szCs w:val="24"/>
        </w:rPr>
        <w:t>incident</w:t>
      </w:r>
      <w:proofErr w:type="gramEnd"/>
      <w:r w:rsidR="00AD34F7">
        <w:rPr>
          <w:rFonts w:eastAsia="Arial"/>
          <w:color w:val="000000" w:themeColor="text1"/>
          <w:sz w:val="24"/>
          <w:szCs w:val="24"/>
        </w:rPr>
        <w:t xml:space="preserve"> I believe a negative was that an </w:t>
      </w:r>
      <w:proofErr w:type="gramStart"/>
      <w:r w:rsidR="00AD34F7">
        <w:rPr>
          <w:rFonts w:eastAsia="Arial"/>
          <w:color w:val="000000" w:themeColor="text1"/>
          <w:sz w:val="24"/>
          <w:szCs w:val="24"/>
        </w:rPr>
        <w:t>in person</w:t>
      </w:r>
      <w:proofErr w:type="gramEnd"/>
      <w:r w:rsidR="00AD34F7">
        <w:rPr>
          <w:rFonts w:eastAsia="Arial"/>
          <w:color w:val="000000" w:themeColor="text1"/>
          <w:sz w:val="24"/>
          <w:szCs w:val="24"/>
        </w:rPr>
        <w:t xml:space="preserve"> interpreter may have increased the chances of the victim disclosing more offences and willingness to support a police investigation. Another negative was my lack of cultural understanding, this was my first encounter with a victim of domestic abuse from an ethnic minority background. </w:t>
      </w:r>
    </w:p>
    <w:p w14:paraId="5D33AF79" w14:textId="77777777" w:rsidR="00AD34F7" w:rsidRDefault="00AD34F7" w:rsidP="004203C4">
      <w:pPr>
        <w:ind w:right="237"/>
        <w:jc w:val="both"/>
        <w:rPr>
          <w:rFonts w:eastAsia="Arial"/>
          <w:color w:val="000000" w:themeColor="text1"/>
          <w:sz w:val="24"/>
          <w:szCs w:val="24"/>
        </w:rPr>
      </w:pPr>
    </w:p>
    <w:p w14:paraId="5D6F7367" w14:textId="63A1ED73" w:rsidR="002D0502" w:rsidRDefault="00AD34F7" w:rsidP="5B843AF0">
      <w:pPr>
        <w:ind w:right="237"/>
        <w:jc w:val="both"/>
        <w:rPr>
          <w:rFonts w:eastAsia="Arial"/>
          <w:color w:val="000000" w:themeColor="text1"/>
          <w:sz w:val="24"/>
          <w:szCs w:val="24"/>
        </w:rPr>
      </w:pPr>
      <w:r>
        <w:rPr>
          <w:rFonts w:eastAsia="Arial"/>
          <w:color w:val="000000" w:themeColor="text1"/>
          <w:sz w:val="24"/>
          <w:szCs w:val="24"/>
        </w:rPr>
        <w:t>The fourth stage if Gibbs Model of Reflection (1988) is analysis, this looks at why the situation went well and why it didn’t go so well in dealing with this incident.</w:t>
      </w:r>
      <w:r w:rsidR="00C76346">
        <w:rPr>
          <w:rFonts w:eastAsia="Arial"/>
          <w:color w:val="000000" w:themeColor="text1"/>
          <w:sz w:val="24"/>
          <w:szCs w:val="24"/>
        </w:rPr>
        <w:t xml:space="preserve"> When deciding on an outcome and providing the victim with the best possible safeguarding I felt that this went well as I was fully aware of the legislation and force policies surrounding domestic abuse. I felt that a major part that did not go well with this incident was not being able to get the victim to engage and support a police investigation and prosecution. When looking at why she may not support I am under the impression that due to the language barriers and not having an </w:t>
      </w:r>
      <w:proofErr w:type="gramStart"/>
      <w:r w:rsidR="00C76346">
        <w:rPr>
          <w:rFonts w:eastAsia="Arial"/>
          <w:color w:val="000000" w:themeColor="text1"/>
          <w:sz w:val="24"/>
          <w:szCs w:val="24"/>
        </w:rPr>
        <w:t>in person</w:t>
      </w:r>
      <w:proofErr w:type="gramEnd"/>
      <w:r w:rsidR="00C76346">
        <w:rPr>
          <w:rFonts w:eastAsia="Arial"/>
          <w:color w:val="000000" w:themeColor="text1"/>
          <w:sz w:val="24"/>
          <w:szCs w:val="24"/>
        </w:rPr>
        <w:t xml:space="preserve"> interpreter I do not feel the victim felt fully comfortable with disclosing information. </w:t>
      </w:r>
    </w:p>
    <w:p w14:paraId="08F82AC9" w14:textId="77777777" w:rsidR="00C76346" w:rsidRDefault="00C76346" w:rsidP="5B843AF0">
      <w:pPr>
        <w:ind w:right="237"/>
        <w:jc w:val="both"/>
        <w:rPr>
          <w:rFonts w:eastAsia="Arial"/>
          <w:color w:val="000000" w:themeColor="text1"/>
          <w:sz w:val="24"/>
          <w:szCs w:val="24"/>
        </w:rPr>
      </w:pPr>
    </w:p>
    <w:p w14:paraId="47E64A6B" w14:textId="77777777" w:rsidR="00C76346" w:rsidRDefault="00C76346" w:rsidP="5B843AF0">
      <w:pPr>
        <w:ind w:right="237"/>
        <w:jc w:val="both"/>
        <w:rPr>
          <w:rFonts w:eastAsia="Arial"/>
          <w:color w:val="000000" w:themeColor="text1"/>
          <w:sz w:val="24"/>
          <w:szCs w:val="24"/>
        </w:rPr>
      </w:pPr>
      <w:r>
        <w:rPr>
          <w:rFonts w:eastAsia="Arial"/>
          <w:color w:val="000000" w:themeColor="text1"/>
          <w:sz w:val="24"/>
          <w:szCs w:val="24"/>
        </w:rPr>
        <w:t xml:space="preserve">The following stage of Gibbs Model of Reflection (1988) is conclusion, I felt that this incident highlighted the critical role of empathy, cultural awareness and reflective practice in response policing. While I followed South Wales Police </w:t>
      </w:r>
      <w:proofErr w:type="gramStart"/>
      <w:r>
        <w:rPr>
          <w:rFonts w:eastAsia="Arial"/>
          <w:color w:val="000000" w:themeColor="text1"/>
          <w:sz w:val="24"/>
          <w:szCs w:val="24"/>
        </w:rPr>
        <w:t>policy</w:t>
      </w:r>
      <w:proofErr w:type="gramEnd"/>
      <w:r>
        <w:rPr>
          <w:rFonts w:eastAsia="Arial"/>
          <w:color w:val="000000" w:themeColor="text1"/>
          <w:sz w:val="24"/>
          <w:szCs w:val="24"/>
        </w:rPr>
        <w:t xml:space="preserve"> I recognised that this experience highlighted the need for more proactive and holistic approaches when dealing with vulnerable people, </w:t>
      </w:r>
      <w:proofErr w:type="gramStart"/>
      <w:r>
        <w:rPr>
          <w:rFonts w:eastAsia="Arial"/>
          <w:color w:val="000000" w:themeColor="text1"/>
          <w:sz w:val="24"/>
          <w:szCs w:val="24"/>
        </w:rPr>
        <w:t>in particular</w:t>
      </w:r>
      <w:proofErr w:type="gramEnd"/>
      <w:r>
        <w:rPr>
          <w:rFonts w:eastAsia="Arial"/>
          <w:color w:val="000000" w:themeColor="text1"/>
          <w:sz w:val="24"/>
          <w:szCs w:val="24"/>
        </w:rPr>
        <w:t xml:space="preserve"> those from ethnic minority backgrounds.</w:t>
      </w:r>
    </w:p>
    <w:p w14:paraId="6C3CD071" w14:textId="77777777" w:rsidR="00C76346" w:rsidRDefault="00C76346" w:rsidP="5B843AF0">
      <w:pPr>
        <w:ind w:right="237"/>
        <w:jc w:val="both"/>
        <w:rPr>
          <w:rFonts w:eastAsia="Arial"/>
          <w:color w:val="000000" w:themeColor="text1"/>
          <w:sz w:val="24"/>
          <w:szCs w:val="24"/>
        </w:rPr>
      </w:pPr>
    </w:p>
    <w:p w14:paraId="03A8B981" w14:textId="55E110D5" w:rsidR="0093198A" w:rsidRDefault="00C76346" w:rsidP="5B843AF0">
      <w:pPr>
        <w:ind w:right="237"/>
        <w:jc w:val="both"/>
        <w:rPr>
          <w:rFonts w:eastAsia="Arial"/>
          <w:color w:val="000000" w:themeColor="text1"/>
          <w:sz w:val="24"/>
          <w:szCs w:val="24"/>
        </w:rPr>
      </w:pPr>
      <w:r>
        <w:rPr>
          <w:rFonts w:eastAsia="Arial"/>
          <w:color w:val="000000" w:themeColor="text1"/>
          <w:sz w:val="24"/>
          <w:szCs w:val="24"/>
        </w:rPr>
        <w:t xml:space="preserve">The final stage of Gibbs Model of Reflection (1988) is action plan, </w:t>
      </w:r>
      <w:r w:rsidR="0093198A">
        <w:rPr>
          <w:rFonts w:eastAsia="Arial"/>
          <w:color w:val="000000" w:themeColor="text1"/>
          <w:sz w:val="24"/>
          <w:szCs w:val="24"/>
        </w:rPr>
        <w:t xml:space="preserve">I asked myself how I will develop my skills when dealing with vulnerable individuals and how can I ensure that I improve how I deal with those from minority backgrounds. This will include potentially looking at organising an </w:t>
      </w:r>
      <w:proofErr w:type="gramStart"/>
      <w:r w:rsidR="0093198A">
        <w:rPr>
          <w:rFonts w:eastAsia="Arial"/>
          <w:color w:val="000000" w:themeColor="text1"/>
          <w:sz w:val="24"/>
          <w:szCs w:val="24"/>
        </w:rPr>
        <w:t>in person</w:t>
      </w:r>
      <w:proofErr w:type="gramEnd"/>
      <w:r w:rsidR="0093198A">
        <w:rPr>
          <w:rFonts w:eastAsia="Arial"/>
          <w:color w:val="000000" w:themeColor="text1"/>
          <w:sz w:val="24"/>
          <w:szCs w:val="24"/>
        </w:rPr>
        <w:t xml:space="preserve"> interpreter where appropriate </w:t>
      </w:r>
      <w:proofErr w:type="gramStart"/>
      <w:r w:rsidR="0093198A">
        <w:rPr>
          <w:rFonts w:eastAsia="Arial"/>
          <w:color w:val="000000" w:themeColor="text1"/>
          <w:sz w:val="24"/>
          <w:szCs w:val="24"/>
        </w:rPr>
        <w:t>in order to</w:t>
      </w:r>
      <w:proofErr w:type="gramEnd"/>
      <w:r w:rsidR="0093198A">
        <w:rPr>
          <w:rFonts w:eastAsia="Arial"/>
          <w:color w:val="000000" w:themeColor="text1"/>
          <w:sz w:val="24"/>
          <w:szCs w:val="24"/>
        </w:rPr>
        <w:t xml:space="preserve"> facilitate full and accurate communication.</w:t>
      </w:r>
    </w:p>
    <w:p w14:paraId="2FCF8F33" w14:textId="77777777" w:rsidR="0093198A" w:rsidRDefault="0093198A" w:rsidP="5B843AF0">
      <w:pPr>
        <w:ind w:right="237"/>
        <w:jc w:val="both"/>
        <w:rPr>
          <w:rFonts w:eastAsia="Arial"/>
          <w:color w:val="000000" w:themeColor="text1"/>
          <w:sz w:val="24"/>
          <w:szCs w:val="24"/>
        </w:rPr>
      </w:pPr>
    </w:p>
    <w:p w14:paraId="5FBA8B8B" w14:textId="63495952" w:rsidR="00FC7753" w:rsidRDefault="0093198A" w:rsidP="5B843AF0">
      <w:pPr>
        <w:ind w:right="237"/>
        <w:jc w:val="both"/>
        <w:rPr>
          <w:rFonts w:eastAsia="Arial"/>
          <w:color w:val="000000" w:themeColor="text1"/>
          <w:sz w:val="24"/>
          <w:szCs w:val="24"/>
        </w:rPr>
      </w:pPr>
      <w:r>
        <w:rPr>
          <w:rFonts w:eastAsia="Arial"/>
          <w:color w:val="000000" w:themeColor="text1"/>
          <w:sz w:val="24"/>
          <w:szCs w:val="24"/>
        </w:rPr>
        <w:t xml:space="preserve">Using this incident of domestic abuse this essay will now </w:t>
      </w:r>
      <w:r>
        <w:rPr>
          <w:rFonts w:eastAsia="Arial"/>
          <w:color w:val="000000" w:themeColor="text1"/>
          <w:sz w:val="24"/>
          <w:szCs w:val="24"/>
        </w:rPr>
        <w:t>critically evaluate different approaches of how police and other agencies support vulnerable people who are victims of domestic abuse</w:t>
      </w:r>
      <w:r>
        <w:rPr>
          <w:rFonts w:eastAsia="Arial"/>
          <w:color w:val="000000" w:themeColor="text1"/>
          <w:sz w:val="24"/>
          <w:szCs w:val="24"/>
        </w:rPr>
        <w:t xml:space="preserve">. The first approach this essay will discuss is how the police support vulnerable DA victims. </w:t>
      </w:r>
      <w:r w:rsidR="00FB1D53">
        <w:rPr>
          <w:rFonts w:eastAsia="Arial"/>
          <w:color w:val="000000" w:themeColor="text1"/>
          <w:sz w:val="24"/>
          <w:szCs w:val="24"/>
        </w:rPr>
        <w:t xml:space="preserve">One approach that police have access to is domestic violence protection notices and orders. These offer immediate safeguarding to victims for example who are unable to be protected through bail conditions. Barlow et al. (2020) discusses that the use of legislative interventions can give a victim immediate protection. </w:t>
      </w:r>
      <w:r w:rsidR="00FC7753">
        <w:rPr>
          <w:rFonts w:eastAsia="Arial"/>
          <w:color w:val="000000" w:themeColor="text1"/>
          <w:sz w:val="24"/>
          <w:szCs w:val="24"/>
        </w:rPr>
        <w:t xml:space="preserve">A weakness of this approach is that victims want to be protected however they do not wish to proceed and support a criminal investigation. </w:t>
      </w:r>
      <w:r w:rsidR="00C14AF7">
        <w:rPr>
          <w:rFonts w:eastAsia="Arial"/>
          <w:color w:val="000000" w:themeColor="text1"/>
          <w:sz w:val="24"/>
          <w:szCs w:val="24"/>
        </w:rPr>
        <w:t xml:space="preserve">Research from </w:t>
      </w:r>
      <w:proofErr w:type="spellStart"/>
      <w:r w:rsidR="00C14AF7">
        <w:rPr>
          <w:rFonts w:eastAsia="Arial"/>
          <w:color w:val="000000" w:themeColor="text1"/>
          <w:sz w:val="24"/>
          <w:szCs w:val="24"/>
        </w:rPr>
        <w:t>SafeLives</w:t>
      </w:r>
      <w:proofErr w:type="spellEnd"/>
      <w:r w:rsidR="00C14AF7">
        <w:rPr>
          <w:rFonts w:eastAsia="Arial"/>
          <w:color w:val="000000" w:themeColor="text1"/>
          <w:sz w:val="24"/>
          <w:szCs w:val="24"/>
        </w:rPr>
        <w:t xml:space="preserve"> (2015) suggests that some victims have put forwards that some police officers dismiss support in relation to housing, financial and counselling support. Victims have outlined that they have disengaged with </w:t>
      </w:r>
      <w:r w:rsidR="00C14AF7">
        <w:rPr>
          <w:rFonts w:eastAsia="Arial"/>
          <w:color w:val="000000" w:themeColor="text1"/>
          <w:sz w:val="24"/>
          <w:szCs w:val="24"/>
        </w:rPr>
        <w:lastRenderedPageBreak/>
        <w:t xml:space="preserve">police when they do not offer any other alternative to criminal investigation and prosecution. </w:t>
      </w:r>
    </w:p>
    <w:p w14:paraId="0EAD1D7E" w14:textId="77777777" w:rsidR="00FC7753" w:rsidRDefault="00FC7753" w:rsidP="5B843AF0">
      <w:pPr>
        <w:ind w:right="237"/>
        <w:jc w:val="both"/>
        <w:rPr>
          <w:rFonts w:eastAsia="Arial"/>
          <w:color w:val="000000" w:themeColor="text1"/>
          <w:sz w:val="24"/>
          <w:szCs w:val="24"/>
        </w:rPr>
      </w:pPr>
    </w:p>
    <w:p w14:paraId="19D352C8" w14:textId="128836DB" w:rsidR="007E1F14" w:rsidRDefault="00FB1D53" w:rsidP="5B843AF0">
      <w:pPr>
        <w:ind w:right="237"/>
        <w:jc w:val="both"/>
        <w:rPr>
          <w:rFonts w:eastAsia="Arial"/>
          <w:color w:val="000000" w:themeColor="text1"/>
          <w:sz w:val="24"/>
          <w:szCs w:val="24"/>
        </w:rPr>
      </w:pPr>
      <w:r>
        <w:rPr>
          <w:rFonts w:eastAsia="Arial"/>
          <w:color w:val="000000" w:themeColor="text1"/>
          <w:sz w:val="24"/>
          <w:szCs w:val="24"/>
        </w:rPr>
        <w:t xml:space="preserve">The second approach used by the police to support vulnerable victims is by having a victim centred approach. </w:t>
      </w:r>
      <w:r w:rsidR="00FC7753">
        <w:rPr>
          <w:rFonts w:eastAsia="Arial"/>
          <w:color w:val="000000" w:themeColor="text1"/>
          <w:sz w:val="24"/>
          <w:szCs w:val="24"/>
        </w:rPr>
        <w:t xml:space="preserve">The college of policing (2022) emphasises how trauma informed policing can help to reduce re-traumatisation during investigation. By treating victims with empathy and reducing the risk of further trauma puts confidence in victims when dealing with police. A weakness of this approach is that victims have stated they have not received a consistent approach when it comes to being supported. </w:t>
      </w:r>
    </w:p>
    <w:p w14:paraId="110D6745" w14:textId="77777777" w:rsidR="00FC7753" w:rsidRDefault="00FC7753" w:rsidP="5B843AF0">
      <w:pPr>
        <w:ind w:right="237"/>
        <w:jc w:val="both"/>
        <w:rPr>
          <w:rFonts w:eastAsia="Arial"/>
          <w:color w:val="000000" w:themeColor="text1"/>
          <w:sz w:val="24"/>
          <w:szCs w:val="24"/>
        </w:rPr>
      </w:pPr>
    </w:p>
    <w:p w14:paraId="669FD87B" w14:textId="0B1072B6" w:rsidR="00FC7753" w:rsidRPr="007E1F14" w:rsidRDefault="00FC7753" w:rsidP="5B843AF0">
      <w:pPr>
        <w:ind w:right="237"/>
        <w:jc w:val="both"/>
        <w:rPr>
          <w:rFonts w:eastAsia="Arial"/>
          <w:color w:val="000000" w:themeColor="text1"/>
          <w:sz w:val="24"/>
          <w:szCs w:val="24"/>
        </w:rPr>
      </w:pPr>
      <w:r>
        <w:rPr>
          <w:rFonts w:eastAsia="Arial"/>
          <w:color w:val="000000" w:themeColor="text1"/>
          <w:sz w:val="24"/>
          <w:szCs w:val="24"/>
        </w:rPr>
        <w:t>The police use a multi-agency approach and work with other agencies to ensure victims have the best possible support.</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562CC833" w:rsidR="0FF883D4" w:rsidRDefault="00034EBB" w:rsidP="0FF883D4">
      <w:pPr>
        <w:ind w:right="237"/>
        <w:jc w:val="both"/>
        <w:rPr>
          <w:color w:val="000000" w:themeColor="text1"/>
          <w:sz w:val="24"/>
          <w:szCs w:val="24"/>
        </w:rPr>
      </w:pPr>
      <w:r>
        <w:rPr>
          <w:color w:val="000000" w:themeColor="text1"/>
          <w:sz w:val="24"/>
          <w:szCs w:val="24"/>
        </w:rPr>
        <w:lastRenderedPageBreak/>
        <w:t>Bibliography:</w:t>
      </w:r>
    </w:p>
    <w:p w14:paraId="6BC45BD3" w14:textId="77777777" w:rsidR="00034EBB" w:rsidRDefault="00034EBB" w:rsidP="0FF883D4">
      <w:pPr>
        <w:ind w:right="237"/>
        <w:jc w:val="both"/>
        <w:rPr>
          <w:color w:val="000000" w:themeColor="text1"/>
          <w:sz w:val="24"/>
          <w:szCs w:val="24"/>
        </w:rPr>
      </w:pPr>
    </w:p>
    <w:p w14:paraId="0EAB105A" w14:textId="77777777" w:rsidR="00034EBB" w:rsidRDefault="00034EBB" w:rsidP="0FF883D4">
      <w:pPr>
        <w:ind w:right="237"/>
        <w:jc w:val="both"/>
        <w:rPr>
          <w:color w:val="000000" w:themeColor="text1"/>
          <w:sz w:val="24"/>
          <w:szCs w:val="24"/>
        </w:rPr>
      </w:pPr>
    </w:p>
    <w:p w14:paraId="5A650E7C" w14:textId="77777777" w:rsidR="00034EBB" w:rsidRDefault="00034EBB" w:rsidP="0FF883D4">
      <w:pPr>
        <w:ind w:right="237"/>
        <w:jc w:val="both"/>
        <w:rPr>
          <w:color w:val="000000" w:themeColor="text1"/>
          <w:sz w:val="24"/>
          <w:szCs w:val="24"/>
        </w:rPr>
      </w:pPr>
    </w:p>
    <w:p w14:paraId="25E3D26A" w14:textId="55F27D8D" w:rsidR="00034EBB" w:rsidRPr="00034EBB" w:rsidRDefault="00034EBB" w:rsidP="0FF883D4">
      <w:pPr>
        <w:ind w:right="237"/>
        <w:jc w:val="both"/>
        <w:rPr>
          <w:color w:val="000000" w:themeColor="text1"/>
          <w:sz w:val="24"/>
          <w:szCs w:val="24"/>
        </w:rPr>
      </w:pPr>
      <w:r>
        <w:rPr>
          <w:color w:val="000000" w:themeColor="text1"/>
          <w:sz w:val="24"/>
          <w:szCs w:val="24"/>
        </w:rPr>
        <w:t xml:space="preserve">Legislation.gov.uk (1984) </w:t>
      </w:r>
      <w:r w:rsidRPr="00034EBB">
        <w:rPr>
          <w:i/>
          <w:iCs/>
          <w:color w:val="000000" w:themeColor="text1"/>
          <w:sz w:val="24"/>
          <w:szCs w:val="24"/>
        </w:rPr>
        <w:t>Police and Criminal Evidence Act 1984 – Section 17.</w:t>
      </w:r>
      <w:r>
        <w:rPr>
          <w:i/>
          <w:iCs/>
          <w:color w:val="000000" w:themeColor="text1"/>
          <w:sz w:val="24"/>
          <w:szCs w:val="24"/>
        </w:rPr>
        <w:t xml:space="preserve"> </w:t>
      </w:r>
      <w:r>
        <w:rPr>
          <w:color w:val="000000" w:themeColor="text1"/>
          <w:sz w:val="24"/>
          <w:szCs w:val="24"/>
        </w:rPr>
        <w:t xml:space="preserve">[online]. Available at: </w:t>
      </w:r>
      <w:hyperlink r:id="rId15" w:history="1">
        <w:r w:rsidRPr="00034EBB">
          <w:rPr>
            <w:rStyle w:val="Hyperlink"/>
            <w:sz w:val="24"/>
            <w:szCs w:val="24"/>
          </w:rPr>
          <w:t>Police and Criminal Evidence Act 1984</w:t>
        </w:r>
      </w:hyperlink>
      <w:r>
        <w:rPr>
          <w:color w:val="000000" w:themeColor="text1"/>
          <w:sz w:val="24"/>
          <w:szCs w:val="24"/>
        </w:rPr>
        <w:t xml:space="preserve"> (Accessed: 20 April 2025).</w:t>
      </w: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6"/>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3B533B1" w14:textId="77777777" w:rsidR="00116DAA" w:rsidRDefault="00116DAA" w:rsidP="00116DAA">
      <w:pPr>
        <w:ind w:right="237"/>
        <w:jc w:val="both"/>
        <w:rPr>
          <w:color w:val="000000" w:themeColor="text1"/>
          <w:sz w:val="24"/>
          <w:szCs w:val="24"/>
        </w:rPr>
      </w:pPr>
    </w:p>
    <w:p w14:paraId="3C21F20C" w14:textId="77777777" w:rsidR="00116DAA" w:rsidRDefault="00116DAA" w:rsidP="00116DAA">
      <w:pPr>
        <w:ind w:right="237"/>
        <w:jc w:val="both"/>
        <w:rPr>
          <w:color w:val="000000" w:themeColor="text1"/>
          <w:sz w:val="24"/>
          <w:szCs w:val="24"/>
        </w:rPr>
      </w:pPr>
    </w:p>
    <w:p w14:paraId="7B025B61" w14:textId="498CDDB3" w:rsidR="00116DAA" w:rsidRPr="00034EBB" w:rsidRDefault="00116DAA" w:rsidP="00116DAA">
      <w:pPr>
        <w:ind w:right="237"/>
        <w:jc w:val="both"/>
        <w:rPr>
          <w:color w:val="000000" w:themeColor="text1"/>
          <w:sz w:val="24"/>
          <w:szCs w:val="24"/>
        </w:rPr>
      </w:pPr>
      <w:r>
        <w:rPr>
          <w:color w:val="000000" w:themeColor="text1"/>
          <w:sz w:val="24"/>
          <w:szCs w:val="24"/>
        </w:rPr>
        <w:t xml:space="preserve">Legislation.gov.uk (1984) </w:t>
      </w:r>
      <w:r w:rsidRPr="00034EBB">
        <w:rPr>
          <w:i/>
          <w:iCs/>
          <w:color w:val="000000" w:themeColor="text1"/>
          <w:sz w:val="24"/>
          <w:szCs w:val="24"/>
        </w:rPr>
        <w:t>Police and Criminal Evidence Act 1984 – Section 17.</w:t>
      </w:r>
      <w:r>
        <w:rPr>
          <w:i/>
          <w:iCs/>
          <w:color w:val="000000" w:themeColor="text1"/>
          <w:sz w:val="24"/>
          <w:szCs w:val="24"/>
        </w:rPr>
        <w:t xml:space="preserve"> </w:t>
      </w:r>
      <w:r>
        <w:rPr>
          <w:color w:val="000000" w:themeColor="text1"/>
          <w:sz w:val="24"/>
          <w:szCs w:val="24"/>
        </w:rPr>
        <w:t xml:space="preserve">[online]. Available at: </w:t>
      </w:r>
      <w:hyperlink r:id="rId17" w:history="1">
        <w:r w:rsidRPr="00034EBB">
          <w:rPr>
            <w:rStyle w:val="Hyperlink"/>
            <w:sz w:val="24"/>
            <w:szCs w:val="24"/>
          </w:rPr>
          <w:t>Police and Criminal Evidence Act 1984</w:t>
        </w:r>
      </w:hyperlink>
      <w:r>
        <w:rPr>
          <w:color w:val="000000" w:themeColor="text1"/>
          <w:sz w:val="24"/>
          <w:szCs w:val="24"/>
        </w:rPr>
        <w:t xml:space="preserve"> (Accessed: 20 April 2025).</w:t>
      </w:r>
    </w:p>
    <w:p w14:paraId="5D41D98D" w14:textId="24788B2E" w:rsidR="00116DAA" w:rsidRDefault="00116DAA" w:rsidP="00EA28F1">
      <w:pPr>
        <w:keepNext/>
        <w:spacing w:before="240" w:after="60"/>
        <w:ind w:right="237"/>
        <w:jc w:val="both"/>
      </w:pPr>
    </w:p>
    <w:sectPr w:rsidR="00116DA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6E4"/>
    <w:rsid w:val="00034EBB"/>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467"/>
    <w:rsid w:val="000C378F"/>
    <w:rsid w:val="000C6892"/>
    <w:rsid w:val="000C6FFE"/>
    <w:rsid w:val="000D0BB6"/>
    <w:rsid w:val="000E26B0"/>
    <w:rsid w:val="000F1599"/>
    <w:rsid w:val="000F1769"/>
    <w:rsid w:val="000F6196"/>
    <w:rsid w:val="000F7373"/>
    <w:rsid w:val="000F7ECD"/>
    <w:rsid w:val="00102E64"/>
    <w:rsid w:val="0010312C"/>
    <w:rsid w:val="00106DC7"/>
    <w:rsid w:val="00112391"/>
    <w:rsid w:val="00114F52"/>
    <w:rsid w:val="00116DAA"/>
    <w:rsid w:val="0012135C"/>
    <w:rsid w:val="00130E83"/>
    <w:rsid w:val="001347F8"/>
    <w:rsid w:val="00137BB5"/>
    <w:rsid w:val="00137E05"/>
    <w:rsid w:val="001447F6"/>
    <w:rsid w:val="00147DE3"/>
    <w:rsid w:val="00150794"/>
    <w:rsid w:val="001608C4"/>
    <w:rsid w:val="00171418"/>
    <w:rsid w:val="0017380C"/>
    <w:rsid w:val="00190913"/>
    <w:rsid w:val="00190BA0"/>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14C11"/>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440"/>
    <w:rsid w:val="002A291A"/>
    <w:rsid w:val="002A5604"/>
    <w:rsid w:val="002B1701"/>
    <w:rsid w:val="002B23C3"/>
    <w:rsid w:val="002B443A"/>
    <w:rsid w:val="002B5B35"/>
    <w:rsid w:val="002C256A"/>
    <w:rsid w:val="002C496D"/>
    <w:rsid w:val="002D0502"/>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696D"/>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03C4"/>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77DC2"/>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1383"/>
    <w:rsid w:val="004E2F97"/>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5A69"/>
    <w:rsid w:val="00536FA9"/>
    <w:rsid w:val="005414F4"/>
    <w:rsid w:val="00546187"/>
    <w:rsid w:val="005461A8"/>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E5568"/>
    <w:rsid w:val="005E77EF"/>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1CA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F14"/>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198A"/>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6090"/>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3E1"/>
    <w:rsid w:val="00AA666E"/>
    <w:rsid w:val="00AB5518"/>
    <w:rsid w:val="00AC01D4"/>
    <w:rsid w:val="00AC4A04"/>
    <w:rsid w:val="00AC5148"/>
    <w:rsid w:val="00AD336F"/>
    <w:rsid w:val="00AD34F7"/>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4AF7"/>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346"/>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14F8"/>
    <w:rsid w:val="00D720C7"/>
    <w:rsid w:val="00D77A04"/>
    <w:rsid w:val="00D81D06"/>
    <w:rsid w:val="00D8652C"/>
    <w:rsid w:val="00D876E6"/>
    <w:rsid w:val="00DA1025"/>
    <w:rsid w:val="00DA22EC"/>
    <w:rsid w:val="00DA5860"/>
    <w:rsid w:val="00DB2767"/>
    <w:rsid w:val="00DC4729"/>
    <w:rsid w:val="00DE556F"/>
    <w:rsid w:val="00E03B6D"/>
    <w:rsid w:val="00E04650"/>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3D4B"/>
    <w:rsid w:val="00ED1B30"/>
    <w:rsid w:val="00ED250E"/>
    <w:rsid w:val="00ED6535"/>
    <w:rsid w:val="00EE1AC1"/>
    <w:rsid w:val="00EE39D6"/>
    <w:rsid w:val="00EE413C"/>
    <w:rsid w:val="00EE52AD"/>
    <w:rsid w:val="00F01F92"/>
    <w:rsid w:val="00F10A08"/>
    <w:rsid w:val="00F139CF"/>
    <w:rsid w:val="00F22695"/>
    <w:rsid w:val="00F22AC5"/>
    <w:rsid w:val="00F254D1"/>
    <w:rsid w:val="00F32B82"/>
    <w:rsid w:val="00F4043E"/>
    <w:rsid w:val="00F40CB5"/>
    <w:rsid w:val="00F41BBC"/>
    <w:rsid w:val="00F43B9D"/>
    <w:rsid w:val="00F444F0"/>
    <w:rsid w:val="00F46AD7"/>
    <w:rsid w:val="00F50847"/>
    <w:rsid w:val="00F53F27"/>
    <w:rsid w:val="00F546D1"/>
    <w:rsid w:val="00F6513F"/>
    <w:rsid w:val="00F66272"/>
    <w:rsid w:val="00F6ACA0"/>
    <w:rsid w:val="00F709C0"/>
    <w:rsid w:val="00F8610A"/>
    <w:rsid w:val="00F927A1"/>
    <w:rsid w:val="00F92E4D"/>
    <w:rsid w:val="00F94392"/>
    <w:rsid w:val="00FA3764"/>
    <w:rsid w:val="00FA56ED"/>
    <w:rsid w:val="00FB1D53"/>
    <w:rsid w:val="00FB5FA6"/>
    <w:rsid w:val="00FC1310"/>
    <w:rsid w:val="00FC1328"/>
    <w:rsid w:val="00FC2FF3"/>
    <w:rsid w:val="00FC3263"/>
    <w:rsid w:val="00FC51F9"/>
    <w:rsid w:val="00FC5B40"/>
    <w:rsid w:val="00FC5FF8"/>
    <w:rsid w:val="00FC702B"/>
    <w:rsid w:val="00FC7753"/>
    <w:rsid w:val="00FD3D7C"/>
    <w:rsid w:val="00FD4F8F"/>
    <w:rsid w:val="00FD4FF1"/>
    <w:rsid w:val="00FE0C16"/>
    <w:rsid w:val="00FE14AD"/>
    <w:rsid w:val="00FE14B1"/>
    <w:rsid w:val="00FE1F6A"/>
    <w:rsid w:val="00FE7A52"/>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3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842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3656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325414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415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84/60/section/17" TargetMode="Externa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pga/1984/60/section/17"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19</Pages>
  <Words>3301</Words>
  <Characters>18613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Collins,Lois swp8225</cp:lastModifiedBy>
  <cp:revision>6</cp:revision>
  <cp:lastPrinted>2014-08-26T08:55:00Z</cp:lastPrinted>
  <dcterms:created xsi:type="dcterms:W3CDTF">2025-02-26T08:38:00Z</dcterms:created>
  <dcterms:modified xsi:type="dcterms:W3CDTF">2025-06-02T16:36:00Z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2025-02-26T08:38:07Z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9be144ec-e2fa-45fb-b9e2-435df0fde95f</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