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BFE56" w14:textId="09D9F2CC" w:rsidR="00701598" w:rsidRPr="000B00F5" w:rsidRDefault="00725398" w:rsidP="000B00F5">
      <w:pPr>
        <w:spacing w:line="360" w:lineRule="auto"/>
        <w:rPr>
          <w:rFonts w:ascii="Arial" w:hAnsi="Arial" w:cs="Arial"/>
          <w:b/>
          <w:bCs/>
        </w:rPr>
      </w:pPr>
      <w:r w:rsidRPr="000B00F5">
        <w:rPr>
          <w:rFonts w:ascii="Arial" w:hAnsi="Arial" w:cs="Arial"/>
          <w:b/>
          <w:bCs/>
        </w:rPr>
        <w:t xml:space="preserve">Academic Assignment – swp8064 Daniel CHALLENGER </w:t>
      </w:r>
    </w:p>
    <w:p w14:paraId="186C58F6" w14:textId="41B5326F" w:rsidR="0000481F" w:rsidRPr="000B00F5" w:rsidRDefault="0000481F" w:rsidP="000B00F5">
      <w:pPr>
        <w:spacing w:line="360" w:lineRule="auto"/>
        <w:rPr>
          <w:rFonts w:ascii="Arial" w:hAnsi="Arial" w:cs="Arial"/>
          <w:b/>
          <w:bCs/>
        </w:rPr>
      </w:pPr>
      <w:r w:rsidRPr="000B00F5">
        <w:rPr>
          <w:rFonts w:ascii="Arial" w:hAnsi="Arial" w:cs="Arial"/>
          <w:b/>
          <w:bCs/>
        </w:rPr>
        <w:t>Student number - 2117678</w:t>
      </w:r>
    </w:p>
    <w:p w14:paraId="0D92AE80" w14:textId="77777777" w:rsidR="00725398" w:rsidRPr="000B00F5" w:rsidRDefault="00725398" w:rsidP="000B00F5">
      <w:pPr>
        <w:spacing w:line="360" w:lineRule="auto"/>
        <w:rPr>
          <w:rFonts w:ascii="Arial" w:hAnsi="Arial" w:cs="Arial"/>
        </w:rPr>
      </w:pPr>
    </w:p>
    <w:p w14:paraId="70885049" w14:textId="77777777" w:rsidR="00725398" w:rsidRPr="000B00F5" w:rsidRDefault="00725398" w:rsidP="000B00F5">
      <w:pPr>
        <w:spacing w:line="360" w:lineRule="auto"/>
        <w:ind w:right="531"/>
        <w:jc w:val="both"/>
        <w:rPr>
          <w:rFonts w:ascii="Arial" w:eastAsia="Calibri" w:hAnsi="Arial" w:cs="Arial"/>
          <w:b/>
          <w:bCs/>
        </w:rPr>
      </w:pPr>
      <w:r w:rsidRPr="000B00F5">
        <w:rPr>
          <w:rFonts w:ascii="Arial" w:eastAsia="Calibri" w:hAnsi="Arial" w:cs="Arial"/>
          <w:b/>
          <w:bCs/>
        </w:rPr>
        <w:t>Essay one:</w:t>
      </w:r>
    </w:p>
    <w:p w14:paraId="387CF8A1" w14:textId="77777777" w:rsidR="00725398" w:rsidRPr="000B00F5" w:rsidRDefault="00725398" w:rsidP="000B00F5">
      <w:pPr>
        <w:spacing w:line="360" w:lineRule="auto"/>
        <w:ind w:left="567" w:right="531"/>
        <w:rPr>
          <w:rFonts w:ascii="Arial" w:eastAsia="Calibri" w:hAnsi="Arial" w:cs="Arial"/>
        </w:rPr>
      </w:pPr>
      <w:r w:rsidRPr="000B00F5">
        <w:rPr>
          <w:rFonts w:ascii="Arial" w:eastAsia="Calibri" w:hAnsi="Arial" w:cs="Arial"/>
          <w:u w:val="single"/>
        </w:rPr>
        <w:t>Evaluate</w:t>
      </w:r>
      <w:r w:rsidRPr="000B00F5">
        <w:rPr>
          <w:rFonts w:ascii="Arial" w:eastAsia="Calibri" w:hAnsi="Arial" w:cs="Arial"/>
        </w:rPr>
        <w:t xml:space="preserve"> the effectiveness of crime prevention strategies (e.g. problem-oriented policing, predictive policing, intelligence-led policing, reactive policing) in relation to a specific type of crime of your own choosing. Your answer must be based on academic research, not personal experience.</w:t>
      </w:r>
    </w:p>
    <w:p w14:paraId="1D9C0AAD" w14:textId="77777777" w:rsidR="00155975" w:rsidRPr="000B00F5" w:rsidRDefault="00155975" w:rsidP="000B00F5">
      <w:pPr>
        <w:spacing w:line="360" w:lineRule="auto"/>
        <w:rPr>
          <w:rFonts w:ascii="Arial" w:eastAsia="Calibri" w:hAnsi="Arial" w:cs="Arial"/>
        </w:rPr>
      </w:pPr>
    </w:p>
    <w:p w14:paraId="504F188F" w14:textId="32B67B11" w:rsidR="00725398" w:rsidRPr="000B00F5" w:rsidRDefault="00725398" w:rsidP="000B00F5">
      <w:pPr>
        <w:spacing w:line="360" w:lineRule="auto"/>
        <w:ind w:firstLine="567"/>
        <w:rPr>
          <w:rFonts w:ascii="Arial" w:hAnsi="Arial" w:cs="Arial"/>
          <w:spacing w:val="-5"/>
        </w:rPr>
      </w:pPr>
      <w:r w:rsidRPr="000B00F5">
        <w:rPr>
          <w:rFonts w:ascii="Arial" w:hAnsi="Arial" w:cs="Arial"/>
          <w:spacing w:val="-5"/>
        </w:rPr>
        <w:t xml:space="preserve">Effective crime prevention strategies consider a number of factors, which include the reasons as to why a crime has taken place, where crime is taking place, are there things that can be done to prevent it happening in the future and minimising the risk of the offence taking place in the first instance. In relation to burglaries research has shown that </w:t>
      </w:r>
      <w:r w:rsidRPr="000B00F5">
        <w:rPr>
          <w:rFonts w:ascii="Arial" w:hAnsi="Arial" w:cs="Arial"/>
        </w:rPr>
        <w:t xml:space="preserve">domestic burglaries are most likely to occur in the evening or at night, and there are higher volumes of these crimes in areas that lack social cohesion and stability (HMICFRS, 2022). In addition, burglary risk is greater to properties with direct access to roads and footpaths that offer a means of escape (Johnson and Bowers, 2010). </w:t>
      </w:r>
    </w:p>
    <w:p w14:paraId="056E1213" w14:textId="77777777" w:rsidR="00725398" w:rsidRPr="000B00F5" w:rsidRDefault="00725398" w:rsidP="000B00F5">
      <w:pPr>
        <w:spacing w:line="360" w:lineRule="auto"/>
        <w:ind w:firstLine="720"/>
        <w:rPr>
          <w:rFonts w:ascii="Arial" w:hAnsi="Arial" w:cs="Arial"/>
          <w:spacing w:val="-5"/>
        </w:rPr>
      </w:pPr>
      <w:r w:rsidRPr="000B00F5">
        <w:rPr>
          <w:rFonts w:ascii="Arial" w:hAnsi="Arial" w:cs="Arial"/>
          <w:spacing w:val="-5"/>
        </w:rPr>
        <w:t xml:space="preserve">Research has shown that an effective crime reduction strategy is to target places where crime is heavily concentrated and creates a high demand for the police. Braga et al (2019) conducted research that demonstrated that specifically targeting policing activity in high crime locations, known as ‘Hot Spot’ policing, can help in reducing crime. Analysis directs patrols where the intel police develop helps identify areas that might be at risk of burglaries. In a review undertaken by HMICFRS (2022), regarding the police’s response to burglary, robbery and other acquisitive crime, they found that forces used ‘hot spot’ policing well and good use of this method resulted in reductions in burglaries in ‘hot spot’ areas. A good example of this is ‘Operation Insight’ run by Essex police, where it used predictive policing and intelligence analysis to target resources to areas which were at highest risk of burglaries (Police, Fire and Crime Commissioner for Essex, 2014). Results showed that house burglaries dropped by 9.8 per cent between October 2012 and July 2013. Fielding and Jones (2012) also evaluated the hot spot policing intervention in Greater Manchester Police and found that domestic burglary decreased as a result. However, Taylor et al (2011) found that although police patrols in hot spots provided positive results, these were short-term and unsustainable. In addition, the majority of hot spot policing interventions only evaluate the impact it has whilst the interventions are in place, and do not consider the impact after the interventions end (Gaffney, Jolliffe and White, 2022). </w:t>
      </w:r>
    </w:p>
    <w:p w14:paraId="6AB81A7F" w14:textId="77777777" w:rsidR="00725398" w:rsidRPr="000B00F5" w:rsidRDefault="00725398" w:rsidP="000B00F5">
      <w:pPr>
        <w:spacing w:line="360" w:lineRule="auto"/>
        <w:ind w:firstLine="720"/>
        <w:rPr>
          <w:rFonts w:ascii="Arial" w:hAnsi="Arial" w:cs="Arial"/>
          <w:spacing w:val="-5"/>
        </w:rPr>
      </w:pPr>
      <w:r w:rsidRPr="000B00F5">
        <w:rPr>
          <w:rFonts w:ascii="Arial" w:hAnsi="Arial" w:cs="Arial"/>
          <w:spacing w:val="-5"/>
        </w:rPr>
        <w:lastRenderedPageBreak/>
        <w:t xml:space="preserve">Other crime prevention strategies that have been effective involve targeting people, where the evidence has shown positive results when the police have focused efforts on victims of crime (College of policing, 2021). Cocooning is an example of how this can be done, where research has shown that victims of burglary and those in neighbouring houses are all at higher risk of burglary the month after (Johnson, </w:t>
      </w:r>
      <w:proofErr w:type="spellStart"/>
      <w:r w:rsidRPr="000B00F5">
        <w:rPr>
          <w:rFonts w:ascii="Arial" w:hAnsi="Arial" w:cs="Arial"/>
          <w:spacing w:val="-5"/>
        </w:rPr>
        <w:t>Guerette</w:t>
      </w:r>
      <w:proofErr w:type="spellEnd"/>
      <w:r w:rsidRPr="000B00F5">
        <w:rPr>
          <w:rFonts w:ascii="Arial" w:hAnsi="Arial" w:cs="Arial"/>
          <w:spacing w:val="-5"/>
        </w:rPr>
        <w:t xml:space="preserve"> &amp; Bowers, 2014). This method involves providing advice to victims and their neighbours. This is something that is adopted by Humberside Police, through Operation Gallant, where victims of burglaries and neighbouring properties are given support, advice and re-assurance. Indeed, studies conducted have positive results specifically focusing on the reduced risk of burglaries to those who are at highest risk of crime (Weems, 2014; Pegram et al 2018). Part of this cocooning method involves providing targeted crime prevention advice, which focuses on tailored situational crime prevention methods. Tilley (2009) outlines that the situational crime prevention approach focuses on how opportunities for burglaries to take place can be reduced. Indeed, research conducted by Grove et al (2012) demonstrated that the most successful results in burglary crime reduction came as a result of comprehensively implemented situational crime prevention measures.    </w:t>
      </w:r>
    </w:p>
    <w:p w14:paraId="33DD71CC" w14:textId="77777777" w:rsidR="00725398" w:rsidRPr="000B00F5" w:rsidRDefault="00725398" w:rsidP="000B00F5">
      <w:pPr>
        <w:spacing w:line="360" w:lineRule="auto"/>
        <w:ind w:firstLine="720"/>
        <w:rPr>
          <w:rFonts w:ascii="Arial" w:hAnsi="Arial" w:cs="Arial"/>
          <w:spacing w:val="-5"/>
        </w:rPr>
      </w:pPr>
      <w:r w:rsidRPr="000B00F5">
        <w:rPr>
          <w:rFonts w:ascii="Arial" w:hAnsi="Arial" w:cs="Arial"/>
          <w:spacing w:val="-5"/>
        </w:rPr>
        <w:t xml:space="preserve">For domestic burglaries, research has shown that initiatives that involve changes to the built environment have the greatest impact on crime with there being strong evidence that ‘physical’ security measures help in reducing crime (College of Policing, 2022). Indeed, research by </w:t>
      </w:r>
      <w:proofErr w:type="spellStart"/>
      <w:r w:rsidRPr="000B00F5">
        <w:rPr>
          <w:rFonts w:ascii="Arial" w:hAnsi="Arial" w:cs="Arial"/>
          <w:spacing w:val="-5"/>
        </w:rPr>
        <w:t>Tseloni</w:t>
      </w:r>
      <w:proofErr w:type="spellEnd"/>
      <w:r w:rsidRPr="000B00F5">
        <w:rPr>
          <w:rFonts w:ascii="Arial" w:hAnsi="Arial" w:cs="Arial"/>
          <w:spacing w:val="-5"/>
        </w:rPr>
        <w:t xml:space="preserve"> et al (2017) demonstrated a greater number of security devices generally gives more protection. However, burglaries do continue to be caried out even when such measures are in place, as those committing the offences find ways to overcome these measures. There is also evidence that raising awareness of risks has also yielded positive crime reduction results. For example, Laycock (1985), in completing an evaluation of a scheme utilised in South Wales in 1984 to effectively prevent burglary, found that publicity, door to door visits and providing free equipment had a positive effect on the reduction of burglaries. </w:t>
      </w:r>
    </w:p>
    <w:p w14:paraId="51637C05" w14:textId="77777777" w:rsidR="00725398" w:rsidRPr="000B00F5" w:rsidRDefault="00725398" w:rsidP="000B00F5">
      <w:pPr>
        <w:spacing w:line="360" w:lineRule="auto"/>
        <w:ind w:firstLine="720"/>
        <w:rPr>
          <w:rFonts w:ascii="Arial" w:hAnsi="Arial" w:cs="Arial"/>
          <w:spacing w:val="-5"/>
        </w:rPr>
      </w:pPr>
      <w:r w:rsidRPr="000B00F5">
        <w:rPr>
          <w:rFonts w:ascii="Arial" w:hAnsi="Arial" w:cs="Arial"/>
          <w:spacing w:val="-5"/>
        </w:rPr>
        <w:t xml:space="preserve">Finally, problem- solving has been shown to be an effective crime prevention strategy that can have a positive impact on reduce a wide range of crimes (Hinkle et al, 2020). This method, also known as Problem-oriented policing (POP), can be applied to any crime and requires forces to understand crime, the impact it has and how to implement strategies to counter act it. However, this method of crime prevention requires the police to work effectively with a wide range of partners in order for results to be sustainable (Bullock et al, 2006). With regard to burglaries positive results when adapting this strategy were identified in the </w:t>
      </w:r>
      <w:proofErr w:type="spellStart"/>
      <w:r w:rsidRPr="000B00F5">
        <w:rPr>
          <w:rFonts w:ascii="Arial" w:hAnsi="Arial" w:cs="Arial"/>
          <w:spacing w:val="-5"/>
        </w:rPr>
        <w:t>Kirkholt</w:t>
      </w:r>
      <w:proofErr w:type="spellEnd"/>
      <w:r w:rsidRPr="000B00F5">
        <w:rPr>
          <w:rFonts w:ascii="Arial" w:hAnsi="Arial" w:cs="Arial"/>
          <w:spacing w:val="-5"/>
        </w:rPr>
        <w:t xml:space="preserve"> Burglary Prevention Project (Forrester, Chatterton and Pease, 1988). This adopted a multi-agency problem-solving approach incorporating different crime prevention strategies. These included, upgrading security, victim support, and ‘cocoon neighbourhood watch’. The Project yielded positive results with regard to the prevention of burglaries, where strategies put in place resulted in a 40 per cent fall in </w:t>
      </w:r>
      <w:r w:rsidRPr="000B00F5">
        <w:rPr>
          <w:rFonts w:ascii="Arial" w:hAnsi="Arial" w:cs="Arial"/>
          <w:spacing w:val="-5"/>
        </w:rPr>
        <w:lastRenderedPageBreak/>
        <w:t xml:space="preserve">burglary rates in the area the project was conducted in, in addition to a decrease in re-victimisation. However, a review undertaken by HMICFRS (2022) found that many forces have failed in developing a problem-solving culture across departments. Indeed, this is consistent with research undertaken by </w:t>
      </w:r>
      <w:proofErr w:type="spellStart"/>
      <w:r w:rsidRPr="000B00F5">
        <w:rPr>
          <w:rFonts w:ascii="Arial" w:hAnsi="Arial" w:cs="Arial"/>
          <w:spacing w:val="-5"/>
        </w:rPr>
        <w:t>Skogan</w:t>
      </w:r>
      <w:proofErr w:type="spellEnd"/>
      <w:r w:rsidRPr="000B00F5">
        <w:rPr>
          <w:rFonts w:ascii="Arial" w:hAnsi="Arial" w:cs="Arial"/>
          <w:spacing w:val="-5"/>
        </w:rPr>
        <w:t xml:space="preserve"> (2006) that showed the issue with problem-oriented policing is that it is often poorly implemented.  </w:t>
      </w:r>
    </w:p>
    <w:p w14:paraId="7099AEA5" w14:textId="77777777" w:rsidR="00725398" w:rsidRPr="000B00F5" w:rsidRDefault="00725398" w:rsidP="000B00F5">
      <w:pPr>
        <w:spacing w:line="360" w:lineRule="auto"/>
        <w:ind w:firstLine="720"/>
        <w:rPr>
          <w:rFonts w:ascii="Arial" w:hAnsi="Arial" w:cs="Arial"/>
        </w:rPr>
      </w:pPr>
      <w:r w:rsidRPr="000B00F5">
        <w:rPr>
          <w:rFonts w:ascii="Arial" w:hAnsi="Arial" w:cs="Arial"/>
          <w:shd w:val="clear" w:color="auto" w:fill="FFFFFF"/>
        </w:rPr>
        <w:t xml:space="preserve">To conclude </w:t>
      </w:r>
      <w:r w:rsidRPr="000B00F5">
        <w:rPr>
          <w:rFonts w:ascii="Arial" w:hAnsi="Arial" w:cs="Arial"/>
        </w:rPr>
        <w:t xml:space="preserve">the above-mentioned crime prevention strategies provide an understanding as to what works in reducing and preventing burglary incidents. However, the evidence above shows </w:t>
      </w:r>
      <w:r w:rsidRPr="000B00F5">
        <w:rPr>
          <w:rFonts w:ascii="Arial" w:hAnsi="Arial" w:cs="Arial"/>
          <w:shd w:val="clear" w:color="auto" w:fill="FFFFFF"/>
        </w:rPr>
        <w:t>that not one single strategy is completely effective in preventing burglaries.  </w:t>
      </w:r>
      <w:r w:rsidRPr="000B00F5">
        <w:rPr>
          <w:rFonts w:ascii="Arial" w:hAnsi="Arial" w:cs="Arial"/>
        </w:rPr>
        <w:t xml:space="preserve">Despite burglaries consistently going down in the past decade, there were still 266,283 burglaries in England and Wales in 2021/2022 (Statista, 2022). Each crime prevention strategy works in different ways, and each has it positive and negatives. </w:t>
      </w:r>
      <w:r w:rsidRPr="000B00F5">
        <w:rPr>
          <w:rFonts w:ascii="Arial" w:hAnsi="Arial" w:cs="Arial"/>
          <w:spacing w:val="-5"/>
        </w:rPr>
        <w:t xml:space="preserve">In order to prevent burglaries from occurring more needs to be done to integrate these crime prevention strategies to ensure that the police, as well as partners and communities come together to support long term strategies to prevent such crime happening in the future. </w:t>
      </w:r>
    </w:p>
    <w:p w14:paraId="52CDE02F" w14:textId="77777777" w:rsidR="00725398" w:rsidRPr="000B00F5" w:rsidRDefault="00725398" w:rsidP="000B00F5">
      <w:pPr>
        <w:spacing w:line="360" w:lineRule="auto"/>
        <w:rPr>
          <w:rFonts w:ascii="Arial" w:hAnsi="Arial" w:cs="Arial"/>
        </w:rPr>
      </w:pPr>
    </w:p>
    <w:p w14:paraId="3F1E48CF" w14:textId="15CD88B3" w:rsidR="00725398" w:rsidRPr="000B00F5" w:rsidRDefault="00725398" w:rsidP="000B00F5">
      <w:pPr>
        <w:spacing w:line="360" w:lineRule="auto"/>
        <w:rPr>
          <w:rFonts w:ascii="Arial" w:hAnsi="Arial" w:cs="Arial"/>
          <w:b/>
          <w:bCs/>
        </w:rPr>
      </w:pPr>
      <w:r w:rsidRPr="000B00F5">
        <w:rPr>
          <w:rFonts w:ascii="Arial" w:hAnsi="Arial" w:cs="Arial"/>
          <w:b/>
          <w:bCs/>
        </w:rPr>
        <w:t>Word Count – 10</w:t>
      </w:r>
      <w:r w:rsidR="00155975" w:rsidRPr="000B00F5">
        <w:rPr>
          <w:rFonts w:ascii="Arial" w:hAnsi="Arial" w:cs="Arial"/>
          <w:b/>
          <w:bCs/>
        </w:rPr>
        <w:t>48</w:t>
      </w:r>
      <w:r w:rsidRPr="000B00F5">
        <w:rPr>
          <w:rFonts w:ascii="Arial" w:hAnsi="Arial" w:cs="Arial"/>
          <w:b/>
          <w:bCs/>
        </w:rPr>
        <w:t xml:space="preserve"> words</w:t>
      </w:r>
    </w:p>
    <w:p w14:paraId="04D32763" w14:textId="77777777" w:rsidR="00725398" w:rsidRPr="000B00F5" w:rsidRDefault="00725398" w:rsidP="000B00F5">
      <w:pPr>
        <w:spacing w:line="360" w:lineRule="auto"/>
        <w:rPr>
          <w:rFonts w:ascii="Arial" w:hAnsi="Arial" w:cs="Arial"/>
          <w:b/>
          <w:bCs/>
        </w:rPr>
      </w:pPr>
    </w:p>
    <w:p w14:paraId="35B1E69C" w14:textId="77777777" w:rsidR="00725398" w:rsidRPr="000B00F5" w:rsidRDefault="00725398" w:rsidP="000B00F5">
      <w:pPr>
        <w:spacing w:line="360" w:lineRule="auto"/>
        <w:rPr>
          <w:rFonts w:ascii="Arial" w:hAnsi="Arial" w:cs="Arial"/>
        </w:rPr>
      </w:pPr>
      <w:r w:rsidRPr="000B00F5">
        <w:rPr>
          <w:rFonts w:ascii="Arial" w:hAnsi="Arial" w:cs="Arial"/>
        </w:rPr>
        <w:t xml:space="preserve">Braga, A. et al (2019b). </w:t>
      </w:r>
      <w:r w:rsidRPr="000B00F5">
        <w:rPr>
          <w:rFonts w:ascii="Arial" w:hAnsi="Arial" w:cs="Arial"/>
          <w:i/>
          <w:iCs/>
        </w:rPr>
        <w:t xml:space="preserve">Hot spot policing of small geographic areas: effects on crime: An updated systematic review. </w:t>
      </w:r>
      <w:r w:rsidRPr="000B00F5">
        <w:rPr>
          <w:rFonts w:ascii="Arial" w:hAnsi="Arial" w:cs="Arial"/>
        </w:rPr>
        <w:t xml:space="preserve">Oslo: Campbell Collaboration. </w:t>
      </w:r>
    </w:p>
    <w:p w14:paraId="04E8CEA9" w14:textId="77777777" w:rsidR="00725398" w:rsidRPr="000B00F5" w:rsidRDefault="00725398" w:rsidP="000B00F5">
      <w:pPr>
        <w:spacing w:line="360" w:lineRule="auto"/>
        <w:rPr>
          <w:rFonts w:ascii="Arial" w:hAnsi="Arial" w:cs="Arial"/>
        </w:rPr>
      </w:pPr>
    </w:p>
    <w:p w14:paraId="724CD0A7" w14:textId="77777777" w:rsidR="00725398" w:rsidRPr="000B00F5" w:rsidRDefault="00725398" w:rsidP="000B00F5">
      <w:pPr>
        <w:spacing w:line="360" w:lineRule="auto"/>
        <w:rPr>
          <w:rFonts w:ascii="Arial" w:hAnsi="Arial" w:cs="Arial"/>
        </w:rPr>
      </w:pPr>
      <w:r w:rsidRPr="000B00F5">
        <w:rPr>
          <w:rFonts w:ascii="Arial" w:hAnsi="Arial" w:cs="Arial"/>
          <w:spacing w:val="3"/>
        </w:rPr>
        <w:t xml:space="preserve">Bullock, K., Erol, R. &amp; Tilley, N. (2006). </w:t>
      </w:r>
      <w:r w:rsidRPr="000B00F5">
        <w:rPr>
          <w:rFonts w:ascii="Arial" w:hAnsi="Arial" w:cs="Arial"/>
          <w:i/>
          <w:iCs/>
          <w:spacing w:val="3"/>
        </w:rPr>
        <w:t>Problem Oriented Policing and Partnerships.</w:t>
      </w:r>
      <w:r w:rsidRPr="000B00F5">
        <w:rPr>
          <w:rFonts w:ascii="Arial" w:hAnsi="Arial" w:cs="Arial"/>
          <w:spacing w:val="3"/>
        </w:rPr>
        <w:t xml:space="preserve"> Chapter 3. Routledge: London</w:t>
      </w:r>
    </w:p>
    <w:p w14:paraId="07ED9DC4" w14:textId="77777777" w:rsidR="00725398" w:rsidRPr="000B00F5" w:rsidRDefault="00725398" w:rsidP="000B00F5">
      <w:pPr>
        <w:spacing w:line="360" w:lineRule="auto"/>
        <w:rPr>
          <w:rFonts w:ascii="Arial" w:hAnsi="Arial" w:cs="Arial"/>
        </w:rPr>
      </w:pPr>
    </w:p>
    <w:p w14:paraId="41CA2EDC" w14:textId="77777777" w:rsidR="00725398" w:rsidRPr="000B00F5" w:rsidRDefault="00725398" w:rsidP="000B00F5">
      <w:pPr>
        <w:spacing w:line="360" w:lineRule="auto"/>
        <w:rPr>
          <w:rFonts w:ascii="Arial" w:hAnsi="Arial" w:cs="Arial"/>
        </w:rPr>
      </w:pPr>
      <w:r w:rsidRPr="000B00F5">
        <w:rPr>
          <w:rFonts w:ascii="Arial" w:hAnsi="Arial" w:cs="Arial"/>
        </w:rPr>
        <w:t xml:space="preserve">College of Policing (2021) </w:t>
      </w:r>
      <w:r w:rsidRPr="000B00F5">
        <w:rPr>
          <w:rFonts w:ascii="Arial" w:hAnsi="Arial" w:cs="Arial"/>
          <w:i/>
          <w:iCs/>
        </w:rPr>
        <w:t xml:space="preserve">Targeted approaches to crime and disorder reduction. </w:t>
      </w:r>
      <w:r w:rsidRPr="000B00F5">
        <w:rPr>
          <w:rFonts w:ascii="Arial" w:hAnsi="Arial" w:cs="Arial"/>
        </w:rPr>
        <w:t xml:space="preserve">Available at: https://www.college.police.uk/research/what-works-policing-reduce-crime/targeted-approaches (Accessed: 19th January 2023). </w:t>
      </w:r>
    </w:p>
    <w:p w14:paraId="047492C8" w14:textId="77777777" w:rsidR="00725398" w:rsidRPr="000B00F5" w:rsidRDefault="00725398" w:rsidP="000B00F5">
      <w:pPr>
        <w:spacing w:line="360" w:lineRule="auto"/>
        <w:rPr>
          <w:rFonts w:ascii="Arial" w:hAnsi="Arial" w:cs="Arial"/>
        </w:rPr>
      </w:pPr>
    </w:p>
    <w:p w14:paraId="072FA281" w14:textId="77777777" w:rsidR="00725398" w:rsidRPr="000B00F5" w:rsidRDefault="00725398" w:rsidP="000B00F5">
      <w:pPr>
        <w:spacing w:line="360" w:lineRule="auto"/>
        <w:rPr>
          <w:rFonts w:ascii="Arial" w:hAnsi="Arial" w:cs="Arial"/>
        </w:rPr>
      </w:pPr>
      <w:r w:rsidRPr="000B00F5">
        <w:rPr>
          <w:rFonts w:ascii="Arial" w:hAnsi="Arial" w:cs="Arial"/>
        </w:rPr>
        <w:t xml:space="preserve">College of Policing ((2022) </w:t>
      </w:r>
      <w:r w:rsidRPr="000B00F5">
        <w:rPr>
          <w:rFonts w:ascii="Arial" w:hAnsi="Arial" w:cs="Arial"/>
          <w:i/>
          <w:iCs/>
        </w:rPr>
        <w:t xml:space="preserve">Interventions for situational crime prevention. </w:t>
      </w:r>
      <w:r w:rsidRPr="000B00F5">
        <w:rPr>
          <w:rFonts w:ascii="Arial" w:hAnsi="Arial" w:cs="Arial"/>
        </w:rPr>
        <w:t xml:space="preserve">Available at: https://www.college.police.uk/guidance/neighbourhood-crime/interventions-situational-crime-prevention. (Accessed: 19th January 2023). </w:t>
      </w:r>
    </w:p>
    <w:p w14:paraId="4979E9E8" w14:textId="77777777" w:rsidR="00725398" w:rsidRPr="000B00F5" w:rsidRDefault="00725398" w:rsidP="000B00F5">
      <w:pPr>
        <w:spacing w:line="360" w:lineRule="auto"/>
        <w:rPr>
          <w:rFonts w:ascii="Arial" w:hAnsi="Arial" w:cs="Arial"/>
        </w:rPr>
      </w:pPr>
    </w:p>
    <w:p w14:paraId="650F4837" w14:textId="77777777" w:rsidR="00725398" w:rsidRPr="000B00F5" w:rsidRDefault="00725398" w:rsidP="000B00F5">
      <w:pPr>
        <w:spacing w:line="360" w:lineRule="auto"/>
        <w:rPr>
          <w:rFonts w:ascii="Arial" w:hAnsi="Arial" w:cs="Arial"/>
        </w:rPr>
      </w:pPr>
      <w:r w:rsidRPr="000B00F5">
        <w:rPr>
          <w:rFonts w:ascii="Arial" w:hAnsi="Arial" w:cs="Arial"/>
        </w:rPr>
        <w:lastRenderedPageBreak/>
        <w:t xml:space="preserve">Fielding, M., &amp; Jones, V. (2012). </w:t>
      </w:r>
      <w:r w:rsidRPr="000B00F5">
        <w:rPr>
          <w:rFonts w:ascii="Arial" w:hAnsi="Arial" w:cs="Arial"/>
          <w:i/>
          <w:iCs/>
        </w:rPr>
        <w:t xml:space="preserve">Disrupting the optimal forager: </w:t>
      </w:r>
      <w:r w:rsidRPr="000B00F5">
        <w:rPr>
          <w:rFonts w:ascii="Arial" w:hAnsi="Arial" w:cs="Arial"/>
        </w:rPr>
        <w:t xml:space="preserve">Predictive risk mapping and </w:t>
      </w:r>
    </w:p>
    <w:p w14:paraId="16524524" w14:textId="77777777" w:rsidR="00725398" w:rsidRPr="000B00F5" w:rsidRDefault="00725398" w:rsidP="000B00F5">
      <w:pPr>
        <w:spacing w:line="360" w:lineRule="auto"/>
        <w:rPr>
          <w:rFonts w:ascii="Arial" w:hAnsi="Arial" w:cs="Arial"/>
          <w:i/>
          <w:iCs/>
        </w:rPr>
      </w:pPr>
      <w:r w:rsidRPr="000B00F5">
        <w:rPr>
          <w:rFonts w:ascii="Arial" w:hAnsi="Arial" w:cs="Arial"/>
        </w:rPr>
        <w:t xml:space="preserve">domestic burglary reduction in Trafford, Greater Manchester. </w:t>
      </w:r>
      <w:r w:rsidRPr="000B00F5">
        <w:rPr>
          <w:rFonts w:ascii="Arial" w:hAnsi="Arial" w:cs="Arial"/>
          <w:i/>
          <w:iCs/>
        </w:rPr>
        <w:t xml:space="preserve">International Journal of </w:t>
      </w:r>
    </w:p>
    <w:p w14:paraId="6D3343C7" w14:textId="77777777" w:rsidR="00725398" w:rsidRPr="000B00F5" w:rsidRDefault="00725398" w:rsidP="000B00F5">
      <w:pPr>
        <w:spacing w:line="360" w:lineRule="auto"/>
        <w:rPr>
          <w:rFonts w:ascii="Arial" w:hAnsi="Arial" w:cs="Arial"/>
          <w:i/>
          <w:iCs/>
        </w:rPr>
      </w:pPr>
      <w:r w:rsidRPr="000B00F5">
        <w:rPr>
          <w:rFonts w:ascii="Arial" w:hAnsi="Arial" w:cs="Arial"/>
          <w:i/>
          <w:iCs/>
        </w:rPr>
        <w:t>Police Science and Management, 14(1): 30 -41.</w:t>
      </w:r>
    </w:p>
    <w:p w14:paraId="62BC10FE" w14:textId="77777777" w:rsidR="00725398" w:rsidRPr="000B00F5" w:rsidRDefault="00725398" w:rsidP="000B00F5">
      <w:pPr>
        <w:spacing w:line="360" w:lineRule="auto"/>
        <w:rPr>
          <w:rFonts w:ascii="Arial" w:hAnsi="Arial" w:cs="Arial"/>
        </w:rPr>
      </w:pPr>
    </w:p>
    <w:p w14:paraId="63E4C919" w14:textId="77777777" w:rsidR="00725398" w:rsidRPr="000B00F5" w:rsidRDefault="00725398" w:rsidP="000B00F5">
      <w:pPr>
        <w:spacing w:line="360" w:lineRule="auto"/>
        <w:rPr>
          <w:rFonts w:ascii="Arial" w:hAnsi="Arial" w:cs="Arial"/>
          <w:shd w:val="clear" w:color="auto" w:fill="FCFCFC"/>
        </w:rPr>
      </w:pPr>
      <w:r w:rsidRPr="000B00F5">
        <w:rPr>
          <w:rFonts w:ascii="Arial" w:hAnsi="Arial" w:cs="Arial"/>
          <w:shd w:val="clear" w:color="auto" w:fill="FCFCFC"/>
        </w:rPr>
        <w:t xml:space="preserve">Forrester, D., Chatterton, M., &amp; Pease, K. (1988). The </w:t>
      </w:r>
      <w:proofErr w:type="spellStart"/>
      <w:r w:rsidRPr="000B00F5">
        <w:rPr>
          <w:rFonts w:ascii="Arial" w:hAnsi="Arial" w:cs="Arial"/>
          <w:shd w:val="clear" w:color="auto" w:fill="FCFCFC"/>
        </w:rPr>
        <w:t>Kirkholt</w:t>
      </w:r>
      <w:proofErr w:type="spellEnd"/>
      <w:r w:rsidRPr="000B00F5">
        <w:rPr>
          <w:rFonts w:ascii="Arial" w:hAnsi="Arial" w:cs="Arial"/>
          <w:shd w:val="clear" w:color="auto" w:fill="FCFCFC"/>
        </w:rPr>
        <w:t xml:space="preserve"> Burglary Prevention Project, Rochdale. </w:t>
      </w:r>
      <w:r w:rsidRPr="000B00F5">
        <w:rPr>
          <w:rFonts w:ascii="Arial" w:hAnsi="Arial" w:cs="Arial"/>
          <w:i/>
          <w:iCs/>
          <w:shd w:val="clear" w:color="auto" w:fill="FCFCFC"/>
        </w:rPr>
        <w:t>Crime Prevention Unit Paper, No. 13. London: Home Office.</w:t>
      </w:r>
    </w:p>
    <w:p w14:paraId="5B03A257" w14:textId="77777777" w:rsidR="00725398" w:rsidRPr="000B00F5" w:rsidRDefault="00725398" w:rsidP="000B00F5">
      <w:pPr>
        <w:spacing w:line="360" w:lineRule="auto"/>
        <w:rPr>
          <w:rFonts w:ascii="Arial" w:hAnsi="Arial" w:cs="Arial"/>
          <w:shd w:val="clear" w:color="auto" w:fill="FCFCFC"/>
        </w:rPr>
      </w:pPr>
    </w:p>
    <w:p w14:paraId="3577D0C7" w14:textId="77777777" w:rsidR="00725398" w:rsidRPr="000B00F5" w:rsidRDefault="00725398" w:rsidP="000B00F5">
      <w:pPr>
        <w:spacing w:line="360" w:lineRule="auto"/>
        <w:rPr>
          <w:rFonts w:ascii="Arial" w:hAnsi="Arial" w:cs="Arial"/>
          <w:shd w:val="clear" w:color="auto" w:fill="FCFCFC"/>
        </w:rPr>
      </w:pPr>
      <w:r w:rsidRPr="000B00F5">
        <w:rPr>
          <w:rFonts w:ascii="Arial" w:hAnsi="Arial" w:cs="Arial"/>
          <w:shd w:val="clear" w:color="auto" w:fill="FCFCFC"/>
        </w:rPr>
        <w:t xml:space="preserve">Grove, L. et al (2012) </w:t>
      </w:r>
      <w:r w:rsidRPr="000B00F5">
        <w:rPr>
          <w:rFonts w:ascii="Arial" w:hAnsi="Arial" w:cs="Arial"/>
          <w:i/>
          <w:iCs/>
          <w:shd w:val="clear" w:color="auto" w:fill="FCFCFC"/>
        </w:rPr>
        <w:t xml:space="preserve">Preventing Repeat Victimization: A Systematic Review. </w:t>
      </w:r>
      <w:r w:rsidRPr="000B00F5">
        <w:rPr>
          <w:rFonts w:ascii="Arial" w:hAnsi="Arial" w:cs="Arial"/>
          <w:shd w:val="clear" w:color="auto" w:fill="FCFCFC"/>
        </w:rPr>
        <w:t xml:space="preserve">Stockholm: The Swedish National Council for Crime Prevention. </w:t>
      </w:r>
    </w:p>
    <w:p w14:paraId="50912EB8" w14:textId="77777777" w:rsidR="00725398" w:rsidRPr="000B00F5" w:rsidRDefault="00725398" w:rsidP="000B00F5">
      <w:pPr>
        <w:spacing w:line="360" w:lineRule="auto"/>
        <w:rPr>
          <w:rFonts w:ascii="Arial" w:hAnsi="Arial" w:cs="Arial"/>
          <w:shd w:val="clear" w:color="auto" w:fill="FCFCFC"/>
        </w:rPr>
      </w:pPr>
    </w:p>
    <w:p w14:paraId="6CBA2D2C" w14:textId="77777777" w:rsidR="00725398" w:rsidRPr="000B00F5" w:rsidRDefault="00725398" w:rsidP="000B00F5">
      <w:pPr>
        <w:spacing w:line="360" w:lineRule="auto"/>
        <w:rPr>
          <w:rFonts w:ascii="Arial" w:hAnsi="Arial" w:cs="Arial"/>
          <w:shd w:val="clear" w:color="auto" w:fill="FCFCFC"/>
        </w:rPr>
      </w:pPr>
      <w:r w:rsidRPr="000B00F5">
        <w:rPr>
          <w:rFonts w:ascii="Arial" w:hAnsi="Arial" w:cs="Arial"/>
          <w:shd w:val="clear" w:color="auto" w:fill="FCFCFC"/>
        </w:rPr>
        <w:t xml:space="preserve">Gaffney, H., Jolliffe, D., &amp; White, H. (2022). </w:t>
      </w:r>
      <w:r w:rsidRPr="000B00F5">
        <w:rPr>
          <w:rFonts w:ascii="Arial" w:hAnsi="Arial" w:cs="Arial"/>
          <w:i/>
          <w:iCs/>
          <w:shd w:val="clear" w:color="auto" w:fill="FCFCFC"/>
        </w:rPr>
        <w:t xml:space="preserve">Hot Spot Policing: Toolkit Technical Support. </w:t>
      </w:r>
      <w:r w:rsidRPr="000B00F5">
        <w:rPr>
          <w:rFonts w:ascii="Arial" w:hAnsi="Arial" w:cs="Arial"/>
          <w:shd w:val="clear" w:color="auto" w:fill="FCFCFC"/>
        </w:rPr>
        <w:t xml:space="preserve">Available at: https://youthendowmentfund.org.uk/wp-content/uploads/2022/07/YEF-Hot-Spots-Policing-Technical-Report_Final_July-2022.pdf (Accessed: 18th January 2023). </w:t>
      </w:r>
    </w:p>
    <w:p w14:paraId="3D63D324" w14:textId="77777777" w:rsidR="00725398" w:rsidRPr="000B00F5" w:rsidRDefault="00725398" w:rsidP="000B00F5">
      <w:pPr>
        <w:spacing w:line="360" w:lineRule="auto"/>
        <w:rPr>
          <w:rFonts w:ascii="Arial" w:hAnsi="Arial" w:cs="Arial"/>
          <w:shd w:val="clear" w:color="auto" w:fill="FCFCFC"/>
        </w:rPr>
      </w:pPr>
    </w:p>
    <w:p w14:paraId="39A7E41F" w14:textId="77777777" w:rsidR="00725398" w:rsidRPr="000B00F5" w:rsidRDefault="00725398" w:rsidP="000B00F5">
      <w:pPr>
        <w:spacing w:line="360" w:lineRule="auto"/>
        <w:rPr>
          <w:rFonts w:ascii="Arial" w:hAnsi="Arial" w:cs="Arial"/>
          <w:shd w:val="clear" w:color="auto" w:fill="FCFCFC"/>
        </w:rPr>
      </w:pPr>
      <w:r w:rsidRPr="000B00F5">
        <w:rPr>
          <w:rFonts w:ascii="Arial" w:hAnsi="Arial" w:cs="Arial"/>
          <w:shd w:val="clear" w:color="auto" w:fill="FCFCFC"/>
        </w:rPr>
        <w:t xml:space="preserve">Hinkle, J.C. et al (2020). </w:t>
      </w:r>
      <w:r w:rsidRPr="000B00F5">
        <w:rPr>
          <w:rFonts w:ascii="Arial" w:hAnsi="Arial" w:cs="Arial"/>
          <w:i/>
          <w:iCs/>
          <w:shd w:val="clear" w:color="auto" w:fill="FCFCFC"/>
        </w:rPr>
        <w:t xml:space="preserve">Problem-orientated Policing for Reducing Crime and Disorder. </w:t>
      </w:r>
      <w:r w:rsidRPr="000B00F5">
        <w:rPr>
          <w:rFonts w:ascii="Arial" w:hAnsi="Arial" w:cs="Arial"/>
          <w:shd w:val="clear" w:color="auto" w:fill="FCFCFC"/>
        </w:rPr>
        <w:t xml:space="preserve">Oslo: Campbell Collaboration. </w:t>
      </w:r>
    </w:p>
    <w:p w14:paraId="78E73D25" w14:textId="77777777" w:rsidR="00725398" w:rsidRPr="000B00F5" w:rsidRDefault="00725398" w:rsidP="000B00F5">
      <w:pPr>
        <w:spacing w:line="360" w:lineRule="auto"/>
        <w:rPr>
          <w:rFonts w:ascii="Arial" w:hAnsi="Arial" w:cs="Arial"/>
          <w:shd w:val="clear" w:color="auto" w:fill="FCFCFC"/>
        </w:rPr>
      </w:pPr>
    </w:p>
    <w:p w14:paraId="5A21A402" w14:textId="77777777" w:rsidR="00725398" w:rsidRPr="000B00F5" w:rsidRDefault="00725398" w:rsidP="000B00F5">
      <w:pPr>
        <w:spacing w:line="360" w:lineRule="auto"/>
        <w:rPr>
          <w:rFonts w:ascii="Arial" w:hAnsi="Arial" w:cs="Arial"/>
          <w:shd w:val="clear" w:color="auto" w:fill="FCFCFC"/>
        </w:rPr>
      </w:pPr>
      <w:r w:rsidRPr="000B00F5">
        <w:rPr>
          <w:rFonts w:ascii="Arial" w:hAnsi="Arial" w:cs="Arial"/>
          <w:shd w:val="clear" w:color="auto" w:fill="FCFCFC"/>
        </w:rPr>
        <w:t xml:space="preserve">HMICFRS (2022). The Police response to burglary, robbery and other acquisitive crime – Finding time for crime. Available at: https://www.justiceinspectorates.gov.uk/hmicfrs/publication-html/police-response-to-burglary-robbery-and-other-acquisitive-crime/#conclusion (Accessed: 18th January 2023). </w:t>
      </w:r>
    </w:p>
    <w:p w14:paraId="579DCC66" w14:textId="77777777" w:rsidR="00725398" w:rsidRPr="000B00F5" w:rsidRDefault="00725398" w:rsidP="000B00F5">
      <w:pPr>
        <w:spacing w:line="360" w:lineRule="auto"/>
        <w:rPr>
          <w:rFonts w:ascii="Arial" w:hAnsi="Arial" w:cs="Arial"/>
          <w:shd w:val="clear" w:color="auto" w:fill="FCFCFC"/>
        </w:rPr>
      </w:pPr>
    </w:p>
    <w:p w14:paraId="5BB73F91" w14:textId="77777777" w:rsidR="00725398" w:rsidRPr="000B00F5" w:rsidRDefault="00725398" w:rsidP="000B00F5">
      <w:pPr>
        <w:spacing w:line="360" w:lineRule="auto"/>
        <w:rPr>
          <w:rFonts w:ascii="Arial" w:hAnsi="Arial" w:cs="Arial"/>
        </w:rPr>
      </w:pPr>
      <w:r w:rsidRPr="000B00F5">
        <w:rPr>
          <w:rFonts w:ascii="Arial" w:hAnsi="Arial" w:cs="Arial"/>
        </w:rPr>
        <w:t>Johnson, S.D., &amp; Bowers, K.J. (2010). Permeability and burglary risk: are cul-de-sacs safer?</w:t>
      </w:r>
      <w:r w:rsidRPr="000B00F5">
        <w:rPr>
          <w:rFonts w:ascii="Arial" w:hAnsi="Arial" w:cs="Arial"/>
          <w:i/>
          <w:iCs/>
        </w:rPr>
        <w:t xml:space="preserve"> Journal of Quantitative Criminology 26(1):89-111.</w:t>
      </w:r>
      <w:r w:rsidRPr="000B00F5">
        <w:rPr>
          <w:rFonts w:ascii="Arial" w:hAnsi="Arial" w:cs="Arial"/>
        </w:rPr>
        <w:t xml:space="preserve"> </w:t>
      </w:r>
    </w:p>
    <w:p w14:paraId="200E87B4" w14:textId="77777777" w:rsidR="00725398" w:rsidRPr="000B00F5" w:rsidRDefault="00725398" w:rsidP="000B00F5">
      <w:pPr>
        <w:spacing w:line="360" w:lineRule="auto"/>
        <w:rPr>
          <w:rFonts w:ascii="Arial" w:hAnsi="Arial" w:cs="Arial"/>
        </w:rPr>
      </w:pPr>
    </w:p>
    <w:p w14:paraId="6878B8B0" w14:textId="77777777" w:rsidR="00725398" w:rsidRPr="000B00F5" w:rsidRDefault="00725398" w:rsidP="000B00F5">
      <w:pPr>
        <w:spacing w:line="360" w:lineRule="auto"/>
        <w:rPr>
          <w:rFonts w:ascii="Arial" w:hAnsi="Arial" w:cs="Arial"/>
          <w:i/>
          <w:iCs/>
        </w:rPr>
      </w:pPr>
      <w:r w:rsidRPr="000B00F5">
        <w:rPr>
          <w:rFonts w:ascii="Arial" w:hAnsi="Arial" w:cs="Arial"/>
        </w:rPr>
        <w:t xml:space="preserve">Johnson, S., </w:t>
      </w:r>
      <w:proofErr w:type="spellStart"/>
      <w:r w:rsidRPr="000B00F5">
        <w:rPr>
          <w:rFonts w:ascii="Arial" w:hAnsi="Arial" w:cs="Arial"/>
        </w:rPr>
        <w:t>Guerette</w:t>
      </w:r>
      <w:proofErr w:type="spellEnd"/>
      <w:r w:rsidRPr="000B00F5">
        <w:rPr>
          <w:rFonts w:ascii="Arial" w:hAnsi="Arial" w:cs="Arial"/>
        </w:rPr>
        <w:t>, T., &amp; Bowers, K. (2014). Crime displacement: what we know, what we don’t know, and what it means for crime reduction</w:t>
      </w:r>
      <w:r w:rsidRPr="000B00F5">
        <w:rPr>
          <w:rFonts w:ascii="Arial" w:hAnsi="Arial" w:cs="Arial"/>
          <w:i/>
          <w:iCs/>
        </w:rPr>
        <w:t>.</w:t>
      </w:r>
      <w:r w:rsidRPr="000B00F5">
        <w:rPr>
          <w:rFonts w:ascii="Arial" w:hAnsi="Arial" w:cs="Arial"/>
        </w:rPr>
        <w:t xml:space="preserve"> </w:t>
      </w:r>
      <w:r w:rsidRPr="000B00F5">
        <w:rPr>
          <w:rFonts w:ascii="Arial" w:hAnsi="Arial" w:cs="Arial"/>
          <w:i/>
          <w:iCs/>
        </w:rPr>
        <w:t>Journal of Experimental Criminology, Springer Netherlands. Volume 10, Issue 4, pp 549–571.</w:t>
      </w:r>
    </w:p>
    <w:p w14:paraId="7A522FE5" w14:textId="77777777" w:rsidR="00725398" w:rsidRPr="000B00F5" w:rsidRDefault="00725398" w:rsidP="000B00F5">
      <w:pPr>
        <w:spacing w:line="360" w:lineRule="auto"/>
        <w:rPr>
          <w:rFonts w:ascii="Arial" w:hAnsi="Arial" w:cs="Arial"/>
        </w:rPr>
      </w:pPr>
    </w:p>
    <w:p w14:paraId="3E045CFA" w14:textId="77777777" w:rsidR="00725398" w:rsidRPr="000B00F5" w:rsidRDefault="00725398" w:rsidP="000B00F5">
      <w:pPr>
        <w:spacing w:line="360" w:lineRule="auto"/>
        <w:rPr>
          <w:rFonts w:ascii="Arial" w:hAnsi="Arial" w:cs="Arial"/>
        </w:rPr>
      </w:pPr>
      <w:r w:rsidRPr="000B00F5">
        <w:rPr>
          <w:rFonts w:ascii="Arial" w:hAnsi="Arial" w:cs="Arial"/>
        </w:rPr>
        <w:lastRenderedPageBreak/>
        <w:t>Laycock, G. (1985). Property Marking: A Deterrent to Domestic Burglary</w:t>
      </w:r>
      <w:r w:rsidRPr="000B00F5">
        <w:rPr>
          <w:rFonts w:ascii="Arial" w:hAnsi="Arial" w:cs="Arial"/>
          <w:i/>
          <w:iCs/>
        </w:rPr>
        <w:t>. Crime Prevention Unit: Paper 3. London: Home Office.</w:t>
      </w:r>
      <w:r w:rsidRPr="000B00F5">
        <w:rPr>
          <w:rFonts w:ascii="Arial" w:hAnsi="Arial" w:cs="Arial"/>
        </w:rPr>
        <w:t xml:space="preserve"> </w:t>
      </w:r>
    </w:p>
    <w:p w14:paraId="486FB52B" w14:textId="77777777" w:rsidR="00725398" w:rsidRPr="000B00F5" w:rsidRDefault="00725398" w:rsidP="000B00F5">
      <w:pPr>
        <w:spacing w:line="360" w:lineRule="auto"/>
        <w:rPr>
          <w:rFonts w:ascii="Arial" w:hAnsi="Arial" w:cs="Arial"/>
        </w:rPr>
      </w:pPr>
    </w:p>
    <w:p w14:paraId="0085FE01" w14:textId="77777777" w:rsidR="00725398" w:rsidRPr="000B00F5" w:rsidRDefault="00725398" w:rsidP="000B00F5">
      <w:pPr>
        <w:spacing w:line="360" w:lineRule="auto"/>
        <w:rPr>
          <w:rFonts w:ascii="Arial" w:hAnsi="Arial" w:cs="Arial"/>
        </w:rPr>
      </w:pPr>
      <w:proofErr w:type="spellStart"/>
      <w:r w:rsidRPr="000B00F5">
        <w:rPr>
          <w:rFonts w:ascii="Arial" w:hAnsi="Arial" w:cs="Arial"/>
        </w:rPr>
        <w:t>Pergam</w:t>
      </w:r>
      <w:proofErr w:type="spellEnd"/>
      <w:r w:rsidRPr="000B00F5">
        <w:rPr>
          <w:rFonts w:ascii="Arial" w:hAnsi="Arial" w:cs="Arial"/>
        </w:rPr>
        <w:t xml:space="preserve">, R., Barnes, G.C., </w:t>
      </w:r>
      <w:proofErr w:type="spellStart"/>
      <w:r w:rsidRPr="000B00F5">
        <w:rPr>
          <w:rFonts w:ascii="Arial" w:hAnsi="Arial" w:cs="Arial"/>
        </w:rPr>
        <w:t>Slothower</w:t>
      </w:r>
      <w:proofErr w:type="spellEnd"/>
      <w:r w:rsidRPr="000B00F5">
        <w:rPr>
          <w:rFonts w:ascii="Arial" w:hAnsi="Arial" w:cs="Arial"/>
        </w:rPr>
        <w:t>, M. et al. (2018), Implementing a Burglary Prevention Program with Evidence-Based Tracking: a Case Study.</w:t>
      </w:r>
      <w:r w:rsidRPr="000B00F5">
        <w:rPr>
          <w:rFonts w:ascii="Arial" w:hAnsi="Arial" w:cs="Arial"/>
          <w:i/>
          <w:iCs/>
        </w:rPr>
        <w:t xml:space="preserve"> Cambridge Journal of Evidence Based Police 2, 181-191.</w:t>
      </w:r>
      <w:r w:rsidRPr="000B00F5">
        <w:rPr>
          <w:rFonts w:ascii="Arial" w:hAnsi="Arial" w:cs="Arial"/>
        </w:rPr>
        <w:t xml:space="preserve"> </w:t>
      </w:r>
    </w:p>
    <w:p w14:paraId="2F6E1580" w14:textId="77777777" w:rsidR="00725398" w:rsidRPr="000B00F5" w:rsidRDefault="00725398" w:rsidP="000B00F5">
      <w:pPr>
        <w:spacing w:line="360" w:lineRule="auto"/>
        <w:rPr>
          <w:rFonts w:ascii="Arial" w:hAnsi="Arial" w:cs="Arial"/>
        </w:rPr>
      </w:pPr>
    </w:p>
    <w:p w14:paraId="2D3B9EA0" w14:textId="77777777" w:rsidR="00725398" w:rsidRPr="000B00F5" w:rsidRDefault="00725398" w:rsidP="000B00F5">
      <w:pPr>
        <w:spacing w:line="360" w:lineRule="auto"/>
        <w:rPr>
          <w:rFonts w:ascii="Arial" w:hAnsi="Arial" w:cs="Arial"/>
        </w:rPr>
      </w:pPr>
      <w:r w:rsidRPr="000B00F5">
        <w:rPr>
          <w:rFonts w:ascii="Arial" w:hAnsi="Arial" w:cs="Arial"/>
        </w:rPr>
        <w:t xml:space="preserve">Police, Fire and Crime Commissioner for Essex (2014) </w:t>
      </w:r>
      <w:proofErr w:type="spellStart"/>
      <w:r w:rsidRPr="000B00F5">
        <w:rPr>
          <w:rFonts w:ascii="Arial" w:hAnsi="Arial" w:cs="Arial"/>
          <w:i/>
          <w:iCs/>
        </w:rPr>
        <w:t>Predicitive</w:t>
      </w:r>
      <w:proofErr w:type="spellEnd"/>
      <w:r w:rsidRPr="000B00F5">
        <w:rPr>
          <w:rFonts w:ascii="Arial" w:hAnsi="Arial" w:cs="Arial"/>
          <w:i/>
          <w:iCs/>
        </w:rPr>
        <w:t xml:space="preserve"> Policing Dents Essex Burglary Figures. </w:t>
      </w:r>
      <w:r w:rsidRPr="000B00F5">
        <w:rPr>
          <w:rFonts w:ascii="Arial" w:hAnsi="Arial" w:cs="Arial"/>
        </w:rPr>
        <w:t xml:space="preserve">Available at: https:// www.essex.pfcc.police.uk/news/predictive-policing-dents-essex-burglary-figures/#:~:text=Operation%20Insight%20makes%20use%20of%20predictive%20policing%20to,are%20then%20used%20to%20prevent%20them%20from%20happening. (Accessed: 18th January 2023). </w:t>
      </w:r>
    </w:p>
    <w:p w14:paraId="63413E45" w14:textId="77777777" w:rsidR="00725398" w:rsidRPr="000B00F5" w:rsidRDefault="00725398" w:rsidP="000B00F5">
      <w:pPr>
        <w:spacing w:line="360" w:lineRule="auto"/>
        <w:rPr>
          <w:rFonts w:ascii="Arial" w:hAnsi="Arial" w:cs="Arial"/>
        </w:rPr>
      </w:pPr>
    </w:p>
    <w:p w14:paraId="58FED2F7" w14:textId="77777777" w:rsidR="00725398" w:rsidRPr="000B00F5" w:rsidRDefault="00725398" w:rsidP="000B00F5">
      <w:pPr>
        <w:spacing w:line="360" w:lineRule="auto"/>
        <w:rPr>
          <w:rFonts w:ascii="Arial" w:hAnsi="Arial" w:cs="Arial"/>
        </w:rPr>
      </w:pPr>
      <w:proofErr w:type="spellStart"/>
      <w:r w:rsidRPr="000B00F5">
        <w:rPr>
          <w:rFonts w:ascii="Arial" w:hAnsi="Arial" w:cs="Arial"/>
        </w:rPr>
        <w:t>Skogan</w:t>
      </w:r>
      <w:proofErr w:type="spellEnd"/>
      <w:r w:rsidRPr="000B00F5">
        <w:rPr>
          <w:rFonts w:ascii="Arial" w:hAnsi="Arial" w:cs="Arial"/>
        </w:rPr>
        <w:t xml:space="preserve">, W. (2006). </w:t>
      </w:r>
      <w:r w:rsidRPr="000B00F5">
        <w:rPr>
          <w:rFonts w:ascii="Arial" w:hAnsi="Arial" w:cs="Arial"/>
          <w:i/>
          <w:iCs/>
        </w:rPr>
        <w:t xml:space="preserve">The Promise of Community Policing. </w:t>
      </w:r>
      <w:r w:rsidRPr="000B00F5">
        <w:rPr>
          <w:rFonts w:ascii="Arial" w:hAnsi="Arial" w:cs="Arial"/>
        </w:rPr>
        <w:t xml:space="preserve">In: Weisburd, D. &amp; Braga, A., eds. </w:t>
      </w:r>
      <w:r w:rsidRPr="000B00F5">
        <w:rPr>
          <w:rFonts w:ascii="Arial" w:hAnsi="Arial" w:cs="Arial"/>
          <w:i/>
          <w:iCs/>
        </w:rPr>
        <w:t xml:space="preserve">Police Innovation: Contrasting Perspectives. </w:t>
      </w:r>
      <w:r w:rsidRPr="000B00F5">
        <w:rPr>
          <w:rFonts w:ascii="Arial" w:hAnsi="Arial" w:cs="Arial"/>
        </w:rPr>
        <w:t xml:space="preserve">Cambridge: Cambridge University Press. </w:t>
      </w:r>
    </w:p>
    <w:p w14:paraId="42F0337C" w14:textId="77777777" w:rsidR="00725398" w:rsidRPr="000B00F5" w:rsidRDefault="00725398" w:rsidP="000B00F5">
      <w:pPr>
        <w:spacing w:line="360" w:lineRule="auto"/>
        <w:rPr>
          <w:rFonts w:ascii="Arial" w:hAnsi="Arial" w:cs="Arial"/>
        </w:rPr>
      </w:pPr>
    </w:p>
    <w:p w14:paraId="13F3E927" w14:textId="77777777" w:rsidR="00725398" w:rsidRPr="000B00F5" w:rsidRDefault="00725398" w:rsidP="000B00F5">
      <w:pPr>
        <w:spacing w:line="360" w:lineRule="auto"/>
        <w:rPr>
          <w:rFonts w:ascii="Arial" w:hAnsi="Arial" w:cs="Arial"/>
        </w:rPr>
      </w:pPr>
      <w:r w:rsidRPr="000B00F5">
        <w:rPr>
          <w:rFonts w:ascii="Arial" w:hAnsi="Arial" w:cs="Arial"/>
        </w:rPr>
        <w:t xml:space="preserve">Statist (2022). </w:t>
      </w:r>
      <w:r w:rsidRPr="000B00F5">
        <w:rPr>
          <w:rFonts w:ascii="Arial" w:hAnsi="Arial" w:cs="Arial"/>
          <w:i/>
          <w:iCs/>
          <w:shd w:val="clear" w:color="auto" w:fill="FFFFFF"/>
        </w:rPr>
        <w:t xml:space="preserve">Number of police recorded burglary offences in England and Wales from 2002/03 to 2021/22. </w:t>
      </w:r>
      <w:r w:rsidRPr="000B00F5">
        <w:rPr>
          <w:rFonts w:ascii="Arial" w:hAnsi="Arial" w:cs="Arial"/>
          <w:shd w:val="clear" w:color="auto" w:fill="FFFFFF"/>
        </w:rPr>
        <w:t xml:space="preserve">Available at: https://www.statista.com/statistics/956906/burglaries-in-england-and-wales/  (Accessed: 20th January 2023). </w:t>
      </w:r>
    </w:p>
    <w:p w14:paraId="0F442D20" w14:textId="77777777" w:rsidR="00725398" w:rsidRPr="000B00F5" w:rsidRDefault="00725398" w:rsidP="000B00F5">
      <w:pPr>
        <w:spacing w:line="360" w:lineRule="auto"/>
        <w:rPr>
          <w:rFonts w:ascii="Arial" w:hAnsi="Arial" w:cs="Arial"/>
        </w:rPr>
      </w:pPr>
    </w:p>
    <w:p w14:paraId="4583E1B1" w14:textId="77777777" w:rsidR="00725398" w:rsidRPr="000B00F5" w:rsidRDefault="00725398" w:rsidP="000B00F5">
      <w:pPr>
        <w:spacing w:line="360" w:lineRule="auto"/>
        <w:rPr>
          <w:rFonts w:ascii="Arial" w:hAnsi="Arial" w:cs="Arial"/>
        </w:rPr>
      </w:pPr>
      <w:r w:rsidRPr="000B00F5">
        <w:rPr>
          <w:rFonts w:ascii="Arial" w:hAnsi="Arial" w:cs="Arial"/>
        </w:rPr>
        <w:t>Taylor, B., Koper, C. &amp;Woods, D. (2011). A randomized Controlled Trial of Different Policing Strategies at Hot Sports of Violent Crime.</w:t>
      </w:r>
      <w:r w:rsidRPr="000B00F5">
        <w:rPr>
          <w:rFonts w:ascii="Arial" w:hAnsi="Arial" w:cs="Arial"/>
          <w:i/>
          <w:iCs/>
        </w:rPr>
        <w:t xml:space="preserve"> Journal of Experimental Criminology, 7, pp 149-181.</w:t>
      </w:r>
      <w:r w:rsidRPr="000B00F5">
        <w:rPr>
          <w:rFonts w:ascii="Arial" w:hAnsi="Arial" w:cs="Arial"/>
        </w:rPr>
        <w:t xml:space="preserve"> </w:t>
      </w:r>
    </w:p>
    <w:p w14:paraId="6F761E90" w14:textId="77777777" w:rsidR="00725398" w:rsidRPr="000B00F5" w:rsidRDefault="00725398" w:rsidP="000B00F5">
      <w:pPr>
        <w:spacing w:line="360" w:lineRule="auto"/>
        <w:rPr>
          <w:rFonts w:ascii="Arial" w:hAnsi="Arial" w:cs="Arial"/>
        </w:rPr>
      </w:pPr>
    </w:p>
    <w:p w14:paraId="217F5D4C" w14:textId="77777777" w:rsidR="00725398" w:rsidRPr="000B00F5" w:rsidRDefault="00725398" w:rsidP="000B00F5">
      <w:pPr>
        <w:spacing w:line="360" w:lineRule="auto"/>
        <w:rPr>
          <w:rFonts w:ascii="Arial" w:hAnsi="Arial" w:cs="Arial"/>
        </w:rPr>
      </w:pPr>
      <w:r w:rsidRPr="000B00F5">
        <w:rPr>
          <w:rFonts w:ascii="Arial" w:hAnsi="Arial" w:cs="Arial"/>
        </w:rPr>
        <w:t xml:space="preserve">Tilley, N. (2009) </w:t>
      </w:r>
      <w:r w:rsidRPr="000B00F5">
        <w:rPr>
          <w:rFonts w:ascii="Arial" w:hAnsi="Arial" w:cs="Arial"/>
          <w:i/>
          <w:iCs/>
        </w:rPr>
        <w:t xml:space="preserve">Crime Prevention. </w:t>
      </w:r>
      <w:r w:rsidRPr="000B00F5">
        <w:rPr>
          <w:rFonts w:ascii="Arial" w:hAnsi="Arial" w:cs="Arial"/>
        </w:rPr>
        <w:t xml:space="preserve">London: Willan. </w:t>
      </w:r>
    </w:p>
    <w:p w14:paraId="2E2ADE23" w14:textId="77777777" w:rsidR="00725398" w:rsidRPr="000B00F5" w:rsidRDefault="00725398" w:rsidP="000B00F5">
      <w:pPr>
        <w:spacing w:line="360" w:lineRule="auto"/>
        <w:rPr>
          <w:rFonts w:ascii="Arial" w:hAnsi="Arial" w:cs="Arial"/>
        </w:rPr>
      </w:pPr>
    </w:p>
    <w:p w14:paraId="3D98C107" w14:textId="77777777" w:rsidR="00725398" w:rsidRPr="000B00F5" w:rsidRDefault="00725398" w:rsidP="000B00F5">
      <w:pPr>
        <w:spacing w:line="360" w:lineRule="auto"/>
        <w:rPr>
          <w:rFonts w:ascii="Arial" w:eastAsia="Times New Roman" w:hAnsi="Arial" w:cs="Arial"/>
          <w:lang w:eastAsia="en-GB"/>
        </w:rPr>
      </w:pPr>
      <w:proofErr w:type="spellStart"/>
      <w:r w:rsidRPr="000B00F5">
        <w:rPr>
          <w:rFonts w:ascii="Arial" w:hAnsi="Arial" w:cs="Arial"/>
        </w:rPr>
        <w:t>Tseloni</w:t>
      </w:r>
      <w:proofErr w:type="spellEnd"/>
      <w:r w:rsidRPr="000B00F5">
        <w:rPr>
          <w:rFonts w:ascii="Arial" w:hAnsi="Arial" w:cs="Arial"/>
        </w:rPr>
        <w:t xml:space="preserve">, A. et al. (2017) </w:t>
      </w:r>
      <w:r w:rsidRPr="000B00F5">
        <w:rPr>
          <w:rFonts w:ascii="Arial" w:hAnsi="Arial" w:cs="Arial"/>
          <w:i/>
          <w:iCs/>
        </w:rPr>
        <w:t xml:space="preserve">Domestic burglary drop and the security hypothesis. </w:t>
      </w:r>
      <w:r w:rsidRPr="000B00F5">
        <w:rPr>
          <w:rFonts w:ascii="Arial" w:hAnsi="Arial" w:cs="Arial"/>
        </w:rPr>
        <w:t xml:space="preserve">Crime Science, 6(1). Available at: </w:t>
      </w:r>
      <w:r w:rsidRPr="000B00F5">
        <w:rPr>
          <w:rFonts w:ascii="Arial" w:eastAsia="Times New Roman" w:hAnsi="Arial" w:cs="Arial"/>
          <w:lang w:eastAsia="en-GB"/>
        </w:rPr>
        <w:t>https://eprints.whiterose.ac.uk/116379/1/Tseloni%20et%20al%202017%20Domestic%20burglary%20drop%20and%20the%20security%20hypothesis.pdf (Accessed: 20th January 2023).</w:t>
      </w:r>
    </w:p>
    <w:p w14:paraId="2831FAFE" w14:textId="77777777" w:rsidR="00725398" w:rsidRPr="000B00F5" w:rsidRDefault="00725398" w:rsidP="000B00F5">
      <w:pPr>
        <w:spacing w:line="360" w:lineRule="auto"/>
        <w:rPr>
          <w:rFonts w:ascii="Arial" w:eastAsia="Times New Roman" w:hAnsi="Arial" w:cs="Arial"/>
          <w:lang w:eastAsia="en-GB"/>
        </w:rPr>
      </w:pPr>
    </w:p>
    <w:p w14:paraId="2076A6C3" w14:textId="77777777" w:rsidR="00725398" w:rsidRPr="000B00F5" w:rsidRDefault="00725398" w:rsidP="000B00F5">
      <w:pPr>
        <w:spacing w:line="360" w:lineRule="auto"/>
        <w:rPr>
          <w:rFonts w:ascii="Arial" w:hAnsi="Arial" w:cs="Arial"/>
        </w:rPr>
      </w:pPr>
      <w:r w:rsidRPr="000B00F5">
        <w:rPr>
          <w:rFonts w:ascii="Arial" w:eastAsia="Times New Roman" w:hAnsi="Arial" w:cs="Arial"/>
          <w:lang w:eastAsia="en-GB"/>
        </w:rPr>
        <w:t xml:space="preserve">Weems, J., (2014). </w:t>
      </w:r>
      <w:r w:rsidRPr="000B00F5">
        <w:rPr>
          <w:rFonts w:ascii="Arial" w:eastAsia="Times New Roman" w:hAnsi="Arial" w:cs="Arial"/>
          <w:i/>
          <w:iCs/>
          <w:lang w:eastAsia="en-GB"/>
        </w:rPr>
        <w:t xml:space="preserve">Testing PCSO Cocooning of Near Repeat Burglary Locations. </w:t>
      </w:r>
      <w:r w:rsidRPr="000B00F5">
        <w:rPr>
          <w:rFonts w:ascii="Arial" w:eastAsia="Times New Roman" w:hAnsi="Arial" w:cs="Arial"/>
          <w:lang w:eastAsia="en-GB"/>
        </w:rPr>
        <w:t xml:space="preserve">(unpublished). </w:t>
      </w:r>
      <w:proofErr w:type="spellStart"/>
      <w:r w:rsidRPr="000B00F5">
        <w:rPr>
          <w:rFonts w:ascii="Arial" w:eastAsia="Times New Roman" w:hAnsi="Arial" w:cs="Arial"/>
          <w:lang w:eastAsia="en-GB"/>
        </w:rPr>
        <w:t>M.St</w:t>
      </w:r>
      <w:proofErr w:type="spellEnd"/>
      <w:r w:rsidRPr="000B00F5">
        <w:rPr>
          <w:rFonts w:ascii="Arial" w:eastAsia="Times New Roman" w:hAnsi="Arial" w:cs="Arial"/>
          <w:lang w:eastAsia="en-GB"/>
        </w:rPr>
        <w:t xml:space="preserve">. Thesis University of Cambridge Institute of Criminology. </w:t>
      </w:r>
    </w:p>
    <w:p w14:paraId="506B0BD6" w14:textId="77777777" w:rsidR="00725398" w:rsidRPr="000B00F5" w:rsidRDefault="00725398" w:rsidP="000B00F5">
      <w:pPr>
        <w:spacing w:line="360" w:lineRule="auto"/>
        <w:rPr>
          <w:rFonts w:ascii="Arial" w:hAnsi="Arial" w:cs="Arial"/>
          <w:b/>
          <w:bCs/>
        </w:rPr>
      </w:pPr>
    </w:p>
    <w:p w14:paraId="416D697C" w14:textId="77777777" w:rsidR="00725398" w:rsidRPr="000B00F5" w:rsidRDefault="00725398" w:rsidP="000B00F5">
      <w:pPr>
        <w:spacing w:line="360" w:lineRule="auto"/>
        <w:ind w:right="531"/>
        <w:rPr>
          <w:rFonts w:ascii="Arial" w:eastAsia="Calibri" w:hAnsi="Arial" w:cs="Arial"/>
        </w:rPr>
      </w:pPr>
    </w:p>
    <w:p w14:paraId="0CDF2AAE" w14:textId="77777777" w:rsidR="00725398" w:rsidRPr="000B00F5" w:rsidRDefault="00725398" w:rsidP="000B00F5">
      <w:pPr>
        <w:spacing w:line="360" w:lineRule="auto"/>
        <w:ind w:right="531"/>
        <w:rPr>
          <w:rFonts w:ascii="Arial" w:hAnsi="Arial" w:cs="Arial"/>
          <w:b/>
          <w:bCs/>
        </w:rPr>
      </w:pPr>
      <w:r w:rsidRPr="000B00F5">
        <w:rPr>
          <w:rFonts w:ascii="Arial" w:hAnsi="Arial" w:cs="Arial"/>
          <w:b/>
          <w:bCs/>
        </w:rPr>
        <w:t>Essay two:</w:t>
      </w:r>
    </w:p>
    <w:p w14:paraId="0ABB8534" w14:textId="77777777" w:rsidR="00725398" w:rsidRPr="000B00F5" w:rsidRDefault="00725398" w:rsidP="000B00F5">
      <w:pPr>
        <w:pStyle w:val="ListParagraph"/>
        <w:numPr>
          <w:ilvl w:val="0"/>
          <w:numId w:val="1"/>
        </w:numPr>
        <w:spacing w:line="360" w:lineRule="auto"/>
        <w:ind w:right="531"/>
        <w:rPr>
          <w:rFonts w:ascii="Arial" w:eastAsia="Calibri" w:hAnsi="Arial" w:cs="Arial"/>
          <w:sz w:val="22"/>
          <w:szCs w:val="22"/>
        </w:rPr>
      </w:pPr>
      <w:r w:rsidRPr="000B00F5">
        <w:rPr>
          <w:rFonts w:ascii="Arial" w:eastAsia="Calibri" w:hAnsi="Arial" w:cs="Arial"/>
          <w:b/>
          <w:bCs/>
          <w:sz w:val="22"/>
          <w:szCs w:val="22"/>
        </w:rPr>
        <w:t xml:space="preserve">Community policing </w:t>
      </w:r>
      <w:r w:rsidRPr="000B00F5">
        <w:rPr>
          <w:rFonts w:ascii="Arial" w:eastAsia="Calibri" w:hAnsi="Arial" w:cs="Arial"/>
          <w:sz w:val="22"/>
          <w:szCs w:val="22"/>
        </w:rPr>
        <w:t xml:space="preserve">– </w:t>
      </w:r>
      <w:r w:rsidRPr="000B00F5">
        <w:rPr>
          <w:rFonts w:ascii="Arial" w:eastAsia="Calibri" w:hAnsi="Arial" w:cs="Arial"/>
          <w:sz w:val="22"/>
          <w:szCs w:val="22"/>
          <w:u w:val="single"/>
        </w:rPr>
        <w:t>to what extent</w:t>
      </w:r>
      <w:r w:rsidRPr="000B00F5">
        <w:rPr>
          <w:rFonts w:ascii="Arial" w:eastAsia="Calibri" w:hAnsi="Arial" w:cs="Arial"/>
          <w:sz w:val="22"/>
          <w:szCs w:val="22"/>
        </w:rPr>
        <w:t xml:space="preserve"> do police have a role in creating and maintaining community cohesion? Your answer must be based on academic research. </w:t>
      </w:r>
    </w:p>
    <w:p w14:paraId="78A7C2A4" w14:textId="77777777" w:rsidR="00725398" w:rsidRPr="000B00F5" w:rsidRDefault="00725398" w:rsidP="000B00F5">
      <w:pPr>
        <w:spacing w:line="360" w:lineRule="auto"/>
        <w:rPr>
          <w:rFonts w:ascii="Arial" w:hAnsi="Arial" w:cs="Arial"/>
        </w:rPr>
      </w:pPr>
    </w:p>
    <w:p w14:paraId="43C2025E" w14:textId="77777777" w:rsidR="00725398" w:rsidRPr="000B00F5" w:rsidRDefault="00725398" w:rsidP="000B00F5">
      <w:pPr>
        <w:spacing w:line="360" w:lineRule="auto"/>
        <w:rPr>
          <w:rFonts w:ascii="Arial" w:hAnsi="Arial" w:cs="Arial"/>
        </w:rPr>
      </w:pPr>
    </w:p>
    <w:p w14:paraId="1BB694F5" w14:textId="77777777" w:rsidR="00725398" w:rsidRPr="000B00F5" w:rsidRDefault="00725398" w:rsidP="000B00F5">
      <w:pPr>
        <w:spacing w:line="360" w:lineRule="auto"/>
        <w:ind w:right="531" w:firstLine="720"/>
        <w:rPr>
          <w:rFonts w:ascii="Arial" w:eastAsia="Calibri" w:hAnsi="Arial" w:cs="Arial"/>
        </w:rPr>
      </w:pPr>
      <w:r w:rsidRPr="000B00F5">
        <w:rPr>
          <w:rFonts w:ascii="Arial" w:eastAsia="Calibri" w:hAnsi="Arial" w:cs="Arial"/>
        </w:rPr>
        <w:t xml:space="preserve">Community Cohesion has no set definition, however, multiple sources refer to it as being the relationship between the individual, their community and wider society. The National Policing Improvement Agency (2010) states that communities that are cohesive are ones where there “is a sense of belonging for all communities” and one where “positive relationships develop between people of different backgrounds”.  </w:t>
      </w:r>
    </w:p>
    <w:p w14:paraId="467D2CFB" w14:textId="77777777" w:rsidR="00725398" w:rsidRPr="000B00F5" w:rsidRDefault="00725398" w:rsidP="000B00F5">
      <w:pPr>
        <w:spacing w:line="360" w:lineRule="auto"/>
        <w:ind w:right="531" w:firstLine="720"/>
        <w:rPr>
          <w:rFonts w:ascii="Arial" w:eastAsia="Calibri" w:hAnsi="Arial" w:cs="Arial"/>
        </w:rPr>
      </w:pPr>
    </w:p>
    <w:p w14:paraId="4B3378F1" w14:textId="77777777" w:rsidR="00725398" w:rsidRPr="000B00F5" w:rsidRDefault="00725398" w:rsidP="000B00F5">
      <w:pPr>
        <w:spacing w:line="360" w:lineRule="auto"/>
        <w:ind w:right="531" w:firstLine="720"/>
        <w:rPr>
          <w:rFonts w:ascii="Arial" w:hAnsi="Arial" w:cs="Arial"/>
        </w:rPr>
      </w:pPr>
      <w:r w:rsidRPr="000B00F5">
        <w:rPr>
          <w:rFonts w:ascii="Arial" w:eastAsia="Calibri" w:hAnsi="Arial" w:cs="Arial"/>
        </w:rPr>
        <w:t xml:space="preserve">The importance of community cohesion for policing was established as a result of the Cantle Report (2001), following riots that occurred in the UK, namely Bradford, Burnley and Oldham. </w:t>
      </w:r>
      <w:r w:rsidRPr="000B00F5">
        <w:rPr>
          <w:rFonts w:ascii="Arial" w:hAnsi="Arial" w:cs="Arial"/>
        </w:rPr>
        <w:t>The report identified that issues with community cohesion stem from problems between identifiable groups, based on ethnicity, culture and faith, which creates a feeling of unfairness and divides community members. The way the police engage with communities plays an important role in gaining the trust and confidence of the communities they serve, in order to overcome any prejudices they may have about the police and increases community cohesion.</w:t>
      </w:r>
    </w:p>
    <w:p w14:paraId="10B394A3" w14:textId="77777777" w:rsidR="00725398" w:rsidRPr="000B00F5" w:rsidRDefault="00725398" w:rsidP="000B00F5">
      <w:pPr>
        <w:autoSpaceDE w:val="0"/>
        <w:autoSpaceDN w:val="0"/>
        <w:adjustRightInd w:val="0"/>
        <w:spacing w:after="0" w:line="360" w:lineRule="auto"/>
        <w:ind w:firstLine="720"/>
        <w:rPr>
          <w:rFonts w:ascii="Arial" w:eastAsia="Calibri" w:hAnsi="Arial" w:cs="Arial"/>
        </w:rPr>
      </w:pPr>
    </w:p>
    <w:p w14:paraId="5459F7F2" w14:textId="77777777" w:rsidR="00725398" w:rsidRPr="000B00F5" w:rsidRDefault="00725398" w:rsidP="000B00F5">
      <w:pPr>
        <w:autoSpaceDE w:val="0"/>
        <w:autoSpaceDN w:val="0"/>
        <w:adjustRightInd w:val="0"/>
        <w:spacing w:after="0" w:line="360" w:lineRule="auto"/>
        <w:ind w:firstLine="720"/>
        <w:rPr>
          <w:rFonts w:ascii="Arial" w:hAnsi="Arial" w:cs="Arial"/>
        </w:rPr>
      </w:pPr>
      <w:r w:rsidRPr="000B00F5">
        <w:rPr>
          <w:rFonts w:ascii="Arial" w:hAnsi="Arial" w:cs="Arial"/>
        </w:rPr>
        <w:t>Of the statutory services, the police are the most visible frontline workers operating in a neighbourhood, and they are the first line of defence in dealing with conflict (</w:t>
      </w:r>
      <w:proofErr w:type="spellStart"/>
      <w:r w:rsidRPr="000B00F5">
        <w:rPr>
          <w:rFonts w:ascii="Arial" w:hAnsi="Arial" w:cs="Arial"/>
        </w:rPr>
        <w:t>Trojanowicz</w:t>
      </w:r>
      <w:proofErr w:type="spellEnd"/>
      <w:r w:rsidRPr="000B00F5">
        <w:rPr>
          <w:rFonts w:ascii="Arial" w:hAnsi="Arial" w:cs="Arial"/>
        </w:rPr>
        <w:t xml:space="preserve"> and </w:t>
      </w:r>
      <w:proofErr w:type="spellStart"/>
      <w:r w:rsidRPr="000B00F5">
        <w:rPr>
          <w:rFonts w:ascii="Arial" w:hAnsi="Arial" w:cs="Arial"/>
        </w:rPr>
        <w:t>Bucqueroux</w:t>
      </w:r>
      <w:proofErr w:type="spellEnd"/>
      <w:r w:rsidRPr="000B00F5">
        <w:rPr>
          <w:rFonts w:ascii="Arial" w:hAnsi="Arial" w:cs="Arial"/>
        </w:rPr>
        <w:t xml:space="preserve">, 1991). Research by </w:t>
      </w:r>
      <w:proofErr w:type="spellStart"/>
      <w:r w:rsidRPr="000B00F5">
        <w:rPr>
          <w:rFonts w:ascii="Arial" w:hAnsi="Arial" w:cs="Arial"/>
        </w:rPr>
        <w:t>Skogan</w:t>
      </w:r>
      <w:proofErr w:type="spellEnd"/>
      <w:r w:rsidRPr="000B00F5">
        <w:rPr>
          <w:rFonts w:ascii="Arial" w:hAnsi="Arial" w:cs="Arial"/>
        </w:rPr>
        <w:t xml:space="preserve"> (1989) showed that the role the police play in a community can have an impact on the relationship between crime in that community and collective organisation. Crime and cohesion are closely linked. Evidence and research suggests that if crime reduces, cohesion will increase. Indeed, Wedlock (2006) showed that </w:t>
      </w:r>
      <w:r w:rsidRPr="000B00F5">
        <w:rPr>
          <w:rFonts w:ascii="Arial" w:hAnsi="Arial" w:cs="Arial"/>
        </w:rPr>
        <w:lastRenderedPageBreak/>
        <w:t xml:space="preserve">the reported rates of different crimes are predicted to reduce as the sense of ‘community’ goes up. Conversely, Laurence and Heath (2008) showed that high levels of crime is a negative predictor of cohesion. </w:t>
      </w:r>
      <w:r w:rsidRPr="000B00F5">
        <w:rPr>
          <w:rFonts w:ascii="Arial" w:hAnsi="Arial" w:cs="Arial"/>
          <w:color w:val="000000"/>
        </w:rPr>
        <w:t>The more crime and risk factors a neighbourhood faces, the less likely it is to develop any organised activity to fight crime, and residents are more reluctant to take the risk of intervening in neighbourhood problems (</w:t>
      </w:r>
      <w:proofErr w:type="spellStart"/>
      <w:r w:rsidRPr="000B00F5">
        <w:rPr>
          <w:rFonts w:ascii="Arial" w:hAnsi="Arial" w:cs="Arial"/>
          <w:color w:val="000000"/>
        </w:rPr>
        <w:t>Kubrin</w:t>
      </w:r>
      <w:proofErr w:type="spellEnd"/>
      <w:r w:rsidRPr="000B00F5">
        <w:rPr>
          <w:rFonts w:ascii="Arial" w:hAnsi="Arial" w:cs="Arial"/>
          <w:color w:val="000000"/>
        </w:rPr>
        <w:t xml:space="preserve"> and </w:t>
      </w:r>
      <w:proofErr w:type="spellStart"/>
      <w:r w:rsidRPr="000B00F5">
        <w:rPr>
          <w:rFonts w:ascii="Arial" w:hAnsi="Arial" w:cs="Arial"/>
          <w:color w:val="000000"/>
        </w:rPr>
        <w:t>Weitzetr</w:t>
      </w:r>
      <w:proofErr w:type="spellEnd"/>
      <w:r w:rsidRPr="000B00F5">
        <w:rPr>
          <w:rFonts w:ascii="Arial" w:hAnsi="Arial" w:cs="Arial"/>
          <w:color w:val="000000"/>
        </w:rPr>
        <w:t>, 2003). Whereas, i</w:t>
      </w:r>
      <w:r w:rsidRPr="000B00F5">
        <w:rPr>
          <w:rFonts w:ascii="Arial" w:hAnsi="Arial" w:cs="Arial"/>
        </w:rPr>
        <w:t>n more cohesive areas there may be greater social controls, as people are more ready to challenge inappropriate behaviour or report suspicious behaviour (Department for Communities and Local Government, 2009).</w:t>
      </w:r>
    </w:p>
    <w:p w14:paraId="1A89EABD" w14:textId="77777777" w:rsidR="00725398" w:rsidRPr="000B00F5" w:rsidRDefault="00725398" w:rsidP="000B00F5">
      <w:pPr>
        <w:autoSpaceDE w:val="0"/>
        <w:autoSpaceDN w:val="0"/>
        <w:adjustRightInd w:val="0"/>
        <w:spacing w:after="0" w:line="360" w:lineRule="auto"/>
        <w:rPr>
          <w:rFonts w:ascii="Arial" w:hAnsi="Arial" w:cs="Arial"/>
        </w:rPr>
      </w:pPr>
    </w:p>
    <w:p w14:paraId="37FF16BF" w14:textId="77777777" w:rsidR="00725398" w:rsidRPr="000B00F5" w:rsidRDefault="00725398" w:rsidP="000B00F5">
      <w:pPr>
        <w:autoSpaceDE w:val="0"/>
        <w:autoSpaceDN w:val="0"/>
        <w:adjustRightInd w:val="0"/>
        <w:spacing w:after="0" w:line="360" w:lineRule="auto"/>
        <w:rPr>
          <w:rFonts w:ascii="Arial" w:hAnsi="Arial" w:cs="Arial"/>
          <w:shd w:val="clear" w:color="auto" w:fill="FFFFFF"/>
        </w:rPr>
      </w:pPr>
      <w:r w:rsidRPr="000B00F5">
        <w:rPr>
          <w:rFonts w:ascii="Arial" w:hAnsi="Arial" w:cs="Arial"/>
        </w:rPr>
        <w:tab/>
        <w:t xml:space="preserve">However, research suggests that public confidence in policing is less about the effectiveness of the police to reduce crime, and more about the perception of the police being able to address ‘everyday problems’ (Jackson et al, 2009). </w:t>
      </w:r>
      <w:r w:rsidRPr="000B00F5">
        <w:rPr>
          <w:rFonts w:ascii="Arial" w:hAnsi="Arial" w:cs="Arial"/>
          <w:color w:val="000000"/>
        </w:rPr>
        <w:t xml:space="preserve">Co-operation between police and the communities they serve is central to community policing (Hawdon and Ryan, </w:t>
      </w:r>
      <w:r w:rsidRPr="000B00F5">
        <w:rPr>
          <w:rFonts w:ascii="Arial" w:hAnsi="Arial" w:cs="Arial"/>
        </w:rPr>
        <w:t xml:space="preserve">2003), and </w:t>
      </w:r>
      <w:r w:rsidRPr="000B00F5">
        <w:rPr>
          <w:rFonts w:ascii="Arial" w:hAnsi="Arial" w:cs="Arial"/>
          <w:color w:val="000000"/>
        </w:rPr>
        <w:t xml:space="preserve">is important in policing communities in order to support cohesion (Greene and </w:t>
      </w:r>
      <w:r w:rsidRPr="000B00F5">
        <w:rPr>
          <w:rFonts w:ascii="Arial" w:hAnsi="Arial" w:cs="Arial"/>
        </w:rPr>
        <w:t xml:space="preserve">Pelfrey 1997; Williams 1998). Community policing is important in developing community </w:t>
      </w:r>
      <w:r w:rsidRPr="000B00F5">
        <w:rPr>
          <w:rFonts w:ascii="Arial" w:eastAsia="Calibri" w:hAnsi="Arial" w:cs="Arial"/>
        </w:rPr>
        <w:t xml:space="preserve">cohesion, and was implemented in order to improve the relationship between the police and the public (Eck and Rosenbaum, 1994). </w:t>
      </w:r>
      <w:r w:rsidRPr="000B00F5">
        <w:rPr>
          <w:rFonts w:ascii="Arial" w:hAnsi="Arial" w:cs="Arial"/>
          <w:shd w:val="clear" w:color="auto" w:fill="FFFFFF"/>
        </w:rPr>
        <w:t xml:space="preserve">Putman (2000) highlights that community liaison, which is at the heart of joint working and problem-solving advocated by this way of policing, is important and significant in community cohesion. The community and the police are encouraged to come together and form a partnership in which both share a common goal of making the community safer. </w:t>
      </w:r>
    </w:p>
    <w:p w14:paraId="50187F2B" w14:textId="77777777" w:rsidR="00725398" w:rsidRPr="000B00F5" w:rsidRDefault="00725398" w:rsidP="000B00F5">
      <w:pPr>
        <w:autoSpaceDE w:val="0"/>
        <w:autoSpaceDN w:val="0"/>
        <w:adjustRightInd w:val="0"/>
        <w:spacing w:after="0" w:line="360" w:lineRule="auto"/>
        <w:rPr>
          <w:rFonts w:ascii="Arial" w:hAnsi="Arial" w:cs="Arial"/>
          <w:shd w:val="clear" w:color="auto" w:fill="FFFFFF"/>
        </w:rPr>
      </w:pPr>
    </w:p>
    <w:p w14:paraId="56D37008" w14:textId="77777777" w:rsidR="00725398" w:rsidRPr="000B00F5" w:rsidRDefault="00725398" w:rsidP="000B00F5">
      <w:pPr>
        <w:autoSpaceDE w:val="0"/>
        <w:autoSpaceDN w:val="0"/>
        <w:adjustRightInd w:val="0"/>
        <w:spacing w:after="0" w:line="360" w:lineRule="auto"/>
        <w:ind w:firstLine="720"/>
        <w:rPr>
          <w:rFonts w:ascii="Arial" w:hAnsi="Arial" w:cs="Arial"/>
          <w:shd w:val="clear" w:color="auto" w:fill="FFFFFF"/>
        </w:rPr>
      </w:pPr>
      <w:r w:rsidRPr="000B00F5">
        <w:rPr>
          <w:rFonts w:ascii="Arial" w:hAnsi="Arial" w:cs="Arial"/>
          <w:shd w:val="clear" w:color="auto" w:fill="FFFFFF"/>
        </w:rPr>
        <w:t xml:space="preserve">However, although community policing is a partnership between the police and the community members, the police play a major role as the police officer is the foundation of this way of policing (Oliver, 2008). In order for community policing to be effective there needs to be visibility of the police and familiarity with them within the community. </w:t>
      </w:r>
      <w:r w:rsidRPr="000B00F5">
        <w:rPr>
          <w:rFonts w:ascii="Arial" w:hAnsi="Arial" w:cs="Arial"/>
        </w:rPr>
        <w:t>Community policing strategies that look to take an active part by seeking to increase the visibility, accessibility and familiarity of the police can address both fear of crime and public confidence in policing (Jackson et al., 2009). Some communities may have a negative image of the police, therefore, in order to support community cohesion the police should aim to decrease tensions between them and the community (</w:t>
      </w:r>
      <w:proofErr w:type="spellStart"/>
      <w:r w:rsidRPr="000B00F5">
        <w:rPr>
          <w:rFonts w:ascii="Arial" w:hAnsi="Arial" w:cs="Arial"/>
        </w:rPr>
        <w:t>Bayerl</w:t>
      </w:r>
      <w:proofErr w:type="spellEnd"/>
      <w:r w:rsidRPr="000B00F5">
        <w:rPr>
          <w:rFonts w:ascii="Arial" w:hAnsi="Arial" w:cs="Arial"/>
        </w:rPr>
        <w:t xml:space="preserve"> et al, 2018). Greater perceived social cohesion may contribute to more support for police, as the police are seen as partially responsible for community trust and order (Bradford and </w:t>
      </w:r>
      <w:proofErr w:type="spellStart"/>
      <w:r w:rsidRPr="000B00F5">
        <w:rPr>
          <w:rFonts w:ascii="Arial" w:hAnsi="Arial" w:cs="Arial"/>
        </w:rPr>
        <w:t>Myhill</w:t>
      </w:r>
      <w:proofErr w:type="spellEnd"/>
      <w:r w:rsidRPr="000B00F5">
        <w:rPr>
          <w:rFonts w:ascii="Arial" w:hAnsi="Arial" w:cs="Arial"/>
        </w:rPr>
        <w:t xml:space="preserve">, 2014). </w:t>
      </w:r>
      <w:r w:rsidRPr="000B00F5">
        <w:rPr>
          <w:rFonts w:ascii="Arial" w:hAnsi="Arial" w:cs="Arial"/>
          <w:color w:val="212529"/>
          <w:shd w:val="clear" w:color="auto" w:fill="FFFFFF"/>
        </w:rPr>
        <w:t xml:space="preserve">It is believed that if the police demonstrate an interest in the community, they will generate a better response from the community, where residents will look at the police more favourably. </w:t>
      </w:r>
      <w:r w:rsidRPr="000B00F5">
        <w:rPr>
          <w:rFonts w:ascii="Arial" w:eastAsia="Calibri" w:hAnsi="Arial" w:cs="Arial"/>
        </w:rPr>
        <w:t xml:space="preserve">Indeed, there is an association between adherence to the idea that the police are engaging with their communities and higher perceived community cohesion, which in turn contributes to </w:t>
      </w:r>
      <w:r w:rsidRPr="000B00F5">
        <w:rPr>
          <w:rFonts w:ascii="Arial" w:eastAsia="Calibri" w:hAnsi="Arial" w:cs="Arial"/>
        </w:rPr>
        <w:lastRenderedPageBreak/>
        <w:t xml:space="preserve">people’s belief that the police are dealing with issues and higher confidence in the service (Perkins, 2016). </w:t>
      </w:r>
      <w:r w:rsidRPr="000B00F5">
        <w:rPr>
          <w:rFonts w:ascii="Arial" w:hAnsi="Arial" w:cs="Arial"/>
          <w:shd w:val="clear" w:color="auto" w:fill="FFFFFF"/>
        </w:rPr>
        <w:t>Confidence in </w:t>
      </w:r>
      <w:r w:rsidRPr="000B00F5">
        <w:rPr>
          <w:rStyle w:val="Emphasis"/>
          <w:rFonts w:ascii="Arial" w:hAnsi="Arial" w:cs="Arial"/>
          <w:i w:val="0"/>
          <w:iCs w:val="0"/>
          <w:shd w:val="clear" w:color="auto" w:fill="FFFFFF"/>
        </w:rPr>
        <w:t>policing</w:t>
      </w:r>
      <w:r w:rsidRPr="000B00F5">
        <w:rPr>
          <w:rFonts w:ascii="Arial" w:hAnsi="Arial" w:cs="Arial"/>
          <w:shd w:val="clear" w:color="auto" w:fill="FFFFFF"/>
        </w:rPr>
        <w:t> is essential, it provides legitimacy and the </w:t>
      </w:r>
      <w:r w:rsidRPr="000B00F5">
        <w:rPr>
          <w:rStyle w:val="Emphasis"/>
          <w:rFonts w:ascii="Arial" w:hAnsi="Arial" w:cs="Arial"/>
          <w:i w:val="0"/>
          <w:iCs w:val="0"/>
          <w:shd w:val="clear" w:color="auto" w:fill="FFFFFF"/>
        </w:rPr>
        <w:t>community support</w:t>
      </w:r>
      <w:r w:rsidRPr="000B00F5">
        <w:rPr>
          <w:rFonts w:ascii="Arial" w:hAnsi="Arial" w:cs="Arial"/>
          <w:shd w:val="clear" w:color="auto" w:fill="FFFFFF"/>
        </w:rPr>
        <w:t xml:space="preserve"> needed to act in preventing crime. </w:t>
      </w:r>
    </w:p>
    <w:p w14:paraId="087DD3D4" w14:textId="77777777" w:rsidR="00725398" w:rsidRPr="000B00F5" w:rsidRDefault="00725398" w:rsidP="000B00F5">
      <w:pPr>
        <w:autoSpaceDE w:val="0"/>
        <w:autoSpaceDN w:val="0"/>
        <w:adjustRightInd w:val="0"/>
        <w:spacing w:after="0" w:line="360" w:lineRule="auto"/>
        <w:ind w:firstLine="720"/>
        <w:rPr>
          <w:rFonts w:ascii="Arial" w:hAnsi="Arial" w:cs="Arial"/>
          <w:shd w:val="clear" w:color="auto" w:fill="FFFFFF"/>
        </w:rPr>
      </w:pPr>
    </w:p>
    <w:p w14:paraId="5E34153A" w14:textId="77777777" w:rsidR="00725398" w:rsidRPr="000B00F5" w:rsidRDefault="00725398" w:rsidP="000B00F5">
      <w:pPr>
        <w:spacing w:line="360" w:lineRule="auto"/>
        <w:ind w:right="531" w:firstLine="720"/>
        <w:rPr>
          <w:rFonts w:ascii="Arial" w:hAnsi="Arial" w:cs="Arial"/>
        </w:rPr>
      </w:pPr>
      <w:r w:rsidRPr="000B00F5">
        <w:rPr>
          <w:rFonts w:ascii="Arial" w:hAnsi="Arial" w:cs="Arial"/>
        </w:rPr>
        <w:t>There is also a wider role that the police play in supporting community cohesion, which is outlined by Operation Hotspot (Home Office, 2007). This is to empower the local community, to work with partners/service providers and to improve local services. The police are uniquely placed, being visible to the communities they serve, and can act as a bridge between the communities and other agencies. Although they are best placed to deal with issues of crime and disorder, the police can also act as referrers to other agencies for issues they are not best placed to deal with. This co-ordination can assist in brining communities together, strengthen public confidence in the police and ultimately develop community cohesion. A case study by Thornton and Mason (2007) from Operation Overt in High Wycombe showed the importance of developing a network of contacts and partnership working, to clearly understand and communicate with communities and to promote community cohesion. Another case study has also showed that a police approach of developing individual networks in a community assisted them in gaining local intelligence on what issues there were in a community, thus assisting them to identify and direct their resources. This led to better engagement with local communities, and an increased understanding of the benefits of partnership working to develop community cohesion (</w:t>
      </w:r>
      <w:proofErr w:type="spellStart"/>
      <w:r w:rsidRPr="000B00F5">
        <w:rPr>
          <w:rFonts w:ascii="Arial" w:hAnsi="Arial" w:cs="Arial"/>
        </w:rPr>
        <w:t>Kitchin</w:t>
      </w:r>
      <w:proofErr w:type="spellEnd"/>
      <w:r w:rsidRPr="000B00F5">
        <w:rPr>
          <w:rFonts w:ascii="Arial" w:hAnsi="Arial" w:cs="Arial"/>
        </w:rPr>
        <w:t xml:space="preserve"> et al, 2009). </w:t>
      </w:r>
    </w:p>
    <w:p w14:paraId="0F1F282B" w14:textId="77777777" w:rsidR="00725398" w:rsidRPr="000B00F5" w:rsidRDefault="00725398" w:rsidP="000B00F5">
      <w:pPr>
        <w:spacing w:line="360" w:lineRule="auto"/>
        <w:ind w:right="531" w:firstLine="720"/>
        <w:rPr>
          <w:rFonts w:ascii="Arial" w:hAnsi="Arial" w:cs="Arial"/>
        </w:rPr>
      </w:pPr>
    </w:p>
    <w:p w14:paraId="3954A1C9" w14:textId="77777777" w:rsidR="00725398" w:rsidRPr="000B00F5" w:rsidRDefault="00725398" w:rsidP="000B00F5">
      <w:pPr>
        <w:autoSpaceDE w:val="0"/>
        <w:autoSpaceDN w:val="0"/>
        <w:adjustRightInd w:val="0"/>
        <w:spacing w:after="0" w:line="360" w:lineRule="auto"/>
        <w:ind w:firstLine="720"/>
        <w:rPr>
          <w:rFonts w:ascii="Arial" w:hAnsi="Arial" w:cs="Arial"/>
        </w:rPr>
      </w:pPr>
      <w:r w:rsidRPr="000B00F5">
        <w:rPr>
          <w:rFonts w:ascii="Arial" w:hAnsi="Arial" w:cs="Arial"/>
        </w:rPr>
        <w:t xml:space="preserve">In conclusion, the extent to which the police create and maintain social cohesion is vast, and is done through a number of ways. Although effective policing which tackles crime can help build cohesion, it is also recognised that the police can do this by engaging with communities, bringing people together and working closely with partner agencies.  </w:t>
      </w:r>
    </w:p>
    <w:p w14:paraId="614B94AF" w14:textId="77777777" w:rsidR="00725398" w:rsidRPr="000B00F5" w:rsidRDefault="00725398" w:rsidP="000B00F5">
      <w:pPr>
        <w:spacing w:line="360" w:lineRule="auto"/>
        <w:rPr>
          <w:rFonts w:ascii="Arial" w:hAnsi="Arial" w:cs="Arial"/>
        </w:rPr>
      </w:pPr>
    </w:p>
    <w:p w14:paraId="01B7E1BB" w14:textId="04005EC4" w:rsidR="00725398" w:rsidRPr="000B00F5" w:rsidRDefault="00725398" w:rsidP="000B00F5">
      <w:pPr>
        <w:spacing w:line="360" w:lineRule="auto"/>
        <w:rPr>
          <w:rFonts w:ascii="Arial" w:hAnsi="Arial" w:cs="Arial"/>
          <w:b/>
          <w:bCs/>
        </w:rPr>
      </w:pPr>
      <w:r w:rsidRPr="000B00F5">
        <w:rPr>
          <w:rFonts w:ascii="Arial" w:hAnsi="Arial" w:cs="Arial"/>
          <w:b/>
          <w:bCs/>
        </w:rPr>
        <w:t>Word Count – 1022 words</w:t>
      </w:r>
    </w:p>
    <w:p w14:paraId="212411FF" w14:textId="77777777" w:rsidR="00725398" w:rsidRPr="000B00F5" w:rsidRDefault="00725398" w:rsidP="000B00F5">
      <w:pPr>
        <w:spacing w:line="360" w:lineRule="auto"/>
        <w:rPr>
          <w:rFonts w:ascii="Arial" w:hAnsi="Arial" w:cs="Arial"/>
          <w:b/>
          <w:bCs/>
        </w:rPr>
      </w:pPr>
    </w:p>
    <w:p w14:paraId="7DB847DC" w14:textId="77777777" w:rsidR="00725398" w:rsidRPr="000B00F5" w:rsidRDefault="00725398" w:rsidP="000B00F5">
      <w:pPr>
        <w:spacing w:line="360" w:lineRule="auto"/>
        <w:ind w:right="531"/>
        <w:rPr>
          <w:rFonts w:ascii="Arial" w:hAnsi="Arial" w:cs="Arial"/>
        </w:rPr>
      </w:pPr>
      <w:r w:rsidRPr="000B00F5">
        <w:rPr>
          <w:rFonts w:ascii="Arial" w:hAnsi="Arial" w:cs="Arial"/>
        </w:rPr>
        <w:t>Referencing</w:t>
      </w:r>
    </w:p>
    <w:p w14:paraId="21A9B6C3" w14:textId="77777777" w:rsidR="00725398" w:rsidRPr="000B00F5" w:rsidRDefault="00725398" w:rsidP="000B00F5">
      <w:pPr>
        <w:pStyle w:val="NormalWeb"/>
        <w:spacing w:line="360" w:lineRule="auto"/>
        <w:rPr>
          <w:rFonts w:ascii="Arial" w:hAnsi="Arial" w:cs="Arial"/>
          <w:sz w:val="22"/>
          <w:szCs w:val="22"/>
        </w:rPr>
      </w:pPr>
      <w:proofErr w:type="spellStart"/>
      <w:r w:rsidRPr="000B00F5">
        <w:rPr>
          <w:rFonts w:ascii="Arial" w:hAnsi="Arial" w:cs="Arial"/>
          <w:sz w:val="22"/>
          <w:szCs w:val="22"/>
        </w:rPr>
        <w:t>Bayerl</w:t>
      </w:r>
      <w:proofErr w:type="spellEnd"/>
      <w:r w:rsidRPr="000B00F5">
        <w:rPr>
          <w:rFonts w:ascii="Arial" w:hAnsi="Arial" w:cs="Arial"/>
          <w:sz w:val="22"/>
          <w:szCs w:val="22"/>
        </w:rPr>
        <w:t>, P.S. et al</w:t>
      </w:r>
      <w:r w:rsidRPr="000B00F5">
        <w:rPr>
          <w:rFonts w:ascii="Arial" w:hAnsi="Arial" w:cs="Arial"/>
          <w:i/>
          <w:iCs/>
          <w:sz w:val="22"/>
          <w:szCs w:val="22"/>
        </w:rPr>
        <w:t>.</w:t>
      </w:r>
      <w:r w:rsidRPr="000B00F5">
        <w:rPr>
          <w:rFonts w:ascii="Arial" w:hAnsi="Arial" w:cs="Arial"/>
          <w:sz w:val="22"/>
          <w:szCs w:val="22"/>
        </w:rPr>
        <w:t xml:space="preserve"> (2017) </w:t>
      </w:r>
      <w:r w:rsidRPr="000B00F5">
        <w:rPr>
          <w:rFonts w:ascii="Arial" w:hAnsi="Arial" w:cs="Arial"/>
          <w:i/>
          <w:iCs/>
          <w:sz w:val="22"/>
          <w:szCs w:val="22"/>
        </w:rPr>
        <w:t>Community policing - A European perspective strategies, Best Practices and Guidelines</w:t>
      </w:r>
      <w:r w:rsidRPr="000B00F5">
        <w:rPr>
          <w:rFonts w:ascii="Arial" w:hAnsi="Arial" w:cs="Arial"/>
          <w:sz w:val="22"/>
          <w:szCs w:val="22"/>
        </w:rPr>
        <w:t xml:space="preserve">. Cham: Springer International Publishing. </w:t>
      </w:r>
    </w:p>
    <w:p w14:paraId="47474CC4" w14:textId="77777777" w:rsidR="00725398" w:rsidRPr="000B00F5" w:rsidRDefault="00725398" w:rsidP="000B00F5">
      <w:pPr>
        <w:pStyle w:val="NormalWeb"/>
        <w:spacing w:line="360" w:lineRule="auto"/>
        <w:rPr>
          <w:rFonts w:ascii="Arial" w:hAnsi="Arial" w:cs="Arial"/>
          <w:sz w:val="22"/>
          <w:szCs w:val="22"/>
        </w:rPr>
      </w:pPr>
    </w:p>
    <w:p w14:paraId="06D529CA" w14:textId="77777777" w:rsidR="00725398" w:rsidRPr="000B00F5" w:rsidRDefault="00725398" w:rsidP="000B00F5">
      <w:pPr>
        <w:pStyle w:val="NormalWeb"/>
        <w:spacing w:line="360" w:lineRule="auto"/>
        <w:rPr>
          <w:rFonts w:ascii="Arial" w:hAnsi="Arial" w:cs="Arial"/>
          <w:i/>
          <w:iCs/>
          <w:sz w:val="22"/>
          <w:szCs w:val="22"/>
        </w:rPr>
      </w:pPr>
      <w:r w:rsidRPr="000B00F5">
        <w:rPr>
          <w:rFonts w:ascii="Arial" w:hAnsi="Arial" w:cs="Arial"/>
          <w:sz w:val="22"/>
          <w:szCs w:val="22"/>
        </w:rPr>
        <w:lastRenderedPageBreak/>
        <w:t xml:space="preserve">Bradford, B. &amp; </w:t>
      </w:r>
      <w:proofErr w:type="spellStart"/>
      <w:r w:rsidRPr="000B00F5">
        <w:rPr>
          <w:rFonts w:ascii="Arial" w:hAnsi="Arial" w:cs="Arial"/>
          <w:sz w:val="22"/>
          <w:szCs w:val="22"/>
        </w:rPr>
        <w:t>Myhill</w:t>
      </w:r>
      <w:proofErr w:type="spellEnd"/>
      <w:r w:rsidRPr="000B00F5">
        <w:rPr>
          <w:rFonts w:ascii="Arial" w:hAnsi="Arial" w:cs="Arial"/>
          <w:sz w:val="22"/>
          <w:szCs w:val="22"/>
        </w:rPr>
        <w:t>, A. (2014). Triggers of change to public confidence in the police and criminal justice system: Findings from the Crime Survey for England and Wales Panel Experiment.</w:t>
      </w:r>
      <w:r w:rsidRPr="000B00F5">
        <w:rPr>
          <w:rFonts w:ascii="Arial" w:hAnsi="Arial" w:cs="Arial"/>
          <w:i/>
          <w:iCs/>
          <w:sz w:val="22"/>
          <w:szCs w:val="22"/>
        </w:rPr>
        <w:t xml:space="preserve"> Criminology &amp; Criminal Justice, 15(1), pp. 23–43.</w:t>
      </w:r>
    </w:p>
    <w:p w14:paraId="0C3C954F" w14:textId="77777777" w:rsidR="00725398" w:rsidRPr="000B00F5" w:rsidRDefault="00725398" w:rsidP="000B00F5">
      <w:pPr>
        <w:pStyle w:val="NormalWeb"/>
        <w:spacing w:line="360" w:lineRule="auto"/>
        <w:rPr>
          <w:rFonts w:ascii="Arial" w:hAnsi="Arial" w:cs="Arial"/>
          <w:sz w:val="22"/>
          <w:szCs w:val="22"/>
        </w:rPr>
      </w:pPr>
    </w:p>
    <w:p w14:paraId="3AB0E0C8" w14:textId="77777777" w:rsidR="00725398" w:rsidRPr="000B00F5" w:rsidRDefault="00725398" w:rsidP="000B00F5">
      <w:pPr>
        <w:spacing w:line="360" w:lineRule="auto"/>
        <w:ind w:right="531"/>
        <w:rPr>
          <w:rFonts w:ascii="Arial" w:hAnsi="Arial" w:cs="Arial"/>
        </w:rPr>
      </w:pPr>
      <w:r w:rsidRPr="000B00F5">
        <w:rPr>
          <w:rFonts w:ascii="Arial" w:hAnsi="Arial" w:cs="Arial"/>
        </w:rPr>
        <w:t xml:space="preserve">Cantle, T. (2001). </w:t>
      </w:r>
      <w:r w:rsidRPr="000B00F5">
        <w:rPr>
          <w:rFonts w:ascii="Arial" w:hAnsi="Arial" w:cs="Arial"/>
          <w:i/>
          <w:iCs/>
        </w:rPr>
        <w:t>Community Cohesion: A report of the independent review team.</w:t>
      </w:r>
      <w:r w:rsidRPr="000B00F5">
        <w:rPr>
          <w:rFonts w:ascii="Arial" w:hAnsi="Arial" w:cs="Arial"/>
        </w:rPr>
        <w:t xml:space="preserve"> Home Office, London.</w:t>
      </w:r>
    </w:p>
    <w:p w14:paraId="192B2217" w14:textId="77777777" w:rsidR="00725398" w:rsidRPr="000B00F5" w:rsidRDefault="00725398" w:rsidP="000B00F5">
      <w:pPr>
        <w:spacing w:line="360" w:lineRule="auto"/>
        <w:ind w:right="531"/>
        <w:rPr>
          <w:rFonts w:ascii="Arial" w:hAnsi="Arial" w:cs="Arial"/>
        </w:rPr>
      </w:pPr>
    </w:p>
    <w:p w14:paraId="2EAC2D8D" w14:textId="77777777" w:rsidR="00725398" w:rsidRPr="000B00F5" w:rsidRDefault="00725398" w:rsidP="000B00F5">
      <w:pPr>
        <w:spacing w:line="360" w:lineRule="auto"/>
        <w:ind w:right="531"/>
        <w:rPr>
          <w:rFonts w:ascii="Arial" w:hAnsi="Arial" w:cs="Arial"/>
        </w:rPr>
      </w:pPr>
      <w:r w:rsidRPr="000B00F5">
        <w:rPr>
          <w:rFonts w:ascii="Arial" w:hAnsi="Arial" w:cs="Arial"/>
        </w:rPr>
        <w:t xml:space="preserve">Department for Communities and Local Government (2009). </w:t>
      </w:r>
      <w:r w:rsidRPr="000B00F5">
        <w:rPr>
          <w:rFonts w:ascii="Arial" w:hAnsi="Arial" w:cs="Arial"/>
          <w:i/>
          <w:iCs/>
        </w:rPr>
        <w:t xml:space="preserve">Guidance for local authorities on how to mainstream community cohesion into other services. </w:t>
      </w:r>
      <w:r w:rsidRPr="000B00F5">
        <w:rPr>
          <w:rFonts w:ascii="Arial" w:hAnsi="Arial" w:cs="Arial"/>
        </w:rPr>
        <w:t>Available at: gov.uk.  https://assets.publishing.service.gov.uk/government/uploads/system/uploads/attachment_data/file/7619/1303527.pdf (Accessed: November 9</w:t>
      </w:r>
      <w:r w:rsidRPr="000B00F5">
        <w:rPr>
          <w:rFonts w:ascii="Arial" w:hAnsi="Arial" w:cs="Arial"/>
          <w:vertAlign w:val="superscript"/>
        </w:rPr>
        <w:t>th</w:t>
      </w:r>
      <w:r w:rsidRPr="000B00F5">
        <w:rPr>
          <w:rFonts w:ascii="Arial" w:hAnsi="Arial" w:cs="Arial"/>
        </w:rPr>
        <w:t xml:space="preserve"> November 2022). </w:t>
      </w:r>
    </w:p>
    <w:p w14:paraId="4FEA0FC1" w14:textId="77777777" w:rsidR="00725398" w:rsidRPr="000B00F5" w:rsidRDefault="00725398" w:rsidP="000B00F5">
      <w:pPr>
        <w:spacing w:line="360" w:lineRule="auto"/>
        <w:ind w:right="531"/>
        <w:rPr>
          <w:rFonts w:ascii="Arial" w:hAnsi="Arial" w:cs="Arial"/>
        </w:rPr>
      </w:pPr>
    </w:p>
    <w:p w14:paraId="1E5C4C59" w14:textId="77777777" w:rsidR="00725398" w:rsidRPr="000B00F5" w:rsidRDefault="00725398" w:rsidP="000B00F5">
      <w:pPr>
        <w:spacing w:line="360" w:lineRule="auto"/>
        <w:ind w:right="531"/>
        <w:rPr>
          <w:rFonts w:ascii="Arial" w:hAnsi="Arial" w:cs="Arial"/>
          <w:color w:val="222222"/>
          <w:shd w:val="clear" w:color="auto" w:fill="FFFFFF"/>
        </w:rPr>
      </w:pPr>
      <w:r w:rsidRPr="000B00F5">
        <w:rPr>
          <w:rFonts w:ascii="Arial" w:hAnsi="Arial" w:cs="Arial"/>
          <w:color w:val="222222"/>
          <w:shd w:val="clear" w:color="auto" w:fill="FFFFFF"/>
        </w:rPr>
        <w:t xml:space="preserve">Eck, J.E., Rosenbaum, D.P. (1994). </w:t>
      </w:r>
      <w:r w:rsidRPr="000B00F5">
        <w:rPr>
          <w:rFonts w:ascii="Arial" w:hAnsi="Arial" w:cs="Arial"/>
          <w:i/>
          <w:iCs/>
          <w:color w:val="222222"/>
          <w:shd w:val="clear" w:color="auto" w:fill="FFFFFF"/>
        </w:rPr>
        <w:t xml:space="preserve">The new police order: effectiveness, equity, and efficiency in community policing. </w:t>
      </w:r>
      <w:r w:rsidRPr="000B00F5">
        <w:rPr>
          <w:rFonts w:ascii="Arial" w:hAnsi="Arial" w:cs="Arial"/>
          <w:color w:val="222222"/>
          <w:shd w:val="clear" w:color="auto" w:fill="FFFFFF"/>
        </w:rPr>
        <w:t xml:space="preserve">IN: Rosenbaum DP (ed) The challenger of community policing, Thousand Oaks, CA7 Sage. </w:t>
      </w:r>
    </w:p>
    <w:p w14:paraId="6C0F9C4E" w14:textId="77777777" w:rsidR="00725398" w:rsidRPr="000B00F5" w:rsidRDefault="00725398" w:rsidP="000B00F5">
      <w:pPr>
        <w:spacing w:line="360" w:lineRule="auto"/>
        <w:ind w:right="531"/>
        <w:rPr>
          <w:rFonts w:ascii="Arial" w:hAnsi="Arial" w:cs="Arial"/>
        </w:rPr>
      </w:pPr>
    </w:p>
    <w:p w14:paraId="55E9A8CE" w14:textId="77777777" w:rsidR="00725398" w:rsidRPr="000B00F5" w:rsidRDefault="00725398" w:rsidP="000B00F5">
      <w:pPr>
        <w:spacing w:line="360" w:lineRule="auto"/>
        <w:ind w:right="531"/>
        <w:rPr>
          <w:rFonts w:ascii="Arial" w:hAnsi="Arial" w:cs="Arial"/>
          <w:i/>
          <w:iCs/>
          <w:shd w:val="clear" w:color="auto" w:fill="FFFFFF"/>
        </w:rPr>
      </w:pPr>
      <w:r w:rsidRPr="000B00F5">
        <w:rPr>
          <w:rFonts w:ascii="Arial" w:hAnsi="Arial" w:cs="Arial"/>
          <w:shd w:val="clear" w:color="auto" w:fill="FFFFFF"/>
        </w:rPr>
        <w:t>Greene, J.R. &amp; Pelfrey Jr, W.V. (1997). Shifting the balance of power between police and community: Responsibility for crime control</w:t>
      </w:r>
      <w:r w:rsidRPr="000B00F5">
        <w:rPr>
          <w:rFonts w:ascii="Arial" w:hAnsi="Arial" w:cs="Arial"/>
          <w:i/>
          <w:iCs/>
          <w:shd w:val="clear" w:color="auto" w:fill="FFFFFF"/>
        </w:rPr>
        <w:t>.</w:t>
      </w:r>
      <w:r w:rsidRPr="000B00F5">
        <w:rPr>
          <w:rFonts w:ascii="Arial" w:hAnsi="Arial" w:cs="Arial"/>
          <w:shd w:val="clear" w:color="auto" w:fill="FFFFFF"/>
        </w:rPr>
        <w:t> </w:t>
      </w:r>
      <w:r w:rsidRPr="000B00F5">
        <w:rPr>
          <w:rFonts w:ascii="Arial" w:hAnsi="Arial" w:cs="Arial"/>
          <w:i/>
          <w:iCs/>
          <w:shd w:val="clear" w:color="auto" w:fill="FFFFFF"/>
        </w:rPr>
        <w:t>Critical issues in policing: Contemporary readings, 3, pp.393-423.</w:t>
      </w:r>
    </w:p>
    <w:p w14:paraId="6008A77B" w14:textId="77777777" w:rsidR="00725398" w:rsidRPr="000B00F5" w:rsidRDefault="00725398" w:rsidP="000B00F5">
      <w:pPr>
        <w:spacing w:line="360" w:lineRule="auto"/>
        <w:ind w:right="531"/>
        <w:rPr>
          <w:rFonts w:ascii="Arial" w:hAnsi="Arial" w:cs="Arial"/>
          <w:shd w:val="clear" w:color="auto" w:fill="FFFFFF"/>
        </w:rPr>
      </w:pPr>
    </w:p>
    <w:p w14:paraId="7FFDC2B2" w14:textId="77777777" w:rsidR="00725398" w:rsidRPr="000B00F5" w:rsidRDefault="00725398" w:rsidP="000B00F5">
      <w:pPr>
        <w:spacing w:line="360" w:lineRule="auto"/>
        <w:ind w:right="531"/>
        <w:rPr>
          <w:rFonts w:ascii="Arial" w:hAnsi="Arial" w:cs="Arial"/>
          <w:i/>
          <w:iCs/>
          <w:color w:val="222222"/>
          <w:shd w:val="clear" w:color="auto" w:fill="FFFFFF"/>
        </w:rPr>
      </w:pPr>
      <w:r w:rsidRPr="000B00F5">
        <w:rPr>
          <w:rFonts w:ascii="Arial" w:hAnsi="Arial" w:cs="Arial"/>
          <w:color w:val="222222"/>
          <w:shd w:val="clear" w:color="auto" w:fill="FFFFFF"/>
        </w:rPr>
        <w:t>Hawdon, J. and Ryan, J., (2003). Police-resident interactions and satisfaction with police: An empirical test of community policing assertions</w:t>
      </w:r>
      <w:r w:rsidRPr="000B00F5">
        <w:rPr>
          <w:rFonts w:ascii="Arial" w:hAnsi="Arial" w:cs="Arial"/>
          <w:i/>
          <w:iCs/>
          <w:color w:val="222222"/>
          <w:shd w:val="clear" w:color="auto" w:fill="FFFFFF"/>
        </w:rPr>
        <w:t>.</w:t>
      </w:r>
      <w:r w:rsidRPr="000B00F5">
        <w:rPr>
          <w:rFonts w:ascii="Arial" w:hAnsi="Arial" w:cs="Arial"/>
          <w:color w:val="222222"/>
          <w:shd w:val="clear" w:color="auto" w:fill="FFFFFF"/>
        </w:rPr>
        <w:t> </w:t>
      </w:r>
      <w:r w:rsidRPr="000B00F5">
        <w:rPr>
          <w:rFonts w:ascii="Arial" w:hAnsi="Arial" w:cs="Arial"/>
          <w:i/>
          <w:iCs/>
          <w:color w:val="222222"/>
          <w:shd w:val="clear" w:color="auto" w:fill="FFFFFF"/>
        </w:rPr>
        <w:t>Criminal justice policy review, 14(1), pp.55-74.</w:t>
      </w:r>
    </w:p>
    <w:p w14:paraId="003DEB16" w14:textId="77777777" w:rsidR="00725398" w:rsidRPr="000B00F5" w:rsidRDefault="00725398" w:rsidP="000B00F5">
      <w:pPr>
        <w:spacing w:line="360" w:lineRule="auto"/>
        <w:ind w:right="531"/>
        <w:rPr>
          <w:rFonts w:ascii="Arial" w:hAnsi="Arial" w:cs="Arial"/>
          <w:color w:val="222222"/>
          <w:shd w:val="clear" w:color="auto" w:fill="FFFFFF"/>
        </w:rPr>
      </w:pPr>
    </w:p>
    <w:p w14:paraId="45231B07" w14:textId="77777777" w:rsidR="00725398" w:rsidRPr="000B00F5" w:rsidRDefault="00725398" w:rsidP="000B00F5">
      <w:pPr>
        <w:spacing w:line="360" w:lineRule="auto"/>
        <w:ind w:right="531"/>
        <w:rPr>
          <w:rFonts w:ascii="Arial" w:hAnsi="Arial" w:cs="Arial"/>
          <w:color w:val="222222"/>
          <w:shd w:val="clear" w:color="auto" w:fill="FFFFFF"/>
        </w:rPr>
      </w:pPr>
      <w:r w:rsidRPr="000B00F5">
        <w:rPr>
          <w:rFonts w:ascii="Arial" w:hAnsi="Arial" w:cs="Arial"/>
          <w:color w:val="222222"/>
          <w:shd w:val="clear" w:color="auto" w:fill="FFFFFF"/>
        </w:rPr>
        <w:t xml:space="preserve">Home Office (2007) </w:t>
      </w:r>
      <w:r w:rsidRPr="000B00F5">
        <w:rPr>
          <w:rFonts w:ascii="Arial" w:hAnsi="Arial" w:cs="Arial"/>
          <w:i/>
          <w:iCs/>
          <w:color w:val="222222"/>
          <w:shd w:val="clear" w:color="auto" w:fill="FFFFFF"/>
        </w:rPr>
        <w:t xml:space="preserve">National Community Safety Plan 2008-2011. </w:t>
      </w:r>
      <w:r w:rsidRPr="000B00F5">
        <w:rPr>
          <w:rFonts w:ascii="Arial" w:hAnsi="Arial" w:cs="Arial"/>
          <w:color w:val="222222"/>
          <w:shd w:val="clear" w:color="auto" w:fill="FFFFFF"/>
        </w:rPr>
        <w:t>Available at: https://</w:t>
      </w:r>
      <w:r w:rsidRPr="000B00F5">
        <w:rPr>
          <w:rFonts w:ascii="Arial" w:hAnsi="Arial" w:cs="Arial"/>
        </w:rPr>
        <w:t xml:space="preserve"> </w:t>
      </w:r>
      <w:r w:rsidRPr="000B00F5">
        <w:rPr>
          <w:rFonts w:ascii="Arial" w:hAnsi="Arial" w:cs="Arial"/>
          <w:color w:val="222222"/>
          <w:shd w:val="clear" w:color="auto" w:fill="FFFFFF"/>
        </w:rPr>
        <w:t xml:space="preserve">www.yumpu.com/en/document/read/4393392/nationalcommunitysafetyplan200811-staffordshire-county-council/19 (Accessed November 9th 2022). </w:t>
      </w:r>
    </w:p>
    <w:p w14:paraId="6333F96F" w14:textId="77777777" w:rsidR="00725398" w:rsidRPr="000B00F5" w:rsidRDefault="00725398" w:rsidP="000B00F5">
      <w:pPr>
        <w:spacing w:line="360" w:lineRule="auto"/>
        <w:ind w:right="531"/>
        <w:rPr>
          <w:rFonts w:ascii="Arial" w:hAnsi="Arial" w:cs="Arial"/>
        </w:rPr>
      </w:pPr>
    </w:p>
    <w:p w14:paraId="6ED0B8D3" w14:textId="77777777" w:rsidR="00725398" w:rsidRPr="000B00F5" w:rsidRDefault="00725398" w:rsidP="000B00F5">
      <w:pPr>
        <w:pStyle w:val="NormalWeb"/>
        <w:spacing w:line="360" w:lineRule="auto"/>
        <w:rPr>
          <w:rFonts w:ascii="Arial" w:hAnsi="Arial" w:cs="Arial"/>
          <w:sz w:val="22"/>
          <w:szCs w:val="22"/>
        </w:rPr>
      </w:pPr>
      <w:r w:rsidRPr="000B00F5">
        <w:rPr>
          <w:rFonts w:ascii="Arial" w:hAnsi="Arial" w:cs="Arial"/>
          <w:sz w:val="22"/>
          <w:szCs w:val="22"/>
        </w:rPr>
        <w:lastRenderedPageBreak/>
        <w:t xml:space="preserve">Jackson, J. </w:t>
      </w:r>
      <w:r w:rsidRPr="000B00F5">
        <w:rPr>
          <w:rFonts w:ascii="Arial" w:hAnsi="Arial" w:cs="Arial"/>
          <w:i/>
          <w:iCs/>
          <w:sz w:val="22"/>
          <w:szCs w:val="22"/>
        </w:rPr>
        <w:t>et al.</w:t>
      </w:r>
      <w:r w:rsidRPr="000B00F5">
        <w:rPr>
          <w:rFonts w:ascii="Arial" w:hAnsi="Arial" w:cs="Arial"/>
          <w:sz w:val="22"/>
          <w:szCs w:val="22"/>
        </w:rPr>
        <w:t xml:space="preserve"> (2009).</w:t>
      </w:r>
      <w:r w:rsidRPr="000B00F5">
        <w:rPr>
          <w:rFonts w:ascii="Arial" w:hAnsi="Arial" w:cs="Arial"/>
          <w:i/>
          <w:iCs/>
          <w:sz w:val="22"/>
          <w:szCs w:val="22"/>
        </w:rPr>
        <w:t xml:space="preserve"> </w:t>
      </w:r>
      <w:r w:rsidRPr="000B00F5">
        <w:rPr>
          <w:rFonts w:ascii="Arial" w:hAnsi="Arial" w:cs="Arial"/>
          <w:sz w:val="22"/>
          <w:szCs w:val="22"/>
        </w:rPr>
        <w:t>Does the fear of Crime Erode Public Confidence in policing?</w:t>
      </w:r>
      <w:r w:rsidRPr="000B00F5">
        <w:rPr>
          <w:rFonts w:ascii="Arial" w:hAnsi="Arial" w:cs="Arial"/>
          <w:i/>
          <w:iCs/>
          <w:sz w:val="22"/>
          <w:szCs w:val="22"/>
        </w:rPr>
        <w:t xml:space="preserve"> Policing, 3(1), pp. 100–111.</w:t>
      </w:r>
      <w:r w:rsidRPr="000B00F5">
        <w:rPr>
          <w:rFonts w:ascii="Arial" w:hAnsi="Arial" w:cs="Arial"/>
          <w:sz w:val="22"/>
          <w:szCs w:val="22"/>
        </w:rPr>
        <w:t xml:space="preserve"> </w:t>
      </w:r>
    </w:p>
    <w:p w14:paraId="0924B2F5" w14:textId="77777777" w:rsidR="00725398" w:rsidRPr="000B00F5" w:rsidRDefault="00725398" w:rsidP="000B00F5">
      <w:pPr>
        <w:pStyle w:val="NormalWeb"/>
        <w:spacing w:line="360" w:lineRule="auto"/>
        <w:rPr>
          <w:rFonts w:ascii="Arial" w:hAnsi="Arial" w:cs="Arial"/>
          <w:sz w:val="22"/>
          <w:szCs w:val="22"/>
        </w:rPr>
      </w:pPr>
    </w:p>
    <w:p w14:paraId="584F7C53" w14:textId="77777777" w:rsidR="00725398" w:rsidRPr="000B00F5" w:rsidRDefault="00725398" w:rsidP="000B00F5">
      <w:pPr>
        <w:spacing w:line="360" w:lineRule="auto"/>
        <w:ind w:right="531"/>
        <w:rPr>
          <w:rFonts w:ascii="Arial" w:hAnsi="Arial" w:cs="Arial"/>
          <w:shd w:val="clear" w:color="auto" w:fill="FFFFFF"/>
        </w:rPr>
      </w:pPr>
      <w:proofErr w:type="spellStart"/>
      <w:r w:rsidRPr="000B00F5">
        <w:rPr>
          <w:rFonts w:ascii="Arial" w:hAnsi="Arial" w:cs="Arial"/>
          <w:shd w:val="clear" w:color="auto" w:fill="FFFFFF"/>
        </w:rPr>
        <w:t>Kitchin</w:t>
      </w:r>
      <w:proofErr w:type="spellEnd"/>
      <w:r w:rsidRPr="000B00F5">
        <w:rPr>
          <w:rFonts w:ascii="Arial" w:hAnsi="Arial" w:cs="Arial"/>
          <w:shd w:val="clear" w:color="auto" w:fill="FFFFFF"/>
        </w:rPr>
        <w:t xml:space="preserve">, H, Phillimore, J, Goodson, L, </w:t>
      </w:r>
      <w:proofErr w:type="spellStart"/>
      <w:r w:rsidRPr="000B00F5">
        <w:rPr>
          <w:rFonts w:ascii="Arial" w:hAnsi="Arial" w:cs="Arial"/>
          <w:shd w:val="clear" w:color="auto" w:fill="FFFFFF"/>
        </w:rPr>
        <w:t>Mayblin</w:t>
      </w:r>
      <w:proofErr w:type="spellEnd"/>
      <w:r w:rsidRPr="000B00F5">
        <w:rPr>
          <w:rFonts w:ascii="Arial" w:hAnsi="Arial" w:cs="Arial"/>
          <w:shd w:val="clear" w:color="auto" w:fill="FFFFFF"/>
        </w:rPr>
        <w:t>, L, Jones, A &amp; Pickstock, A (2009). </w:t>
      </w:r>
      <w:r w:rsidRPr="000B00F5">
        <w:rPr>
          <w:rStyle w:val="Emphasis"/>
          <w:rFonts w:ascii="Arial" w:hAnsi="Arial" w:cs="Arial"/>
          <w:shd w:val="clear" w:color="auto" w:fill="FFFFFF"/>
        </w:rPr>
        <w:t>Communicating cohesion: Evaluating local authority communication strategies</w:t>
      </w:r>
      <w:r w:rsidRPr="000B00F5">
        <w:rPr>
          <w:rFonts w:ascii="Arial" w:hAnsi="Arial" w:cs="Arial"/>
          <w:shd w:val="clear" w:color="auto" w:fill="FFFFFF"/>
        </w:rPr>
        <w:t>. Not Known.</w:t>
      </w:r>
    </w:p>
    <w:p w14:paraId="61B1A8F3" w14:textId="77777777" w:rsidR="00725398" w:rsidRPr="000B00F5" w:rsidRDefault="00725398" w:rsidP="000B00F5">
      <w:pPr>
        <w:spacing w:line="360" w:lineRule="auto"/>
        <w:ind w:right="531"/>
        <w:rPr>
          <w:rFonts w:ascii="Arial" w:hAnsi="Arial" w:cs="Arial"/>
          <w:shd w:val="clear" w:color="auto" w:fill="FFFFFF"/>
        </w:rPr>
      </w:pPr>
    </w:p>
    <w:p w14:paraId="7C6157C9" w14:textId="77777777" w:rsidR="00725398" w:rsidRPr="000B00F5" w:rsidRDefault="00725398" w:rsidP="000B00F5">
      <w:pPr>
        <w:pStyle w:val="NormalWeb"/>
        <w:spacing w:line="360" w:lineRule="auto"/>
        <w:rPr>
          <w:rFonts w:ascii="Arial" w:hAnsi="Arial" w:cs="Arial"/>
          <w:sz w:val="22"/>
          <w:szCs w:val="22"/>
        </w:rPr>
      </w:pPr>
      <w:proofErr w:type="spellStart"/>
      <w:r w:rsidRPr="000B00F5">
        <w:rPr>
          <w:rFonts w:ascii="Arial" w:hAnsi="Arial" w:cs="Arial"/>
          <w:sz w:val="22"/>
          <w:szCs w:val="22"/>
        </w:rPr>
        <w:t>Kubrin</w:t>
      </w:r>
      <w:proofErr w:type="spellEnd"/>
      <w:r w:rsidRPr="000B00F5">
        <w:rPr>
          <w:rFonts w:ascii="Arial" w:hAnsi="Arial" w:cs="Arial"/>
          <w:sz w:val="22"/>
          <w:szCs w:val="22"/>
        </w:rPr>
        <w:t xml:space="preserve">, C.E. and </w:t>
      </w:r>
      <w:proofErr w:type="spellStart"/>
      <w:r w:rsidRPr="000B00F5">
        <w:rPr>
          <w:rFonts w:ascii="Arial" w:hAnsi="Arial" w:cs="Arial"/>
          <w:sz w:val="22"/>
          <w:szCs w:val="22"/>
        </w:rPr>
        <w:t>Weitzer</w:t>
      </w:r>
      <w:proofErr w:type="spellEnd"/>
      <w:r w:rsidRPr="000B00F5">
        <w:rPr>
          <w:rFonts w:ascii="Arial" w:hAnsi="Arial" w:cs="Arial"/>
          <w:sz w:val="22"/>
          <w:szCs w:val="22"/>
        </w:rPr>
        <w:t xml:space="preserve">, R. (2003). New Directions in Social Disorganization theory. </w:t>
      </w:r>
      <w:r w:rsidRPr="000B00F5">
        <w:rPr>
          <w:rFonts w:ascii="Arial" w:hAnsi="Arial" w:cs="Arial"/>
          <w:i/>
          <w:iCs/>
          <w:sz w:val="22"/>
          <w:szCs w:val="22"/>
        </w:rPr>
        <w:t>Journal of Research in Crime and Delinquency, 40(4), pp. 374–402.</w:t>
      </w:r>
      <w:r w:rsidRPr="000B00F5">
        <w:rPr>
          <w:rFonts w:ascii="Arial" w:hAnsi="Arial" w:cs="Arial"/>
          <w:sz w:val="22"/>
          <w:szCs w:val="22"/>
        </w:rPr>
        <w:t xml:space="preserve"> </w:t>
      </w:r>
    </w:p>
    <w:p w14:paraId="0500A521" w14:textId="77777777" w:rsidR="00725398" w:rsidRPr="000B00F5" w:rsidRDefault="00725398" w:rsidP="000B00F5">
      <w:pPr>
        <w:pStyle w:val="NormalWeb"/>
        <w:spacing w:line="360" w:lineRule="auto"/>
        <w:rPr>
          <w:rFonts w:ascii="Arial" w:hAnsi="Arial" w:cs="Arial"/>
          <w:sz w:val="22"/>
          <w:szCs w:val="22"/>
        </w:rPr>
      </w:pPr>
    </w:p>
    <w:p w14:paraId="3D71BFD8" w14:textId="77777777" w:rsidR="00725398" w:rsidRPr="000B00F5" w:rsidRDefault="00725398" w:rsidP="000B00F5">
      <w:pPr>
        <w:pStyle w:val="NormalWeb"/>
        <w:spacing w:line="360" w:lineRule="auto"/>
        <w:rPr>
          <w:rFonts w:ascii="Arial" w:hAnsi="Arial" w:cs="Arial"/>
          <w:sz w:val="22"/>
          <w:szCs w:val="22"/>
        </w:rPr>
      </w:pPr>
      <w:r w:rsidRPr="000B00F5">
        <w:rPr>
          <w:rFonts w:ascii="Arial" w:hAnsi="Arial" w:cs="Arial"/>
          <w:sz w:val="22"/>
          <w:szCs w:val="22"/>
        </w:rPr>
        <w:t xml:space="preserve">Laurence, J. &amp; Heath, A. (2008) </w:t>
      </w:r>
      <w:r w:rsidRPr="000B00F5">
        <w:rPr>
          <w:rFonts w:ascii="Arial" w:hAnsi="Arial" w:cs="Arial"/>
          <w:i/>
          <w:iCs/>
          <w:sz w:val="22"/>
          <w:szCs w:val="22"/>
        </w:rPr>
        <w:t>Predictors of community cohesion: multi-</w:t>
      </w:r>
      <w:proofErr w:type="spellStart"/>
      <w:r w:rsidRPr="000B00F5">
        <w:rPr>
          <w:rFonts w:ascii="Arial" w:hAnsi="Arial" w:cs="Arial"/>
          <w:i/>
          <w:iCs/>
          <w:sz w:val="22"/>
          <w:szCs w:val="22"/>
        </w:rPr>
        <w:t>lvel</w:t>
      </w:r>
      <w:proofErr w:type="spellEnd"/>
      <w:r w:rsidRPr="000B00F5">
        <w:rPr>
          <w:rFonts w:ascii="Arial" w:hAnsi="Arial" w:cs="Arial"/>
          <w:i/>
          <w:iCs/>
          <w:sz w:val="22"/>
          <w:szCs w:val="22"/>
        </w:rPr>
        <w:t xml:space="preserve"> modelling of the 2005 Citizenship Survey. </w:t>
      </w:r>
      <w:r w:rsidRPr="000B00F5">
        <w:rPr>
          <w:rFonts w:ascii="Arial" w:hAnsi="Arial" w:cs="Arial"/>
          <w:sz w:val="22"/>
          <w:szCs w:val="22"/>
        </w:rPr>
        <w:t xml:space="preserve">Ministry of Housing, Communities &amp; Local Government. </w:t>
      </w:r>
    </w:p>
    <w:p w14:paraId="12A595E7" w14:textId="77777777" w:rsidR="00725398" w:rsidRPr="000B00F5" w:rsidRDefault="00725398" w:rsidP="000B00F5">
      <w:pPr>
        <w:pStyle w:val="NormalWeb"/>
        <w:spacing w:line="360" w:lineRule="auto"/>
        <w:rPr>
          <w:rFonts w:ascii="Arial" w:hAnsi="Arial" w:cs="Arial"/>
          <w:sz w:val="22"/>
          <w:szCs w:val="22"/>
        </w:rPr>
      </w:pPr>
    </w:p>
    <w:p w14:paraId="4FD984D4" w14:textId="77777777" w:rsidR="00725398" w:rsidRPr="000B00F5" w:rsidRDefault="00725398" w:rsidP="000B00F5">
      <w:pPr>
        <w:spacing w:line="360" w:lineRule="auto"/>
        <w:ind w:right="531"/>
        <w:rPr>
          <w:rFonts w:ascii="Arial" w:hAnsi="Arial" w:cs="Arial"/>
          <w:shd w:val="clear" w:color="auto" w:fill="FFFFFF"/>
        </w:rPr>
      </w:pPr>
      <w:r w:rsidRPr="000B00F5">
        <w:rPr>
          <w:rFonts w:ascii="Arial" w:hAnsi="Arial" w:cs="Arial"/>
          <w:shd w:val="clear" w:color="auto" w:fill="FFFFFF"/>
        </w:rPr>
        <w:t xml:space="preserve">National Policing Improvement Agency (2010). </w:t>
      </w:r>
      <w:r w:rsidRPr="000B00F5">
        <w:rPr>
          <w:rFonts w:ascii="Arial" w:hAnsi="Arial" w:cs="Arial"/>
          <w:i/>
          <w:iCs/>
          <w:shd w:val="clear" w:color="auto" w:fill="FFFFFF"/>
        </w:rPr>
        <w:t xml:space="preserve">Cohesion Guide. </w:t>
      </w:r>
      <w:r w:rsidRPr="000B00F5">
        <w:rPr>
          <w:rFonts w:ascii="Arial" w:hAnsi="Arial" w:cs="Arial"/>
          <w:shd w:val="clear" w:color="auto" w:fill="FFFFFF"/>
        </w:rPr>
        <w:t>Available at: https://library.college.police.uk/docs/npia/CohesionGuide.pdf (Accessed: November 9</w:t>
      </w:r>
      <w:r w:rsidRPr="000B00F5">
        <w:rPr>
          <w:rFonts w:ascii="Arial" w:hAnsi="Arial" w:cs="Arial"/>
          <w:shd w:val="clear" w:color="auto" w:fill="FFFFFF"/>
          <w:vertAlign w:val="superscript"/>
        </w:rPr>
        <w:t xml:space="preserve">th </w:t>
      </w:r>
      <w:r w:rsidRPr="000B00F5">
        <w:rPr>
          <w:rFonts w:ascii="Arial" w:hAnsi="Arial" w:cs="Arial"/>
          <w:shd w:val="clear" w:color="auto" w:fill="FFFFFF"/>
        </w:rPr>
        <w:t>2022).</w:t>
      </w:r>
    </w:p>
    <w:p w14:paraId="125D7B73" w14:textId="77777777" w:rsidR="00725398" w:rsidRPr="000B00F5" w:rsidRDefault="00725398" w:rsidP="000B00F5">
      <w:pPr>
        <w:spacing w:line="360" w:lineRule="auto"/>
        <w:ind w:right="531"/>
        <w:rPr>
          <w:rFonts w:ascii="Arial" w:hAnsi="Arial" w:cs="Arial"/>
        </w:rPr>
      </w:pPr>
    </w:p>
    <w:p w14:paraId="66C99E2B" w14:textId="77777777" w:rsidR="00725398" w:rsidRPr="000B00F5" w:rsidRDefault="00725398" w:rsidP="000B00F5">
      <w:pPr>
        <w:pStyle w:val="NormalWeb"/>
        <w:spacing w:line="360" w:lineRule="auto"/>
        <w:rPr>
          <w:rFonts w:ascii="Arial" w:hAnsi="Arial" w:cs="Arial"/>
          <w:sz w:val="22"/>
          <w:szCs w:val="22"/>
        </w:rPr>
      </w:pPr>
      <w:r w:rsidRPr="000B00F5">
        <w:rPr>
          <w:rFonts w:ascii="Arial" w:hAnsi="Arial" w:cs="Arial"/>
          <w:sz w:val="22"/>
          <w:szCs w:val="22"/>
        </w:rPr>
        <w:t xml:space="preserve">Oliver, W.M. (2008). </w:t>
      </w:r>
      <w:r w:rsidRPr="000B00F5">
        <w:rPr>
          <w:rFonts w:ascii="Arial" w:hAnsi="Arial" w:cs="Arial"/>
          <w:i/>
          <w:iCs/>
          <w:sz w:val="22"/>
          <w:szCs w:val="22"/>
        </w:rPr>
        <w:t>Community-Oriented Policing: A systemic approach to policing</w:t>
      </w:r>
      <w:r w:rsidRPr="000B00F5">
        <w:rPr>
          <w:rFonts w:ascii="Arial" w:hAnsi="Arial" w:cs="Arial"/>
          <w:sz w:val="22"/>
          <w:szCs w:val="22"/>
        </w:rPr>
        <w:t xml:space="preserve">. Upper Saddle River, NJ: Pearson/Prentice Hall. </w:t>
      </w:r>
    </w:p>
    <w:p w14:paraId="1A8DF653" w14:textId="77777777" w:rsidR="00725398" w:rsidRPr="000B00F5" w:rsidRDefault="00725398" w:rsidP="000B00F5">
      <w:pPr>
        <w:pStyle w:val="NormalWeb"/>
        <w:spacing w:line="360" w:lineRule="auto"/>
        <w:rPr>
          <w:rFonts w:ascii="Arial" w:hAnsi="Arial" w:cs="Arial"/>
          <w:sz w:val="22"/>
          <w:szCs w:val="22"/>
        </w:rPr>
      </w:pPr>
    </w:p>
    <w:p w14:paraId="5FC5B9B3" w14:textId="77777777" w:rsidR="00725398" w:rsidRPr="000B00F5" w:rsidRDefault="00725398" w:rsidP="000B00F5">
      <w:pPr>
        <w:pStyle w:val="NormalWeb"/>
        <w:spacing w:line="360" w:lineRule="auto"/>
        <w:rPr>
          <w:rFonts w:ascii="Arial" w:hAnsi="Arial" w:cs="Arial"/>
          <w:i/>
          <w:iCs/>
          <w:sz w:val="22"/>
          <w:szCs w:val="22"/>
        </w:rPr>
      </w:pPr>
      <w:r w:rsidRPr="000B00F5">
        <w:rPr>
          <w:rFonts w:ascii="Arial" w:hAnsi="Arial" w:cs="Arial"/>
          <w:sz w:val="22"/>
          <w:szCs w:val="22"/>
        </w:rPr>
        <w:t xml:space="preserve">Perkins, M. (2016). Modelling public confidence of the police: How perceptions of the police differ between neighbourhoods in a city. </w:t>
      </w:r>
      <w:r w:rsidRPr="000B00F5">
        <w:rPr>
          <w:rFonts w:ascii="Arial" w:hAnsi="Arial" w:cs="Arial"/>
          <w:i/>
          <w:iCs/>
          <w:sz w:val="22"/>
          <w:szCs w:val="22"/>
        </w:rPr>
        <w:t>Police Practice and Research, 17(2), 113–125.</w:t>
      </w:r>
    </w:p>
    <w:p w14:paraId="5FAC993F" w14:textId="77777777" w:rsidR="00725398" w:rsidRPr="000B00F5" w:rsidRDefault="00725398" w:rsidP="000B00F5">
      <w:pPr>
        <w:pStyle w:val="NormalWeb"/>
        <w:spacing w:line="360" w:lineRule="auto"/>
        <w:rPr>
          <w:rFonts w:ascii="Arial" w:hAnsi="Arial" w:cs="Arial"/>
          <w:sz w:val="22"/>
          <w:szCs w:val="22"/>
        </w:rPr>
      </w:pPr>
    </w:p>
    <w:p w14:paraId="3F71FF50" w14:textId="3EE34B82" w:rsidR="00725398" w:rsidRPr="000B00F5" w:rsidRDefault="00725398" w:rsidP="000B00F5">
      <w:pPr>
        <w:pStyle w:val="NormalWeb"/>
        <w:spacing w:line="360" w:lineRule="auto"/>
        <w:rPr>
          <w:rFonts w:ascii="Arial" w:hAnsi="Arial" w:cs="Arial"/>
          <w:i/>
          <w:iCs/>
          <w:sz w:val="22"/>
          <w:szCs w:val="22"/>
        </w:rPr>
      </w:pPr>
      <w:r w:rsidRPr="000B00F5">
        <w:rPr>
          <w:rFonts w:ascii="Arial" w:hAnsi="Arial" w:cs="Arial"/>
          <w:sz w:val="22"/>
          <w:szCs w:val="22"/>
        </w:rPr>
        <w:t xml:space="preserve">Putnam, R. D. (2000). </w:t>
      </w:r>
      <w:r w:rsidRPr="000B00F5">
        <w:rPr>
          <w:rFonts w:ascii="Arial" w:hAnsi="Arial" w:cs="Arial"/>
          <w:i/>
          <w:iCs/>
          <w:sz w:val="22"/>
          <w:szCs w:val="22"/>
        </w:rPr>
        <w:t>Bowling alone: The collapse and revival of American community</w:t>
      </w:r>
      <w:r w:rsidRPr="000B00F5">
        <w:rPr>
          <w:rFonts w:ascii="Arial" w:hAnsi="Arial" w:cs="Arial"/>
          <w:sz w:val="22"/>
          <w:szCs w:val="22"/>
        </w:rPr>
        <w:t>. New York: Simon and Schuster.</w:t>
      </w:r>
    </w:p>
    <w:p w14:paraId="135C8080" w14:textId="77777777" w:rsidR="00725398" w:rsidRPr="000B00F5" w:rsidRDefault="00725398" w:rsidP="000B00F5">
      <w:pPr>
        <w:pStyle w:val="NormalWeb"/>
        <w:spacing w:line="360" w:lineRule="auto"/>
        <w:rPr>
          <w:rFonts w:ascii="Arial" w:hAnsi="Arial" w:cs="Arial"/>
          <w:sz w:val="22"/>
          <w:szCs w:val="22"/>
        </w:rPr>
      </w:pPr>
      <w:proofErr w:type="spellStart"/>
      <w:r w:rsidRPr="000B00F5">
        <w:rPr>
          <w:rFonts w:ascii="Arial" w:hAnsi="Arial" w:cs="Arial"/>
          <w:sz w:val="22"/>
          <w:szCs w:val="22"/>
        </w:rPr>
        <w:lastRenderedPageBreak/>
        <w:t>Skogan</w:t>
      </w:r>
      <w:proofErr w:type="spellEnd"/>
      <w:r w:rsidRPr="000B00F5">
        <w:rPr>
          <w:rFonts w:ascii="Arial" w:hAnsi="Arial" w:cs="Arial"/>
          <w:sz w:val="22"/>
          <w:szCs w:val="22"/>
        </w:rPr>
        <w:t xml:space="preserve">, W.G. (1989). Communities, crime, and neighbourhood organization. </w:t>
      </w:r>
      <w:r w:rsidRPr="000B00F5">
        <w:rPr>
          <w:rFonts w:ascii="Arial" w:hAnsi="Arial" w:cs="Arial"/>
          <w:i/>
          <w:iCs/>
          <w:sz w:val="22"/>
          <w:szCs w:val="22"/>
        </w:rPr>
        <w:t>Crime &amp; Delinquency, 35(3), pp. 437–457.</w:t>
      </w:r>
      <w:r w:rsidRPr="000B00F5">
        <w:rPr>
          <w:rFonts w:ascii="Arial" w:hAnsi="Arial" w:cs="Arial"/>
          <w:sz w:val="22"/>
          <w:szCs w:val="22"/>
        </w:rPr>
        <w:t xml:space="preserve"> </w:t>
      </w:r>
    </w:p>
    <w:p w14:paraId="75D31BED" w14:textId="77777777" w:rsidR="00725398" w:rsidRPr="000B00F5" w:rsidRDefault="00725398" w:rsidP="000B00F5">
      <w:pPr>
        <w:pStyle w:val="NormalWeb"/>
        <w:spacing w:line="360" w:lineRule="auto"/>
        <w:rPr>
          <w:rFonts w:ascii="Arial" w:hAnsi="Arial" w:cs="Arial"/>
          <w:sz w:val="22"/>
          <w:szCs w:val="22"/>
        </w:rPr>
      </w:pPr>
    </w:p>
    <w:p w14:paraId="5EBA5935" w14:textId="77777777" w:rsidR="00725398" w:rsidRPr="000B00F5" w:rsidRDefault="00725398" w:rsidP="000B00F5">
      <w:pPr>
        <w:pStyle w:val="NormalWeb"/>
        <w:spacing w:line="360" w:lineRule="auto"/>
        <w:rPr>
          <w:rFonts w:ascii="Arial" w:hAnsi="Arial" w:cs="Arial"/>
          <w:i/>
          <w:iCs/>
          <w:sz w:val="22"/>
          <w:szCs w:val="22"/>
        </w:rPr>
      </w:pPr>
      <w:r w:rsidRPr="000B00F5">
        <w:rPr>
          <w:rFonts w:ascii="Arial" w:hAnsi="Arial" w:cs="Arial"/>
          <w:sz w:val="22"/>
          <w:szCs w:val="22"/>
        </w:rPr>
        <w:t xml:space="preserve">Thornton, S. &amp; Mason, L. (2007). Community cohesion in high </w:t>
      </w:r>
      <w:proofErr w:type="spellStart"/>
      <w:r w:rsidRPr="000B00F5">
        <w:rPr>
          <w:rFonts w:ascii="Arial" w:hAnsi="Arial" w:cs="Arial"/>
          <w:sz w:val="22"/>
          <w:szCs w:val="22"/>
        </w:rPr>
        <w:t>wycombe</w:t>
      </w:r>
      <w:proofErr w:type="spellEnd"/>
      <w:r w:rsidRPr="000B00F5">
        <w:rPr>
          <w:rFonts w:ascii="Arial" w:hAnsi="Arial" w:cs="Arial"/>
          <w:i/>
          <w:iCs/>
          <w:sz w:val="22"/>
          <w:szCs w:val="22"/>
        </w:rPr>
        <w:t xml:space="preserve">: </w:t>
      </w:r>
      <w:r w:rsidRPr="000B00F5">
        <w:rPr>
          <w:rFonts w:ascii="Arial" w:hAnsi="Arial" w:cs="Arial"/>
          <w:sz w:val="22"/>
          <w:szCs w:val="22"/>
        </w:rPr>
        <w:t>A case study of Operation Overt.</w:t>
      </w:r>
      <w:r w:rsidRPr="000B00F5">
        <w:rPr>
          <w:rFonts w:ascii="Arial" w:hAnsi="Arial" w:cs="Arial"/>
          <w:i/>
          <w:iCs/>
          <w:sz w:val="22"/>
          <w:szCs w:val="22"/>
        </w:rPr>
        <w:t xml:space="preserve"> Policing, 1(1), pp. 57–60. </w:t>
      </w:r>
    </w:p>
    <w:p w14:paraId="65ABA892" w14:textId="77777777" w:rsidR="00725398" w:rsidRPr="000B00F5" w:rsidRDefault="00725398" w:rsidP="000B00F5">
      <w:pPr>
        <w:pStyle w:val="NormalWeb"/>
        <w:spacing w:line="360" w:lineRule="auto"/>
        <w:rPr>
          <w:rFonts w:ascii="Arial" w:hAnsi="Arial" w:cs="Arial"/>
          <w:i/>
          <w:iCs/>
          <w:sz w:val="22"/>
          <w:szCs w:val="22"/>
        </w:rPr>
      </w:pPr>
    </w:p>
    <w:p w14:paraId="2DFD34A0" w14:textId="77777777" w:rsidR="00725398" w:rsidRPr="000B00F5" w:rsidRDefault="00725398" w:rsidP="000B00F5">
      <w:pPr>
        <w:pStyle w:val="NormalWeb"/>
        <w:spacing w:line="360" w:lineRule="auto"/>
        <w:rPr>
          <w:rFonts w:ascii="Arial" w:hAnsi="Arial" w:cs="Arial"/>
          <w:i/>
          <w:iCs/>
          <w:sz w:val="22"/>
          <w:szCs w:val="22"/>
          <w:shd w:val="clear" w:color="auto" w:fill="FCFCFC"/>
        </w:rPr>
      </w:pPr>
      <w:proofErr w:type="spellStart"/>
      <w:r w:rsidRPr="000B00F5">
        <w:rPr>
          <w:rFonts w:ascii="Arial" w:hAnsi="Arial" w:cs="Arial"/>
          <w:sz w:val="22"/>
          <w:szCs w:val="22"/>
          <w:shd w:val="clear" w:color="auto" w:fill="FCFCFC"/>
        </w:rPr>
        <w:t>Trojanowicz</w:t>
      </w:r>
      <w:proofErr w:type="spellEnd"/>
      <w:r w:rsidRPr="000B00F5">
        <w:rPr>
          <w:rFonts w:ascii="Arial" w:hAnsi="Arial" w:cs="Arial"/>
          <w:sz w:val="22"/>
          <w:szCs w:val="22"/>
          <w:shd w:val="clear" w:color="auto" w:fill="FCFCFC"/>
        </w:rPr>
        <w:t xml:space="preserve">, R. &amp; </w:t>
      </w:r>
      <w:proofErr w:type="spellStart"/>
      <w:r w:rsidRPr="000B00F5">
        <w:rPr>
          <w:rFonts w:ascii="Arial" w:hAnsi="Arial" w:cs="Arial"/>
          <w:sz w:val="22"/>
          <w:szCs w:val="22"/>
          <w:shd w:val="clear" w:color="auto" w:fill="FCFCFC"/>
        </w:rPr>
        <w:t>Bucqueroux</w:t>
      </w:r>
      <w:proofErr w:type="spellEnd"/>
      <w:r w:rsidRPr="000B00F5">
        <w:rPr>
          <w:rFonts w:ascii="Arial" w:hAnsi="Arial" w:cs="Arial"/>
          <w:sz w:val="22"/>
          <w:szCs w:val="22"/>
          <w:shd w:val="clear" w:color="auto" w:fill="FCFCFC"/>
        </w:rPr>
        <w:t xml:space="preserve">, B. (1991). </w:t>
      </w:r>
      <w:r w:rsidRPr="000B00F5">
        <w:rPr>
          <w:rFonts w:ascii="Arial" w:hAnsi="Arial" w:cs="Arial"/>
          <w:i/>
          <w:iCs/>
          <w:sz w:val="22"/>
          <w:szCs w:val="22"/>
          <w:shd w:val="clear" w:color="auto" w:fill="FCFCFC"/>
        </w:rPr>
        <w:t xml:space="preserve">Community policing and the challenge of diversity. </w:t>
      </w:r>
      <w:r w:rsidRPr="000B00F5">
        <w:rPr>
          <w:rFonts w:ascii="Arial" w:hAnsi="Arial" w:cs="Arial"/>
          <w:sz w:val="22"/>
          <w:szCs w:val="22"/>
          <w:shd w:val="clear" w:color="auto" w:fill="FCFCFC"/>
        </w:rPr>
        <w:t>National Centre for Community, Policing School of Criminal Justice, Michigan State University.</w:t>
      </w:r>
    </w:p>
    <w:p w14:paraId="08841D64" w14:textId="77777777" w:rsidR="00725398" w:rsidRPr="000B00F5" w:rsidRDefault="00725398" w:rsidP="000B00F5">
      <w:pPr>
        <w:pStyle w:val="NormalWeb"/>
        <w:spacing w:line="360" w:lineRule="auto"/>
        <w:rPr>
          <w:rFonts w:ascii="Arial" w:hAnsi="Arial" w:cs="Arial"/>
          <w:sz w:val="22"/>
          <w:szCs w:val="22"/>
        </w:rPr>
      </w:pPr>
    </w:p>
    <w:p w14:paraId="65D8A6F4" w14:textId="77777777" w:rsidR="00725398" w:rsidRPr="000B00F5" w:rsidRDefault="00725398" w:rsidP="000B00F5">
      <w:pPr>
        <w:pStyle w:val="NormalWeb"/>
        <w:spacing w:line="360" w:lineRule="auto"/>
        <w:rPr>
          <w:rFonts w:ascii="Arial" w:hAnsi="Arial" w:cs="Arial"/>
          <w:sz w:val="22"/>
          <w:szCs w:val="22"/>
        </w:rPr>
      </w:pPr>
      <w:r w:rsidRPr="000B00F5">
        <w:rPr>
          <w:rFonts w:ascii="Arial" w:hAnsi="Arial" w:cs="Arial"/>
          <w:sz w:val="22"/>
          <w:szCs w:val="22"/>
        </w:rPr>
        <w:t xml:space="preserve">Wedlock, E. (2006). </w:t>
      </w:r>
      <w:r w:rsidRPr="000B00F5">
        <w:rPr>
          <w:rFonts w:ascii="Arial" w:hAnsi="Arial" w:cs="Arial"/>
          <w:i/>
          <w:iCs/>
          <w:sz w:val="22"/>
          <w:szCs w:val="22"/>
        </w:rPr>
        <w:t>Crime and cohesive communities</w:t>
      </w:r>
      <w:r w:rsidRPr="000B00F5">
        <w:rPr>
          <w:rFonts w:ascii="Arial" w:hAnsi="Arial" w:cs="Arial"/>
          <w:sz w:val="22"/>
          <w:szCs w:val="22"/>
        </w:rPr>
        <w:t>. Available at: https://www.researchgate.net/publication/255587611_Crime_and_Cohesive_Communities (Accessed: November 9</w:t>
      </w:r>
      <w:r w:rsidRPr="000B00F5">
        <w:rPr>
          <w:rFonts w:ascii="Arial" w:hAnsi="Arial" w:cs="Arial"/>
          <w:sz w:val="22"/>
          <w:szCs w:val="22"/>
          <w:vertAlign w:val="superscript"/>
        </w:rPr>
        <w:t>th</w:t>
      </w:r>
      <w:r w:rsidRPr="000B00F5">
        <w:rPr>
          <w:rFonts w:ascii="Arial" w:hAnsi="Arial" w:cs="Arial"/>
          <w:sz w:val="22"/>
          <w:szCs w:val="22"/>
        </w:rPr>
        <w:t xml:space="preserve"> 2022). </w:t>
      </w:r>
    </w:p>
    <w:p w14:paraId="6EADED9B" w14:textId="77777777" w:rsidR="00725398" w:rsidRPr="000B00F5" w:rsidRDefault="00725398" w:rsidP="000B00F5">
      <w:pPr>
        <w:pStyle w:val="NormalWeb"/>
        <w:spacing w:line="360" w:lineRule="auto"/>
        <w:rPr>
          <w:rFonts w:ascii="Arial" w:hAnsi="Arial" w:cs="Arial"/>
          <w:sz w:val="22"/>
          <w:szCs w:val="22"/>
        </w:rPr>
      </w:pPr>
    </w:p>
    <w:p w14:paraId="4389CDC2" w14:textId="77777777" w:rsidR="00725398" w:rsidRPr="000B00F5" w:rsidRDefault="00725398" w:rsidP="000B00F5">
      <w:pPr>
        <w:pStyle w:val="NormalWeb"/>
        <w:spacing w:line="360" w:lineRule="auto"/>
        <w:rPr>
          <w:rFonts w:ascii="Arial" w:hAnsi="Arial" w:cs="Arial"/>
          <w:sz w:val="22"/>
          <w:szCs w:val="22"/>
        </w:rPr>
      </w:pPr>
      <w:r w:rsidRPr="000B00F5">
        <w:rPr>
          <w:rFonts w:ascii="Arial" w:hAnsi="Arial" w:cs="Arial"/>
          <w:color w:val="222222"/>
          <w:sz w:val="22"/>
          <w:szCs w:val="22"/>
          <w:shd w:val="clear" w:color="auto" w:fill="FFFFFF"/>
        </w:rPr>
        <w:t xml:space="preserve">Williams, B.N. (1998). Citizen perspectives on community policing: A case study in Athens, Georgia. </w:t>
      </w:r>
      <w:r w:rsidRPr="000B00F5">
        <w:rPr>
          <w:rFonts w:ascii="Arial" w:hAnsi="Arial" w:cs="Arial"/>
          <w:i/>
          <w:iCs/>
          <w:color w:val="222222"/>
          <w:sz w:val="22"/>
          <w:szCs w:val="22"/>
          <w:shd w:val="clear" w:color="auto" w:fill="FFFFFF"/>
        </w:rPr>
        <w:t>SUNY Press.</w:t>
      </w:r>
    </w:p>
    <w:p w14:paraId="6024C577" w14:textId="77777777" w:rsidR="00725398" w:rsidRPr="000B00F5" w:rsidRDefault="00725398" w:rsidP="000B00F5">
      <w:pPr>
        <w:spacing w:line="360" w:lineRule="auto"/>
        <w:rPr>
          <w:rFonts w:ascii="Arial" w:hAnsi="Arial" w:cs="Arial"/>
          <w:b/>
          <w:bCs/>
        </w:rPr>
      </w:pPr>
    </w:p>
    <w:p w14:paraId="759582BF" w14:textId="77777777" w:rsidR="00725398" w:rsidRPr="000B00F5" w:rsidRDefault="00725398" w:rsidP="000B00F5">
      <w:pPr>
        <w:spacing w:line="360" w:lineRule="auto"/>
        <w:rPr>
          <w:rFonts w:ascii="Arial" w:hAnsi="Arial" w:cs="Arial"/>
          <w:b/>
          <w:bCs/>
        </w:rPr>
      </w:pPr>
    </w:p>
    <w:p w14:paraId="00E19416" w14:textId="77777777" w:rsidR="00725398" w:rsidRPr="000B00F5" w:rsidRDefault="00725398" w:rsidP="000B00F5">
      <w:pPr>
        <w:spacing w:line="360" w:lineRule="auto"/>
        <w:ind w:right="531"/>
        <w:rPr>
          <w:rFonts w:ascii="Arial" w:hAnsi="Arial" w:cs="Arial"/>
          <w:b/>
          <w:bCs/>
        </w:rPr>
      </w:pPr>
      <w:r w:rsidRPr="000B00F5">
        <w:rPr>
          <w:rFonts w:ascii="Arial" w:hAnsi="Arial" w:cs="Arial"/>
          <w:b/>
          <w:bCs/>
        </w:rPr>
        <w:t xml:space="preserve">Essay four: </w:t>
      </w:r>
    </w:p>
    <w:p w14:paraId="68FAC5F0" w14:textId="77777777" w:rsidR="00725398" w:rsidRPr="000B00F5" w:rsidRDefault="00725398" w:rsidP="000B00F5">
      <w:pPr>
        <w:spacing w:line="360" w:lineRule="auto"/>
        <w:ind w:left="567" w:right="531"/>
        <w:rPr>
          <w:rFonts w:ascii="Arial" w:eastAsia="Calibri" w:hAnsi="Arial" w:cs="Arial"/>
        </w:rPr>
      </w:pPr>
      <w:r w:rsidRPr="000B00F5">
        <w:rPr>
          <w:rFonts w:ascii="Arial" w:eastAsia="Calibri" w:hAnsi="Arial" w:cs="Arial"/>
        </w:rPr>
        <w:t xml:space="preserve">What impact can personal bias have on investigations, and </w:t>
      </w:r>
      <w:r w:rsidRPr="000B00F5">
        <w:rPr>
          <w:rFonts w:ascii="Arial" w:eastAsia="Calibri" w:hAnsi="Arial" w:cs="Arial"/>
          <w:u w:val="single"/>
        </w:rPr>
        <w:t>how effective</w:t>
      </w:r>
      <w:r w:rsidRPr="000B00F5">
        <w:rPr>
          <w:rFonts w:ascii="Arial" w:eastAsia="Calibri" w:hAnsi="Arial" w:cs="Arial"/>
        </w:rPr>
        <w:t xml:space="preserve"> are the measures in place to prevent this? Your answer must be based on academic research rather than personal experience. </w:t>
      </w:r>
    </w:p>
    <w:p w14:paraId="27F669F2" w14:textId="77777777" w:rsidR="00725398" w:rsidRPr="000B00F5" w:rsidRDefault="00725398" w:rsidP="000B00F5">
      <w:pPr>
        <w:spacing w:line="360" w:lineRule="auto"/>
        <w:rPr>
          <w:rFonts w:ascii="Arial" w:hAnsi="Arial" w:cs="Arial"/>
          <w:b/>
          <w:bCs/>
        </w:rPr>
      </w:pPr>
    </w:p>
    <w:p w14:paraId="2CEDC059" w14:textId="77777777" w:rsidR="00725398" w:rsidRPr="000B00F5" w:rsidRDefault="00725398" w:rsidP="000B00F5">
      <w:pPr>
        <w:spacing w:line="360" w:lineRule="auto"/>
        <w:ind w:firstLine="720"/>
        <w:rPr>
          <w:rFonts w:ascii="Arial" w:hAnsi="Arial" w:cs="Arial"/>
        </w:rPr>
      </w:pPr>
      <w:r w:rsidRPr="000B00F5">
        <w:rPr>
          <w:rFonts w:ascii="Arial" w:hAnsi="Arial" w:cs="Arial"/>
        </w:rPr>
        <w:t xml:space="preserve">Personal Bias can have a significant impact on investigations undertaken by the police, and the College of Policing (2013) provide that when managing an investigation, investigators should be conscious of their behaviour and the effect it can have on others. Personal biases can have a positive impact on policing. For example, research by Kahneman (2003) indicates that personal biases can be beneficial to fast decision making </w:t>
      </w:r>
      <w:r w:rsidRPr="000B00F5">
        <w:rPr>
          <w:rFonts w:ascii="Arial" w:hAnsi="Arial" w:cs="Arial"/>
        </w:rPr>
        <w:lastRenderedPageBreak/>
        <w:t xml:space="preserve">and execution. Conversely, and in most cases, personal biases can have an adverse impact on police investigations. </w:t>
      </w:r>
      <w:proofErr w:type="spellStart"/>
      <w:r w:rsidRPr="000B00F5">
        <w:rPr>
          <w:rFonts w:ascii="Arial" w:hAnsi="Arial" w:cs="Arial"/>
        </w:rPr>
        <w:t>Meterko</w:t>
      </w:r>
      <w:proofErr w:type="spellEnd"/>
      <w:r w:rsidRPr="000B00F5">
        <w:rPr>
          <w:rFonts w:ascii="Arial" w:hAnsi="Arial" w:cs="Arial"/>
        </w:rPr>
        <w:t xml:space="preserve"> and Cooper (2021) provide that our tendency to rely on heuristics (rules or mental shorts cuts impacted by personal experiences) can have the potential to undermine the fair administration of justice. Such adverse impacts on investigations can result in wrongful arrests or convictions, can undermine public trust in the police and in worst case scenarios can lead to the loss of lives, as seen in the case of George Floyd. </w:t>
      </w:r>
    </w:p>
    <w:p w14:paraId="37F8E17C" w14:textId="77777777" w:rsidR="00725398" w:rsidRPr="000B00F5" w:rsidRDefault="00725398" w:rsidP="000B00F5">
      <w:pPr>
        <w:spacing w:line="360" w:lineRule="auto"/>
        <w:ind w:firstLine="720"/>
        <w:rPr>
          <w:rFonts w:ascii="Arial" w:hAnsi="Arial" w:cs="Arial"/>
        </w:rPr>
      </w:pPr>
    </w:p>
    <w:p w14:paraId="61EF3301" w14:textId="77777777" w:rsidR="00725398" w:rsidRPr="000B00F5" w:rsidRDefault="00725398" w:rsidP="000B00F5">
      <w:pPr>
        <w:spacing w:line="360" w:lineRule="auto"/>
        <w:ind w:firstLine="720"/>
        <w:rPr>
          <w:rFonts w:ascii="Arial" w:hAnsi="Arial" w:cs="Arial"/>
        </w:rPr>
      </w:pPr>
      <w:r w:rsidRPr="000B00F5">
        <w:rPr>
          <w:rFonts w:ascii="Arial" w:hAnsi="Arial" w:cs="Arial"/>
        </w:rPr>
        <w:t>An article by the Guardian published in 2016 highlights that every police officer is guilty of some sort of bias. Richard Bennett, College of Policing, in this article provides that it is important for police officers “to recognise those biases and ensure they do not impact on your decision-making” (The Guardian, 2016). Personal bias can refer to our learned beliefs, opinions or attitudes and people can often make decisions based solely on these beliefs (Adams-</w:t>
      </w:r>
      <w:proofErr w:type="spellStart"/>
      <w:r w:rsidRPr="000B00F5">
        <w:rPr>
          <w:rFonts w:ascii="Arial" w:hAnsi="Arial" w:cs="Arial"/>
        </w:rPr>
        <w:t>Quakenbush</w:t>
      </w:r>
      <w:proofErr w:type="spellEnd"/>
      <w:r w:rsidRPr="000B00F5">
        <w:rPr>
          <w:rFonts w:ascii="Arial" w:hAnsi="Arial" w:cs="Arial"/>
        </w:rPr>
        <w:t xml:space="preserve">, </w:t>
      </w:r>
      <w:proofErr w:type="spellStart"/>
      <w:r w:rsidRPr="000B00F5">
        <w:rPr>
          <w:rFonts w:ascii="Arial" w:hAnsi="Arial" w:cs="Arial"/>
        </w:rPr>
        <w:t>Horselenberg</w:t>
      </w:r>
      <w:proofErr w:type="spellEnd"/>
      <w:r w:rsidRPr="000B00F5">
        <w:rPr>
          <w:rFonts w:ascii="Arial" w:hAnsi="Arial" w:cs="Arial"/>
        </w:rPr>
        <w:t xml:space="preserve"> and van </w:t>
      </w:r>
      <w:proofErr w:type="spellStart"/>
      <w:r w:rsidRPr="000B00F5">
        <w:rPr>
          <w:rFonts w:ascii="Arial" w:hAnsi="Arial" w:cs="Arial"/>
        </w:rPr>
        <w:t>Koppen</w:t>
      </w:r>
      <w:proofErr w:type="spellEnd"/>
      <w:r w:rsidRPr="000B00F5">
        <w:rPr>
          <w:rFonts w:ascii="Arial" w:hAnsi="Arial" w:cs="Arial"/>
        </w:rPr>
        <w:t>, 2018). Research has shown that when making decisions in situations that are stressful, people are more likely to make quick decisions/conclusions and do not use all of the information that is available to them (</w:t>
      </w:r>
      <w:proofErr w:type="spellStart"/>
      <w:r w:rsidRPr="000B00F5">
        <w:rPr>
          <w:rFonts w:ascii="Arial" w:hAnsi="Arial" w:cs="Arial"/>
        </w:rPr>
        <w:t>Wastell</w:t>
      </w:r>
      <w:proofErr w:type="spellEnd"/>
      <w:r w:rsidRPr="000B00F5">
        <w:rPr>
          <w:rFonts w:ascii="Arial" w:hAnsi="Arial" w:cs="Arial"/>
        </w:rPr>
        <w:t xml:space="preserve"> et al, 2012; </w:t>
      </w:r>
      <w:proofErr w:type="spellStart"/>
      <w:r w:rsidRPr="000B00F5">
        <w:rPr>
          <w:rFonts w:ascii="Arial" w:hAnsi="Arial" w:cs="Arial"/>
        </w:rPr>
        <w:t>Trippas</w:t>
      </w:r>
      <w:proofErr w:type="spellEnd"/>
      <w:r w:rsidRPr="000B00F5">
        <w:rPr>
          <w:rFonts w:ascii="Arial" w:hAnsi="Arial" w:cs="Arial"/>
        </w:rPr>
        <w:t xml:space="preserve"> et al, 2003). Specifically with regard to the police, studies have shown that the decision-making of police officers can be subject to personal biases, which can impact on the treatment of suspects based on factors such as race or gender. Studies have shown that racial bias is commonplace when policing people of colour, and can affect judgements on a person’s level of hostility or guilt (Levinson and Young, 2010). Such judgements can lead to hostility to certain groups and even wrongful arrests. Indeed, there has been much media coverage over the years which has highlighted the polices unlawful use of stop and search powers against black people.</w:t>
      </w:r>
    </w:p>
    <w:p w14:paraId="308488DA" w14:textId="77777777" w:rsidR="00725398" w:rsidRPr="000B00F5" w:rsidRDefault="00725398" w:rsidP="000B00F5">
      <w:pPr>
        <w:spacing w:line="360" w:lineRule="auto"/>
        <w:ind w:firstLine="720"/>
        <w:rPr>
          <w:rFonts w:ascii="Arial" w:hAnsi="Arial" w:cs="Arial"/>
        </w:rPr>
      </w:pPr>
    </w:p>
    <w:p w14:paraId="6782E4B7" w14:textId="77777777" w:rsidR="00725398" w:rsidRPr="000B00F5" w:rsidRDefault="00725398" w:rsidP="000B00F5">
      <w:pPr>
        <w:spacing w:line="360" w:lineRule="auto"/>
        <w:ind w:firstLine="720"/>
        <w:rPr>
          <w:rFonts w:ascii="Arial" w:hAnsi="Arial" w:cs="Arial"/>
        </w:rPr>
      </w:pPr>
      <w:r w:rsidRPr="000B00F5">
        <w:rPr>
          <w:rFonts w:ascii="Arial" w:hAnsi="Arial" w:cs="Arial"/>
        </w:rPr>
        <w:t xml:space="preserve">The identification of suspects during criminal investigations can be crucial to the investigation, and Osman (2022) provides that the misidentification of people who are innocent is significant in cases where a person is later exonerated through DNA evidence. Personal biases can influence a person’s judgement when a situation is ambiguous. people rely more on prejudice and stereotypes when trying to solve uncertain circumstances (Spencer, Charbonneau and Glaser, 2016). Indeed, research has shown that such biases can be activated when asked to recall a person’s appearance, which can result in distortions. For example, Osborne and Davies (2013) found that certain crimes can trigger racial stereotypes, with </w:t>
      </w:r>
      <w:proofErr w:type="spellStart"/>
      <w:r w:rsidRPr="000B00F5">
        <w:rPr>
          <w:rFonts w:ascii="Arial" w:hAnsi="Arial" w:cs="Arial"/>
        </w:rPr>
        <w:t>Bargh</w:t>
      </w:r>
      <w:proofErr w:type="spellEnd"/>
      <w:r w:rsidRPr="000B00F5">
        <w:rPr>
          <w:rFonts w:ascii="Arial" w:hAnsi="Arial" w:cs="Arial"/>
        </w:rPr>
        <w:t xml:space="preserve"> and Chartrand (2014) providing that eyewitnesses can be primed to retrieve from memory features of a suspect that are consistent with such stereotypes. </w:t>
      </w:r>
    </w:p>
    <w:p w14:paraId="238D324C" w14:textId="77777777" w:rsidR="00725398" w:rsidRPr="000B00F5" w:rsidRDefault="00725398" w:rsidP="000B00F5">
      <w:pPr>
        <w:spacing w:line="360" w:lineRule="auto"/>
        <w:ind w:firstLine="720"/>
        <w:rPr>
          <w:rFonts w:ascii="Arial" w:hAnsi="Arial" w:cs="Arial"/>
        </w:rPr>
      </w:pPr>
    </w:p>
    <w:p w14:paraId="7ACF6413" w14:textId="77777777" w:rsidR="00725398" w:rsidRPr="000B00F5" w:rsidRDefault="00725398" w:rsidP="000B00F5">
      <w:pPr>
        <w:spacing w:line="360" w:lineRule="auto"/>
        <w:ind w:firstLine="720"/>
        <w:rPr>
          <w:rFonts w:ascii="Arial" w:hAnsi="Arial" w:cs="Arial"/>
        </w:rPr>
      </w:pPr>
      <w:r w:rsidRPr="000B00F5">
        <w:rPr>
          <w:rFonts w:ascii="Arial" w:hAnsi="Arial" w:cs="Arial"/>
        </w:rPr>
        <w:t>Personal bias can be an issue concerning investigative interviewing. Adams-</w:t>
      </w:r>
      <w:proofErr w:type="spellStart"/>
      <w:r w:rsidRPr="000B00F5">
        <w:rPr>
          <w:rFonts w:ascii="Arial" w:hAnsi="Arial" w:cs="Arial"/>
        </w:rPr>
        <w:t>Quakenbush</w:t>
      </w:r>
      <w:proofErr w:type="spellEnd"/>
      <w:r w:rsidRPr="000B00F5">
        <w:rPr>
          <w:rFonts w:ascii="Arial" w:hAnsi="Arial" w:cs="Arial"/>
        </w:rPr>
        <w:t xml:space="preserve">, </w:t>
      </w:r>
      <w:proofErr w:type="spellStart"/>
      <w:r w:rsidRPr="000B00F5">
        <w:rPr>
          <w:rFonts w:ascii="Arial" w:hAnsi="Arial" w:cs="Arial"/>
        </w:rPr>
        <w:t>Horselenberg</w:t>
      </w:r>
      <w:proofErr w:type="spellEnd"/>
      <w:r w:rsidRPr="000B00F5">
        <w:rPr>
          <w:rFonts w:ascii="Arial" w:hAnsi="Arial" w:cs="Arial"/>
        </w:rPr>
        <w:t xml:space="preserve"> and </w:t>
      </w:r>
      <w:proofErr w:type="spellStart"/>
      <w:r w:rsidRPr="000B00F5">
        <w:rPr>
          <w:rFonts w:ascii="Arial" w:hAnsi="Arial" w:cs="Arial"/>
        </w:rPr>
        <w:t>Koppen</w:t>
      </w:r>
      <w:proofErr w:type="spellEnd"/>
      <w:r w:rsidRPr="000B00F5">
        <w:rPr>
          <w:rFonts w:ascii="Arial" w:hAnsi="Arial" w:cs="Arial"/>
        </w:rPr>
        <w:t xml:space="preserve"> (2018) provide that police officers may rely on personal beliefs concerning the investigative interview as opposed to their training and education. For example, Olson (2013) provides that criminal investigator’s interview of suspects, and subsequent behaviour towards them, can be biased by their presumption of a person’s guilt. Such biases and presumptions of guilt may lead to investigators asking more leading questions or being more confrontational during interviews (Meissner and </w:t>
      </w:r>
      <w:proofErr w:type="spellStart"/>
      <w:r w:rsidRPr="000B00F5">
        <w:rPr>
          <w:rFonts w:ascii="Arial" w:hAnsi="Arial" w:cs="Arial"/>
        </w:rPr>
        <w:t>Kassin</w:t>
      </w:r>
      <w:proofErr w:type="spellEnd"/>
      <w:r w:rsidRPr="000B00F5">
        <w:rPr>
          <w:rFonts w:ascii="Arial" w:hAnsi="Arial" w:cs="Arial"/>
        </w:rPr>
        <w:t>, 2002). Personal biases of this kind can also negatively impact on the interview of victims, where research suggests that background information regarding an alleged victim of child sexual abuse can affect investigating officer’s perception of the credibility of a victim’s statement (</w:t>
      </w:r>
      <w:proofErr w:type="spellStart"/>
      <w:r w:rsidRPr="000B00F5">
        <w:rPr>
          <w:rFonts w:ascii="Arial" w:hAnsi="Arial" w:cs="Arial"/>
        </w:rPr>
        <w:t>Sumampouw</w:t>
      </w:r>
      <w:proofErr w:type="spellEnd"/>
      <w:r w:rsidRPr="000B00F5">
        <w:rPr>
          <w:rFonts w:ascii="Arial" w:hAnsi="Arial" w:cs="Arial"/>
        </w:rPr>
        <w:t xml:space="preserve">, Ruiter and </w:t>
      </w:r>
      <w:proofErr w:type="spellStart"/>
      <w:r w:rsidRPr="000B00F5">
        <w:rPr>
          <w:rFonts w:ascii="Arial" w:hAnsi="Arial" w:cs="Arial"/>
        </w:rPr>
        <w:t>Otgaar</w:t>
      </w:r>
      <w:proofErr w:type="spellEnd"/>
      <w:r w:rsidRPr="000B00F5">
        <w:rPr>
          <w:rFonts w:ascii="Arial" w:hAnsi="Arial" w:cs="Arial"/>
        </w:rPr>
        <w:t xml:space="preserve">, 2022). </w:t>
      </w:r>
    </w:p>
    <w:p w14:paraId="013F1E46" w14:textId="77777777" w:rsidR="00725398" w:rsidRPr="000B00F5" w:rsidRDefault="00725398" w:rsidP="000B00F5">
      <w:pPr>
        <w:spacing w:line="360" w:lineRule="auto"/>
        <w:ind w:firstLine="720"/>
        <w:rPr>
          <w:rFonts w:ascii="Arial" w:hAnsi="Arial" w:cs="Arial"/>
        </w:rPr>
      </w:pPr>
    </w:p>
    <w:p w14:paraId="6D791029" w14:textId="77777777" w:rsidR="00725398" w:rsidRPr="000B00F5" w:rsidRDefault="00725398" w:rsidP="000B00F5">
      <w:pPr>
        <w:spacing w:line="360" w:lineRule="auto"/>
        <w:rPr>
          <w:rFonts w:ascii="Arial" w:hAnsi="Arial" w:cs="Arial"/>
        </w:rPr>
      </w:pPr>
      <w:r w:rsidRPr="000B00F5">
        <w:rPr>
          <w:rFonts w:ascii="Arial" w:hAnsi="Arial" w:cs="Arial"/>
        </w:rPr>
        <w:tab/>
        <w:t>In order to prevent the impact of personal biases on police investigations a number of measures have been put in place. One of these is training aimed at helping officers to recognise their personal biases. Such training is known as diversity training. The College of Policing (2020) when discussing the promotion of diversity and inclusion provides that a better understanding about diversity can help in making policing work. However, there appears to be little research that evaluates the effectiveness of such training. One study has suggested that these programmes do not have any meaningful and lasting effects (</w:t>
      </w:r>
      <w:proofErr w:type="spellStart"/>
      <w:r w:rsidRPr="000B00F5">
        <w:rPr>
          <w:rFonts w:ascii="Arial" w:hAnsi="Arial" w:cs="Arial"/>
        </w:rPr>
        <w:t>Paluck</w:t>
      </w:r>
      <w:proofErr w:type="spellEnd"/>
      <w:r w:rsidRPr="000B00F5">
        <w:rPr>
          <w:rFonts w:ascii="Arial" w:hAnsi="Arial" w:cs="Arial"/>
        </w:rPr>
        <w:t xml:space="preserve"> and Green, 2009), with another study suggesting diversity training as it is currently practiced is not likely to change police behaviour (Lai and </w:t>
      </w:r>
      <w:proofErr w:type="spellStart"/>
      <w:r w:rsidRPr="000B00F5">
        <w:rPr>
          <w:rFonts w:ascii="Arial" w:hAnsi="Arial" w:cs="Arial"/>
        </w:rPr>
        <w:t>Lisnek</w:t>
      </w:r>
      <w:proofErr w:type="spellEnd"/>
      <w:r w:rsidRPr="000B00F5">
        <w:rPr>
          <w:rFonts w:ascii="Arial" w:hAnsi="Arial" w:cs="Arial"/>
        </w:rPr>
        <w:t xml:space="preserve">, 2023). Additionally, implementing policies and procedures to ensure fairness and impartiality can help in preventing the impact of personal biases. Procedures in place can assist in making officers more accountable for their actions. For example, policies around stop and search or use of force that require police officers to provide legitimate reasons for their actions. However, Spencer, Charbonneau and Glaser (2016) provide that such changes to policy have not been tested and more investigation is needed. </w:t>
      </w:r>
    </w:p>
    <w:p w14:paraId="586DDF98" w14:textId="77777777" w:rsidR="00725398" w:rsidRPr="000B00F5" w:rsidRDefault="00725398" w:rsidP="000B00F5">
      <w:pPr>
        <w:spacing w:line="360" w:lineRule="auto"/>
        <w:ind w:firstLine="720"/>
        <w:rPr>
          <w:rFonts w:ascii="Arial" w:hAnsi="Arial" w:cs="Arial"/>
        </w:rPr>
      </w:pPr>
    </w:p>
    <w:p w14:paraId="0A27A26A" w14:textId="77777777" w:rsidR="00725398" w:rsidRPr="000B00F5" w:rsidRDefault="00725398" w:rsidP="000B00F5">
      <w:pPr>
        <w:spacing w:line="360" w:lineRule="auto"/>
        <w:ind w:firstLine="720"/>
        <w:rPr>
          <w:rFonts w:ascii="Arial" w:hAnsi="Arial" w:cs="Arial"/>
        </w:rPr>
      </w:pPr>
      <w:r w:rsidRPr="000B00F5">
        <w:rPr>
          <w:rFonts w:ascii="Arial" w:hAnsi="Arial" w:cs="Arial"/>
        </w:rPr>
        <w:t xml:space="preserve">Another measure to prevent the impact personal biases can have on police investigations is the use of body worn camera’s (BWC). The use of such cameras was introduced to record police interactions with members of the public and provide an objective record of such interactions. BWC are believed to assist in deterring bias in policing (Spencer, Charbonneau and Glaser, 2016) as they encourage self-awareness and influence officers to act in accordance with professional norms (Ariel et al., 2017a). Lerner and </w:t>
      </w:r>
      <w:proofErr w:type="spellStart"/>
      <w:r w:rsidRPr="000B00F5">
        <w:rPr>
          <w:rFonts w:ascii="Arial" w:hAnsi="Arial" w:cs="Arial"/>
        </w:rPr>
        <w:t>Tetlock</w:t>
      </w:r>
      <w:proofErr w:type="spellEnd"/>
      <w:r w:rsidRPr="000B00F5">
        <w:rPr>
          <w:rFonts w:ascii="Arial" w:hAnsi="Arial" w:cs="Arial"/>
        </w:rPr>
        <w:t xml:space="preserve"> (1999) </w:t>
      </w:r>
      <w:r w:rsidRPr="000B00F5">
        <w:rPr>
          <w:rFonts w:ascii="Arial" w:hAnsi="Arial" w:cs="Arial"/>
        </w:rPr>
        <w:lastRenderedPageBreak/>
        <w:t xml:space="preserve">found that the presence of BWC can increase the sense of accountability, which has been shown to reduce biased judgements. Indeed, research has shown that officers wearing BWC were the subject of fewer complaints and it seemed to increase perceptions of police legitimacy and performance (Ariel et al, 2017b).  </w:t>
      </w:r>
    </w:p>
    <w:p w14:paraId="2D8E67F8" w14:textId="77777777" w:rsidR="00725398" w:rsidRPr="000B00F5" w:rsidRDefault="00725398" w:rsidP="000B00F5">
      <w:pPr>
        <w:spacing w:line="360" w:lineRule="auto"/>
        <w:ind w:firstLine="720"/>
        <w:rPr>
          <w:rFonts w:ascii="Arial" w:hAnsi="Arial" w:cs="Arial"/>
        </w:rPr>
      </w:pPr>
    </w:p>
    <w:p w14:paraId="4B37560E" w14:textId="77777777" w:rsidR="00725398" w:rsidRPr="000B00F5" w:rsidRDefault="00725398" w:rsidP="000B00F5">
      <w:pPr>
        <w:spacing w:line="360" w:lineRule="auto"/>
        <w:ind w:firstLine="720"/>
        <w:rPr>
          <w:rFonts w:ascii="Arial" w:hAnsi="Arial" w:cs="Arial"/>
        </w:rPr>
      </w:pPr>
      <w:r w:rsidRPr="000B00F5">
        <w:rPr>
          <w:rFonts w:ascii="Arial" w:hAnsi="Arial" w:cs="Arial"/>
        </w:rPr>
        <w:t xml:space="preserve">However, despite such measures being in place, personal biases still exist in policing. Personal biases can significantly impact police investigations, more often in a negative way, leading to a lack of fairness in the administration of justice. As noted above personal biases can impact decision-making, the interpretation of evidence, the interviewing process and identification of suspects. Measures are put in place to counteract such biases, but the research seems to suggest that more needs to be done and further investigation into interventions to reduce such biases is needed. </w:t>
      </w:r>
    </w:p>
    <w:p w14:paraId="24ED436F" w14:textId="77777777" w:rsidR="00725398" w:rsidRPr="000B00F5" w:rsidRDefault="00725398" w:rsidP="000B00F5">
      <w:pPr>
        <w:spacing w:line="360" w:lineRule="auto"/>
        <w:rPr>
          <w:rFonts w:ascii="Arial" w:hAnsi="Arial" w:cs="Arial"/>
        </w:rPr>
      </w:pPr>
    </w:p>
    <w:p w14:paraId="3D40C5D4" w14:textId="77777777" w:rsidR="00725398" w:rsidRPr="000B00F5" w:rsidRDefault="00725398" w:rsidP="000B00F5">
      <w:pPr>
        <w:spacing w:line="360" w:lineRule="auto"/>
        <w:rPr>
          <w:rFonts w:ascii="Arial" w:hAnsi="Arial" w:cs="Arial"/>
          <w:b/>
          <w:bCs/>
        </w:rPr>
      </w:pPr>
      <w:r w:rsidRPr="000B00F5">
        <w:rPr>
          <w:rFonts w:ascii="Arial" w:hAnsi="Arial" w:cs="Arial"/>
          <w:b/>
          <w:bCs/>
        </w:rPr>
        <w:t>Word Count – 1054 words</w:t>
      </w:r>
    </w:p>
    <w:p w14:paraId="5F266353" w14:textId="77777777" w:rsidR="00725398" w:rsidRPr="000B00F5" w:rsidRDefault="00725398" w:rsidP="000B00F5">
      <w:pPr>
        <w:spacing w:line="360" w:lineRule="auto"/>
        <w:rPr>
          <w:rFonts w:ascii="Arial" w:hAnsi="Arial" w:cs="Arial"/>
          <w:b/>
          <w:bCs/>
        </w:rPr>
      </w:pPr>
    </w:p>
    <w:p w14:paraId="18C3EFF7" w14:textId="77777777" w:rsidR="00725398" w:rsidRPr="000B00F5" w:rsidRDefault="00725398" w:rsidP="000B00F5">
      <w:pPr>
        <w:spacing w:line="360" w:lineRule="auto"/>
        <w:rPr>
          <w:rFonts w:ascii="Arial" w:hAnsi="Arial" w:cs="Arial"/>
        </w:rPr>
      </w:pPr>
      <w:r w:rsidRPr="000B00F5">
        <w:rPr>
          <w:rFonts w:ascii="Arial" w:hAnsi="Arial" w:cs="Arial"/>
        </w:rPr>
        <w:t xml:space="preserve">References: </w:t>
      </w:r>
    </w:p>
    <w:p w14:paraId="471F2A5B" w14:textId="77777777" w:rsidR="00725398" w:rsidRPr="000B00F5" w:rsidRDefault="00725398" w:rsidP="000B00F5">
      <w:pPr>
        <w:spacing w:line="360" w:lineRule="auto"/>
        <w:rPr>
          <w:rFonts w:ascii="Arial" w:hAnsi="Arial" w:cs="Arial"/>
          <w:i/>
          <w:iCs/>
          <w:shd w:val="clear" w:color="auto" w:fill="FCFCFC"/>
        </w:rPr>
      </w:pPr>
      <w:r w:rsidRPr="000B00F5">
        <w:rPr>
          <w:rFonts w:ascii="Arial" w:hAnsi="Arial" w:cs="Arial"/>
          <w:shd w:val="clear" w:color="auto" w:fill="FCFCFC"/>
        </w:rPr>
        <w:t xml:space="preserve">Adams-Quackenbush, N.M., </w:t>
      </w:r>
      <w:proofErr w:type="spellStart"/>
      <w:r w:rsidRPr="000B00F5">
        <w:rPr>
          <w:rFonts w:ascii="Arial" w:hAnsi="Arial" w:cs="Arial"/>
          <w:shd w:val="clear" w:color="auto" w:fill="FCFCFC"/>
        </w:rPr>
        <w:t>Horselenberg</w:t>
      </w:r>
      <w:proofErr w:type="spellEnd"/>
      <w:r w:rsidRPr="000B00F5">
        <w:rPr>
          <w:rFonts w:ascii="Arial" w:hAnsi="Arial" w:cs="Arial"/>
          <w:shd w:val="clear" w:color="auto" w:fill="FCFCFC"/>
        </w:rPr>
        <w:t xml:space="preserve">, R. &amp; van </w:t>
      </w:r>
      <w:proofErr w:type="spellStart"/>
      <w:r w:rsidRPr="000B00F5">
        <w:rPr>
          <w:rFonts w:ascii="Arial" w:hAnsi="Arial" w:cs="Arial"/>
          <w:shd w:val="clear" w:color="auto" w:fill="FCFCFC"/>
        </w:rPr>
        <w:t>Koppen</w:t>
      </w:r>
      <w:proofErr w:type="spellEnd"/>
      <w:r w:rsidRPr="000B00F5">
        <w:rPr>
          <w:rFonts w:ascii="Arial" w:hAnsi="Arial" w:cs="Arial"/>
          <w:shd w:val="clear" w:color="auto" w:fill="FCFCFC"/>
        </w:rPr>
        <w:t>, P.J. (2019). Where Bias Begins: a Snapshot of Police Officers’ Beliefs About Factors that Influence the Investigative Interview with Suspects. </w:t>
      </w:r>
      <w:r w:rsidRPr="000B00F5">
        <w:rPr>
          <w:rFonts w:ascii="Arial" w:hAnsi="Arial" w:cs="Arial"/>
          <w:i/>
          <w:iCs/>
          <w:shd w:val="clear" w:color="auto" w:fill="FCFCFC"/>
        </w:rPr>
        <w:t>Journal of Police Criminal Psychology 34, pp. 373–380.</w:t>
      </w:r>
    </w:p>
    <w:p w14:paraId="776271DF" w14:textId="77777777" w:rsidR="00725398" w:rsidRPr="000B00F5" w:rsidRDefault="00725398" w:rsidP="000B00F5">
      <w:pPr>
        <w:spacing w:line="360" w:lineRule="auto"/>
        <w:rPr>
          <w:rFonts w:ascii="Arial" w:hAnsi="Arial" w:cs="Arial"/>
          <w:i/>
          <w:iCs/>
          <w:shd w:val="clear" w:color="auto" w:fill="FCFCFC"/>
        </w:rPr>
      </w:pPr>
    </w:p>
    <w:p w14:paraId="11A8D215" w14:textId="77777777" w:rsidR="00725398" w:rsidRPr="000B00F5" w:rsidRDefault="00725398" w:rsidP="000B00F5">
      <w:pPr>
        <w:spacing w:before="100" w:beforeAutospacing="1" w:after="100" w:afterAutospacing="1" w:line="360" w:lineRule="auto"/>
        <w:rPr>
          <w:rFonts w:ascii="Arial" w:hAnsi="Arial" w:cs="Arial"/>
          <w:i/>
          <w:iCs/>
        </w:rPr>
      </w:pPr>
      <w:r w:rsidRPr="000B00F5">
        <w:rPr>
          <w:rFonts w:ascii="Arial" w:hAnsi="Arial" w:cs="Arial"/>
        </w:rPr>
        <w:t xml:space="preserve">Ariel, B., Sutherland, A., </w:t>
      </w:r>
      <w:proofErr w:type="spellStart"/>
      <w:r w:rsidRPr="000B00F5">
        <w:rPr>
          <w:rFonts w:ascii="Arial" w:hAnsi="Arial" w:cs="Arial"/>
        </w:rPr>
        <w:t>Henstock</w:t>
      </w:r>
      <w:proofErr w:type="spellEnd"/>
      <w:r w:rsidRPr="000B00F5">
        <w:rPr>
          <w:rFonts w:ascii="Arial" w:hAnsi="Arial" w:cs="Arial"/>
        </w:rPr>
        <w:t xml:space="preserve">, D., Young, J. &amp; </w:t>
      </w:r>
      <w:proofErr w:type="spellStart"/>
      <w:r w:rsidRPr="000B00F5">
        <w:rPr>
          <w:rFonts w:ascii="Arial" w:hAnsi="Arial" w:cs="Arial"/>
        </w:rPr>
        <w:t>Sosinski</w:t>
      </w:r>
      <w:proofErr w:type="spellEnd"/>
      <w:r w:rsidRPr="000B00F5">
        <w:rPr>
          <w:rFonts w:ascii="Arial" w:hAnsi="Arial" w:cs="Arial"/>
        </w:rPr>
        <w:t>, G. (2017a). The deterrence spectrum: Explaining why police body-worn cameras ‘work’ or ‘backfire’ in aggressive police public encounters</w:t>
      </w:r>
      <w:r w:rsidRPr="000B00F5">
        <w:rPr>
          <w:rFonts w:ascii="Arial" w:hAnsi="Arial" w:cs="Arial"/>
          <w:i/>
          <w:iCs/>
        </w:rPr>
        <w:t>.</w:t>
      </w:r>
      <w:r w:rsidRPr="000B00F5">
        <w:rPr>
          <w:rFonts w:ascii="Arial" w:hAnsi="Arial" w:cs="Arial"/>
        </w:rPr>
        <w:t xml:space="preserve"> </w:t>
      </w:r>
      <w:r w:rsidRPr="000B00F5">
        <w:rPr>
          <w:rFonts w:ascii="Arial" w:hAnsi="Arial" w:cs="Arial"/>
          <w:i/>
          <w:iCs/>
        </w:rPr>
        <w:t>Policing: A Journal of Policy and Practice, 12(1), pp. 6-26.</w:t>
      </w:r>
    </w:p>
    <w:p w14:paraId="15F09A26" w14:textId="77777777" w:rsidR="00725398" w:rsidRPr="000B00F5" w:rsidRDefault="00725398" w:rsidP="000B00F5">
      <w:pPr>
        <w:spacing w:before="100" w:beforeAutospacing="1" w:after="100" w:afterAutospacing="1" w:line="360" w:lineRule="auto"/>
        <w:rPr>
          <w:rFonts w:ascii="Arial" w:hAnsi="Arial" w:cs="Arial"/>
        </w:rPr>
      </w:pPr>
    </w:p>
    <w:p w14:paraId="14902E1F" w14:textId="77777777" w:rsidR="00725398" w:rsidRPr="000B00F5" w:rsidRDefault="00725398" w:rsidP="000B00F5">
      <w:pPr>
        <w:spacing w:before="100" w:beforeAutospacing="1" w:after="100" w:afterAutospacing="1" w:line="360" w:lineRule="auto"/>
        <w:rPr>
          <w:rFonts w:ascii="Arial" w:hAnsi="Arial" w:cs="Arial"/>
          <w:i/>
          <w:iCs/>
        </w:rPr>
      </w:pPr>
      <w:r w:rsidRPr="000B00F5">
        <w:rPr>
          <w:rFonts w:ascii="Arial" w:hAnsi="Arial" w:cs="Arial"/>
        </w:rPr>
        <w:t xml:space="preserve">Ariel, B., Sutherland, A., </w:t>
      </w:r>
      <w:proofErr w:type="spellStart"/>
      <w:r w:rsidRPr="000B00F5">
        <w:rPr>
          <w:rFonts w:ascii="Arial" w:hAnsi="Arial" w:cs="Arial"/>
        </w:rPr>
        <w:t>Henstock</w:t>
      </w:r>
      <w:proofErr w:type="spellEnd"/>
      <w:r w:rsidRPr="000B00F5">
        <w:rPr>
          <w:rFonts w:ascii="Arial" w:hAnsi="Arial" w:cs="Arial"/>
        </w:rPr>
        <w:t xml:space="preserve">, D., Young, J., Drover, P., Sykes, J., </w:t>
      </w:r>
      <w:proofErr w:type="spellStart"/>
      <w:r w:rsidRPr="000B00F5">
        <w:rPr>
          <w:rFonts w:ascii="Arial" w:hAnsi="Arial" w:cs="Arial"/>
        </w:rPr>
        <w:t>Megicks</w:t>
      </w:r>
      <w:proofErr w:type="spellEnd"/>
      <w:r w:rsidRPr="000B00F5">
        <w:rPr>
          <w:rFonts w:ascii="Arial" w:hAnsi="Arial" w:cs="Arial"/>
        </w:rPr>
        <w:t>, S. &amp; Henderson, R. (2017b). “</w:t>
      </w:r>
      <w:proofErr w:type="spellStart"/>
      <w:r w:rsidRPr="000B00F5">
        <w:rPr>
          <w:rFonts w:ascii="Arial" w:hAnsi="Arial" w:cs="Arial"/>
        </w:rPr>
        <w:t>Countagious</w:t>
      </w:r>
      <w:proofErr w:type="spellEnd"/>
      <w:r w:rsidRPr="000B00F5">
        <w:rPr>
          <w:rFonts w:ascii="Arial" w:hAnsi="Arial" w:cs="Arial"/>
        </w:rPr>
        <w:t xml:space="preserve"> Accountability: A global multisite randomized controlled trial on the effect of police body-worn cameras on citizens’ complaints against the police.</w:t>
      </w:r>
      <w:r w:rsidRPr="000B00F5">
        <w:rPr>
          <w:rFonts w:ascii="Arial" w:hAnsi="Arial" w:cs="Arial"/>
          <w:i/>
          <w:iCs/>
        </w:rPr>
        <w:t xml:space="preserve"> Criminal Justice and Behaviour, 44(2), pp. 293-316.</w:t>
      </w:r>
    </w:p>
    <w:p w14:paraId="6F61BFAD" w14:textId="77777777" w:rsidR="00725398" w:rsidRPr="000B00F5" w:rsidRDefault="00725398" w:rsidP="000B00F5">
      <w:pPr>
        <w:spacing w:before="100" w:beforeAutospacing="1" w:after="100" w:afterAutospacing="1" w:line="360" w:lineRule="auto"/>
        <w:rPr>
          <w:rFonts w:ascii="Arial" w:hAnsi="Arial" w:cs="Arial"/>
        </w:rPr>
      </w:pPr>
    </w:p>
    <w:p w14:paraId="7A462177" w14:textId="77777777" w:rsidR="00725398" w:rsidRPr="000B00F5" w:rsidRDefault="00725398" w:rsidP="000B00F5">
      <w:pPr>
        <w:spacing w:before="100" w:beforeAutospacing="1" w:after="100" w:afterAutospacing="1" w:line="360" w:lineRule="auto"/>
        <w:rPr>
          <w:rFonts w:ascii="Arial" w:hAnsi="Arial" w:cs="Arial"/>
          <w:i/>
          <w:iCs/>
          <w:shd w:val="clear" w:color="auto" w:fill="FCFCFC"/>
        </w:rPr>
      </w:pPr>
      <w:proofErr w:type="spellStart"/>
      <w:r w:rsidRPr="000B00F5">
        <w:rPr>
          <w:rFonts w:ascii="Arial" w:hAnsi="Arial" w:cs="Arial"/>
          <w:shd w:val="clear" w:color="auto" w:fill="FCFCFC"/>
        </w:rPr>
        <w:lastRenderedPageBreak/>
        <w:t>Bargh</w:t>
      </w:r>
      <w:proofErr w:type="spellEnd"/>
      <w:r w:rsidRPr="000B00F5">
        <w:rPr>
          <w:rFonts w:ascii="Arial" w:hAnsi="Arial" w:cs="Arial"/>
          <w:shd w:val="clear" w:color="auto" w:fill="FCFCFC"/>
        </w:rPr>
        <w:t xml:space="preserve">, J. A., &amp; Chartrand, T. L. (2014). The mind in the middle. </w:t>
      </w:r>
      <w:r w:rsidRPr="000B00F5">
        <w:rPr>
          <w:rFonts w:ascii="Arial" w:hAnsi="Arial" w:cs="Arial"/>
          <w:i/>
          <w:iCs/>
          <w:shd w:val="clear" w:color="auto" w:fill="FCFCFC"/>
        </w:rPr>
        <w:t>In H. T. Reis &amp; C. M. Judd (Eds.), Handbook of research methods in social and personality psychology, pp. 311–344. Cambridge University Press.</w:t>
      </w:r>
    </w:p>
    <w:p w14:paraId="5CC1444D" w14:textId="77777777" w:rsidR="00725398" w:rsidRPr="000B00F5" w:rsidRDefault="00725398" w:rsidP="000B00F5">
      <w:pPr>
        <w:spacing w:before="100" w:beforeAutospacing="1" w:after="100" w:afterAutospacing="1" w:line="360" w:lineRule="auto"/>
        <w:rPr>
          <w:rFonts w:ascii="Arial" w:hAnsi="Arial" w:cs="Arial"/>
        </w:rPr>
      </w:pPr>
    </w:p>
    <w:p w14:paraId="6F7ED9FF" w14:textId="77777777" w:rsidR="00725398" w:rsidRPr="000B00F5" w:rsidRDefault="00725398" w:rsidP="000B00F5">
      <w:pPr>
        <w:spacing w:line="360" w:lineRule="auto"/>
        <w:rPr>
          <w:rFonts w:ascii="Arial" w:hAnsi="Arial" w:cs="Arial"/>
        </w:rPr>
      </w:pPr>
      <w:r w:rsidRPr="000B00F5">
        <w:rPr>
          <w:rFonts w:ascii="Arial" w:hAnsi="Arial" w:cs="Arial"/>
        </w:rPr>
        <w:t xml:space="preserve">College of Policing (2013). </w:t>
      </w:r>
      <w:r w:rsidRPr="000B00F5">
        <w:rPr>
          <w:rFonts w:ascii="Arial" w:hAnsi="Arial" w:cs="Arial"/>
          <w:i/>
          <w:iCs/>
        </w:rPr>
        <w:t xml:space="preserve">Managing Investigations. </w:t>
      </w:r>
      <w:r w:rsidRPr="000B00F5">
        <w:rPr>
          <w:rFonts w:ascii="Arial" w:hAnsi="Arial" w:cs="Arial"/>
        </w:rPr>
        <w:t xml:space="preserve">[online] College.policing.uk. Available at: https://www.college.police.uk/app/investigation/managing-investigations#behavioural-traits (Accessed 20th April 2023). </w:t>
      </w:r>
    </w:p>
    <w:p w14:paraId="51D46AEA" w14:textId="77777777" w:rsidR="00725398" w:rsidRPr="000B00F5" w:rsidRDefault="00725398" w:rsidP="000B00F5">
      <w:pPr>
        <w:spacing w:line="360" w:lineRule="auto"/>
        <w:rPr>
          <w:rFonts w:ascii="Arial" w:hAnsi="Arial" w:cs="Arial"/>
        </w:rPr>
      </w:pPr>
    </w:p>
    <w:p w14:paraId="2F5C800F" w14:textId="77777777" w:rsidR="00725398" w:rsidRPr="000B00F5" w:rsidRDefault="00725398" w:rsidP="000B00F5">
      <w:pPr>
        <w:spacing w:line="360" w:lineRule="auto"/>
        <w:rPr>
          <w:rFonts w:ascii="Arial" w:hAnsi="Arial" w:cs="Arial"/>
        </w:rPr>
      </w:pPr>
      <w:r w:rsidRPr="000B00F5">
        <w:rPr>
          <w:rFonts w:ascii="Arial" w:hAnsi="Arial" w:cs="Arial"/>
        </w:rPr>
        <w:t xml:space="preserve">College of Policing (2013).  </w:t>
      </w:r>
      <w:r w:rsidRPr="000B00F5">
        <w:rPr>
          <w:rFonts w:ascii="Arial" w:hAnsi="Arial" w:cs="Arial"/>
          <w:i/>
          <w:iCs/>
        </w:rPr>
        <w:t xml:space="preserve">Promoting and supporting diversity and inclusion. </w:t>
      </w:r>
      <w:r w:rsidRPr="000B00F5">
        <w:rPr>
          <w:rFonts w:ascii="Arial" w:hAnsi="Arial" w:cs="Arial"/>
        </w:rPr>
        <w:t xml:space="preserve">[online] College.policing.uk. Available at: https://www.college.police.uk/article/diversity-and-inclusion-cpd-in-focus (Accessed 24th April 2023). </w:t>
      </w:r>
    </w:p>
    <w:p w14:paraId="3FED576B" w14:textId="77777777" w:rsidR="00725398" w:rsidRPr="000B00F5" w:rsidRDefault="00725398" w:rsidP="000B00F5">
      <w:pPr>
        <w:spacing w:line="360" w:lineRule="auto"/>
        <w:rPr>
          <w:rFonts w:ascii="Arial" w:hAnsi="Arial" w:cs="Arial"/>
        </w:rPr>
      </w:pPr>
    </w:p>
    <w:p w14:paraId="70AB6968" w14:textId="5EBD4496" w:rsidR="00725398" w:rsidRPr="000B00F5" w:rsidRDefault="00725398" w:rsidP="000B00F5">
      <w:pPr>
        <w:spacing w:line="360" w:lineRule="auto"/>
        <w:rPr>
          <w:rFonts w:ascii="Arial" w:hAnsi="Arial" w:cs="Arial"/>
          <w:i/>
          <w:iCs/>
          <w:shd w:val="clear" w:color="auto" w:fill="FCFCFC"/>
        </w:rPr>
      </w:pPr>
      <w:r w:rsidRPr="000B00F5">
        <w:rPr>
          <w:rFonts w:ascii="Arial" w:hAnsi="Arial" w:cs="Arial"/>
          <w:shd w:val="clear" w:color="auto" w:fill="FCFCFC"/>
        </w:rPr>
        <w:t xml:space="preserve">Kahneman, D (2003). A perspective on judgement and choice: mapping bounded rationality. </w:t>
      </w:r>
      <w:r w:rsidRPr="000B00F5">
        <w:rPr>
          <w:rFonts w:ascii="Arial" w:hAnsi="Arial" w:cs="Arial"/>
          <w:i/>
          <w:iCs/>
          <w:shd w:val="clear" w:color="auto" w:fill="FCFCFC"/>
        </w:rPr>
        <w:t>American Psychology 58, pp. 697–720.</w:t>
      </w:r>
    </w:p>
    <w:p w14:paraId="122DFC23" w14:textId="77777777" w:rsidR="00725398" w:rsidRPr="000B00F5" w:rsidRDefault="00725398" w:rsidP="000B00F5">
      <w:pPr>
        <w:spacing w:line="360" w:lineRule="auto"/>
        <w:rPr>
          <w:rFonts w:ascii="Arial" w:hAnsi="Arial" w:cs="Arial"/>
          <w:shd w:val="clear" w:color="auto" w:fill="FCFCFC"/>
        </w:rPr>
      </w:pPr>
    </w:p>
    <w:p w14:paraId="0CFE0506" w14:textId="1DFD1BBD" w:rsidR="00725398" w:rsidRPr="000B00F5" w:rsidRDefault="00725398" w:rsidP="000B00F5">
      <w:pPr>
        <w:spacing w:line="360" w:lineRule="auto"/>
        <w:rPr>
          <w:rFonts w:ascii="Arial" w:hAnsi="Arial" w:cs="Arial"/>
          <w:i/>
          <w:iCs/>
          <w:shd w:val="clear" w:color="auto" w:fill="FFFFFF"/>
        </w:rPr>
      </w:pPr>
      <w:r w:rsidRPr="000B00F5">
        <w:rPr>
          <w:rFonts w:ascii="Arial" w:hAnsi="Arial" w:cs="Arial"/>
          <w:shd w:val="clear" w:color="auto" w:fill="FFFFFF"/>
        </w:rPr>
        <w:t xml:space="preserve">Lai, C. K., </w:t>
      </w:r>
      <w:proofErr w:type="spellStart"/>
      <w:r w:rsidRPr="000B00F5">
        <w:rPr>
          <w:rFonts w:ascii="Arial" w:hAnsi="Arial" w:cs="Arial"/>
          <w:shd w:val="clear" w:color="auto" w:fill="FFFFFF"/>
        </w:rPr>
        <w:t>Lisnek</w:t>
      </w:r>
      <w:proofErr w:type="spellEnd"/>
      <w:r w:rsidRPr="000B00F5">
        <w:rPr>
          <w:rFonts w:ascii="Arial" w:hAnsi="Arial" w:cs="Arial"/>
          <w:shd w:val="clear" w:color="auto" w:fill="FFFFFF"/>
        </w:rPr>
        <w:t xml:space="preserve">, J. A. (2023). The Impact of Implicit-Bias-Oriented Diversity Training on Police Officers' Beliefs, Motivations, and Actions. </w:t>
      </w:r>
      <w:r w:rsidRPr="000B00F5">
        <w:rPr>
          <w:rFonts w:ascii="Arial" w:hAnsi="Arial" w:cs="Arial"/>
          <w:i/>
          <w:iCs/>
          <w:shd w:val="clear" w:color="auto" w:fill="FFFFFF"/>
        </w:rPr>
        <w:t>Psychology Science 34(4), pp. 424-434.</w:t>
      </w:r>
    </w:p>
    <w:p w14:paraId="585E2774" w14:textId="77777777" w:rsidR="00725398" w:rsidRPr="000B00F5" w:rsidRDefault="00725398" w:rsidP="000B00F5">
      <w:pPr>
        <w:spacing w:line="360" w:lineRule="auto"/>
        <w:rPr>
          <w:rFonts w:ascii="Arial" w:hAnsi="Arial" w:cs="Arial"/>
          <w:shd w:val="clear" w:color="auto" w:fill="FCFCFC"/>
        </w:rPr>
      </w:pPr>
    </w:p>
    <w:p w14:paraId="081370F4" w14:textId="77777777" w:rsidR="00725398" w:rsidRPr="000B00F5" w:rsidRDefault="00725398" w:rsidP="000B00F5">
      <w:pPr>
        <w:spacing w:line="360" w:lineRule="auto"/>
        <w:rPr>
          <w:rFonts w:ascii="Arial" w:hAnsi="Arial" w:cs="Arial"/>
          <w:shd w:val="clear" w:color="auto" w:fill="FCFCFC"/>
        </w:rPr>
      </w:pPr>
      <w:r w:rsidRPr="000B00F5">
        <w:rPr>
          <w:rFonts w:ascii="Arial" w:hAnsi="Arial" w:cs="Arial"/>
          <w:shd w:val="clear" w:color="auto" w:fill="FFFFFF"/>
        </w:rPr>
        <w:t xml:space="preserve">Lerner, J. S., &amp; </w:t>
      </w:r>
      <w:proofErr w:type="spellStart"/>
      <w:r w:rsidRPr="000B00F5">
        <w:rPr>
          <w:rFonts w:ascii="Arial" w:hAnsi="Arial" w:cs="Arial"/>
          <w:shd w:val="clear" w:color="auto" w:fill="FFFFFF"/>
        </w:rPr>
        <w:t>Tetlock</w:t>
      </w:r>
      <w:proofErr w:type="spellEnd"/>
      <w:r w:rsidRPr="000B00F5">
        <w:rPr>
          <w:rFonts w:ascii="Arial" w:hAnsi="Arial" w:cs="Arial"/>
          <w:shd w:val="clear" w:color="auto" w:fill="FFFFFF"/>
        </w:rPr>
        <w:t>, P. E. (1999). Accounting for the effects of accountability. </w:t>
      </w:r>
      <w:r w:rsidRPr="000B00F5">
        <w:rPr>
          <w:rStyle w:val="Emphasis"/>
          <w:rFonts w:ascii="Arial" w:hAnsi="Arial" w:cs="Arial"/>
          <w:shd w:val="clear" w:color="auto" w:fill="FFFFFF"/>
        </w:rPr>
        <w:t>Psychological Bulletin, 125</w:t>
      </w:r>
      <w:r w:rsidRPr="000B00F5">
        <w:rPr>
          <w:rFonts w:ascii="Arial" w:hAnsi="Arial" w:cs="Arial"/>
          <w:shd w:val="clear" w:color="auto" w:fill="FFFFFF"/>
        </w:rPr>
        <w:t>(2), pp. 255–275.</w:t>
      </w:r>
    </w:p>
    <w:p w14:paraId="6CE0F5D6" w14:textId="77777777" w:rsidR="00725398" w:rsidRPr="000B00F5" w:rsidRDefault="00725398" w:rsidP="000B00F5">
      <w:pPr>
        <w:spacing w:line="360" w:lineRule="auto"/>
        <w:rPr>
          <w:rFonts w:ascii="Arial" w:hAnsi="Arial" w:cs="Arial"/>
          <w:shd w:val="clear" w:color="auto" w:fill="FCFCFC"/>
        </w:rPr>
      </w:pPr>
    </w:p>
    <w:p w14:paraId="0763E1FE" w14:textId="121DF50F" w:rsidR="00725398" w:rsidRPr="000B00F5" w:rsidRDefault="00725398" w:rsidP="000B00F5">
      <w:pPr>
        <w:spacing w:line="360" w:lineRule="auto"/>
        <w:rPr>
          <w:rFonts w:ascii="Arial" w:hAnsi="Arial" w:cs="Arial"/>
          <w:shd w:val="clear" w:color="auto" w:fill="FCFCFC"/>
        </w:rPr>
      </w:pPr>
      <w:r w:rsidRPr="000B00F5">
        <w:rPr>
          <w:rFonts w:ascii="Arial" w:hAnsi="Arial" w:cs="Arial"/>
          <w:shd w:val="clear" w:color="auto" w:fill="FCFCFC"/>
        </w:rPr>
        <w:t>Levinson, J. D. &amp; Young, D. (2010). Different Shades of Bias: Skin Tone, Implicit Racial Bias, and Judgements of Ambiguous Evidence</w:t>
      </w:r>
      <w:r w:rsidRPr="000B00F5">
        <w:rPr>
          <w:rFonts w:ascii="Arial" w:hAnsi="Arial" w:cs="Arial"/>
          <w:i/>
          <w:iCs/>
          <w:shd w:val="clear" w:color="auto" w:fill="FCFCFC"/>
        </w:rPr>
        <w:t>. West Virginia Law Review, 112, pp. 307-350.</w:t>
      </w:r>
      <w:r w:rsidRPr="000B00F5">
        <w:rPr>
          <w:rFonts w:ascii="Arial" w:hAnsi="Arial" w:cs="Arial"/>
          <w:shd w:val="clear" w:color="auto" w:fill="FCFCFC"/>
        </w:rPr>
        <w:t xml:space="preserve"> </w:t>
      </w:r>
    </w:p>
    <w:p w14:paraId="718A6720" w14:textId="77777777" w:rsidR="00725398" w:rsidRPr="000B00F5" w:rsidRDefault="00725398" w:rsidP="000B00F5">
      <w:pPr>
        <w:spacing w:line="360" w:lineRule="auto"/>
        <w:rPr>
          <w:rFonts w:ascii="Arial" w:hAnsi="Arial" w:cs="Arial"/>
          <w:shd w:val="clear" w:color="auto" w:fill="FCFCFC"/>
        </w:rPr>
      </w:pPr>
    </w:p>
    <w:p w14:paraId="6FAD7091" w14:textId="224EFA4C" w:rsidR="00725398" w:rsidRPr="000B00F5" w:rsidRDefault="00725398" w:rsidP="000B00F5">
      <w:pPr>
        <w:spacing w:line="360" w:lineRule="auto"/>
        <w:rPr>
          <w:rFonts w:ascii="Arial" w:hAnsi="Arial" w:cs="Arial"/>
          <w:i/>
          <w:iCs/>
          <w:shd w:val="clear" w:color="auto" w:fill="FCFCFC"/>
        </w:rPr>
      </w:pPr>
      <w:r w:rsidRPr="000B00F5">
        <w:rPr>
          <w:rFonts w:ascii="Arial" w:hAnsi="Arial" w:cs="Arial"/>
          <w:shd w:val="clear" w:color="auto" w:fill="FCFCFC"/>
        </w:rPr>
        <w:t xml:space="preserve">Meissner CA, </w:t>
      </w:r>
      <w:proofErr w:type="spellStart"/>
      <w:r w:rsidRPr="000B00F5">
        <w:rPr>
          <w:rFonts w:ascii="Arial" w:hAnsi="Arial" w:cs="Arial"/>
          <w:shd w:val="clear" w:color="auto" w:fill="FCFCFC"/>
        </w:rPr>
        <w:t>Kassin</w:t>
      </w:r>
      <w:proofErr w:type="spellEnd"/>
      <w:r w:rsidRPr="000B00F5">
        <w:rPr>
          <w:rFonts w:ascii="Arial" w:hAnsi="Arial" w:cs="Arial"/>
          <w:shd w:val="clear" w:color="auto" w:fill="FCFCFC"/>
        </w:rPr>
        <w:t xml:space="preserve"> SM (2002). “He’s guilty!”: investigator bias in judgements of truth and deception. </w:t>
      </w:r>
      <w:r w:rsidRPr="000B00F5">
        <w:rPr>
          <w:rFonts w:ascii="Arial" w:hAnsi="Arial" w:cs="Arial"/>
          <w:i/>
          <w:iCs/>
          <w:shd w:val="clear" w:color="auto" w:fill="FCFCFC"/>
        </w:rPr>
        <w:t>Law Human Behaviour, 26, pp. 469–480.</w:t>
      </w:r>
    </w:p>
    <w:p w14:paraId="4124F8A4" w14:textId="77777777" w:rsidR="00725398" w:rsidRPr="000B00F5" w:rsidRDefault="00725398" w:rsidP="000B00F5">
      <w:pPr>
        <w:spacing w:line="360" w:lineRule="auto"/>
        <w:rPr>
          <w:rFonts w:ascii="Arial" w:hAnsi="Arial" w:cs="Arial"/>
          <w:shd w:val="clear" w:color="auto" w:fill="FCFCFC"/>
        </w:rPr>
      </w:pPr>
    </w:p>
    <w:p w14:paraId="65375A3F" w14:textId="4AE4F1C7" w:rsidR="00725398" w:rsidRPr="000B00F5" w:rsidRDefault="00725398" w:rsidP="000B00F5">
      <w:pPr>
        <w:spacing w:line="360" w:lineRule="auto"/>
        <w:rPr>
          <w:rFonts w:ascii="Arial" w:hAnsi="Arial" w:cs="Arial"/>
          <w:shd w:val="clear" w:color="auto" w:fill="FCFCFC"/>
        </w:rPr>
      </w:pPr>
      <w:proofErr w:type="spellStart"/>
      <w:r w:rsidRPr="000B00F5">
        <w:rPr>
          <w:rFonts w:ascii="Arial" w:hAnsi="Arial" w:cs="Arial"/>
          <w:shd w:val="clear" w:color="auto" w:fill="FCFCFC"/>
        </w:rPr>
        <w:t>Meterko</w:t>
      </w:r>
      <w:proofErr w:type="spellEnd"/>
      <w:r w:rsidRPr="000B00F5">
        <w:rPr>
          <w:rFonts w:ascii="Arial" w:hAnsi="Arial" w:cs="Arial"/>
          <w:shd w:val="clear" w:color="auto" w:fill="FCFCFC"/>
        </w:rPr>
        <w:t xml:space="preserve">, V. &amp; Cooper. (2021). Cognitive Biases in Criminal Case Evaluation: A Review of the Research. </w:t>
      </w:r>
      <w:r w:rsidRPr="000B00F5">
        <w:rPr>
          <w:rFonts w:ascii="Arial" w:hAnsi="Arial" w:cs="Arial"/>
          <w:i/>
          <w:iCs/>
          <w:shd w:val="clear" w:color="auto" w:fill="FCFCFC"/>
        </w:rPr>
        <w:t>Journal of Police and Criminal Psychology, 37, pp. 101-122.</w:t>
      </w:r>
      <w:r w:rsidRPr="000B00F5">
        <w:rPr>
          <w:rFonts w:ascii="Arial" w:hAnsi="Arial" w:cs="Arial"/>
          <w:shd w:val="clear" w:color="auto" w:fill="FCFCFC"/>
        </w:rPr>
        <w:t xml:space="preserve"> </w:t>
      </w:r>
    </w:p>
    <w:p w14:paraId="3DE8B473" w14:textId="4C1C33A9" w:rsidR="00725398" w:rsidRPr="000B00F5" w:rsidRDefault="00725398" w:rsidP="000B00F5">
      <w:pPr>
        <w:spacing w:line="360" w:lineRule="auto"/>
        <w:rPr>
          <w:rFonts w:ascii="Arial" w:hAnsi="Arial" w:cs="Arial"/>
          <w:i/>
          <w:iCs/>
          <w:shd w:val="clear" w:color="auto" w:fill="FCFCFC"/>
        </w:rPr>
      </w:pPr>
      <w:r w:rsidRPr="000B00F5">
        <w:rPr>
          <w:rFonts w:ascii="Arial" w:hAnsi="Arial" w:cs="Arial"/>
          <w:shd w:val="clear" w:color="auto" w:fill="FCFCFC"/>
        </w:rPr>
        <w:lastRenderedPageBreak/>
        <w:t xml:space="preserve">Olson, E. A. (2013). “You don’t expect me to believe that, do you?” expectations influence recall and belief of alibi information. </w:t>
      </w:r>
      <w:r w:rsidRPr="000B00F5">
        <w:rPr>
          <w:rFonts w:ascii="Arial" w:hAnsi="Arial" w:cs="Arial"/>
          <w:i/>
          <w:iCs/>
          <w:shd w:val="clear" w:color="auto" w:fill="FCFCFC"/>
        </w:rPr>
        <w:t>Journal of Applied Social Psychology, 43, pp.1238–1247.</w:t>
      </w:r>
    </w:p>
    <w:p w14:paraId="74766772" w14:textId="77777777" w:rsidR="00725398" w:rsidRPr="000B00F5" w:rsidRDefault="00725398" w:rsidP="000B00F5">
      <w:pPr>
        <w:spacing w:line="360" w:lineRule="auto"/>
        <w:rPr>
          <w:rFonts w:ascii="Arial" w:hAnsi="Arial" w:cs="Arial"/>
          <w:shd w:val="clear" w:color="auto" w:fill="FCFCFC"/>
        </w:rPr>
      </w:pPr>
    </w:p>
    <w:p w14:paraId="1EF7C906" w14:textId="70F6C876" w:rsidR="00725398" w:rsidRPr="000B00F5" w:rsidRDefault="00725398" w:rsidP="000B00F5">
      <w:pPr>
        <w:spacing w:line="360" w:lineRule="auto"/>
        <w:rPr>
          <w:rFonts w:ascii="Arial" w:hAnsi="Arial" w:cs="Arial"/>
          <w:i/>
          <w:iCs/>
          <w:shd w:val="clear" w:color="auto" w:fill="FFFFFF"/>
        </w:rPr>
      </w:pPr>
      <w:r w:rsidRPr="000B00F5">
        <w:rPr>
          <w:rFonts w:ascii="Arial" w:hAnsi="Arial" w:cs="Arial"/>
          <w:shd w:val="clear" w:color="auto" w:fill="FFFFFF"/>
        </w:rPr>
        <w:t xml:space="preserve">Osborne, D., &amp; Davies, P.G. (2013). Eyewitness identifications are affected by stereotypes about a suspect’s level of perceived </w:t>
      </w:r>
      <w:proofErr w:type="spellStart"/>
      <w:r w:rsidRPr="000B00F5">
        <w:rPr>
          <w:rFonts w:ascii="Arial" w:hAnsi="Arial" w:cs="Arial"/>
          <w:shd w:val="clear" w:color="auto" w:fill="FFFFFF"/>
        </w:rPr>
        <w:t>stereotypicality</w:t>
      </w:r>
      <w:proofErr w:type="spellEnd"/>
      <w:r w:rsidRPr="000B00F5">
        <w:rPr>
          <w:rFonts w:ascii="Arial" w:hAnsi="Arial" w:cs="Arial"/>
          <w:shd w:val="clear" w:color="auto" w:fill="FFFFFF"/>
        </w:rPr>
        <w:t>. </w:t>
      </w:r>
      <w:r w:rsidRPr="000B00F5">
        <w:rPr>
          <w:rStyle w:val="Emphasis"/>
          <w:rFonts w:ascii="Arial" w:hAnsi="Arial" w:cs="Arial"/>
        </w:rPr>
        <w:t>Group Processes &amp; Intergroup Relations, 16</w:t>
      </w:r>
      <w:r w:rsidRPr="000B00F5">
        <w:rPr>
          <w:rFonts w:ascii="Arial" w:hAnsi="Arial" w:cs="Arial"/>
          <w:shd w:val="clear" w:color="auto" w:fill="FFFFFF"/>
        </w:rPr>
        <w:t xml:space="preserve">, </w:t>
      </w:r>
      <w:r w:rsidRPr="000B00F5">
        <w:rPr>
          <w:rFonts w:ascii="Arial" w:hAnsi="Arial" w:cs="Arial"/>
          <w:i/>
          <w:iCs/>
          <w:shd w:val="clear" w:color="auto" w:fill="FFFFFF"/>
        </w:rPr>
        <w:t>pp. 488 - 504.</w:t>
      </w:r>
    </w:p>
    <w:p w14:paraId="1D36D172" w14:textId="77777777" w:rsidR="00725398" w:rsidRPr="000B00F5" w:rsidRDefault="00725398" w:rsidP="000B00F5">
      <w:pPr>
        <w:spacing w:line="360" w:lineRule="auto"/>
        <w:rPr>
          <w:rFonts w:ascii="Arial" w:hAnsi="Arial" w:cs="Arial"/>
          <w:shd w:val="clear" w:color="auto" w:fill="FCFCFC"/>
        </w:rPr>
      </w:pPr>
    </w:p>
    <w:p w14:paraId="2CFD4AD7" w14:textId="4675508D" w:rsidR="00725398" w:rsidRPr="000B00F5" w:rsidRDefault="00725398" w:rsidP="000B00F5">
      <w:pPr>
        <w:spacing w:line="360" w:lineRule="auto"/>
        <w:rPr>
          <w:rFonts w:ascii="Arial" w:hAnsi="Arial" w:cs="Arial"/>
          <w:shd w:val="clear" w:color="auto" w:fill="FCFCFC"/>
        </w:rPr>
      </w:pPr>
      <w:r w:rsidRPr="000B00F5">
        <w:rPr>
          <w:rFonts w:ascii="Arial" w:hAnsi="Arial" w:cs="Arial"/>
          <w:shd w:val="clear" w:color="auto" w:fill="FCFCFC"/>
        </w:rPr>
        <w:t xml:space="preserve">Osman, M. (2022). </w:t>
      </w:r>
      <w:r w:rsidRPr="000B00F5">
        <w:rPr>
          <w:rFonts w:ascii="Arial" w:hAnsi="Arial" w:cs="Arial"/>
          <w:i/>
          <w:iCs/>
          <w:shd w:val="clear" w:color="auto" w:fill="FCFCFC"/>
        </w:rPr>
        <w:t>‘Threatening’ faces and beefy bodies do not bias criminal suspect identification.</w:t>
      </w:r>
      <w:r w:rsidRPr="000B00F5">
        <w:rPr>
          <w:rFonts w:ascii="Arial" w:hAnsi="Arial" w:cs="Arial"/>
          <w:shd w:val="clear" w:color="auto" w:fill="FCFCFC"/>
        </w:rPr>
        <w:t xml:space="preserve"> [online] cam.ac.uk. Available at: https://www.cam.ac.uk/research/news/threatening-faces-and-beefy-bodies-do-not-bias-criminal-suspect-identification-study-finds (Accessed 25th April 2023). </w:t>
      </w:r>
    </w:p>
    <w:p w14:paraId="3B7D15AB" w14:textId="77777777" w:rsidR="00725398" w:rsidRPr="000B00F5" w:rsidRDefault="00725398" w:rsidP="000B00F5">
      <w:pPr>
        <w:spacing w:line="360" w:lineRule="auto"/>
        <w:rPr>
          <w:rFonts w:ascii="Arial" w:hAnsi="Arial" w:cs="Arial"/>
          <w:shd w:val="clear" w:color="auto" w:fill="FCFCFC"/>
        </w:rPr>
      </w:pPr>
    </w:p>
    <w:p w14:paraId="30BD3D70" w14:textId="1DA00A77" w:rsidR="00725398" w:rsidRPr="000B00F5" w:rsidRDefault="00725398" w:rsidP="000B00F5">
      <w:pPr>
        <w:spacing w:line="360" w:lineRule="auto"/>
        <w:rPr>
          <w:rFonts w:ascii="Arial" w:hAnsi="Arial" w:cs="Arial"/>
          <w:shd w:val="clear" w:color="auto" w:fill="FCFCFC"/>
        </w:rPr>
      </w:pPr>
      <w:proofErr w:type="spellStart"/>
      <w:r w:rsidRPr="000B00F5">
        <w:rPr>
          <w:rFonts w:ascii="Arial" w:hAnsi="Arial" w:cs="Arial"/>
        </w:rPr>
        <w:t>Paluck</w:t>
      </w:r>
      <w:proofErr w:type="spellEnd"/>
      <w:r w:rsidRPr="000B00F5">
        <w:rPr>
          <w:rFonts w:ascii="Arial" w:hAnsi="Arial" w:cs="Arial"/>
        </w:rPr>
        <w:t xml:space="preserve">, E. L., &amp; Green, D. P. (2009). Prejudice Reduction: What works? A Review and Assessment of Research and Practice. </w:t>
      </w:r>
      <w:r w:rsidRPr="000B00F5">
        <w:rPr>
          <w:rFonts w:ascii="Arial" w:hAnsi="Arial" w:cs="Arial"/>
          <w:i/>
          <w:iCs/>
        </w:rPr>
        <w:t>Annual Review of Psychology, 60, pp. 339–367.</w:t>
      </w:r>
    </w:p>
    <w:p w14:paraId="54617BD3" w14:textId="1FBE3785" w:rsidR="00725398" w:rsidRPr="000B00F5" w:rsidRDefault="00725398" w:rsidP="000B00F5">
      <w:pPr>
        <w:spacing w:line="360" w:lineRule="auto"/>
        <w:rPr>
          <w:rFonts w:ascii="Arial" w:hAnsi="Arial" w:cs="Arial"/>
          <w:i/>
          <w:iCs/>
          <w:shd w:val="clear" w:color="auto" w:fill="FCFCFC"/>
        </w:rPr>
      </w:pPr>
      <w:r w:rsidRPr="000B00F5">
        <w:rPr>
          <w:rFonts w:ascii="Arial" w:hAnsi="Arial" w:cs="Arial"/>
          <w:shd w:val="clear" w:color="auto" w:fill="FCFCFC"/>
        </w:rPr>
        <w:t>Spencer, K. B., Charbonneau, A. K. &amp; Glaser, J. (2016). Implicit Bias and Policing.</w:t>
      </w:r>
      <w:r w:rsidRPr="000B00F5">
        <w:rPr>
          <w:rFonts w:ascii="Arial" w:hAnsi="Arial" w:cs="Arial"/>
          <w:i/>
          <w:iCs/>
          <w:shd w:val="clear" w:color="auto" w:fill="FCFCFC"/>
        </w:rPr>
        <w:t xml:space="preserve"> Social and Personality Psychology Compass, 10 (1), pp. 50-63.</w:t>
      </w:r>
    </w:p>
    <w:p w14:paraId="66486781" w14:textId="77777777" w:rsidR="00725398" w:rsidRPr="000B00F5" w:rsidRDefault="00725398" w:rsidP="000B00F5">
      <w:pPr>
        <w:spacing w:line="360" w:lineRule="auto"/>
        <w:rPr>
          <w:rFonts w:ascii="Arial" w:hAnsi="Arial" w:cs="Arial"/>
          <w:shd w:val="clear" w:color="auto" w:fill="FCFCFC"/>
        </w:rPr>
      </w:pPr>
    </w:p>
    <w:p w14:paraId="112521D0" w14:textId="5F64BD4F" w:rsidR="00725398" w:rsidRPr="000B00F5" w:rsidRDefault="00725398" w:rsidP="000B00F5">
      <w:pPr>
        <w:spacing w:line="360" w:lineRule="auto"/>
        <w:rPr>
          <w:rFonts w:ascii="Arial" w:hAnsi="Arial" w:cs="Arial"/>
          <w:shd w:val="clear" w:color="auto" w:fill="FCFCFC"/>
        </w:rPr>
      </w:pPr>
      <w:proofErr w:type="spellStart"/>
      <w:r w:rsidRPr="000B00F5">
        <w:rPr>
          <w:rFonts w:ascii="Arial" w:hAnsi="Arial" w:cs="Arial"/>
          <w:shd w:val="clear" w:color="auto" w:fill="FCFCFC"/>
        </w:rPr>
        <w:t>Summampouw</w:t>
      </w:r>
      <w:proofErr w:type="spellEnd"/>
      <w:r w:rsidRPr="000B00F5">
        <w:rPr>
          <w:rFonts w:ascii="Arial" w:hAnsi="Arial" w:cs="Arial"/>
          <w:shd w:val="clear" w:color="auto" w:fill="FCFCFC"/>
        </w:rPr>
        <w:t xml:space="preserve">, N., de Ruiter, C. &amp; </w:t>
      </w:r>
      <w:proofErr w:type="spellStart"/>
      <w:r w:rsidRPr="000B00F5">
        <w:rPr>
          <w:rFonts w:ascii="Arial" w:hAnsi="Arial" w:cs="Arial"/>
          <w:shd w:val="clear" w:color="auto" w:fill="FCFCFC"/>
        </w:rPr>
        <w:t>Otgaar</w:t>
      </w:r>
      <w:proofErr w:type="spellEnd"/>
      <w:r w:rsidRPr="000B00F5">
        <w:rPr>
          <w:rFonts w:ascii="Arial" w:hAnsi="Arial" w:cs="Arial"/>
          <w:shd w:val="clear" w:color="auto" w:fill="FCFCFC"/>
        </w:rPr>
        <w:t>, H. (2022). Potential for police investigator bias: the impact of child sexual abuse victims’ background characteristics on perceived statement credibility, case outcome and quality of interview questions.</w:t>
      </w:r>
      <w:r w:rsidRPr="000B00F5">
        <w:rPr>
          <w:rFonts w:ascii="Arial" w:hAnsi="Arial" w:cs="Arial"/>
          <w:i/>
          <w:iCs/>
          <w:shd w:val="clear" w:color="auto" w:fill="FCFCFC"/>
        </w:rPr>
        <w:t xml:space="preserve"> Police Practice and Research, 23 (3), pp. 370-287.</w:t>
      </w:r>
      <w:r w:rsidRPr="000B00F5">
        <w:rPr>
          <w:rFonts w:ascii="Arial" w:hAnsi="Arial" w:cs="Arial"/>
          <w:shd w:val="clear" w:color="auto" w:fill="FCFCFC"/>
        </w:rPr>
        <w:t xml:space="preserve"> </w:t>
      </w:r>
    </w:p>
    <w:p w14:paraId="5AA14844" w14:textId="77777777" w:rsidR="00725398" w:rsidRPr="000B00F5" w:rsidRDefault="00725398" w:rsidP="000B00F5">
      <w:pPr>
        <w:spacing w:line="360" w:lineRule="auto"/>
        <w:rPr>
          <w:rFonts w:ascii="Arial" w:hAnsi="Arial" w:cs="Arial"/>
          <w:shd w:val="clear" w:color="auto" w:fill="FCFCFC"/>
        </w:rPr>
      </w:pPr>
    </w:p>
    <w:p w14:paraId="588ED3A5" w14:textId="77777777" w:rsidR="00725398" w:rsidRPr="000B00F5" w:rsidRDefault="00725398" w:rsidP="000B00F5">
      <w:pPr>
        <w:spacing w:line="360" w:lineRule="auto"/>
        <w:rPr>
          <w:rFonts w:ascii="Arial" w:hAnsi="Arial" w:cs="Arial"/>
          <w:shd w:val="clear" w:color="auto" w:fill="FCFCFC"/>
        </w:rPr>
      </w:pPr>
      <w:r w:rsidRPr="000B00F5">
        <w:rPr>
          <w:rFonts w:ascii="Arial" w:hAnsi="Arial" w:cs="Arial"/>
          <w:shd w:val="clear" w:color="auto" w:fill="FCFCFC"/>
        </w:rPr>
        <w:t xml:space="preserve">The Guardian (2016). </w:t>
      </w:r>
      <w:r w:rsidRPr="000B00F5">
        <w:rPr>
          <w:rFonts w:ascii="Arial" w:hAnsi="Arial" w:cs="Arial"/>
          <w:i/>
          <w:iCs/>
          <w:shd w:val="clear" w:color="auto" w:fill="FCFCFC"/>
        </w:rPr>
        <w:t xml:space="preserve">Police officers must be aware of biases, says training college. </w:t>
      </w:r>
      <w:r w:rsidRPr="000B00F5">
        <w:rPr>
          <w:rFonts w:ascii="Arial" w:hAnsi="Arial" w:cs="Arial"/>
          <w:shd w:val="clear" w:color="auto" w:fill="FCFCFC"/>
        </w:rPr>
        <w:t xml:space="preserve">[online] theguardian.com. Available at: https://www.theguardian.com/uk-news/2016/oct/27/police-officers-must-be-aware-of-biases-says-england-training-college (Accessed 20th April 2023). </w:t>
      </w:r>
    </w:p>
    <w:p w14:paraId="7A5A4BC9" w14:textId="77777777" w:rsidR="00725398" w:rsidRPr="000B00F5" w:rsidRDefault="00725398" w:rsidP="000B00F5">
      <w:pPr>
        <w:spacing w:line="360" w:lineRule="auto"/>
        <w:rPr>
          <w:rFonts w:ascii="Arial" w:hAnsi="Arial" w:cs="Arial"/>
          <w:shd w:val="clear" w:color="auto" w:fill="FCFCFC"/>
        </w:rPr>
      </w:pPr>
    </w:p>
    <w:p w14:paraId="0FBA412A" w14:textId="36BF714B" w:rsidR="00725398" w:rsidRPr="000B00F5" w:rsidRDefault="00725398" w:rsidP="000B00F5">
      <w:pPr>
        <w:spacing w:line="360" w:lineRule="auto"/>
        <w:rPr>
          <w:rFonts w:ascii="Arial" w:hAnsi="Arial" w:cs="Arial"/>
          <w:shd w:val="clear" w:color="auto" w:fill="FCFCFC"/>
        </w:rPr>
      </w:pPr>
      <w:proofErr w:type="spellStart"/>
      <w:r w:rsidRPr="000B00F5">
        <w:rPr>
          <w:rFonts w:ascii="Arial" w:hAnsi="Arial" w:cs="Arial"/>
          <w:shd w:val="clear" w:color="auto" w:fill="FCFCFC"/>
        </w:rPr>
        <w:t>Trippas</w:t>
      </w:r>
      <w:proofErr w:type="spellEnd"/>
      <w:r w:rsidRPr="000B00F5">
        <w:rPr>
          <w:rFonts w:ascii="Arial" w:hAnsi="Arial" w:cs="Arial"/>
          <w:shd w:val="clear" w:color="auto" w:fill="FCFCFC"/>
        </w:rPr>
        <w:t xml:space="preserve">, D., Handley, S. J., &amp; Verde, M. F. (2013). The SDT model of belief bias: complexity, time, and cognitive ability mediate the effects of believability. </w:t>
      </w:r>
      <w:r w:rsidRPr="000B00F5">
        <w:rPr>
          <w:rFonts w:ascii="Arial" w:hAnsi="Arial" w:cs="Arial"/>
          <w:i/>
          <w:iCs/>
          <w:shd w:val="clear" w:color="auto" w:fill="FCFCFC"/>
        </w:rPr>
        <w:t>Journal of Experimental Psychology: Learning, Memory and Cognition, 39, pp. 1393–1402.</w:t>
      </w:r>
    </w:p>
    <w:p w14:paraId="77629F7A" w14:textId="77777777" w:rsidR="00725398" w:rsidRPr="000B00F5" w:rsidRDefault="00725398" w:rsidP="000B00F5">
      <w:pPr>
        <w:spacing w:line="360" w:lineRule="auto"/>
        <w:rPr>
          <w:rFonts w:ascii="Arial" w:hAnsi="Arial" w:cs="Arial"/>
        </w:rPr>
      </w:pPr>
      <w:proofErr w:type="spellStart"/>
      <w:r w:rsidRPr="000B00F5">
        <w:rPr>
          <w:rFonts w:ascii="Arial" w:hAnsi="Arial" w:cs="Arial"/>
          <w:shd w:val="clear" w:color="auto" w:fill="FCFCFC"/>
        </w:rPr>
        <w:lastRenderedPageBreak/>
        <w:t>Wastell</w:t>
      </w:r>
      <w:proofErr w:type="spellEnd"/>
      <w:r w:rsidRPr="000B00F5">
        <w:rPr>
          <w:rFonts w:ascii="Arial" w:hAnsi="Arial" w:cs="Arial"/>
          <w:shd w:val="clear" w:color="auto" w:fill="FCFCFC"/>
        </w:rPr>
        <w:t xml:space="preserve">, C., Weeks, N., Wearing, A. &amp; Duncan, P. (2012). Identifying hypothesis confirmation behaviours in a simulated murder investigation: implications for practice. </w:t>
      </w:r>
      <w:r w:rsidRPr="000B00F5">
        <w:rPr>
          <w:rFonts w:ascii="Arial" w:hAnsi="Arial" w:cs="Arial"/>
          <w:i/>
          <w:iCs/>
          <w:shd w:val="clear" w:color="auto" w:fill="FCFCFC"/>
        </w:rPr>
        <w:t>Journal of Investigative Psychology Offender Profiling, 9, pp. 184–198.</w:t>
      </w:r>
      <w:r w:rsidRPr="000B00F5">
        <w:rPr>
          <w:rFonts w:ascii="Arial" w:hAnsi="Arial" w:cs="Arial"/>
          <w:shd w:val="clear" w:color="auto" w:fill="FCFCFC"/>
        </w:rPr>
        <w:t xml:space="preserve"> </w:t>
      </w:r>
    </w:p>
    <w:p w14:paraId="7601F960" w14:textId="77777777" w:rsidR="00725398" w:rsidRPr="000B00F5" w:rsidRDefault="00725398" w:rsidP="000B00F5">
      <w:pPr>
        <w:spacing w:line="360" w:lineRule="auto"/>
        <w:rPr>
          <w:rFonts w:ascii="Arial" w:hAnsi="Arial" w:cs="Arial"/>
          <w:b/>
          <w:bCs/>
        </w:rPr>
      </w:pPr>
    </w:p>
    <w:p w14:paraId="30C14D76" w14:textId="59FA66DC" w:rsidR="00725398" w:rsidRPr="000B00F5" w:rsidRDefault="00725398" w:rsidP="000B00F5">
      <w:pPr>
        <w:spacing w:line="360" w:lineRule="auto"/>
        <w:rPr>
          <w:rFonts w:ascii="Arial" w:hAnsi="Arial" w:cs="Arial"/>
          <w:b/>
          <w:bCs/>
        </w:rPr>
      </w:pPr>
      <w:r w:rsidRPr="000B00F5">
        <w:rPr>
          <w:rFonts w:ascii="Arial" w:hAnsi="Arial" w:cs="Arial"/>
          <w:b/>
          <w:bCs/>
        </w:rPr>
        <w:t xml:space="preserve">Essay </w:t>
      </w:r>
      <w:r w:rsidR="0000481F" w:rsidRPr="000B00F5">
        <w:rPr>
          <w:rFonts w:ascii="Arial" w:hAnsi="Arial" w:cs="Arial"/>
          <w:b/>
          <w:bCs/>
        </w:rPr>
        <w:t>five</w:t>
      </w:r>
      <w:r w:rsidRPr="000B00F5">
        <w:rPr>
          <w:rFonts w:ascii="Arial" w:hAnsi="Arial" w:cs="Arial"/>
          <w:b/>
          <w:bCs/>
        </w:rPr>
        <w:t xml:space="preserve">: </w:t>
      </w:r>
    </w:p>
    <w:p w14:paraId="58516B66" w14:textId="77777777" w:rsidR="00725398" w:rsidRPr="000B00F5" w:rsidRDefault="00725398" w:rsidP="000B00F5">
      <w:pPr>
        <w:spacing w:line="360" w:lineRule="auto"/>
        <w:ind w:left="567" w:right="531"/>
        <w:rPr>
          <w:rFonts w:ascii="Arial" w:eastAsia="Calibri" w:hAnsi="Arial" w:cs="Arial"/>
        </w:rPr>
      </w:pPr>
      <w:r w:rsidRPr="000B00F5">
        <w:rPr>
          <w:rFonts w:ascii="Arial" w:eastAsia="Calibri" w:hAnsi="Arial" w:cs="Arial"/>
        </w:rPr>
        <w:t xml:space="preserve">What characteristics or factors increase the risk of exploitation by Serious or Organised Crime Gangs? Your answer should </w:t>
      </w:r>
      <w:r w:rsidRPr="000B00F5">
        <w:rPr>
          <w:rFonts w:ascii="Arial" w:eastAsia="Calibri" w:hAnsi="Arial" w:cs="Arial"/>
          <w:u w:val="single"/>
        </w:rPr>
        <w:t>examine</w:t>
      </w:r>
      <w:r w:rsidRPr="000B00F5">
        <w:rPr>
          <w:rFonts w:ascii="Arial" w:eastAsia="Calibri" w:hAnsi="Arial" w:cs="Arial"/>
        </w:rPr>
        <w:t xml:space="preserve"> both the psychological and socio-economic characteristics of victims of exploitation.</w:t>
      </w:r>
    </w:p>
    <w:p w14:paraId="7AA7715A" w14:textId="77777777" w:rsidR="0000481F" w:rsidRPr="000B00F5" w:rsidRDefault="0000481F" w:rsidP="000B00F5">
      <w:pPr>
        <w:spacing w:line="360" w:lineRule="auto"/>
        <w:rPr>
          <w:rFonts w:ascii="Arial" w:hAnsi="Arial" w:cs="Arial"/>
        </w:rPr>
      </w:pPr>
    </w:p>
    <w:p w14:paraId="04B47AD7" w14:textId="77777777" w:rsidR="0000481F" w:rsidRPr="000B00F5" w:rsidRDefault="0000481F" w:rsidP="000B00F5">
      <w:pPr>
        <w:spacing w:line="360" w:lineRule="auto"/>
        <w:rPr>
          <w:rFonts w:ascii="Arial" w:hAnsi="Arial" w:cs="Arial"/>
        </w:rPr>
      </w:pPr>
      <w:r w:rsidRPr="000B00F5">
        <w:rPr>
          <w:rFonts w:ascii="Arial" w:hAnsi="Arial" w:cs="Arial"/>
        </w:rPr>
        <w:tab/>
        <w:t xml:space="preserve">Serious and organised crime gangs engage in a variety of criminal activities that include drugs, cybercrime, child sexual exploitation, human trafficking, money laundering, weapons, amongst other things. In 2020 the National crime Agency estimated that there was a minimum of 350,000 people involved in serious and organised crime in the UK (National Crime Agency, 2020). Former home secretary, Sajid Javid, has previously stated that such criminals “ruthlessly target the most vulnerable”, and in order to achieve their aims these gangs exploit people who are vulnerable to their tactics (HM Government, 2018). </w:t>
      </w:r>
    </w:p>
    <w:p w14:paraId="67CAEA55" w14:textId="77777777" w:rsidR="0000481F" w:rsidRPr="000B00F5" w:rsidRDefault="0000481F" w:rsidP="000B00F5">
      <w:pPr>
        <w:spacing w:line="360" w:lineRule="auto"/>
        <w:rPr>
          <w:rFonts w:ascii="Arial" w:hAnsi="Arial" w:cs="Arial"/>
        </w:rPr>
      </w:pPr>
    </w:p>
    <w:p w14:paraId="1CBA3C2E" w14:textId="7648F423" w:rsidR="0000481F" w:rsidRPr="000B00F5" w:rsidRDefault="0000481F" w:rsidP="000B00F5">
      <w:pPr>
        <w:spacing w:line="360" w:lineRule="auto"/>
        <w:rPr>
          <w:rFonts w:ascii="Arial" w:hAnsi="Arial" w:cs="Arial"/>
        </w:rPr>
      </w:pPr>
      <w:r w:rsidRPr="000B00F5">
        <w:rPr>
          <w:rFonts w:ascii="Arial" w:hAnsi="Arial" w:cs="Arial"/>
        </w:rPr>
        <w:tab/>
        <w:t xml:space="preserve">Vulnerability is a primary characteristic of people who are exploited by serious and organised crime gangs, The National Crime Agency (2020), in their assessment of serious and organised crime, highlights that vulnerable people can be either victims of crime or forced to commit crime themselves, as a result of serious and organised crime gangs. Vulnerability can take many forms including psychological or socio-economic, and a person who is vulnerable is not able to “take care or protect themselves” from exploitation (College of Policing, 2020). </w:t>
      </w:r>
    </w:p>
    <w:p w14:paraId="2FA3781E" w14:textId="77777777" w:rsidR="0000481F" w:rsidRPr="000B00F5" w:rsidRDefault="0000481F" w:rsidP="000B00F5">
      <w:pPr>
        <w:spacing w:line="360" w:lineRule="auto"/>
        <w:rPr>
          <w:rFonts w:ascii="Arial" w:hAnsi="Arial" w:cs="Arial"/>
        </w:rPr>
      </w:pPr>
    </w:p>
    <w:p w14:paraId="2D43F4B6" w14:textId="77777777" w:rsidR="0000481F" w:rsidRPr="000B00F5" w:rsidRDefault="0000481F" w:rsidP="000B00F5">
      <w:pPr>
        <w:spacing w:line="360" w:lineRule="auto"/>
        <w:ind w:firstLine="720"/>
        <w:rPr>
          <w:rFonts w:ascii="Arial" w:hAnsi="Arial" w:cs="Arial"/>
        </w:rPr>
      </w:pPr>
      <w:r w:rsidRPr="000B00F5">
        <w:rPr>
          <w:rFonts w:ascii="Arial" w:hAnsi="Arial" w:cs="Arial"/>
        </w:rPr>
        <w:t xml:space="preserve">Age can be characteristic that increases vulnerability and the risk of exploitation. Children can be vulnerable to exploitation due to their age and they can be exploited as a result of an offenders desire to take advantage of this vulnerability (Beckett et al., 2017). For example, many county lines gangs exploit those who are young in order to act as runners and adults often target children who feel alone and vulnerable when grooming them for the purpose of child sexual exploitation. However, young people are not the only ones targeted. Many serious and organised crime gangs de-fraud older adults. Certain types of high harm frauds often target those who are vulnerable by virtue of their age (National Crime Agency, </w:t>
      </w:r>
      <w:r w:rsidRPr="000B00F5">
        <w:rPr>
          <w:rFonts w:ascii="Arial" w:hAnsi="Arial" w:cs="Arial"/>
        </w:rPr>
        <w:lastRenderedPageBreak/>
        <w:t xml:space="preserve">2020), and older people are often susceptible to these types of crime be it through a lack of technological knowledge, loneliness, or lack of support. </w:t>
      </w:r>
    </w:p>
    <w:p w14:paraId="230FAD7B" w14:textId="77777777" w:rsidR="0000481F" w:rsidRPr="000B00F5" w:rsidRDefault="0000481F" w:rsidP="000B00F5">
      <w:pPr>
        <w:spacing w:line="360" w:lineRule="auto"/>
        <w:rPr>
          <w:rFonts w:ascii="Arial" w:hAnsi="Arial" w:cs="Arial"/>
        </w:rPr>
      </w:pPr>
    </w:p>
    <w:p w14:paraId="2B7F067A" w14:textId="77777777" w:rsidR="0000481F" w:rsidRPr="000B00F5" w:rsidRDefault="0000481F" w:rsidP="000B00F5">
      <w:pPr>
        <w:spacing w:line="360" w:lineRule="auto"/>
        <w:ind w:firstLine="720"/>
        <w:rPr>
          <w:rFonts w:ascii="Arial" w:hAnsi="Arial" w:cs="Arial"/>
        </w:rPr>
      </w:pPr>
      <w:r w:rsidRPr="000B00F5">
        <w:rPr>
          <w:rFonts w:ascii="Arial" w:hAnsi="Arial" w:cs="Arial"/>
        </w:rPr>
        <w:t>Another vulnerability that can make people more susceptible to exploitation can be psychological vulnerabilities, such as mental health issues. Many of the factors that push/pull a person towards gangs relates to their mental health (Public Health England, 2015). For example, individuals who may suffer with low confidence and self-esteem may join gangs in order to improve their self-esteem (Alleyne &amp; Wood, 2010). In addition to this, gangs may exploit those who suffer with fear and anxiety, and such individuals may be drawn into gangs due to a perceived need for protection (Gangs Working Group, 2009). Subsequently, such fear and anxiety can be a factor that can prevent these people from leaving gangs (</w:t>
      </w:r>
      <w:proofErr w:type="spellStart"/>
      <w:r w:rsidRPr="000B00F5">
        <w:rPr>
          <w:rFonts w:ascii="Arial" w:hAnsi="Arial" w:cs="Arial"/>
        </w:rPr>
        <w:t>Melde</w:t>
      </w:r>
      <w:proofErr w:type="spellEnd"/>
      <w:r w:rsidRPr="000B00F5">
        <w:rPr>
          <w:rFonts w:ascii="Arial" w:hAnsi="Arial" w:cs="Arial"/>
        </w:rPr>
        <w:t xml:space="preserve">, Diem, &amp; Drake, 2012). </w:t>
      </w:r>
    </w:p>
    <w:p w14:paraId="4328320A" w14:textId="77777777" w:rsidR="0000481F" w:rsidRPr="000B00F5" w:rsidRDefault="0000481F" w:rsidP="000B00F5">
      <w:pPr>
        <w:spacing w:line="360" w:lineRule="auto"/>
        <w:rPr>
          <w:rFonts w:ascii="Arial" w:hAnsi="Arial" w:cs="Arial"/>
        </w:rPr>
      </w:pPr>
      <w:r w:rsidRPr="000B00F5">
        <w:rPr>
          <w:rFonts w:ascii="Arial" w:hAnsi="Arial" w:cs="Arial"/>
        </w:rPr>
        <w:tab/>
      </w:r>
    </w:p>
    <w:p w14:paraId="78147A8D" w14:textId="4A1AA3FF" w:rsidR="0000481F" w:rsidRPr="000B00F5" w:rsidRDefault="0000481F" w:rsidP="000B00F5">
      <w:pPr>
        <w:spacing w:line="360" w:lineRule="auto"/>
        <w:rPr>
          <w:rFonts w:ascii="Arial" w:hAnsi="Arial" w:cs="Arial"/>
        </w:rPr>
      </w:pPr>
      <w:r w:rsidRPr="000B00F5">
        <w:rPr>
          <w:rFonts w:ascii="Arial" w:hAnsi="Arial" w:cs="Arial"/>
        </w:rPr>
        <w:tab/>
        <w:t xml:space="preserve">Social vulnerability can also be a factor that leads to exploitation. Such individuals can be targeted as they are less likely to have support systems and people around them who can safeguard them from exploitation. As a result, gangs may offer a source of support to people who are isolated and lack family and social relationships, with research showing that gangs can offer a sense of belonging that is central to social identity (Gangs Working Group, 2009). An example of this can be exclusion from educational settings that make young people vulnerable to serious and organised crime gangs, as they look to seek social inclusion. Indeed, Joseph (2017) found that young people become involved in gangs as they are motivated by the social capital that such gangs can provide, especially if they have been excluded from an educational setting. This is also supported by White and </w:t>
      </w:r>
      <w:proofErr w:type="spellStart"/>
      <w:r w:rsidRPr="000B00F5">
        <w:rPr>
          <w:rFonts w:ascii="Arial" w:hAnsi="Arial" w:cs="Arial"/>
        </w:rPr>
        <w:t>Cunneen</w:t>
      </w:r>
      <w:proofErr w:type="spellEnd"/>
      <w:r w:rsidRPr="000B00F5">
        <w:rPr>
          <w:rFonts w:ascii="Arial" w:hAnsi="Arial" w:cs="Arial"/>
        </w:rPr>
        <w:t xml:space="preserve"> (2015), who provides that those excluded from education seek an identity and belonging through gangs. Such a lack of education through exclusion from mainstream school can also play a role in children not recognising the signs of exploitation. Ch</w:t>
      </w:r>
      <w:r w:rsidRPr="000B00F5">
        <w:rPr>
          <w:rFonts w:ascii="Arial" w:hAnsi="Arial" w:cs="Arial"/>
          <w:shd w:val="clear" w:color="auto" w:fill="FFFFFF"/>
        </w:rPr>
        <w:t>ildren are not educated on the difference between “genuine life opportunities” and “exploitative situations” used by gangs (</w:t>
      </w:r>
      <w:r w:rsidRPr="000B00F5">
        <w:rPr>
          <w:rFonts w:ascii="Arial" w:hAnsi="Arial" w:cs="Arial"/>
          <w:shd w:val="clear" w:color="auto" w:fill="FFFFFF"/>
        </w:rPr>
        <w:t>Longfield</w:t>
      </w:r>
      <w:r w:rsidRPr="000B00F5">
        <w:rPr>
          <w:rFonts w:ascii="Arial" w:hAnsi="Arial" w:cs="Arial"/>
          <w:shd w:val="clear" w:color="auto" w:fill="FFFFFF"/>
        </w:rPr>
        <w:t>, 2017).</w:t>
      </w:r>
      <w:r w:rsidRPr="000B00F5">
        <w:rPr>
          <w:rFonts w:ascii="Arial" w:hAnsi="Arial" w:cs="Arial"/>
        </w:rPr>
        <w:t xml:space="preserve"> </w:t>
      </w:r>
    </w:p>
    <w:p w14:paraId="44AE7A05" w14:textId="77777777" w:rsidR="0000481F" w:rsidRPr="000B00F5" w:rsidRDefault="0000481F" w:rsidP="000B00F5">
      <w:pPr>
        <w:spacing w:line="360" w:lineRule="auto"/>
        <w:rPr>
          <w:rFonts w:ascii="Arial" w:hAnsi="Arial" w:cs="Arial"/>
        </w:rPr>
      </w:pPr>
    </w:p>
    <w:p w14:paraId="748BE2F6" w14:textId="77777777" w:rsidR="0000481F" w:rsidRPr="000B00F5" w:rsidRDefault="0000481F" w:rsidP="000B00F5">
      <w:pPr>
        <w:spacing w:line="360" w:lineRule="auto"/>
        <w:ind w:firstLine="720"/>
        <w:rPr>
          <w:rFonts w:ascii="Arial" w:hAnsi="Arial" w:cs="Arial"/>
        </w:rPr>
      </w:pPr>
      <w:r w:rsidRPr="000B00F5">
        <w:rPr>
          <w:rFonts w:ascii="Arial" w:hAnsi="Arial" w:cs="Arial"/>
        </w:rPr>
        <w:t>Another factor that increases the risk of exploitation are individuals who struggle financially. People are targeted by serious and organised crime gangs as they may be tempted to engage in criminal activities for financial gain. This is supported by research which suggest those who come from deprived backgrounds are more vulnerable to being drawn into serious and organised crime (</w:t>
      </w:r>
      <w:proofErr w:type="spellStart"/>
      <w:r w:rsidRPr="000B00F5">
        <w:rPr>
          <w:rFonts w:ascii="Arial" w:hAnsi="Arial" w:cs="Arial"/>
        </w:rPr>
        <w:t>Kleemans</w:t>
      </w:r>
      <w:proofErr w:type="spellEnd"/>
      <w:r w:rsidRPr="000B00F5">
        <w:rPr>
          <w:rFonts w:ascii="Arial" w:hAnsi="Arial" w:cs="Arial"/>
        </w:rPr>
        <w:t xml:space="preserve"> and De Poot, 2008). Such activities may </w:t>
      </w:r>
      <w:r w:rsidRPr="000B00F5">
        <w:rPr>
          <w:rFonts w:ascii="Arial" w:hAnsi="Arial" w:cs="Arial"/>
        </w:rPr>
        <w:lastRenderedPageBreak/>
        <w:t xml:space="preserve">include drug trafficking or money laundering. An example of this was seen during the Covid-19 pandemic. With many families struggling with bills and putting food on the table, gangs preyed targeted young people with the officer of ‘easy’ money (Barnardo’s, 2021). Such offers for ‘easy’ money may also appeal to those who have a lack of opportunities, for example access to training or job opportunities. The National Crime Agency (2020) provides that people in the homeless community, who don’t have access to work, can be recruited to undertake short-term work for cash. County lines drugs gangs exploit this vulnerability, recruiting children and young people with the offer of money, luxury items, drugs etc (Robinson et al., 2019). Windle, Moyle and </w:t>
      </w:r>
      <w:proofErr w:type="spellStart"/>
      <w:r w:rsidRPr="000B00F5">
        <w:rPr>
          <w:rFonts w:ascii="Arial" w:hAnsi="Arial" w:cs="Arial"/>
        </w:rPr>
        <w:t>Coomber</w:t>
      </w:r>
      <w:proofErr w:type="spellEnd"/>
      <w:r w:rsidRPr="000B00F5">
        <w:rPr>
          <w:rFonts w:ascii="Arial" w:hAnsi="Arial" w:cs="Arial"/>
        </w:rPr>
        <w:t xml:space="preserve"> (2020) provide that such gangs exploit these children as they represent a “cheap, easily recruited workforce”. </w:t>
      </w:r>
    </w:p>
    <w:p w14:paraId="358EECB5" w14:textId="77777777" w:rsidR="0000481F" w:rsidRPr="000B00F5" w:rsidRDefault="0000481F" w:rsidP="000B00F5">
      <w:pPr>
        <w:spacing w:line="360" w:lineRule="auto"/>
        <w:ind w:firstLine="720"/>
        <w:rPr>
          <w:rFonts w:ascii="Arial" w:hAnsi="Arial" w:cs="Arial"/>
        </w:rPr>
      </w:pPr>
    </w:p>
    <w:p w14:paraId="471BA09D" w14:textId="77777777" w:rsidR="0000481F" w:rsidRPr="000B00F5" w:rsidRDefault="0000481F" w:rsidP="000B00F5">
      <w:pPr>
        <w:spacing w:line="360" w:lineRule="auto"/>
        <w:ind w:firstLine="720"/>
        <w:rPr>
          <w:rFonts w:ascii="Arial" w:hAnsi="Arial" w:cs="Arial"/>
        </w:rPr>
      </w:pPr>
      <w:r w:rsidRPr="000B00F5">
        <w:rPr>
          <w:rFonts w:ascii="Arial" w:hAnsi="Arial" w:cs="Arial"/>
        </w:rPr>
        <w:t xml:space="preserve">A final factor that can increase the risk of exploitation is social media and the internet. Serious and organised crime gangs exploit many individuals through the use of social media and technology. For example, social media platforms can be used to recruit young people or can be used to contact vulnerable people for the purposes of child sexual exploitation. Children exploited locally are recruited by peers or using end-to-end encrypted mass-market social media apps (Longfield, 2021). </w:t>
      </w:r>
      <w:proofErr w:type="spellStart"/>
      <w:r w:rsidRPr="000B00F5">
        <w:rPr>
          <w:rFonts w:ascii="Arial" w:hAnsi="Arial" w:cs="Arial"/>
        </w:rPr>
        <w:t>Havard</w:t>
      </w:r>
      <w:proofErr w:type="spellEnd"/>
      <w:r w:rsidRPr="000B00F5">
        <w:rPr>
          <w:rFonts w:ascii="Arial" w:hAnsi="Arial" w:cs="Arial"/>
        </w:rPr>
        <w:t xml:space="preserve">, </w:t>
      </w:r>
      <w:proofErr w:type="spellStart"/>
      <w:r w:rsidRPr="000B00F5">
        <w:rPr>
          <w:rFonts w:ascii="Arial" w:hAnsi="Arial" w:cs="Arial"/>
        </w:rPr>
        <w:t>Densley</w:t>
      </w:r>
      <w:proofErr w:type="spellEnd"/>
      <w:r w:rsidRPr="000B00F5">
        <w:rPr>
          <w:rFonts w:ascii="Arial" w:hAnsi="Arial" w:cs="Arial"/>
        </w:rPr>
        <w:t xml:space="preserve"> and Willis (2021) provide that s</w:t>
      </w:r>
      <w:r w:rsidRPr="000B00F5">
        <w:rPr>
          <w:rFonts w:ascii="Arial" w:hAnsi="Arial" w:cs="Arial"/>
          <w:shd w:val="clear" w:color="auto" w:fill="FFFFFF"/>
        </w:rPr>
        <w:t>mart phones and social media are “fully integrated into the lives of young people”, however, they can “facilitate coercive control” when in the hands of gang members.</w:t>
      </w:r>
    </w:p>
    <w:p w14:paraId="09ED7E1B" w14:textId="77777777" w:rsidR="0000481F" w:rsidRPr="000B00F5" w:rsidRDefault="0000481F" w:rsidP="000B00F5">
      <w:pPr>
        <w:spacing w:line="360" w:lineRule="auto"/>
        <w:ind w:firstLine="720"/>
        <w:rPr>
          <w:rFonts w:ascii="Arial" w:hAnsi="Arial" w:cs="Arial"/>
        </w:rPr>
      </w:pPr>
    </w:p>
    <w:p w14:paraId="770B87D4" w14:textId="77777777" w:rsidR="0000481F" w:rsidRPr="000B00F5" w:rsidRDefault="0000481F" w:rsidP="000B00F5">
      <w:pPr>
        <w:spacing w:line="360" w:lineRule="auto"/>
        <w:ind w:firstLine="720"/>
        <w:rPr>
          <w:rFonts w:ascii="Arial" w:hAnsi="Arial" w:cs="Arial"/>
        </w:rPr>
      </w:pPr>
      <w:r w:rsidRPr="000B00F5">
        <w:rPr>
          <w:rFonts w:ascii="Arial" w:hAnsi="Arial" w:cs="Arial"/>
        </w:rPr>
        <w:t xml:space="preserve">In conclusion serious and organised crime gangs pose a significant threat to society, particularly those who are vulnerable. As highlighted above there are a number of characteristics and factors that can increase vulnerability to serious and organised crime gangs, which can include age, education, financial difficulties or poverty, lack of support and social media. Much of the literature around preventing exploitation by such gangs centres around raising awareness, and providing support and opportunities to vulnerable individuals. By addressing these factors the prevalence of exploitation by such gangs can hopefully be reduced. </w:t>
      </w:r>
    </w:p>
    <w:p w14:paraId="1066CECC" w14:textId="77777777" w:rsidR="0000481F" w:rsidRPr="000B00F5" w:rsidRDefault="0000481F" w:rsidP="000B00F5">
      <w:pPr>
        <w:spacing w:line="360" w:lineRule="auto"/>
        <w:rPr>
          <w:rFonts w:ascii="Arial" w:hAnsi="Arial" w:cs="Arial"/>
        </w:rPr>
      </w:pPr>
    </w:p>
    <w:p w14:paraId="53182879" w14:textId="2CBE00B1" w:rsidR="0000481F" w:rsidRPr="000B00F5" w:rsidRDefault="0000481F" w:rsidP="000B00F5">
      <w:pPr>
        <w:spacing w:line="360" w:lineRule="auto"/>
        <w:rPr>
          <w:rFonts w:ascii="Arial" w:hAnsi="Arial" w:cs="Arial"/>
        </w:rPr>
      </w:pPr>
      <w:r w:rsidRPr="000B00F5">
        <w:rPr>
          <w:rFonts w:ascii="Arial" w:hAnsi="Arial" w:cs="Arial"/>
          <w:b/>
          <w:bCs/>
        </w:rPr>
        <w:t xml:space="preserve">Word </w:t>
      </w:r>
      <w:r w:rsidRPr="000B00F5">
        <w:rPr>
          <w:rFonts w:ascii="Arial" w:hAnsi="Arial" w:cs="Arial"/>
          <w:b/>
          <w:bCs/>
        </w:rPr>
        <w:t>C</w:t>
      </w:r>
      <w:r w:rsidRPr="000B00F5">
        <w:rPr>
          <w:rFonts w:ascii="Arial" w:hAnsi="Arial" w:cs="Arial"/>
          <w:b/>
          <w:bCs/>
        </w:rPr>
        <w:t>ount</w:t>
      </w:r>
      <w:r w:rsidRPr="000B00F5">
        <w:rPr>
          <w:rFonts w:ascii="Arial" w:hAnsi="Arial" w:cs="Arial"/>
        </w:rPr>
        <w:t xml:space="preserve"> – 104</w:t>
      </w:r>
      <w:r w:rsidRPr="000B00F5">
        <w:rPr>
          <w:rFonts w:ascii="Arial" w:hAnsi="Arial" w:cs="Arial"/>
        </w:rPr>
        <w:t>5</w:t>
      </w:r>
      <w:r w:rsidRPr="000B00F5">
        <w:rPr>
          <w:rFonts w:ascii="Arial" w:hAnsi="Arial" w:cs="Arial"/>
        </w:rPr>
        <w:t xml:space="preserve"> words </w:t>
      </w:r>
    </w:p>
    <w:p w14:paraId="32B51177" w14:textId="77777777" w:rsidR="0000481F" w:rsidRPr="000B00F5" w:rsidRDefault="0000481F" w:rsidP="000B00F5">
      <w:pPr>
        <w:spacing w:line="360" w:lineRule="auto"/>
        <w:rPr>
          <w:rFonts w:ascii="Arial" w:hAnsi="Arial" w:cs="Arial"/>
        </w:rPr>
      </w:pPr>
    </w:p>
    <w:p w14:paraId="60D584EB" w14:textId="77777777" w:rsidR="0000481F" w:rsidRPr="000B00F5" w:rsidRDefault="0000481F" w:rsidP="000B00F5">
      <w:pPr>
        <w:spacing w:line="360" w:lineRule="auto"/>
        <w:rPr>
          <w:rFonts w:ascii="Arial" w:hAnsi="Arial" w:cs="Arial"/>
        </w:rPr>
      </w:pPr>
    </w:p>
    <w:p w14:paraId="7A5918D7" w14:textId="77777777" w:rsidR="0000481F" w:rsidRPr="000B00F5" w:rsidRDefault="0000481F" w:rsidP="000B00F5">
      <w:pPr>
        <w:spacing w:line="360" w:lineRule="auto"/>
        <w:rPr>
          <w:rFonts w:ascii="Arial" w:hAnsi="Arial" w:cs="Arial"/>
        </w:rPr>
      </w:pPr>
    </w:p>
    <w:p w14:paraId="6BECE1A0" w14:textId="4115BECF" w:rsidR="0000481F" w:rsidRPr="000B00F5" w:rsidRDefault="0000481F" w:rsidP="000B00F5">
      <w:pPr>
        <w:spacing w:line="360" w:lineRule="auto"/>
        <w:rPr>
          <w:rFonts w:ascii="Arial" w:hAnsi="Arial" w:cs="Arial"/>
        </w:rPr>
      </w:pPr>
      <w:r w:rsidRPr="000B00F5">
        <w:rPr>
          <w:rFonts w:ascii="Arial" w:hAnsi="Arial" w:cs="Arial"/>
        </w:rPr>
        <w:lastRenderedPageBreak/>
        <w:t>References</w:t>
      </w:r>
      <w:r w:rsidRPr="000B00F5">
        <w:rPr>
          <w:rFonts w:ascii="Arial" w:hAnsi="Arial" w:cs="Arial"/>
        </w:rPr>
        <w:t>:</w:t>
      </w:r>
    </w:p>
    <w:p w14:paraId="66878145" w14:textId="77777777" w:rsidR="0000481F" w:rsidRPr="000B00F5" w:rsidRDefault="0000481F" w:rsidP="000B00F5">
      <w:pPr>
        <w:spacing w:line="360" w:lineRule="auto"/>
        <w:rPr>
          <w:rFonts w:ascii="Arial" w:hAnsi="Arial" w:cs="Arial"/>
        </w:rPr>
      </w:pPr>
    </w:p>
    <w:p w14:paraId="79989AC7" w14:textId="77777777" w:rsidR="0000481F" w:rsidRPr="000B00F5" w:rsidRDefault="0000481F" w:rsidP="000B00F5">
      <w:pPr>
        <w:spacing w:line="360" w:lineRule="auto"/>
        <w:rPr>
          <w:rFonts w:ascii="Arial" w:hAnsi="Arial" w:cs="Arial"/>
          <w:i/>
          <w:iCs/>
        </w:rPr>
      </w:pPr>
      <w:r w:rsidRPr="000B00F5">
        <w:rPr>
          <w:rFonts w:ascii="Arial" w:hAnsi="Arial" w:cs="Arial"/>
        </w:rPr>
        <w:t xml:space="preserve">Alleyne, E., &amp; Wood, J.L. (2010). Gang involvement: psychological and </w:t>
      </w:r>
      <w:proofErr w:type="spellStart"/>
      <w:r w:rsidRPr="000B00F5">
        <w:rPr>
          <w:rFonts w:ascii="Arial" w:hAnsi="Arial" w:cs="Arial"/>
        </w:rPr>
        <w:t>behavioral</w:t>
      </w:r>
      <w:proofErr w:type="spellEnd"/>
      <w:r w:rsidRPr="000B00F5">
        <w:rPr>
          <w:rFonts w:ascii="Arial" w:hAnsi="Arial" w:cs="Arial"/>
        </w:rPr>
        <w:t xml:space="preserve"> characteristics of gang members, peripheral youth, and nongang youth. </w:t>
      </w:r>
      <w:r w:rsidRPr="000B00F5">
        <w:rPr>
          <w:rFonts w:ascii="Arial" w:hAnsi="Arial" w:cs="Arial"/>
          <w:i/>
          <w:iCs/>
        </w:rPr>
        <w:t xml:space="preserve">Aggressive </w:t>
      </w:r>
      <w:proofErr w:type="spellStart"/>
      <w:r w:rsidRPr="000B00F5">
        <w:rPr>
          <w:rFonts w:ascii="Arial" w:hAnsi="Arial" w:cs="Arial"/>
          <w:i/>
          <w:iCs/>
        </w:rPr>
        <w:t>Behavior</w:t>
      </w:r>
      <w:proofErr w:type="spellEnd"/>
      <w:r w:rsidRPr="000B00F5">
        <w:rPr>
          <w:rFonts w:ascii="Arial" w:hAnsi="Arial" w:cs="Arial"/>
          <w:i/>
          <w:iCs/>
        </w:rPr>
        <w:t>, 36(6): pp.423-436.</w:t>
      </w:r>
    </w:p>
    <w:p w14:paraId="6E76B49C" w14:textId="77777777" w:rsidR="0000481F" w:rsidRPr="000B00F5" w:rsidRDefault="0000481F" w:rsidP="000B00F5">
      <w:pPr>
        <w:spacing w:line="360" w:lineRule="auto"/>
        <w:rPr>
          <w:rFonts w:ascii="Arial" w:hAnsi="Arial" w:cs="Arial"/>
          <w:i/>
          <w:iCs/>
        </w:rPr>
      </w:pPr>
    </w:p>
    <w:p w14:paraId="5AFBA94D" w14:textId="77777777" w:rsidR="0000481F" w:rsidRPr="000B00F5" w:rsidRDefault="0000481F" w:rsidP="000B00F5">
      <w:pPr>
        <w:spacing w:line="360" w:lineRule="auto"/>
        <w:rPr>
          <w:rFonts w:ascii="Arial" w:hAnsi="Arial" w:cs="Arial"/>
        </w:rPr>
      </w:pPr>
      <w:r w:rsidRPr="000B00F5">
        <w:rPr>
          <w:rFonts w:ascii="Arial" w:hAnsi="Arial" w:cs="Arial"/>
        </w:rPr>
        <w:t xml:space="preserve">Barnardo’s (2021). </w:t>
      </w:r>
      <w:r w:rsidRPr="000B00F5">
        <w:rPr>
          <w:rFonts w:ascii="Arial" w:hAnsi="Arial" w:cs="Arial"/>
          <w:i/>
          <w:iCs/>
        </w:rPr>
        <w:t xml:space="preserve">Urgent action needed as organised crime gangs take advantage of pandemic to target vulnerable children. </w:t>
      </w:r>
      <w:r w:rsidRPr="000B00F5">
        <w:rPr>
          <w:rFonts w:ascii="Arial" w:hAnsi="Arial" w:cs="Arial"/>
        </w:rPr>
        <w:t>[online] barnardos.org.uk. Available at: https://www.barnardos.org.uk/news/our-news/urgent-action-needed-organised-crime-gangs-take-advantage-pandemic-target-vulnerable (Accessed 20th May 2023).</w:t>
      </w:r>
    </w:p>
    <w:p w14:paraId="039AC6B8" w14:textId="77777777" w:rsidR="0000481F" w:rsidRPr="000B00F5" w:rsidRDefault="0000481F" w:rsidP="000B00F5">
      <w:pPr>
        <w:spacing w:line="360" w:lineRule="auto"/>
        <w:rPr>
          <w:rFonts w:ascii="Arial" w:hAnsi="Arial" w:cs="Arial"/>
        </w:rPr>
      </w:pPr>
    </w:p>
    <w:p w14:paraId="63C628DB" w14:textId="77777777" w:rsidR="0000481F" w:rsidRPr="000B00F5" w:rsidRDefault="0000481F" w:rsidP="000B00F5">
      <w:pPr>
        <w:pStyle w:val="NormalWeb"/>
        <w:shd w:val="clear" w:color="auto" w:fill="FFFFFF"/>
        <w:spacing w:before="0" w:beforeAutospacing="0" w:after="0" w:afterAutospacing="0" w:line="360" w:lineRule="auto"/>
        <w:rPr>
          <w:rFonts w:ascii="Arial" w:hAnsi="Arial" w:cs="Arial"/>
          <w:color w:val="0B0C0C"/>
          <w:sz w:val="22"/>
          <w:szCs w:val="22"/>
        </w:rPr>
      </w:pPr>
      <w:r w:rsidRPr="000B00F5">
        <w:rPr>
          <w:rFonts w:ascii="Arial" w:hAnsi="Arial" w:cs="Arial"/>
          <w:color w:val="0B0C0C"/>
          <w:sz w:val="22"/>
          <w:szCs w:val="22"/>
        </w:rPr>
        <w:t xml:space="preserve">Beckett, H., Holmes, D. &amp; Walker, J. (2017) </w:t>
      </w:r>
      <w:r w:rsidRPr="000B00F5">
        <w:rPr>
          <w:rFonts w:ascii="Arial" w:hAnsi="Arial" w:cs="Arial"/>
          <w:i/>
          <w:iCs/>
          <w:color w:val="0B0C0C"/>
          <w:sz w:val="22"/>
          <w:szCs w:val="22"/>
        </w:rPr>
        <w:t>Child sexual exploitation: Definition and Guide for Professionals</w:t>
      </w:r>
      <w:r w:rsidRPr="000B00F5">
        <w:rPr>
          <w:rFonts w:ascii="Arial" w:hAnsi="Arial" w:cs="Arial"/>
          <w:color w:val="0B0C0C"/>
          <w:sz w:val="22"/>
          <w:szCs w:val="22"/>
        </w:rPr>
        <w:t xml:space="preserve"> </w:t>
      </w:r>
      <w:r w:rsidRPr="000B00F5">
        <w:rPr>
          <w:rFonts w:ascii="Arial" w:hAnsi="Arial" w:cs="Arial"/>
          <w:i/>
          <w:iCs/>
          <w:color w:val="0B0C0C"/>
          <w:sz w:val="22"/>
          <w:szCs w:val="22"/>
        </w:rPr>
        <w:t>– Extended text.</w:t>
      </w:r>
      <w:r w:rsidRPr="000B00F5">
        <w:rPr>
          <w:rFonts w:ascii="Arial" w:hAnsi="Arial" w:cs="Arial"/>
          <w:color w:val="0B0C0C"/>
          <w:sz w:val="22"/>
          <w:szCs w:val="22"/>
        </w:rPr>
        <w:t xml:space="preserve"> Luton: University of Bedfordshire.</w:t>
      </w:r>
    </w:p>
    <w:p w14:paraId="441A333F" w14:textId="77777777" w:rsidR="0000481F" w:rsidRPr="000B00F5" w:rsidRDefault="0000481F" w:rsidP="000B00F5">
      <w:pPr>
        <w:spacing w:line="360" w:lineRule="auto"/>
        <w:rPr>
          <w:rFonts w:ascii="Arial" w:hAnsi="Arial" w:cs="Arial"/>
        </w:rPr>
      </w:pPr>
    </w:p>
    <w:p w14:paraId="3C2CE1FC" w14:textId="77777777" w:rsidR="0000481F" w:rsidRPr="000B00F5" w:rsidRDefault="0000481F" w:rsidP="000B00F5">
      <w:pPr>
        <w:spacing w:line="360" w:lineRule="auto"/>
        <w:rPr>
          <w:rFonts w:ascii="Arial" w:hAnsi="Arial" w:cs="Arial"/>
        </w:rPr>
      </w:pPr>
      <w:r w:rsidRPr="000B00F5">
        <w:rPr>
          <w:rFonts w:ascii="Arial" w:hAnsi="Arial" w:cs="Arial"/>
        </w:rPr>
        <w:t xml:space="preserve">College of Policing (2020). </w:t>
      </w:r>
      <w:r w:rsidRPr="000B00F5">
        <w:rPr>
          <w:rFonts w:ascii="Arial" w:hAnsi="Arial" w:cs="Arial"/>
          <w:i/>
          <w:iCs/>
        </w:rPr>
        <w:t xml:space="preserve">Recognising and responding to vulnerability related risks. </w:t>
      </w:r>
      <w:r w:rsidRPr="000B00F5">
        <w:rPr>
          <w:rFonts w:ascii="Arial" w:hAnsi="Arial" w:cs="Arial"/>
        </w:rPr>
        <w:t xml:space="preserve">[online] college.police.uk. Available at: https://assets.college.police.uk/s3fs-public/Recognising-responding-vulnerability-related-risks-guidelines.pdf#:~:text=2%20The%20College%20of%20Policing%20has%20adopted%20the,protect%20themselves%20or%20others%20from%20harm%20or%20exploitation.’ (Accessed </w:t>
      </w:r>
      <w:bookmarkStart w:id="0" w:name="_Hlk136272615"/>
      <w:r w:rsidRPr="000B00F5">
        <w:rPr>
          <w:rFonts w:ascii="Arial" w:hAnsi="Arial" w:cs="Arial"/>
        </w:rPr>
        <w:t>20th May 2023)</w:t>
      </w:r>
      <w:bookmarkEnd w:id="0"/>
      <w:r w:rsidRPr="000B00F5">
        <w:rPr>
          <w:rFonts w:ascii="Arial" w:hAnsi="Arial" w:cs="Arial"/>
        </w:rPr>
        <w:t>.</w:t>
      </w:r>
    </w:p>
    <w:p w14:paraId="20E6622E" w14:textId="77777777" w:rsidR="0000481F" w:rsidRPr="000B00F5" w:rsidRDefault="0000481F" w:rsidP="000B00F5">
      <w:pPr>
        <w:spacing w:line="360" w:lineRule="auto"/>
        <w:rPr>
          <w:rFonts w:ascii="Arial" w:hAnsi="Arial" w:cs="Arial"/>
        </w:rPr>
      </w:pPr>
    </w:p>
    <w:p w14:paraId="41514C30" w14:textId="77777777" w:rsidR="0000481F" w:rsidRPr="000B00F5" w:rsidRDefault="0000481F" w:rsidP="000B00F5">
      <w:pPr>
        <w:spacing w:line="360" w:lineRule="auto"/>
        <w:rPr>
          <w:rFonts w:ascii="Arial" w:hAnsi="Arial" w:cs="Arial"/>
        </w:rPr>
      </w:pPr>
      <w:r w:rsidRPr="000B00F5">
        <w:rPr>
          <w:rFonts w:ascii="Arial" w:hAnsi="Arial" w:cs="Arial"/>
        </w:rPr>
        <w:t xml:space="preserve">Gangs Working Group (2009). </w:t>
      </w:r>
      <w:r w:rsidRPr="000B00F5">
        <w:rPr>
          <w:rFonts w:ascii="Arial" w:hAnsi="Arial" w:cs="Arial"/>
          <w:i/>
          <w:iCs/>
        </w:rPr>
        <w:t xml:space="preserve">Dying to belong: an in-depth review of street gangs in Britain. </w:t>
      </w:r>
      <w:r w:rsidRPr="000B00F5">
        <w:rPr>
          <w:rFonts w:ascii="Arial" w:hAnsi="Arial" w:cs="Arial"/>
        </w:rPr>
        <w:t>London: The Centre for Social Justice.</w:t>
      </w:r>
    </w:p>
    <w:p w14:paraId="66E4A03B" w14:textId="77777777" w:rsidR="0000481F" w:rsidRPr="000B00F5" w:rsidRDefault="0000481F" w:rsidP="000B00F5">
      <w:pPr>
        <w:spacing w:line="360" w:lineRule="auto"/>
        <w:rPr>
          <w:rFonts w:ascii="Arial" w:hAnsi="Arial" w:cs="Arial"/>
        </w:rPr>
      </w:pPr>
    </w:p>
    <w:p w14:paraId="6BE3EC9E" w14:textId="77777777" w:rsidR="0000481F" w:rsidRPr="000B00F5" w:rsidRDefault="0000481F" w:rsidP="000B00F5">
      <w:pPr>
        <w:spacing w:line="360" w:lineRule="auto"/>
        <w:rPr>
          <w:rFonts w:ascii="Arial" w:hAnsi="Arial" w:cs="Arial"/>
          <w:i/>
          <w:iCs/>
        </w:rPr>
      </w:pPr>
      <w:proofErr w:type="spellStart"/>
      <w:r w:rsidRPr="000B00F5">
        <w:rPr>
          <w:rFonts w:ascii="Arial" w:hAnsi="Arial" w:cs="Arial"/>
        </w:rPr>
        <w:t>Havard</w:t>
      </w:r>
      <w:proofErr w:type="spellEnd"/>
      <w:r w:rsidRPr="000B00F5">
        <w:rPr>
          <w:rFonts w:ascii="Arial" w:hAnsi="Arial" w:cs="Arial"/>
        </w:rPr>
        <w:t xml:space="preserve">, T.E, Densely, J.A., &amp; Willis, J. (2021). Street gangs and coercive control: The gendered exploitation of young women and girls in county lines. </w:t>
      </w:r>
      <w:r w:rsidRPr="000B00F5">
        <w:rPr>
          <w:rFonts w:ascii="Arial" w:hAnsi="Arial" w:cs="Arial"/>
          <w:i/>
          <w:iCs/>
          <w:shd w:val="clear" w:color="auto" w:fill="FFFFFF"/>
        </w:rPr>
        <w:t>Criminology &amp; Criminal Justice</w:t>
      </w:r>
      <w:r w:rsidRPr="000B00F5">
        <w:rPr>
          <w:rFonts w:ascii="Arial" w:hAnsi="Arial" w:cs="Arial"/>
          <w:shd w:val="clear" w:color="auto" w:fill="FFFFFF"/>
        </w:rPr>
        <w:t>, </w:t>
      </w:r>
      <w:r w:rsidRPr="000B00F5">
        <w:rPr>
          <w:rFonts w:ascii="Arial" w:hAnsi="Arial" w:cs="Arial"/>
          <w:i/>
          <w:iCs/>
          <w:shd w:val="clear" w:color="auto" w:fill="FFFFFF"/>
        </w:rPr>
        <w:t>0</w:t>
      </w:r>
      <w:r w:rsidRPr="000B00F5">
        <w:rPr>
          <w:rFonts w:ascii="Arial" w:hAnsi="Arial" w:cs="Arial"/>
          <w:shd w:val="clear" w:color="auto" w:fill="FFFFFF"/>
        </w:rPr>
        <w:t>(</w:t>
      </w:r>
      <w:r w:rsidRPr="000B00F5">
        <w:rPr>
          <w:rFonts w:ascii="Arial" w:hAnsi="Arial" w:cs="Arial"/>
          <w:i/>
          <w:iCs/>
          <w:shd w:val="clear" w:color="auto" w:fill="FFFFFF"/>
        </w:rPr>
        <w:t>0</w:t>
      </w:r>
      <w:r w:rsidRPr="000B00F5">
        <w:rPr>
          <w:rFonts w:ascii="Arial" w:hAnsi="Arial" w:cs="Arial"/>
          <w:shd w:val="clear" w:color="auto" w:fill="FFFFFF"/>
        </w:rPr>
        <w:t>).</w:t>
      </w:r>
    </w:p>
    <w:p w14:paraId="21F96CE6" w14:textId="77777777" w:rsidR="0000481F" w:rsidRPr="000B00F5" w:rsidRDefault="0000481F" w:rsidP="000B00F5">
      <w:pPr>
        <w:spacing w:line="360" w:lineRule="auto"/>
        <w:rPr>
          <w:rFonts w:ascii="Arial" w:hAnsi="Arial" w:cs="Arial"/>
        </w:rPr>
      </w:pPr>
    </w:p>
    <w:p w14:paraId="78D38500" w14:textId="77777777" w:rsidR="0000481F" w:rsidRPr="000B00F5" w:rsidRDefault="0000481F" w:rsidP="000B00F5">
      <w:pPr>
        <w:spacing w:line="360" w:lineRule="auto"/>
        <w:rPr>
          <w:rFonts w:ascii="Arial" w:hAnsi="Arial" w:cs="Arial"/>
        </w:rPr>
      </w:pPr>
      <w:r w:rsidRPr="000B00F5">
        <w:rPr>
          <w:rFonts w:ascii="Arial" w:hAnsi="Arial" w:cs="Arial"/>
        </w:rPr>
        <w:t xml:space="preserve">HM Government (2018). </w:t>
      </w:r>
      <w:r w:rsidRPr="000B00F5">
        <w:rPr>
          <w:rFonts w:ascii="Arial" w:hAnsi="Arial" w:cs="Arial"/>
          <w:i/>
          <w:iCs/>
        </w:rPr>
        <w:t xml:space="preserve">Serious and Organised Crime Strategy. </w:t>
      </w:r>
      <w:r w:rsidRPr="000B00F5">
        <w:rPr>
          <w:rFonts w:ascii="Arial" w:hAnsi="Arial" w:cs="Arial"/>
        </w:rPr>
        <w:t>[online] gov.uk. Available at: https://assets.publishing.service.gov.uk/government/uploads/system/uploads/attachment_data/file/752850/SOC-2018-web.pdf (Accessed 20th May 2023).</w:t>
      </w:r>
    </w:p>
    <w:p w14:paraId="65A23BD9" w14:textId="77777777" w:rsidR="0000481F" w:rsidRPr="000B00F5" w:rsidRDefault="0000481F" w:rsidP="000B00F5">
      <w:pPr>
        <w:spacing w:line="360" w:lineRule="auto"/>
        <w:rPr>
          <w:rFonts w:ascii="Arial" w:hAnsi="Arial" w:cs="Arial"/>
        </w:rPr>
      </w:pPr>
    </w:p>
    <w:p w14:paraId="1BDECE93" w14:textId="77777777" w:rsidR="0000481F" w:rsidRPr="000B00F5" w:rsidRDefault="0000481F" w:rsidP="000B00F5">
      <w:pPr>
        <w:spacing w:line="360" w:lineRule="auto"/>
        <w:rPr>
          <w:rFonts w:ascii="Arial" w:hAnsi="Arial" w:cs="Arial"/>
          <w:i/>
          <w:iCs/>
          <w:shd w:val="clear" w:color="auto" w:fill="FFFFFF"/>
        </w:rPr>
      </w:pPr>
      <w:r w:rsidRPr="000B00F5">
        <w:rPr>
          <w:rFonts w:ascii="Arial" w:hAnsi="Arial" w:cs="Arial"/>
          <w:shd w:val="clear" w:color="auto" w:fill="FFFFFF"/>
        </w:rPr>
        <w:t>Joseph I (2017) Effective gang policy and practice: How research with ‘Black male youth’ problematizes the official definition of the UK gang. </w:t>
      </w:r>
      <w:r w:rsidRPr="000B00F5">
        <w:rPr>
          <w:rStyle w:val="Emphasis"/>
          <w:rFonts w:ascii="Arial" w:hAnsi="Arial" w:cs="Arial"/>
          <w:shd w:val="clear" w:color="auto" w:fill="FFFFFF"/>
        </w:rPr>
        <w:t>Youth and Policy</w:t>
      </w:r>
      <w:r w:rsidRPr="000B00F5">
        <w:rPr>
          <w:rFonts w:ascii="Arial" w:hAnsi="Arial" w:cs="Arial"/>
          <w:shd w:val="clear" w:color="auto" w:fill="FFFFFF"/>
        </w:rPr>
        <w:t> </w:t>
      </w:r>
      <w:r w:rsidRPr="000B00F5">
        <w:rPr>
          <w:rFonts w:ascii="Arial" w:hAnsi="Arial" w:cs="Arial"/>
          <w:i/>
          <w:iCs/>
          <w:shd w:val="clear" w:color="auto" w:fill="FFFFFF"/>
        </w:rPr>
        <w:t>116: pp.110–130.</w:t>
      </w:r>
    </w:p>
    <w:p w14:paraId="4DA78F9B" w14:textId="77777777" w:rsidR="0000481F" w:rsidRPr="000B00F5" w:rsidRDefault="0000481F" w:rsidP="000B00F5">
      <w:pPr>
        <w:spacing w:line="360" w:lineRule="auto"/>
        <w:rPr>
          <w:rFonts w:ascii="Arial" w:hAnsi="Arial" w:cs="Arial"/>
        </w:rPr>
      </w:pPr>
    </w:p>
    <w:p w14:paraId="303CFB9C" w14:textId="77777777" w:rsidR="0000481F" w:rsidRPr="000B00F5" w:rsidRDefault="0000481F" w:rsidP="000B00F5">
      <w:pPr>
        <w:spacing w:line="360" w:lineRule="auto"/>
        <w:rPr>
          <w:rFonts w:ascii="Arial" w:hAnsi="Arial" w:cs="Arial"/>
          <w:i/>
          <w:iCs/>
          <w:shd w:val="clear" w:color="auto" w:fill="FFFFFF"/>
        </w:rPr>
      </w:pPr>
      <w:proofErr w:type="spellStart"/>
      <w:r w:rsidRPr="000B00F5">
        <w:rPr>
          <w:rFonts w:ascii="Arial" w:hAnsi="Arial" w:cs="Arial"/>
        </w:rPr>
        <w:t>Kleemans</w:t>
      </w:r>
      <w:proofErr w:type="spellEnd"/>
      <w:r w:rsidRPr="000B00F5">
        <w:rPr>
          <w:rFonts w:ascii="Arial" w:hAnsi="Arial" w:cs="Arial"/>
        </w:rPr>
        <w:t xml:space="preserve">, E.R., &amp; De Poot, C.J. (2008). Criminal Careers in Organized Crime and Social Opportunity Structure. </w:t>
      </w:r>
      <w:r w:rsidRPr="000B00F5">
        <w:rPr>
          <w:rStyle w:val="Emphasis"/>
          <w:rFonts w:ascii="Arial" w:hAnsi="Arial" w:cs="Arial"/>
          <w:i w:val="0"/>
          <w:iCs w:val="0"/>
          <w:shd w:val="clear" w:color="auto" w:fill="FFFFFF"/>
        </w:rPr>
        <w:t>European Journal of Criminology</w:t>
      </w:r>
      <w:r w:rsidRPr="000B00F5">
        <w:rPr>
          <w:rFonts w:ascii="Arial" w:hAnsi="Arial" w:cs="Arial"/>
          <w:i/>
          <w:iCs/>
          <w:shd w:val="clear" w:color="auto" w:fill="FFFFFF"/>
        </w:rPr>
        <w:t>, </w:t>
      </w:r>
      <w:r w:rsidRPr="000B00F5">
        <w:rPr>
          <w:rStyle w:val="Emphasis"/>
          <w:rFonts w:ascii="Arial" w:hAnsi="Arial" w:cs="Arial"/>
          <w:i w:val="0"/>
          <w:iCs w:val="0"/>
          <w:shd w:val="clear" w:color="auto" w:fill="FFFFFF"/>
        </w:rPr>
        <w:t>5</w:t>
      </w:r>
      <w:r w:rsidRPr="000B00F5">
        <w:rPr>
          <w:rFonts w:ascii="Arial" w:hAnsi="Arial" w:cs="Arial"/>
          <w:i/>
          <w:iCs/>
          <w:shd w:val="clear" w:color="auto" w:fill="FFFFFF"/>
        </w:rPr>
        <w:t>(1), pp. 69-98.</w:t>
      </w:r>
    </w:p>
    <w:p w14:paraId="2E8D6265" w14:textId="77777777" w:rsidR="0000481F" w:rsidRPr="000B00F5" w:rsidRDefault="0000481F" w:rsidP="000B00F5">
      <w:pPr>
        <w:spacing w:line="360" w:lineRule="auto"/>
        <w:rPr>
          <w:rFonts w:ascii="Arial" w:hAnsi="Arial" w:cs="Arial"/>
          <w:i/>
          <w:iCs/>
          <w:shd w:val="clear" w:color="auto" w:fill="FFFFFF"/>
        </w:rPr>
      </w:pPr>
    </w:p>
    <w:p w14:paraId="0104848D" w14:textId="77777777" w:rsidR="0000481F" w:rsidRPr="000B00F5" w:rsidRDefault="0000481F" w:rsidP="000B00F5">
      <w:pPr>
        <w:spacing w:line="360" w:lineRule="auto"/>
        <w:rPr>
          <w:rFonts w:ascii="Arial" w:hAnsi="Arial" w:cs="Arial"/>
        </w:rPr>
      </w:pPr>
      <w:r w:rsidRPr="000B00F5">
        <w:rPr>
          <w:rFonts w:ascii="Arial" w:hAnsi="Arial" w:cs="Arial"/>
          <w:shd w:val="clear" w:color="auto" w:fill="FFFFFF"/>
        </w:rPr>
        <w:t xml:space="preserve">Longfield, A. (2015). </w:t>
      </w:r>
      <w:r w:rsidRPr="000B00F5">
        <w:rPr>
          <w:rFonts w:ascii="Arial" w:hAnsi="Arial" w:cs="Arial"/>
          <w:i/>
          <w:iCs/>
          <w:shd w:val="clear" w:color="auto" w:fill="FFFFFF"/>
        </w:rPr>
        <w:t xml:space="preserve">Shining a light on the experiences of children excluded from schools and in alternative provision. </w:t>
      </w:r>
      <w:r w:rsidRPr="000B00F5">
        <w:rPr>
          <w:rFonts w:ascii="Arial" w:hAnsi="Arial" w:cs="Arial"/>
          <w:shd w:val="clear" w:color="auto" w:fill="FFFFFF"/>
        </w:rPr>
        <w:t xml:space="preserve">[online] childrenscommissioner.gov.uk. Available at: https://www.childrenscommissioner.gov.uk/blog/shining-a-light-on-the-experiences-of-children-excluded-from-schools-and-in-alternative-provision/ (Accessed 25th May 2023). </w:t>
      </w:r>
    </w:p>
    <w:p w14:paraId="255DD01E" w14:textId="77777777" w:rsidR="0000481F" w:rsidRPr="000B00F5" w:rsidRDefault="0000481F" w:rsidP="000B00F5">
      <w:pPr>
        <w:spacing w:line="360" w:lineRule="auto"/>
        <w:rPr>
          <w:rFonts w:ascii="Arial" w:hAnsi="Arial" w:cs="Arial"/>
        </w:rPr>
      </w:pPr>
    </w:p>
    <w:p w14:paraId="1B05DFE6" w14:textId="77777777" w:rsidR="0000481F" w:rsidRPr="000B00F5" w:rsidRDefault="0000481F" w:rsidP="000B00F5">
      <w:pPr>
        <w:spacing w:line="360" w:lineRule="auto"/>
        <w:rPr>
          <w:rFonts w:ascii="Arial" w:hAnsi="Arial" w:cs="Arial"/>
        </w:rPr>
      </w:pPr>
      <w:r w:rsidRPr="000B00F5">
        <w:rPr>
          <w:rFonts w:ascii="Arial" w:hAnsi="Arial" w:cs="Arial"/>
        </w:rPr>
        <w:t xml:space="preserve">Longfield, A. (2021). </w:t>
      </w:r>
      <w:r w:rsidRPr="000B00F5">
        <w:rPr>
          <w:rFonts w:ascii="Arial" w:hAnsi="Arial" w:cs="Arial"/>
          <w:i/>
          <w:iCs/>
        </w:rPr>
        <w:t xml:space="preserve">Still not safe: The public health response to youth violence. </w:t>
      </w:r>
      <w:r w:rsidRPr="000B00F5">
        <w:rPr>
          <w:rFonts w:ascii="Arial" w:hAnsi="Arial" w:cs="Arial"/>
        </w:rPr>
        <w:t xml:space="preserve">[online] childrenscommissioner.go.uk. Available at https://assets.childrenscommissioner.gov.uk/wpuploads/2021/02/cco-still-not-safe.pdf (Accessed 25th May 2023). </w:t>
      </w:r>
    </w:p>
    <w:p w14:paraId="4B6B4718" w14:textId="77777777" w:rsidR="0000481F" w:rsidRPr="000B00F5" w:rsidRDefault="0000481F" w:rsidP="000B00F5">
      <w:pPr>
        <w:spacing w:line="360" w:lineRule="auto"/>
        <w:rPr>
          <w:rFonts w:ascii="Arial" w:hAnsi="Arial" w:cs="Arial"/>
        </w:rPr>
      </w:pPr>
    </w:p>
    <w:p w14:paraId="6D933F51" w14:textId="77777777" w:rsidR="0000481F" w:rsidRPr="000B00F5" w:rsidRDefault="0000481F" w:rsidP="000B00F5">
      <w:pPr>
        <w:spacing w:line="360" w:lineRule="auto"/>
        <w:rPr>
          <w:rFonts w:ascii="Arial" w:hAnsi="Arial" w:cs="Arial"/>
          <w:i/>
          <w:iCs/>
        </w:rPr>
      </w:pPr>
      <w:proofErr w:type="spellStart"/>
      <w:r w:rsidRPr="000B00F5">
        <w:rPr>
          <w:rFonts w:ascii="Arial" w:hAnsi="Arial" w:cs="Arial"/>
        </w:rPr>
        <w:t>Melde</w:t>
      </w:r>
      <w:proofErr w:type="spellEnd"/>
      <w:r w:rsidRPr="000B00F5">
        <w:rPr>
          <w:rFonts w:ascii="Arial" w:hAnsi="Arial" w:cs="Arial"/>
        </w:rPr>
        <w:t xml:space="preserve">, C., Diem, C., &amp; Drake, G. (2012)/. Identifying correlates of stable gang membership. </w:t>
      </w:r>
      <w:r w:rsidRPr="000B00F5">
        <w:rPr>
          <w:rFonts w:ascii="Arial" w:hAnsi="Arial" w:cs="Arial"/>
          <w:i/>
          <w:iCs/>
        </w:rPr>
        <w:t>Journal of Contemporary Criminal Justice; 28(4): pp.482-498.</w:t>
      </w:r>
    </w:p>
    <w:p w14:paraId="44F0F59F" w14:textId="77777777" w:rsidR="0000481F" w:rsidRPr="000B00F5" w:rsidRDefault="0000481F" w:rsidP="000B00F5">
      <w:pPr>
        <w:spacing w:line="360" w:lineRule="auto"/>
        <w:rPr>
          <w:rFonts w:ascii="Arial" w:hAnsi="Arial" w:cs="Arial"/>
        </w:rPr>
      </w:pPr>
    </w:p>
    <w:p w14:paraId="6B0B9D84" w14:textId="77777777" w:rsidR="0000481F" w:rsidRPr="000B00F5" w:rsidRDefault="0000481F" w:rsidP="000B00F5">
      <w:pPr>
        <w:spacing w:line="360" w:lineRule="auto"/>
        <w:rPr>
          <w:rFonts w:ascii="Arial" w:hAnsi="Arial" w:cs="Arial"/>
        </w:rPr>
      </w:pPr>
      <w:r w:rsidRPr="000B00F5">
        <w:rPr>
          <w:rFonts w:ascii="Arial" w:hAnsi="Arial" w:cs="Arial"/>
        </w:rPr>
        <w:t xml:space="preserve">National Crime Agency (2020). </w:t>
      </w:r>
      <w:r w:rsidRPr="000B00F5">
        <w:rPr>
          <w:rFonts w:ascii="Arial" w:hAnsi="Arial" w:cs="Arial"/>
          <w:i/>
          <w:iCs/>
        </w:rPr>
        <w:t xml:space="preserve">Nation Strategic Assessment of Serious and Organised Crime. </w:t>
      </w:r>
      <w:r w:rsidRPr="000B00F5">
        <w:rPr>
          <w:rFonts w:ascii="Arial" w:hAnsi="Arial" w:cs="Arial"/>
        </w:rPr>
        <w:t>[online] nationalcrimeagency.gov.uk. Available at: https://www.nationalcrimeagency.gov.uk/who-we-are/publications/437-national-strategic-assessment-of-serious-and-organised-crime-2020/file (Accessed 20th May 2023).</w:t>
      </w:r>
    </w:p>
    <w:p w14:paraId="37A6B91B" w14:textId="77777777" w:rsidR="0000481F" w:rsidRPr="000B00F5" w:rsidRDefault="0000481F" w:rsidP="000B00F5">
      <w:pPr>
        <w:spacing w:line="360" w:lineRule="auto"/>
        <w:rPr>
          <w:rFonts w:ascii="Arial" w:hAnsi="Arial" w:cs="Arial"/>
        </w:rPr>
      </w:pPr>
    </w:p>
    <w:p w14:paraId="121806DF" w14:textId="77777777" w:rsidR="0000481F" w:rsidRPr="000B00F5" w:rsidRDefault="0000481F" w:rsidP="000B00F5">
      <w:pPr>
        <w:spacing w:line="360" w:lineRule="auto"/>
        <w:rPr>
          <w:rFonts w:ascii="Arial" w:hAnsi="Arial" w:cs="Arial"/>
        </w:rPr>
      </w:pPr>
      <w:r w:rsidRPr="000B00F5">
        <w:rPr>
          <w:rFonts w:ascii="Arial" w:hAnsi="Arial" w:cs="Arial"/>
        </w:rPr>
        <w:t xml:space="preserve">Public Health England (2015). </w:t>
      </w:r>
      <w:r w:rsidRPr="000B00F5">
        <w:rPr>
          <w:rFonts w:ascii="Arial" w:hAnsi="Arial" w:cs="Arial"/>
          <w:i/>
          <w:iCs/>
        </w:rPr>
        <w:t xml:space="preserve">The mental health needs of gang-affiliated young people. </w:t>
      </w:r>
      <w:r w:rsidRPr="000B00F5">
        <w:rPr>
          <w:rFonts w:ascii="Arial" w:hAnsi="Arial" w:cs="Arial"/>
        </w:rPr>
        <w:t>[online] gov.uk. Available at: https://assets.publishing.service.gov.uk/government/uploads/system/uploads/attachment_data/file/771130/The_mental_health_needs_of_gang-affiliated_young_people_v3_23_01_1.pdf (Accessed 20th May 2023).</w:t>
      </w:r>
    </w:p>
    <w:p w14:paraId="3ECC461E" w14:textId="77777777" w:rsidR="0000481F" w:rsidRPr="000B00F5" w:rsidRDefault="0000481F" w:rsidP="000B00F5">
      <w:pPr>
        <w:spacing w:line="360" w:lineRule="auto"/>
        <w:rPr>
          <w:rFonts w:ascii="Arial" w:hAnsi="Arial" w:cs="Arial"/>
        </w:rPr>
      </w:pPr>
    </w:p>
    <w:p w14:paraId="3DAAD413" w14:textId="77777777" w:rsidR="0000481F" w:rsidRPr="000B00F5" w:rsidRDefault="0000481F" w:rsidP="000B00F5">
      <w:pPr>
        <w:spacing w:line="360" w:lineRule="auto"/>
        <w:rPr>
          <w:rFonts w:ascii="Arial" w:hAnsi="Arial" w:cs="Arial"/>
          <w:i/>
          <w:iCs/>
        </w:rPr>
      </w:pPr>
      <w:r w:rsidRPr="000B00F5">
        <w:rPr>
          <w:rFonts w:ascii="Arial" w:hAnsi="Arial" w:cs="Arial"/>
        </w:rPr>
        <w:lastRenderedPageBreak/>
        <w:t xml:space="preserve">Robinson, G., McLean, R., &amp; </w:t>
      </w:r>
      <w:proofErr w:type="spellStart"/>
      <w:r w:rsidRPr="000B00F5">
        <w:rPr>
          <w:rFonts w:ascii="Arial" w:hAnsi="Arial" w:cs="Arial"/>
        </w:rPr>
        <w:t>Densley</w:t>
      </w:r>
      <w:proofErr w:type="spellEnd"/>
      <w:r w:rsidRPr="000B00F5">
        <w:rPr>
          <w:rFonts w:ascii="Arial" w:hAnsi="Arial" w:cs="Arial"/>
        </w:rPr>
        <w:t xml:space="preserve">, J. (2019). Working county lines: Child Criminal Exploitation and illicit drug dealing in Glasgow and Merseyside. </w:t>
      </w:r>
      <w:r w:rsidRPr="000B00F5">
        <w:rPr>
          <w:rFonts w:ascii="Arial" w:hAnsi="Arial" w:cs="Arial"/>
          <w:i/>
          <w:iCs/>
        </w:rPr>
        <w:t>International Journal of Offender Therapy and Comparative Criminology 63(5): pp. 694–711.</w:t>
      </w:r>
    </w:p>
    <w:p w14:paraId="5D96BB4F" w14:textId="77777777" w:rsidR="0000481F" w:rsidRPr="000B00F5" w:rsidRDefault="0000481F" w:rsidP="000B00F5">
      <w:pPr>
        <w:spacing w:line="360" w:lineRule="auto"/>
        <w:rPr>
          <w:rFonts w:ascii="Arial" w:hAnsi="Arial" w:cs="Arial"/>
        </w:rPr>
      </w:pPr>
    </w:p>
    <w:p w14:paraId="7A9CC0CE" w14:textId="77777777" w:rsidR="0000481F" w:rsidRPr="000B00F5" w:rsidRDefault="0000481F" w:rsidP="000B00F5">
      <w:pPr>
        <w:spacing w:line="360" w:lineRule="auto"/>
        <w:rPr>
          <w:rFonts w:ascii="Arial" w:hAnsi="Arial" w:cs="Arial"/>
          <w:color w:val="000000"/>
          <w:shd w:val="clear" w:color="auto" w:fill="FFFFFF"/>
        </w:rPr>
      </w:pPr>
      <w:r w:rsidRPr="000B00F5">
        <w:rPr>
          <w:rFonts w:ascii="Arial" w:hAnsi="Arial" w:cs="Arial"/>
          <w:color w:val="000000"/>
          <w:shd w:val="clear" w:color="auto" w:fill="FFFFFF"/>
        </w:rPr>
        <w:t xml:space="preserve">White, R., &amp; </w:t>
      </w:r>
      <w:proofErr w:type="spellStart"/>
      <w:r w:rsidRPr="000B00F5">
        <w:rPr>
          <w:rFonts w:ascii="Arial" w:hAnsi="Arial" w:cs="Arial"/>
          <w:color w:val="000000"/>
          <w:shd w:val="clear" w:color="auto" w:fill="FFFFFF"/>
        </w:rPr>
        <w:t>Cunneen</w:t>
      </w:r>
      <w:proofErr w:type="spellEnd"/>
      <w:r w:rsidRPr="000B00F5">
        <w:rPr>
          <w:rFonts w:ascii="Arial" w:hAnsi="Arial" w:cs="Arial"/>
          <w:color w:val="000000"/>
          <w:shd w:val="clear" w:color="auto" w:fill="FFFFFF"/>
        </w:rPr>
        <w:t>, C. (2015). Social class, youth crime and youth justice. </w:t>
      </w:r>
      <w:r w:rsidRPr="000B00F5">
        <w:rPr>
          <w:rFonts w:ascii="Arial" w:hAnsi="Arial" w:cs="Arial"/>
          <w:i/>
          <w:iCs/>
          <w:color w:val="000000"/>
          <w:shd w:val="clear" w:color="auto" w:fill="FFFFFF"/>
        </w:rPr>
        <w:t xml:space="preserve">Youth, Crime and Justice (2nd </w:t>
      </w:r>
      <w:proofErr w:type="spellStart"/>
      <w:r w:rsidRPr="000B00F5">
        <w:rPr>
          <w:rFonts w:ascii="Arial" w:hAnsi="Arial" w:cs="Arial"/>
          <w:i/>
          <w:iCs/>
          <w:color w:val="000000"/>
          <w:shd w:val="clear" w:color="auto" w:fill="FFFFFF"/>
        </w:rPr>
        <w:t>Edn</w:t>
      </w:r>
      <w:proofErr w:type="spellEnd"/>
      <w:r w:rsidRPr="000B00F5">
        <w:rPr>
          <w:rFonts w:ascii="Arial" w:hAnsi="Arial" w:cs="Arial"/>
          <w:i/>
          <w:iCs/>
          <w:color w:val="000000"/>
          <w:shd w:val="clear" w:color="auto" w:fill="FFFFFF"/>
        </w:rPr>
        <w:t>). London: Sage</w:t>
      </w:r>
      <w:r w:rsidRPr="000B00F5">
        <w:rPr>
          <w:rFonts w:ascii="Arial" w:hAnsi="Arial" w:cs="Arial"/>
          <w:color w:val="000000"/>
          <w:shd w:val="clear" w:color="auto" w:fill="FFFFFF"/>
        </w:rPr>
        <w:t xml:space="preserve">, </w:t>
      </w:r>
      <w:r w:rsidRPr="000B00F5">
        <w:rPr>
          <w:rFonts w:ascii="Arial" w:hAnsi="Arial" w:cs="Arial"/>
          <w:i/>
          <w:iCs/>
          <w:color w:val="000000"/>
          <w:shd w:val="clear" w:color="auto" w:fill="FFFFFF"/>
        </w:rPr>
        <w:t>pp.17-30.</w:t>
      </w:r>
    </w:p>
    <w:p w14:paraId="6A9D8962" w14:textId="77777777" w:rsidR="0000481F" w:rsidRPr="000B00F5" w:rsidRDefault="0000481F" w:rsidP="000B00F5">
      <w:pPr>
        <w:spacing w:line="360" w:lineRule="auto"/>
        <w:rPr>
          <w:rFonts w:ascii="Arial" w:hAnsi="Arial" w:cs="Arial"/>
          <w:color w:val="000000"/>
          <w:shd w:val="clear" w:color="auto" w:fill="FFFFFF"/>
        </w:rPr>
      </w:pPr>
    </w:p>
    <w:p w14:paraId="38AC59D5" w14:textId="77777777" w:rsidR="0000481F" w:rsidRPr="000B00F5" w:rsidRDefault="0000481F" w:rsidP="000B00F5">
      <w:pPr>
        <w:spacing w:line="360" w:lineRule="auto"/>
        <w:rPr>
          <w:rFonts w:ascii="Arial" w:hAnsi="Arial" w:cs="Arial"/>
        </w:rPr>
      </w:pPr>
      <w:r w:rsidRPr="000B00F5">
        <w:rPr>
          <w:rFonts w:ascii="Arial" w:hAnsi="Arial" w:cs="Arial"/>
          <w:color w:val="000000"/>
          <w:shd w:val="clear" w:color="auto" w:fill="FFFFFF"/>
        </w:rPr>
        <w:t xml:space="preserve">Windle, J., Moyle, L., &amp; </w:t>
      </w:r>
      <w:proofErr w:type="spellStart"/>
      <w:r w:rsidRPr="000B00F5">
        <w:rPr>
          <w:rFonts w:ascii="Arial" w:hAnsi="Arial" w:cs="Arial"/>
          <w:color w:val="000000"/>
          <w:shd w:val="clear" w:color="auto" w:fill="FFFFFF"/>
        </w:rPr>
        <w:t>Coomber</w:t>
      </w:r>
      <w:proofErr w:type="spellEnd"/>
      <w:r w:rsidRPr="000B00F5">
        <w:rPr>
          <w:rFonts w:ascii="Arial" w:hAnsi="Arial" w:cs="Arial"/>
          <w:color w:val="000000"/>
          <w:shd w:val="clear" w:color="auto" w:fill="FFFFFF"/>
        </w:rPr>
        <w:t xml:space="preserve">, R. (2020). ‘Vulnerable’ Kids Going Country: Children and Young People’s Involvement in County Lines Drug Dealing. </w:t>
      </w:r>
      <w:r w:rsidRPr="000B00F5">
        <w:rPr>
          <w:rFonts w:ascii="Arial" w:hAnsi="Arial" w:cs="Arial"/>
          <w:i/>
          <w:iCs/>
          <w:color w:val="333333"/>
          <w:shd w:val="clear" w:color="auto" w:fill="FFFFFF"/>
        </w:rPr>
        <w:t>Youth Justice, 20(1–2), pp.64–78.</w:t>
      </w:r>
    </w:p>
    <w:p w14:paraId="07C44D2B" w14:textId="77777777" w:rsidR="00725398" w:rsidRPr="00725398" w:rsidRDefault="00725398" w:rsidP="009C2A81">
      <w:pPr>
        <w:spacing w:line="360" w:lineRule="auto"/>
        <w:rPr>
          <w:rFonts w:ascii="Arial" w:hAnsi="Arial" w:cs="Arial"/>
          <w:b/>
          <w:bCs/>
        </w:rPr>
      </w:pPr>
    </w:p>
    <w:sectPr w:rsidR="00725398" w:rsidRPr="007253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1458640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398"/>
    <w:rsid w:val="0000481F"/>
    <w:rsid w:val="000B00F5"/>
    <w:rsid w:val="00155975"/>
    <w:rsid w:val="005E64E0"/>
    <w:rsid w:val="00701598"/>
    <w:rsid w:val="00725398"/>
    <w:rsid w:val="009C2A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9D00E"/>
  <w15:chartTrackingRefBased/>
  <w15:docId w15:val="{2CE0C311-0C43-45B9-95CB-1ECD19102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5398"/>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character" w:styleId="Emphasis">
    <w:name w:val="Emphasis"/>
    <w:basedOn w:val="DefaultParagraphFont"/>
    <w:uiPriority w:val="20"/>
    <w:qFormat/>
    <w:rsid w:val="00725398"/>
    <w:rPr>
      <w:i/>
      <w:iCs/>
    </w:rPr>
  </w:style>
  <w:style w:type="paragraph" w:styleId="NormalWeb">
    <w:name w:val="Normal (Web)"/>
    <w:basedOn w:val="Normal"/>
    <w:uiPriority w:val="99"/>
    <w:unhideWhenUsed/>
    <w:rsid w:val="0072539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22</Pages>
  <Words>6605</Words>
  <Characters>37654</Characters>
  <Application>Microsoft Office Word</Application>
  <DocSecurity>0</DocSecurity>
  <Lines>313</Lines>
  <Paragraphs>88</Paragraphs>
  <ScaleCrop>false</ScaleCrop>
  <Company>South Wales Police</Company>
  <LinksUpToDate>false</LinksUpToDate>
  <CharactersWithSpaces>44171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Challenger,Daniel swp8064</dc:creator>
  <cp:keywords/>
  <dc:description/>
  <cp:lastModifiedBy>Challenger,Daniel swp8064</cp:lastModifiedBy>
  <cp:revision>4</cp:revision>
  <dcterms:created xsi:type="dcterms:W3CDTF">2023-05-29T17:54:00Z</dcterms:created>
  <dcterms:modified xsi:type="dcterms:W3CDTF">2023-05-29T17:58:00Z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2023-05-22T14:25:35Z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e2156ba5-d3b0-472c-98c5-c0e24d5a41c9</vt:lpwstr>
  </property>
  <property fmtid="{D5CDD505-2E9C-101B-9397-08002B2CF9AE}" pid="8" name="MSIP_Label_66cf8fe5-b7b7-4df7-b38d-1c61ac2f6639_ContentBits">
    <vt:lpwstr>0</vt:lpwstr>
  </property>
</Properties>
</file>