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1A782F" w14:textId="3D8170DA" w:rsidR="00407EC9" w:rsidRDefault="00407EC9" w:rsidP="00407EC9">
      <w:pPr>
        <w:tabs>
          <w:tab w:val="left" w:pos="1474"/>
        </w:tabs>
      </w:pPr>
      <w:r>
        <w:t>Analysis of results</w:t>
      </w:r>
    </w:p>
    <w:p w14:paraId="25DAC811" w14:textId="553A027A" w:rsidR="00407EC9" w:rsidRDefault="00407EC9" w:rsidP="00407EC9">
      <w:pPr>
        <w:tabs>
          <w:tab w:val="left" w:pos="1474"/>
        </w:tabs>
      </w:pPr>
    </w:p>
    <w:p w14:paraId="2D7DD50B" w14:textId="5EE2DE50" w:rsidR="00407EC9" w:rsidRDefault="00407EC9" w:rsidP="00407EC9">
      <w:pPr>
        <w:tabs>
          <w:tab w:val="left" w:pos="1474"/>
        </w:tabs>
      </w:pPr>
      <w:r>
        <w:t>This section will discuss the findings retrieved from the measures utilised in this study. The measures discussed will include the PTSD checklist, civilian version (P</w:t>
      </w:r>
      <w:r w:rsidR="00F372AF">
        <w:t>CL</w:t>
      </w:r>
      <w:r>
        <w:t xml:space="preserve">-C) (appendix 1), alongside measurements of depression through the PH1-9 patient depression questionnaire (Appendix 2). These two measures were utilised due to their relevance in assessing mental health and emotions of officers who have dealt with difficult situations, such as fatal road traffic collisions, as evidence demonstrate that these </w:t>
      </w:r>
      <w:r w:rsidR="007E6995">
        <w:t xml:space="preserve">traumatic events leave lasting impacts on an </w:t>
      </w:r>
      <w:r w:rsidR="005D4F01">
        <w:t>officer’s</w:t>
      </w:r>
      <w:r w:rsidR="007E6995">
        <w:t xml:space="preserve"> mental health and coping strategies (</w:t>
      </w:r>
      <w:r w:rsidR="005D4F01" w:rsidRPr="005D4F01">
        <w:t>Velazquez</w:t>
      </w:r>
      <w:r w:rsidR="005D4F01">
        <w:t xml:space="preserve"> &amp; </w:t>
      </w:r>
      <w:r w:rsidR="005D4F01" w:rsidRPr="005D4F01">
        <w:t>Hernandez</w:t>
      </w:r>
      <w:r w:rsidR="005D4F01">
        <w:t>, 2019</w:t>
      </w:r>
      <w:r w:rsidR="007E6995">
        <w:t xml:space="preserve">). Additional interviews were conducted with road police officers for a deeper scope into how these traumatic events have affected them. </w:t>
      </w:r>
    </w:p>
    <w:p w14:paraId="2248D3C4" w14:textId="5EF0DA59" w:rsidR="007E6995" w:rsidRDefault="007E6995" w:rsidP="00407EC9">
      <w:pPr>
        <w:tabs>
          <w:tab w:val="left" w:pos="1474"/>
        </w:tabs>
      </w:pPr>
    </w:p>
    <w:p w14:paraId="26EBE33A" w14:textId="45945694" w:rsidR="00A1534E" w:rsidRDefault="007E6995" w:rsidP="00407EC9">
      <w:pPr>
        <w:tabs>
          <w:tab w:val="left" w:pos="1474"/>
        </w:tabs>
      </w:pPr>
      <w:r>
        <w:t>First, the P</w:t>
      </w:r>
      <w:r w:rsidR="00F372AF">
        <w:t>CL-</w:t>
      </w:r>
      <w:r>
        <w:t xml:space="preserve">C includes seventeen items for anonymous candidates complete to assess PTSD symptoms. The checklist begins by asking participants to rate the </w:t>
      </w:r>
      <w:proofErr w:type="gramStart"/>
      <w:r>
        <w:t>amount</w:t>
      </w:r>
      <w:proofErr w:type="gramEnd"/>
      <w:r>
        <w:t xml:space="preserve"> of times a statement has affected them within the last month, with statements such as ‘</w:t>
      </w:r>
      <w:r w:rsidRPr="007E6995">
        <w:t>Feeling very upset when something reminded you of a stressful experience from the past?</w:t>
      </w:r>
      <w:r>
        <w:t xml:space="preserve">’, asking participants to rate these from not at </w:t>
      </w:r>
      <w:proofErr w:type="spellStart"/>
      <w:r>
        <w:t>al</w:t>
      </w:r>
      <w:proofErr w:type="spellEnd"/>
      <w:r>
        <w:t xml:space="preserve"> (1) to Extremely (5). This was chosen due to </w:t>
      </w:r>
      <w:r w:rsidR="00F372AF">
        <w:t>its use on police officers to assess PTSD symptoms following a traumatic incident, with recent use to assess factors affecting PTSD post Hurricane Katrina (</w:t>
      </w:r>
      <w:proofErr w:type="spellStart"/>
      <w:r w:rsidR="00F372AF">
        <w:t>McCanlies</w:t>
      </w:r>
      <w:proofErr w:type="spellEnd"/>
      <w:r w:rsidR="00F372AF">
        <w:t xml:space="preserve">, </w:t>
      </w:r>
      <w:proofErr w:type="spellStart"/>
      <w:r w:rsidR="00F372AF" w:rsidRPr="00F372AF">
        <w:t>Mnatsakanova</w:t>
      </w:r>
      <w:proofErr w:type="spellEnd"/>
      <w:r w:rsidR="00F372AF">
        <w:t xml:space="preserve">, Andrew, </w:t>
      </w:r>
      <w:proofErr w:type="spellStart"/>
      <w:r w:rsidR="00F372AF">
        <w:t>Burchfiel</w:t>
      </w:r>
      <w:proofErr w:type="spellEnd"/>
      <w:r w:rsidR="00F372AF">
        <w:t xml:space="preserve"> &amp; </w:t>
      </w:r>
      <w:proofErr w:type="spellStart"/>
      <w:r w:rsidR="00F372AF">
        <w:t>Violanti</w:t>
      </w:r>
      <w:proofErr w:type="spellEnd"/>
      <w:r w:rsidR="00F372AF">
        <w:t xml:space="preserve">, 2014). </w:t>
      </w:r>
      <w:r w:rsidR="00A1534E">
        <w:t xml:space="preserve">Additionally, this item has been developed from the DSM criteria of diagnosis, ensuring high validity and reliability for the measure. </w:t>
      </w:r>
      <w:r w:rsidR="00F372AF">
        <w:t xml:space="preserve">Scores are added to assess symptom severity, with higher scores correlating with higher PTSD symptoms. </w:t>
      </w:r>
    </w:p>
    <w:p w14:paraId="494BCD04" w14:textId="77777777" w:rsidR="00A1534E" w:rsidRDefault="00A1534E" w:rsidP="00407EC9">
      <w:pPr>
        <w:tabs>
          <w:tab w:val="left" w:pos="1474"/>
        </w:tabs>
      </w:pPr>
    </w:p>
    <w:p w14:paraId="63D006AF" w14:textId="48F164A4" w:rsidR="00A1534E" w:rsidRDefault="00A1534E" w:rsidP="00407EC9">
      <w:pPr>
        <w:tabs>
          <w:tab w:val="left" w:pos="1474"/>
        </w:tabs>
      </w:pPr>
      <w:r>
        <w:t xml:space="preserve">Thirty participants volunteered to complete the PCL-C, with all participants instructed of the aim of the study, and their rights to withdraw at any time. Twenty participants scored mainly in the ‘not at all’ or ‘a little bit’ categories, demonstrating low severity scores. This suggests that these participants had little to no PTSD symptoms, typically scoring in the range of 20-25 out of 80 total. The remaining 10 participants demonstrated a significant increase in overall severity scores, demonstrating an average if 40 marks out of 80, with the highest scoring 73. </w:t>
      </w:r>
      <w:r w:rsidR="005E4DE8">
        <w:t xml:space="preserve">All ten participants circled items to suggest that their symptom severity was moderate or above.  This includes circling items such as ‘Trouble falling asleep’, ‘feeling as if your future will somehow be cut short’, and ‘feeling irritable or having angry outbursts’ as scores 4-5, from ‘quite a bit’ to ‘extremely’, the two highest marking sections for each statement. </w:t>
      </w:r>
    </w:p>
    <w:p w14:paraId="6FAEB474" w14:textId="1C4DADEB" w:rsidR="005E4DE8" w:rsidRDefault="005E4DE8" w:rsidP="00407EC9">
      <w:pPr>
        <w:tabs>
          <w:tab w:val="left" w:pos="1474"/>
        </w:tabs>
      </w:pPr>
    </w:p>
    <w:p w14:paraId="6B15D9E0" w14:textId="55E54699" w:rsidR="005E4DE8" w:rsidRDefault="005E4DE8" w:rsidP="00407EC9">
      <w:pPr>
        <w:tabs>
          <w:tab w:val="left" w:pos="1474"/>
        </w:tabs>
      </w:pPr>
      <w:r>
        <w:t xml:space="preserve">This measure suggests that although majority of participants did not experience much, or any, PTSD symptomology from the PCL-C measurement, those who did typically experienced a high level of symptom severity. </w:t>
      </w:r>
    </w:p>
    <w:p w14:paraId="57D240BC" w14:textId="380A4E61" w:rsidR="005E4DE8" w:rsidRDefault="005E4DE8" w:rsidP="00407EC9">
      <w:pPr>
        <w:tabs>
          <w:tab w:val="left" w:pos="1474"/>
        </w:tabs>
      </w:pPr>
    </w:p>
    <w:p w14:paraId="7E6DB028" w14:textId="1804F34F" w:rsidR="005E4DE8" w:rsidRDefault="005E4DE8" w:rsidP="00407EC9">
      <w:pPr>
        <w:tabs>
          <w:tab w:val="left" w:pos="1474"/>
        </w:tabs>
      </w:pPr>
      <w:r>
        <w:t xml:space="preserve">The PHQ-9 questionnaire measured depression symptoms, utilised to determine the likelihood of participants </w:t>
      </w:r>
      <w:r w:rsidR="00724617">
        <w:t>to be experiencing depression.</w:t>
      </w:r>
      <w:r w:rsidR="0094501B">
        <w:t xml:space="preserve"> This measure was chosen due to its </w:t>
      </w:r>
      <w:r w:rsidR="000336B4">
        <w:t xml:space="preserve">high specificity in detecting depression in patients, </w:t>
      </w:r>
      <w:proofErr w:type="gramStart"/>
      <w:r w:rsidR="000336B4">
        <w:t>however</w:t>
      </w:r>
      <w:proofErr w:type="gramEnd"/>
      <w:r w:rsidR="000336B4">
        <w:t xml:space="preserve"> must be used with caution due to its low sensitivity (</w:t>
      </w:r>
      <w:proofErr w:type="spellStart"/>
      <w:r w:rsidR="000336B4">
        <w:t>Manea</w:t>
      </w:r>
      <w:proofErr w:type="spellEnd"/>
      <w:r w:rsidR="000336B4">
        <w:t xml:space="preserve">, </w:t>
      </w:r>
      <w:proofErr w:type="spellStart"/>
      <w:r w:rsidR="000336B4">
        <w:t>Gilbody</w:t>
      </w:r>
      <w:proofErr w:type="spellEnd"/>
      <w:r w:rsidR="000336B4">
        <w:t xml:space="preserve"> &amp; McMillan, 2015). </w:t>
      </w:r>
      <w:r w:rsidR="00724617">
        <w:t xml:space="preserve"> This questionnaire comes with the following </w:t>
      </w:r>
      <w:r w:rsidR="0094501B">
        <w:t xml:space="preserve">scoring chart to determine the outcome of participants </w:t>
      </w:r>
      <w:proofErr w:type="gramStart"/>
      <w:r w:rsidR="0094501B">
        <w:t>answers;</w:t>
      </w:r>
      <w:proofErr w:type="gramEnd"/>
      <w:r w:rsidR="0094501B">
        <w:t xml:space="preserve"> </w:t>
      </w:r>
    </w:p>
    <w:p w14:paraId="0F585945" w14:textId="4B6566F6" w:rsidR="0094501B" w:rsidRDefault="0094501B" w:rsidP="00407EC9">
      <w:pPr>
        <w:tabs>
          <w:tab w:val="left" w:pos="1474"/>
        </w:tabs>
      </w:pPr>
    </w:p>
    <w:tbl>
      <w:tblPr>
        <w:tblStyle w:val="TableGrid"/>
        <w:tblpPr w:leftFromText="180" w:rightFromText="180" w:tblpY="864"/>
        <w:tblW w:w="0" w:type="auto"/>
        <w:tblLook w:val="04A0" w:firstRow="1" w:lastRow="0" w:firstColumn="1" w:lastColumn="0" w:noHBand="0" w:noVBand="1"/>
      </w:tblPr>
      <w:tblGrid>
        <w:gridCol w:w="4508"/>
        <w:gridCol w:w="4508"/>
      </w:tblGrid>
      <w:tr w:rsidR="0094501B" w14:paraId="54BCB9F4" w14:textId="77777777" w:rsidTr="00C54FCF">
        <w:tc>
          <w:tcPr>
            <w:tcW w:w="4508" w:type="dxa"/>
          </w:tcPr>
          <w:p w14:paraId="226EFD0C" w14:textId="77777777" w:rsidR="0094501B" w:rsidRDefault="0094501B" w:rsidP="00C54FCF">
            <w:pPr>
              <w:rPr>
                <w:sz w:val="24"/>
                <w:szCs w:val="24"/>
              </w:rPr>
            </w:pPr>
            <w:r>
              <w:rPr>
                <w:sz w:val="24"/>
                <w:szCs w:val="24"/>
              </w:rPr>
              <w:lastRenderedPageBreak/>
              <w:t>Total score</w:t>
            </w:r>
          </w:p>
        </w:tc>
        <w:tc>
          <w:tcPr>
            <w:tcW w:w="4508" w:type="dxa"/>
          </w:tcPr>
          <w:p w14:paraId="16EE72F4" w14:textId="77777777" w:rsidR="0094501B" w:rsidRDefault="0094501B" w:rsidP="00C54FCF">
            <w:pPr>
              <w:rPr>
                <w:sz w:val="24"/>
                <w:szCs w:val="24"/>
              </w:rPr>
            </w:pPr>
            <w:r>
              <w:rPr>
                <w:sz w:val="24"/>
                <w:szCs w:val="24"/>
              </w:rPr>
              <w:t xml:space="preserve">Depression severity </w:t>
            </w:r>
          </w:p>
        </w:tc>
      </w:tr>
      <w:tr w:rsidR="0094501B" w14:paraId="59B79239" w14:textId="77777777" w:rsidTr="00C54FCF">
        <w:tc>
          <w:tcPr>
            <w:tcW w:w="4508" w:type="dxa"/>
          </w:tcPr>
          <w:p w14:paraId="6736B222" w14:textId="77777777" w:rsidR="0094501B" w:rsidRDefault="0094501B" w:rsidP="00C54FCF">
            <w:pPr>
              <w:rPr>
                <w:sz w:val="24"/>
                <w:szCs w:val="24"/>
              </w:rPr>
            </w:pPr>
            <w:r>
              <w:rPr>
                <w:sz w:val="24"/>
                <w:szCs w:val="24"/>
              </w:rPr>
              <w:t>1-4</w:t>
            </w:r>
          </w:p>
        </w:tc>
        <w:tc>
          <w:tcPr>
            <w:tcW w:w="4508" w:type="dxa"/>
          </w:tcPr>
          <w:p w14:paraId="385CC327" w14:textId="77777777" w:rsidR="0094501B" w:rsidRDefault="0094501B" w:rsidP="00C54FCF">
            <w:pPr>
              <w:rPr>
                <w:sz w:val="24"/>
                <w:szCs w:val="24"/>
              </w:rPr>
            </w:pPr>
            <w:r>
              <w:rPr>
                <w:sz w:val="24"/>
                <w:szCs w:val="24"/>
              </w:rPr>
              <w:t xml:space="preserve">Minimal depression </w:t>
            </w:r>
          </w:p>
        </w:tc>
      </w:tr>
      <w:tr w:rsidR="0094501B" w14:paraId="141D0195" w14:textId="77777777" w:rsidTr="00C54FCF">
        <w:tc>
          <w:tcPr>
            <w:tcW w:w="4508" w:type="dxa"/>
          </w:tcPr>
          <w:p w14:paraId="7271737D" w14:textId="77777777" w:rsidR="0094501B" w:rsidRDefault="0094501B" w:rsidP="00C54FCF">
            <w:pPr>
              <w:rPr>
                <w:sz w:val="24"/>
                <w:szCs w:val="24"/>
              </w:rPr>
            </w:pPr>
            <w:r>
              <w:rPr>
                <w:sz w:val="24"/>
                <w:szCs w:val="24"/>
              </w:rPr>
              <w:t>5-9</w:t>
            </w:r>
          </w:p>
        </w:tc>
        <w:tc>
          <w:tcPr>
            <w:tcW w:w="4508" w:type="dxa"/>
          </w:tcPr>
          <w:p w14:paraId="05687A00" w14:textId="77777777" w:rsidR="0094501B" w:rsidRDefault="0094501B" w:rsidP="00C54FCF">
            <w:pPr>
              <w:rPr>
                <w:sz w:val="24"/>
                <w:szCs w:val="24"/>
              </w:rPr>
            </w:pPr>
            <w:r>
              <w:rPr>
                <w:sz w:val="24"/>
                <w:szCs w:val="24"/>
              </w:rPr>
              <w:t xml:space="preserve">Mild depression </w:t>
            </w:r>
          </w:p>
        </w:tc>
      </w:tr>
      <w:tr w:rsidR="0094501B" w14:paraId="77135C70" w14:textId="77777777" w:rsidTr="00C54FCF">
        <w:tc>
          <w:tcPr>
            <w:tcW w:w="4508" w:type="dxa"/>
          </w:tcPr>
          <w:p w14:paraId="37D271B8" w14:textId="77777777" w:rsidR="0094501B" w:rsidRDefault="0094501B" w:rsidP="00C54FCF">
            <w:pPr>
              <w:rPr>
                <w:sz w:val="24"/>
                <w:szCs w:val="24"/>
              </w:rPr>
            </w:pPr>
            <w:r>
              <w:rPr>
                <w:sz w:val="24"/>
                <w:szCs w:val="24"/>
              </w:rPr>
              <w:t>10-14</w:t>
            </w:r>
          </w:p>
        </w:tc>
        <w:tc>
          <w:tcPr>
            <w:tcW w:w="4508" w:type="dxa"/>
          </w:tcPr>
          <w:p w14:paraId="1F61695A" w14:textId="77777777" w:rsidR="0094501B" w:rsidRDefault="0094501B" w:rsidP="00C54FCF">
            <w:pPr>
              <w:rPr>
                <w:sz w:val="24"/>
                <w:szCs w:val="24"/>
              </w:rPr>
            </w:pPr>
            <w:r>
              <w:rPr>
                <w:sz w:val="24"/>
                <w:szCs w:val="24"/>
              </w:rPr>
              <w:t xml:space="preserve">Moderate depression </w:t>
            </w:r>
          </w:p>
        </w:tc>
      </w:tr>
      <w:tr w:rsidR="0094501B" w14:paraId="47498900" w14:textId="77777777" w:rsidTr="00C54FCF">
        <w:tc>
          <w:tcPr>
            <w:tcW w:w="4508" w:type="dxa"/>
          </w:tcPr>
          <w:p w14:paraId="3CCE1E1D" w14:textId="77777777" w:rsidR="0094501B" w:rsidRDefault="0094501B" w:rsidP="00C54FCF">
            <w:pPr>
              <w:rPr>
                <w:sz w:val="24"/>
                <w:szCs w:val="24"/>
              </w:rPr>
            </w:pPr>
            <w:r>
              <w:rPr>
                <w:sz w:val="24"/>
                <w:szCs w:val="24"/>
              </w:rPr>
              <w:t>15-19</w:t>
            </w:r>
          </w:p>
        </w:tc>
        <w:tc>
          <w:tcPr>
            <w:tcW w:w="4508" w:type="dxa"/>
          </w:tcPr>
          <w:p w14:paraId="4A6607E4" w14:textId="77777777" w:rsidR="0094501B" w:rsidRDefault="0094501B" w:rsidP="00C54FCF">
            <w:pPr>
              <w:rPr>
                <w:sz w:val="24"/>
                <w:szCs w:val="24"/>
              </w:rPr>
            </w:pPr>
            <w:r>
              <w:rPr>
                <w:sz w:val="24"/>
                <w:szCs w:val="24"/>
              </w:rPr>
              <w:t xml:space="preserve">Moderately severe depression  </w:t>
            </w:r>
          </w:p>
        </w:tc>
      </w:tr>
      <w:tr w:rsidR="0094501B" w14:paraId="7B43BFE4" w14:textId="77777777" w:rsidTr="00C54FCF">
        <w:tc>
          <w:tcPr>
            <w:tcW w:w="4508" w:type="dxa"/>
          </w:tcPr>
          <w:p w14:paraId="6B19904D" w14:textId="77777777" w:rsidR="0094501B" w:rsidRDefault="0094501B" w:rsidP="00C54FCF">
            <w:pPr>
              <w:rPr>
                <w:sz w:val="24"/>
                <w:szCs w:val="24"/>
              </w:rPr>
            </w:pPr>
            <w:r>
              <w:rPr>
                <w:sz w:val="24"/>
                <w:szCs w:val="24"/>
              </w:rPr>
              <w:t>20-27</w:t>
            </w:r>
          </w:p>
        </w:tc>
        <w:tc>
          <w:tcPr>
            <w:tcW w:w="4508" w:type="dxa"/>
          </w:tcPr>
          <w:p w14:paraId="4EC1C8DE" w14:textId="77777777" w:rsidR="0094501B" w:rsidRDefault="0094501B" w:rsidP="00C54FCF">
            <w:pPr>
              <w:rPr>
                <w:sz w:val="24"/>
                <w:szCs w:val="24"/>
              </w:rPr>
            </w:pPr>
            <w:r>
              <w:rPr>
                <w:sz w:val="24"/>
                <w:szCs w:val="24"/>
              </w:rPr>
              <w:t xml:space="preserve">Severe depression. </w:t>
            </w:r>
          </w:p>
        </w:tc>
      </w:tr>
    </w:tbl>
    <w:p w14:paraId="0C2BBC5E" w14:textId="77777777" w:rsidR="0094501B" w:rsidRDefault="0094501B" w:rsidP="00407EC9">
      <w:pPr>
        <w:tabs>
          <w:tab w:val="left" w:pos="1474"/>
        </w:tabs>
      </w:pPr>
    </w:p>
    <w:p w14:paraId="4F56CC0A" w14:textId="4FDE71F3" w:rsidR="00F372AF" w:rsidRDefault="00F372AF" w:rsidP="00407EC9">
      <w:pPr>
        <w:tabs>
          <w:tab w:val="left" w:pos="1474"/>
        </w:tabs>
      </w:pPr>
    </w:p>
    <w:p w14:paraId="23C65AB6" w14:textId="0B92AD05" w:rsidR="00F372AF" w:rsidRDefault="00F372AF" w:rsidP="00407EC9">
      <w:pPr>
        <w:tabs>
          <w:tab w:val="left" w:pos="1474"/>
        </w:tabs>
      </w:pPr>
    </w:p>
    <w:p w14:paraId="6939ABAE" w14:textId="250A31ED" w:rsidR="0094501B" w:rsidRDefault="0094501B" w:rsidP="00407EC9">
      <w:pPr>
        <w:tabs>
          <w:tab w:val="left" w:pos="1474"/>
        </w:tabs>
      </w:pPr>
      <w:r>
        <w:t xml:space="preserve">Furthermore, I will be </w:t>
      </w:r>
      <w:proofErr w:type="gramStart"/>
      <w:r>
        <w:t>discuss</w:t>
      </w:r>
      <w:proofErr w:type="gramEnd"/>
      <w:r>
        <w:t xml:space="preserve"> the overall findings of the PHQ-9 checklist in comparison to the scoring of the PLC-C measure. This is done to determine any correlation between PTSD symptom severity and depression severity, with the aim to measure any relationship between them. </w:t>
      </w:r>
      <w:r w:rsidR="008B0F41">
        <w:t>Nine items were presented to the participants, asking them to measure how often they have been experiencing depressed symptoms for the last two weeks, scoring from ‘not at all’ (1) to ‘nearly every day’ (4). Items included examples such as, ‘</w:t>
      </w:r>
      <w:r w:rsidR="008B0F41" w:rsidRPr="008B0F41">
        <w:t>Trouble concentrating on things, such as reading the newspaper or watching television?</w:t>
      </w:r>
      <w:r w:rsidR="008B0F41">
        <w:t>’ and ‘</w:t>
      </w:r>
      <w:r w:rsidR="008B0F41" w:rsidRPr="008B0F41">
        <w:t>Thoughts that you would be better off dead, or of hurting yourself in some way?</w:t>
      </w:r>
      <w:r w:rsidR="008B0F41">
        <w:t xml:space="preserve">’. </w:t>
      </w:r>
      <w:r>
        <w:t xml:space="preserve">To </w:t>
      </w:r>
      <w:r w:rsidR="008B0F41">
        <w:t xml:space="preserve">ensure </w:t>
      </w:r>
      <w:r>
        <w:t xml:space="preserve">consistency, the following will be discussed with the 20 low scoring PTSD participants, separately from the 10 high scoring PTSD participants. </w:t>
      </w:r>
    </w:p>
    <w:p w14:paraId="74A3BF01" w14:textId="48E38465" w:rsidR="0094501B" w:rsidRDefault="0094501B" w:rsidP="00407EC9">
      <w:pPr>
        <w:tabs>
          <w:tab w:val="left" w:pos="1474"/>
        </w:tabs>
      </w:pPr>
    </w:p>
    <w:p w14:paraId="5B5AFA6B" w14:textId="104950DF" w:rsidR="0094501B" w:rsidRDefault="0094501B" w:rsidP="00407EC9">
      <w:pPr>
        <w:tabs>
          <w:tab w:val="left" w:pos="1474"/>
        </w:tabs>
      </w:pPr>
      <w:r>
        <w:t>When analysing the 20 low scoring PTSD participants</w:t>
      </w:r>
      <w:r w:rsidR="000336B4">
        <w:t>, the PHQ-9 checklist found an average score of 5, suggesting mild depression in these participants</w:t>
      </w:r>
      <w:r w:rsidR="00315F77">
        <w:t xml:space="preserve">, with </w:t>
      </w:r>
      <w:r w:rsidR="008B0F41">
        <w:t xml:space="preserve">higher scores for items such </w:t>
      </w:r>
      <w:proofErr w:type="gramStart"/>
      <w:r w:rsidR="008B0F41">
        <w:t>as;</w:t>
      </w:r>
      <w:proofErr w:type="gramEnd"/>
      <w:r w:rsidR="008B0F41">
        <w:t xml:space="preserve"> ‘trouble falling asleep, or sleeping too much’ and ‘feeling tired or having little energy’, with most circling the answer ‘more than half the days’ (3). </w:t>
      </w:r>
    </w:p>
    <w:p w14:paraId="67B0281E" w14:textId="6BFFEE13" w:rsidR="008B0F41" w:rsidRDefault="008B0F41" w:rsidP="00407EC9">
      <w:pPr>
        <w:tabs>
          <w:tab w:val="left" w:pos="1474"/>
        </w:tabs>
      </w:pPr>
    </w:p>
    <w:p w14:paraId="545D2D50" w14:textId="6BAD8068" w:rsidR="008B0F41" w:rsidRDefault="008B0F41" w:rsidP="00407EC9">
      <w:pPr>
        <w:tabs>
          <w:tab w:val="left" w:pos="1474"/>
        </w:tabs>
      </w:pPr>
      <w:r>
        <w:t xml:space="preserve">The other ten participants who scored the highest on the PTSD scale, it transpires that all ten experienced </w:t>
      </w:r>
      <w:r w:rsidR="007F5406">
        <w:t xml:space="preserve">at least </w:t>
      </w:r>
      <w:r>
        <w:t>moderate depression, with scores ranging between 10-14.</w:t>
      </w:r>
      <w:r w:rsidR="007F5406">
        <w:t xml:space="preserve"> Of these ten participants, two demonstrated moderately severe depression, with the highest score of all participants being 19, out of 27. Similarly, to the prior twenty participants, all ten occupants complained of ‘trouble falling asleep, or sleeping too much’ as ‘nearly every </w:t>
      </w:r>
      <w:proofErr w:type="gramStart"/>
      <w:r w:rsidR="007F5406">
        <w:t>day;</w:t>
      </w:r>
      <w:proofErr w:type="gramEnd"/>
      <w:r w:rsidR="007F5406">
        <w:t xml:space="preserve"> in the past two weeks. Interestingly, the highest scoring participant on the PTSD checklist further demonstrated the highest depression score. </w:t>
      </w:r>
    </w:p>
    <w:p w14:paraId="7A24032C" w14:textId="529AB6AE" w:rsidR="007F5406" w:rsidRDefault="007F5406" w:rsidP="00407EC9">
      <w:pPr>
        <w:tabs>
          <w:tab w:val="left" w:pos="1474"/>
        </w:tabs>
      </w:pPr>
    </w:p>
    <w:p w14:paraId="62EB50ED" w14:textId="79642F0C" w:rsidR="0094501B" w:rsidRDefault="00B541FC" w:rsidP="00407EC9">
      <w:pPr>
        <w:tabs>
          <w:tab w:val="left" w:pos="1474"/>
        </w:tabs>
      </w:pPr>
      <w:r>
        <w:t xml:space="preserve">One limitation of using questionnaires is the lack of depth and understanding of individuals experiences with mental health symptoms. Thus, to gather more understanding about the relationship between witnessing traumatic events and the emotions and mental health difficulties that coincide, I gathered participants to had experience in attending fatal road traffic collisions. Using semi-structured interviews, with the opportunity for participants to expand on answers, I quickly found consistent patterns in the answers participants offered. </w:t>
      </w:r>
    </w:p>
    <w:p w14:paraId="136DCD95" w14:textId="76748818" w:rsidR="00B541FC" w:rsidRDefault="00B541FC" w:rsidP="00407EC9">
      <w:pPr>
        <w:tabs>
          <w:tab w:val="left" w:pos="1474"/>
        </w:tabs>
      </w:pPr>
    </w:p>
    <w:p w14:paraId="03447E35" w14:textId="55EE1F07" w:rsidR="00B541FC" w:rsidRDefault="00B541FC" w:rsidP="00407EC9">
      <w:pPr>
        <w:tabs>
          <w:tab w:val="left" w:pos="1474"/>
        </w:tabs>
      </w:pPr>
      <w:r>
        <w:t xml:space="preserve">When interviewing participants, I asked questions regarding these traumatic events, asking the different ways they had coped with their emotions during and after these difficult situations. Many answers revolved around their role as a police officer, in which the institution had desensitised them when it came to difficult and traumatic situations. Most had seen and dealt with death from the beginning of their careers, becoming a normal occurrence within their role. </w:t>
      </w:r>
    </w:p>
    <w:p w14:paraId="2CFD0E9E" w14:textId="77926BFD" w:rsidR="00B541FC" w:rsidRDefault="00B541FC" w:rsidP="00407EC9">
      <w:pPr>
        <w:tabs>
          <w:tab w:val="left" w:pos="1474"/>
        </w:tabs>
      </w:pPr>
      <w:r>
        <w:lastRenderedPageBreak/>
        <w:t>To expand on this, I asked whether these situations and traumatic events stayed with them, possibly causing distress. Man</w:t>
      </w:r>
      <w:r w:rsidR="00AF44AC">
        <w:t>y stated that these events did stay with them, but the extent depended on its severity and many factors that surrounded these events. Worryingly, it appeared that many officers stated that they found it difficult to separate from these events, causing them to think about it regularly. This is a common occurrence in officers, with recent literature stating that rumination, the process of constant thinking of thoughts and events, typically dark and sad, with officers more likely to ruminate about experienced traumatic events more likely to lead to PTSD (</w:t>
      </w:r>
      <w:proofErr w:type="spellStart"/>
      <w:r w:rsidR="00AF44AC" w:rsidRPr="00AF44AC">
        <w:t>Ogińska-Bulik</w:t>
      </w:r>
      <w:proofErr w:type="spellEnd"/>
      <w:r w:rsidR="00AF44AC">
        <w:t xml:space="preserve"> &amp; </w:t>
      </w:r>
      <w:proofErr w:type="spellStart"/>
      <w:r w:rsidR="00AF44AC" w:rsidRPr="00AF44AC">
        <w:t>Juczyński</w:t>
      </w:r>
      <w:proofErr w:type="spellEnd"/>
      <w:r w:rsidR="00AF44AC">
        <w:t xml:space="preserve">, 2021). They did not state that these incidents upset them, but they find it difficult to detach from some of the more serious and traumatic incidents that they have been called to. </w:t>
      </w:r>
    </w:p>
    <w:p w14:paraId="4745BC26" w14:textId="594FE5BB" w:rsidR="00AF44AC" w:rsidRDefault="00AF44AC" w:rsidP="00407EC9">
      <w:pPr>
        <w:tabs>
          <w:tab w:val="left" w:pos="1474"/>
        </w:tabs>
      </w:pPr>
    </w:p>
    <w:p w14:paraId="464F7570" w14:textId="77777777" w:rsidR="005D4F01" w:rsidRDefault="00AF44AC" w:rsidP="00407EC9">
      <w:pPr>
        <w:tabs>
          <w:tab w:val="left" w:pos="1474"/>
        </w:tabs>
      </w:pPr>
      <w:r>
        <w:t>Additional questions asked regarded the support that participants had received, and if this suppor</w:t>
      </w:r>
      <w:r w:rsidR="00FB3450">
        <w:t xml:space="preserve">t appropriately aided them in dealing with these situations and its associated emotions. It appeared that the service had accommodated to participants needs when it came to concerns about mental health and burnout. </w:t>
      </w:r>
      <w:r w:rsidR="00AC53C8">
        <w:t>One question in particular was asked, “Do you believe that stigma still surrounds mental health and accessing support in the police?”, with most answering yes. In follow up questions, regarding whether this stigma had prevented them from accessing support in the police, many stated that they were concerned about the stigma which made them uncomfortable and unable to access the appropriate support they needed. However, due to initial support that was offered following these traumatic events, many did state that they knew how to access support, alongside the many avenu</w:t>
      </w:r>
      <w:r w:rsidR="005D4F01">
        <w:t>es.</w:t>
      </w:r>
    </w:p>
    <w:p w14:paraId="056C8FEF" w14:textId="77777777" w:rsidR="005D4F01" w:rsidRDefault="005D4F01" w:rsidP="00407EC9">
      <w:pPr>
        <w:tabs>
          <w:tab w:val="left" w:pos="1474"/>
        </w:tabs>
      </w:pPr>
    </w:p>
    <w:p w14:paraId="29C21A8B" w14:textId="024B1D09" w:rsidR="00AC53C8" w:rsidRDefault="005D4F01" w:rsidP="00407EC9">
      <w:pPr>
        <w:tabs>
          <w:tab w:val="left" w:pos="1474"/>
        </w:tabs>
      </w:pPr>
      <w:r>
        <w:t xml:space="preserve"> It became evident that some participants preferred to access support outside the police, with common avenues being their GP and medications to help with symptoms of depression and anxiety. This may have been due to the stigma surrounding mental health within the police service, with a recent meta-review </w:t>
      </w:r>
      <w:r w:rsidR="003660C0">
        <w:t>stating that the unknowing promotion of stigma within the police service is a significant contributory factor of the development of mental health difficulties, such as depression and PTSD, due to low support seeking (</w:t>
      </w:r>
      <w:r w:rsidR="003660C0" w:rsidRPr="005D4F01">
        <w:t>Velazquez &amp; Hernandez</w:t>
      </w:r>
      <w:r w:rsidR="003660C0">
        <w:t xml:space="preserve">, </w:t>
      </w:r>
      <w:r w:rsidR="003660C0" w:rsidRPr="005D4F01">
        <w:t>2019)</w:t>
      </w:r>
      <w:r w:rsidR="003660C0">
        <w:t xml:space="preserve">. Thus, it isn’t surprising that many officers interviewed may be uncomfortable in accessing support from the service, seeking support elsewhere. </w:t>
      </w:r>
      <w:r w:rsidR="003660C0" w:rsidRPr="005D4F01">
        <w:t xml:space="preserve"> </w:t>
      </w:r>
      <w:r>
        <w:t>Additionally, attitudes towards mental health support within the police prevented them from accessing support, with a ‘get on with it’ mentality evident.</w:t>
      </w:r>
      <w:r w:rsidR="00D72286">
        <w:t xml:space="preserve"> However, it is noted that some officers stated that for some of their closest colleagues, especially those also struggling with mental health, this attitude slightly shifts. Some suggested that they are more comfortable in confiding with their colleagues who also struggle with similar symptoms as themselves, as they are more trustworthy than the service regarding the stigma, as they are less likely to judge them as less able, or weak. </w:t>
      </w:r>
    </w:p>
    <w:p w14:paraId="798428F6" w14:textId="5E24698A" w:rsidR="00FB3450" w:rsidRDefault="00FB3450" w:rsidP="00407EC9">
      <w:pPr>
        <w:tabs>
          <w:tab w:val="left" w:pos="1474"/>
        </w:tabs>
      </w:pPr>
    </w:p>
    <w:p w14:paraId="35F1BCDC" w14:textId="41171A0D" w:rsidR="00FB3450" w:rsidRDefault="00FB3450" w:rsidP="00407EC9">
      <w:pPr>
        <w:tabs>
          <w:tab w:val="left" w:pos="1474"/>
        </w:tabs>
      </w:pPr>
      <w:r>
        <w:t xml:space="preserve">The conclusion of the interviews found that many participants who had experienced traumatic events in relation to fatal road traffic collisions find it difficult to move on and detach from the situation. Participants demonstrated patterns of rumination in their experience of thinking about these events, particularly some of the more severe cases. Additionally, it was evident that the stigma surrounding mental health in the police, alongside the ‘get on with </w:t>
      </w:r>
      <w:proofErr w:type="gramStart"/>
      <w:r>
        <w:t>it</w:t>
      </w:r>
      <w:proofErr w:type="gramEnd"/>
      <w:r>
        <w:t xml:space="preserve"> attitude’ mentioned, severely impacts an individuals need to access support due to lack of comfort and fear of being negatively judged by others. </w:t>
      </w:r>
    </w:p>
    <w:p w14:paraId="5B5D0CE0" w14:textId="2E4F386B" w:rsidR="00AF44AC" w:rsidRDefault="00AF44AC" w:rsidP="00407EC9">
      <w:pPr>
        <w:tabs>
          <w:tab w:val="left" w:pos="1474"/>
        </w:tabs>
      </w:pPr>
    </w:p>
    <w:p w14:paraId="30343697" w14:textId="77777777" w:rsidR="00FB3450" w:rsidRDefault="00FB3450" w:rsidP="00407EC9">
      <w:pPr>
        <w:tabs>
          <w:tab w:val="left" w:pos="1474"/>
        </w:tabs>
      </w:pPr>
    </w:p>
    <w:p w14:paraId="45788435" w14:textId="3B74B607" w:rsidR="00AF44AC" w:rsidRDefault="00AF44AC" w:rsidP="00407EC9">
      <w:pPr>
        <w:tabs>
          <w:tab w:val="left" w:pos="1474"/>
        </w:tabs>
      </w:pPr>
    </w:p>
    <w:p w14:paraId="0777FD0B" w14:textId="213341F3" w:rsidR="00AF44AC" w:rsidRDefault="00AF44AC" w:rsidP="00407EC9">
      <w:pPr>
        <w:tabs>
          <w:tab w:val="left" w:pos="1474"/>
        </w:tabs>
      </w:pPr>
    </w:p>
    <w:p w14:paraId="4675CE89" w14:textId="30812DA5" w:rsidR="00AF44AC" w:rsidRDefault="00AF44AC" w:rsidP="00407EC9">
      <w:pPr>
        <w:tabs>
          <w:tab w:val="left" w:pos="1474"/>
        </w:tabs>
      </w:pPr>
    </w:p>
    <w:p w14:paraId="66C0DE8B" w14:textId="10265EE7" w:rsidR="00AF44AC" w:rsidRDefault="00AF44AC" w:rsidP="00407EC9">
      <w:pPr>
        <w:tabs>
          <w:tab w:val="left" w:pos="1474"/>
        </w:tabs>
      </w:pPr>
    </w:p>
    <w:p w14:paraId="2B1386AE" w14:textId="77777777" w:rsidR="00AF44AC" w:rsidRDefault="00AF44AC" w:rsidP="00407EC9">
      <w:pPr>
        <w:tabs>
          <w:tab w:val="left" w:pos="1474"/>
        </w:tabs>
      </w:pPr>
    </w:p>
    <w:p w14:paraId="263A94B2" w14:textId="77777777" w:rsidR="00B541FC" w:rsidRDefault="00B541FC" w:rsidP="00407EC9">
      <w:pPr>
        <w:tabs>
          <w:tab w:val="left" w:pos="1474"/>
        </w:tabs>
      </w:pPr>
    </w:p>
    <w:p w14:paraId="4313EBCD" w14:textId="77777777" w:rsidR="0094501B" w:rsidRDefault="0094501B" w:rsidP="00407EC9">
      <w:pPr>
        <w:tabs>
          <w:tab w:val="left" w:pos="1474"/>
        </w:tabs>
      </w:pPr>
    </w:p>
    <w:p w14:paraId="730B496B" w14:textId="130C89CE" w:rsidR="00F372AF" w:rsidRDefault="00F372AF" w:rsidP="00407EC9">
      <w:pPr>
        <w:tabs>
          <w:tab w:val="left" w:pos="1474"/>
        </w:tabs>
      </w:pPr>
    </w:p>
    <w:p w14:paraId="630F6818" w14:textId="2B8EE71E" w:rsidR="00F372AF" w:rsidRDefault="00F372AF" w:rsidP="00407EC9">
      <w:pPr>
        <w:tabs>
          <w:tab w:val="left" w:pos="1474"/>
        </w:tabs>
      </w:pPr>
      <w:r>
        <w:t xml:space="preserve">References </w:t>
      </w:r>
    </w:p>
    <w:p w14:paraId="24452CE3" w14:textId="14DAC0AA" w:rsidR="00F372AF" w:rsidRDefault="00F372AF" w:rsidP="00407EC9">
      <w:pPr>
        <w:tabs>
          <w:tab w:val="left" w:pos="1474"/>
        </w:tabs>
      </w:pPr>
    </w:p>
    <w:p w14:paraId="6ED366D8" w14:textId="6B02B5D3" w:rsidR="00F372AF" w:rsidRDefault="00F372AF" w:rsidP="00F372AF">
      <w:pPr>
        <w:tabs>
          <w:tab w:val="left" w:pos="1474"/>
        </w:tabs>
      </w:pPr>
      <w:proofErr w:type="spellStart"/>
      <w:r w:rsidRPr="00F372AF">
        <w:t>McCanlies</w:t>
      </w:r>
      <w:proofErr w:type="spellEnd"/>
      <w:r w:rsidRPr="00F372AF">
        <w:t xml:space="preserve">, E. C., </w:t>
      </w:r>
      <w:proofErr w:type="spellStart"/>
      <w:r w:rsidRPr="00F372AF">
        <w:t>Mnatsakanova</w:t>
      </w:r>
      <w:proofErr w:type="spellEnd"/>
      <w:r w:rsidRPr="00F372AF">
        <w:t xml:space="preserve">, A., Andrew, M. E., </w:t>
      </w:r>
      <w:proofErr w:type="spellStart"/>
      <w:r w:rsidRPr="00F372AF">
        <w:t>Burchfiel</w:t>
      </w:r>
      <w:proofErr w:type="spellEnd"/>
      <w:r w:rsidRPr="00F372AF">
        <w:t xml:space="preserve">, C. M., &amp; </w:t>
      </w:r>
      <w:proofErr w:type="spellStart"/>
      <w:r w:rsidRPr="00F372AF">
        <w:t>Violanti</w:t>
      </w:r>
      <w:proofErr w:type="spellEnd"/>
      <w:r w:rsidRPr="00F372AF">
        <w:t>, J. M. (2014). Positive psychological factors are associated with lower PTSD symptoms among police officers: Post Hurricane Katrina. </w:t>
      </w:r>
      <w:r w:rsidRPr="00F372AF">
        <w:rPr>
          <w:i/>
          <w:iCs/>
        </w:rPr>
        <w:t>Stress and Health</w:t>
      </w:r>
      <w:r w:rsidRPr="00F372AF">
        <w:t>, </w:t>
      </w:r>
      <w:r w:rsidRPr="00F372AF">
        <w:rPr>
          <w:i/>
          <w:iCs/>
        </w:rPr>
        <w:t>30</w:t>
      </w:r>
      <w:r w:rsidRPr="00F372AF">
        <w:t>(5), 405-415.</w:t>
      </w:r>
    </w:p>
    <w:p w14:paraId="6206404F" w14:textId="24DDFCD4" w:rsidR="000336B4" w:rsidRDefault="000336B4" w:rsidP="00F372AF">
      <w:pPr>
        <w:tabs>
          <w:tab w:val="left" w:pos="1474"/>
        </w:tabs>
      </w:pPr>
    </w:p>
    <w:p w14:paraId="73391A98" w14:textId="724D4C1F" w:rsidR="000336B4" w:rsidRDefault="000336B4" w:rsidP="00F372AF">
      <w:pPr>
        <w:tabs>
          <w:tab w:val="left" w:pos="1474"/>
        </w:tabs>
      </w:pPr>
      <w:proofErr w:type="spellStart"/>
      <w:r w:rsidRPr="000336B4">
        <w:t>Manea</w:t>
      </w:r>
      <w:proofErr w:type="spellEnd"/>
      <w:r w:rsidRPr="000336B4">
        <w:t xml:space="preserve">, L., </w:t>
      </w:r>
      <w:proofErr w:type="spellStart"/>
      <w:r w:rsidRPr="000336B4">
        <w:t>Gilbody</w:t>
      </w:r>
      <w:proofErr w:type="spellEnd"/>
      <w:r w:rsidRPr="000336B4">
        <w:t>, S. and McMillan, D., 2015. A diagnostic meta-analysis of the Patient Health Questionnaire-9 (PHQ-9) algorithm scoring method as a screen for depression. </w:t>
      </w:r>
      <w:r w:rsidRPr="000336B4">
        <w:rPr>
          <w:i/>
          <w:iCs/>
        </w:rPr>
        <w:t>General hospital psychiatry</w:t>
      </w:r>
      <w:r w:rsidRPr="000336B4">
        <w:t>, </w:t>
      </w:r>
      <w:r w:rsidRPr="000336B4">
        <w:rPr>
          <w:i/>
          <w:iCs/>
        </w:rPr>
        <w:t>37</w:t>
      </w:r>
      <w:r w:rsidRPr="000336B4">
        <w:t>(1), pp.67-75.</w:t>
      </w:r>
    </w:p>
    <w:p w14:paraId="1A6E3973" w14:textId="119EB1BE" w:rsidR="00AF44AC" w:rsidRDefault="00AF44AC" w:rsidP="00F372AF">
      <w:pPr>
        <w:tabs>
          <w:tab w:val="left" w:pos="1474"/>
        </w:tabs>
      </w:pPr>
    </w:p>
    <w:p w14:paraId="71EEE61F" w14:textId="027C10D4" w:rsidR="00AF44AC" w:rsidRDefault="00AF44AC" w:rsidP="00AF44AC">
      <w:pPr>
        <w:tabs>
          <w:tab w:val="left" w:pos="1474"/>
        </w:tabs>
      </w:pPr>
      <w:proofErr w:type="spellStart"/>
      <w:r w:rsidRPr="00AF44AC">
        <w:t>Ogińska-Bulik</w:t>
      </w:r>
      <w:proofErr w:type="spellEnd"/>
      <w:r w:rsidRPr="00AF44AC">
        <w:t xml:space="preserve">, N. and </w:t>
      </w:r>
      <w:proofErr w:type="spellStart"/>
      <w:r w:rsidRPr="00AF44AC">
        <w:t>Juczyński</w:t>
      </w:r>
      <w:proofErr w:type="spellEnd"/>
      <w:r w:rsidRPr="00AF44AC">
        <w:t>, Z., 2021. Burnout and posttraumatic stress symptoms in police officers exposed to traumatic events: the mediating role of ruminations. </w:t>
      </w:r>
      <w:r w:rsidRPr="00AF44AC">
        <w:rPr>
          <w:i/>
          <w:iCs/>
        </w:rPr>
        <w:t>International Archives of Occupational and Environmental Health</w:t>
      </w:r>
      <w:r w:rsidRPr="00AF44AC">
        <w:t>, </w:t>
      </w:r>
      <w:r w:rsidRPr="00AF44AC">
        <w:rPr>
          <w:i/>
          <w:iCs/>
        </w:rPr>
        <w:t>94</w:t>
      </w:r>
      <w:r w:rsidRPr="00AF44AC">
        <w:t>(6), pp.1201-1209.</w:t>
      </w:r>
    </w:p>
    <w:p w14:paraId="6C9E4485" w14:textId="0EB7824E" w:rsidR="005D4F01" w:rsidRDefault="005D4F01" w:rsidP="00AF44AC">
      <w:pPr>
        <w:tabs>
          <w:tab w:val="left" w:pos="1474"/>
        </w:tabs>
      </w:pPr>
    </w:p>
    <w:p w14:paraId="2E4FA84C" w14:textId="77777777" w:rsidR="005D4F01" w:rsidRPr="005D4F01" w:rsidRDefault="005D4F01" w:rsidP="005D4F01">
      <w:pPr>
        <w:tabs>
          <w:tab w:val="left" w:pos="1474"/>
        </w:tabs>
      </w:pPr>
      <w:r w:rsidRPr="005D4F01">
        <w:t>Velazquez, E., &amp; Hernandez, M. (2019). Effects of police officer exposure to traumatic experiences and recognizing the stigma associated with police officer mental health: A state-of-the-art review. </w:t>
      </w:r>
      <w:r w:rsidRPr="005D4F01">
        <w:rPr>
          <w:i/>
          <w:iCs/>
        </w:rPr>
        <w:t>Policing: An International Journal</w:t>
      </w:r>
      <w:r w:rsidRPr="005D4F01">
        <w:t>.</w:t>
      </w:r>
    </w:p>
    <w:p w14:paraId="310EA89A" w14:textId="77777777" w:rsidR="005D4F01" w:rsidRPr="00AF44AC" w:rsidRDefault="005D4F01" w:rsidP="00AF44AC">
      <w:pPr>
        <w:tabs>
          <w:tab w:val="left" w:pos="1474"/>
        </w:tabs>
      </w:pPr>
    </w:p>
    <w:p w14:paraId="10158C02" w14:textId="77777777" w:rsidR="00AF44AC" w:rsidRDefault="00AF44AC" w:rsidP="00F372AF">
      <w:pPr>
        <w:tabs>
          <w:tab w:val="left" w:pos="1474"/>
        </w:tabs>
      </w:pPr>
    </w:p>
    <w:p w14:paraId="460DEB6D" w14:textId="77777777" w:rsidR="000336B4" w:rsidRPr="00F372AF" w:rsidRDefault="000336B4" w:rsidP="00F372AF">
      <w:pPr>
        <w:tabs>
          <w:tab w:val="left" w:pos="1474"/>
        </w:tabs>
      </w:pPr>
    </w:p>
    <w:p w14:paraId="271E0656" w14:textId="77777777" w:rsidR="00F372AF" w:rsidRDefault="00F372AF" w:rsidP="00407EC9">
      <w:pPr>
        <w:tabs>
          <w:tab w:val="left" w:pos="1474"/>
        </w:tabs>
      </w:pPr>
    </w:p>
    <w:sectPr w:rsidR="00F372A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EDD7D5" w14:textId="77777777" w:rsidR="00FD1110" w:rsidRDefault="00FD1110" w:rsidP="00FD1110">
      <w:r>
        <w:separator/>
      </w:r>
    </w:p>
  </w:endnote>
  <w:endnote w:type="continuationSeparator" w:id="0">
    <w:p w14:paraId="4B7FAC96" w14:textId="77777777" w:rsidR="00FD1110" w:rsidRDefault="00FD1110" w:rsidP="00FD11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FA8C5F" w14:textId="77777777" w:rsidR="00FD1110" w:rsidRDefault="00FD1110" w:rsidP="00FD1110">
      <w:r>
        <w:separator/>
      </w:r>
    </w:p>
  </w:footnote>
  <w:footnote w:type="continuationSeparator" w:id="0">
    <w:p w14:paraId="65E8AE6B" w14:textId="77777777" w:rsidR="00FD1110" w:rsidRDefault="00FD1110" w:rsidP="00FD111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7EC9"/>
    <w:rsid w:val="000336B4"/>
    <w:rsid w:val="00315F77"/>
    <w:rsid w:val="003660C0"/>
    <w:rsid w:val="00407EC9"/>
    <w:rsid w:val="005D4F01"/>
    <w:rsid w:val="005E4DE8"/>
    <w:rsid w:val="00724617"/>
    <w:rsid w:val="007E6995"/>
    <w:rsid w:val="007F5406"/>
    <w:rsid w:val="008B0F41"/>
    <w:rsid w:val="0094501B"/>
    <w:rsid w:val="00A1534E"/>
    <w:rsid w:val="00AC53C8"/>
    <w:rsid w:val="00AF44AC"/>
    <w:rsid w:val="00B3397D"/>
    <w:rsid w:val="00B541FC"/>
    <w:rsid w:val="00D72286"/>
    <w:rsid w:val="00F372AF"/>
    <w:rsid w:val="00FB3450"/>
    <w:rsid w:val="00FD11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B9C3B9"/>
  <w15:chartTrackingRefBased/>
  <w15:docId w15:val="{C55D3388-661F-CF41-B29D-B50DBC6FF1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4501B"/>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020819">
      <w:bodyDiv w:val="1"/>
      <w:marLeft w:val="0"/>
      <w:marRight w:val="0"/>
      <w:marTop w:val="0"/>
      <w:marBottom w:val="0"/>
      <w:divBdr>
        <w:top w:val="none" w:sz="0" w:space="0" w:color="auto"/>
        <w:left w:val="none" w:sz="0" w:space="0" w:color="auto"/>
        <w:bottom w:val="none" w:sz="0" w:space="0" w:color="auto"/>
        <w:right w:val="none" w:sz="0" w:space="0" w:color="auto"/>
      </w:divBdr>
    </w:div>
    <w:div w:id="177820433">
      <w:bodyDiv w:val="1"/>
      <w:marLeft w:val="0"/>
      <w:marRight w:val="0"/>
      <w:marTop w:val="0"/>
      <w:marBottom w:val="0"/>
      <w:divBdr>
        <w:top w:val="none" w:sz="0" w:space="0" w:color="auto"/>
        <w:left w:val="none" w:sz="0" w:space="0" w:color="auto"/>
        <w:bottom w:val="none" w:sz="0" w:space="0" w:color="auto"/>
        <w:right w:val="none" w:sz="0" w:space="0" w:color="auto"/>
      </w:divBdr>
    </w:div>
    <w:div w:id="297153416">
      <w:bodyDiv w:val="1"/>
      <w:marLeft w:val="0"/>
      <w:marRight w:val="0"/>
      <w:marTop w:val="0"/>
      <w:marBottom w:val="0"/>
      <w:divBdr>
        <w:top w:val="none" w:sz="0" w:space="0" w:color="auto"/>
        <w:left w:val="none" w:sz="0" w:space="0" w:color="auto"/>
        <w:bottom w:val="none" w:sz="0" w:space="0" w:color="auto"/>
        <w:right w:val="none" w:sz="0" w:space="0" w:color="auto"/>
      </w:divBdr>
    </w:div>
    <w:div w:id="543950459">
      <w:bodyDiv w:val="1"/>
      <w:marLeft w:val="0"/>
      <w:marRight w:val="0"/>
      <w:marTop w:val="0"/>
      <w:marBottom w:val="0"/>
      <w:divBdr>
        <w:top w:val="none" w:sz="0" w:space="0" w:color="auto"/>
        <w:left w:val="none" w:sz="0" w:space="0" w:color="auto"/>
        <w:bottom w:val="none" w:sz="0" w:space="0" w:color="auto"/>
        <w:right w:val="none" w:sz="0" w:space="0" w:color="auto"/>
      </w:divBdr>
    </w:div>
    <w:div w:id="610937904">
      <w:bodyDiv w:val="1"/>
      <w:marLeft w:val="0"/>
      <w:marRight w:val="0"/>
      <w:marTop w:val="0"/>
      <w:marBottom w:val="0"/>
      <w:divBdr>
        <w:top w:val="none" w:sz="0" w:space="0" w:color="auto"/>
        <w:left w:val="none" w:sz="0" w:space="0" w:color="auto"/>
        <w:bottom w:val="none" w:sz="0" w:space="0" w:color="auto"/>
        <w:right w:val="none" w:sz="0" w:space="0" w:color="auto"/>
      </w:divBdr>
    </w:div>
    <w:div w:id="658074614">
      <w:bodyDiv w:val="1"/>
      <w:marLeft w:val="0"/>
      <w:marRight w:val="0"/>
      <w:marTop w:val="0"/>
      <w:marBottom w:val="0"/>
      <w:divBdr>
        <w:top w:val="none" w:sz="0" w:space="0" w:color="auto"/>
        <w:left w:val="none" w:sz="0" w:space="0" w:color="auto"/>
        <w:bottom w:val="none" w:sz="0" w:space="0" w:color="auto"/>
        <w:right w:val="none" w:sz="0" w:space="0" w:color="auto"/>
      </w:divBdr>
    </w:div>
    <w:div w:id="790826274">
      <w:bodyDiv w:val="1"/>
      <w:marLeft w:val="0"/>
      <w:marRight w:val="0"/>
      <w:marTop w:val="0"/>
      <w:marBottom w:val="0"/>
      <w:divBdr>
        <w:top w:val="none" w:sz="0" w:space="0" w:color="auto"/>
        <w:left w:val="none" w:sz="0" w:space="0" w:color="auto"/>
        <w:bottom w:val="none" w:sz="0" w:space="0" w:color="auto"/>
        <w:right w:val="none" w:sz="0" w:space="0" w:color="auto"/>
      </w:divBdr>
    </w:div>
    <w:div w:id="1010723130">
      <w:bodyDiv w:val="1"/>
      <w:marLeft w:val="0"/>
      <w:marRight w:val="0"/>
      <w:marTop w:val="0"/>
      <w:marBottom w:val="0"/>
      <w:divBdr>
        <w:top w:val="none" w:sz="0" w:space="0" w:color="auto"/>
        <w:left w:val="none" w:sz="0" w:space="0" w:color="auto"/>
        <w:bottom w:val="none" w:sz="0" w:space="0" w:color="auto"/>
        <w:right w:val="none" w:sz="0" w:space="0" w:color="auto"/>
      </w:divBdr>
    </w:div>
    <w:div w:id="1036195985">
      <w:bodyDiv w:val="1"/>
      <w:marLeft w:val="0"/>
      <w:marRight w:val="0"/>
      <w:marTop w:val="0"/>
      <w:marBottom w:val="0"/>
      <w:divBdr>
        <w:top w:val="none" w:sz="0" w:space="0" w:color="auto"/>
        <w:left w:val="none" w:sz="0" w:space="0" w:color="auto"/>
        <w:bottom w:val="none" w:sz="0" w:space="0" w:color="auto"/>
        <w:right w:val="none" w:sz="0" w:space="0" w:color="auto"/>
      </w:divBdr>
    </w:div>
    <w:div w:id="1084570351">
      <w:bodyDiv w:val="1"/>
      <w:marLeft w:val="0"/>
      <w:marRight w:val="0"/>
      <w:marTop w:val="0"/>
      <w:marBottom w:val="0"/>
      <w:divBdr>
        <w:top w:val="none" w:sz="0" w:space="0" w:color="auto"/>
        <w:left w:val="none" w:sz="0" w:space="0" w:color="auto"/>
        <w:bottom w:val="none" w:sz="0" w:space="0" w:color="auto"/>
        <w:right w:val="none" w:sz="0" w:space="0" w:color="auto"/>
      </w:divBdr>
    </w:div>
    <w:div w:id="1495683750">
      <w:bodyDiv w:val="1"/>
      <w:marLeft w:val="0"/>
      <w:marRight w:val="0"/>
      <w:marTop w:val="0"/>
      <w:marBottom w:val="0"/>
      <w:divBdr>
        <w:top w:val="none" w:sz="0" w:space="0" w:color="auto"/>
        <w:left w:val="none" w:sz="0" w:space="0" w:color="auto"/>
        <w:bottom w:val="none" w:sz="0" w:space="0" w:color="auto"/>
        <w:right w:val="none" w:sz="0" w:space="0" w:color="auto"/>
      </w:divBdr>
    </w:div>
    <w:div w:id="1510753767">
      <w:bodyDiv w:val="1"/>
      <w:marLeft w:val="0"/>
      <w:marRight w:val="0"/>
      <w:marTop w:val="0"/>
      <w:marBottom w:val="0"/>
      <w:divBdr>
        <w:top w:val="none" w:sz="0" w:space="0" w:color="auto"/>
        <w:left w:val="none" w:sz="0" w:space="0" w:color="auto"/>
        <w:bottom w:val="none" w:sz="0" w:space="0" w:color="auto"/>
        <w:right w:val="none" w:sz="0" w:space="0" w:color="auto"/>
      </w:divBdr>
    </w:div>
    <w:div w:id="1567766014">
      <w:bodyDiv w:val="1"/>
      <w:marLeft w:val="0"/>
      <w:marRight w:val="0"/>
      <w:marTop w:val="0"/>
      <w:marBottom w:val="0"/>
      <w:divBdr>
        <w:top w:val="none" w:sz="0" w:space="0" w:color="auto"/>
        <w:left w:val="none" w:sz="0" w:space="0" w:color="auto"/>
        <w:bottom w:val="none" w:sz="0" w:space="0" w:color="auto"/>
        <w:right w:val="none" w:sz="0" w:space="0" w:color="auto"/>
      </w:divBdr>
    </w:div>
    <w:div w:id="1676760956">
      <w:bodyDiv w:val="1"/>
      <w:marLeft w:val="0"/>
      <w:marRight w:val="0"/>
      <w:marTop w:val="0"/>
      <w:marBottom w:val="0"/>
      <w:divBdr>
        <w:top w:val="none" w:sz="0" w:space="0" w:color="auto"/>
        <w:left w:val="none" w:sz="0" w:space="0" w:color="auto"/>
        <w:bottom w:val="none" w:sz="0" w:space="0" w:color="auto"/>
        <w:right w:val="none" w:sz="0" w:space="0" w:color="auto"/>
      </w:divBdr>
    </w:div>
    <w:div w:id="1679649595">
      <w:bodyDiv w:val="1"/>
      <w:marLeft w:val="0"/>
      <w:marRight w:val="0"/>
      <w:marTop w:val="0"/>
      <w:marBottom w:val="0"/>
      <w:divBdr>
        <w:top w:val="none" w:sz="0" w:space="0" w:color="auto"/>
        <w:left w:val="none" w:sz="0" w:space="0" w:color="auto"/>
        <w:bottom w:val="none" w:sz="0" w:space="0" w:color="auto"/>
        <w:right w:val="none" w:sz="0" w:space="0" w:color="auto"/>
      </w:divBdr>
    </w:div>
    <w:div w:id="1745300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1632</Words>
  <Characters>9303</Characters>
  <Application>Microsoft Office Word</Application>
  <DocSecurity>4</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lydiamaryannetts@gmail.com</dc:creator>
  <cp:keywords/>
  <dc:description/>
  <cp:lastModifiedBy>Annetts, Jack</cp:lastModifiedBy>
  <cp:revision>2</cp:revision>
  <dcterms:created xsi:type="dcterms:W3CDTF">2022-04-19T13:44:00Z</dcterms:created>
  <dcterms:modified xsi:type="dcterms:W3CDTF">2022-04-19T13:44:00Z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2022-04-19T13:43:24Z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ec5d47ff-86ae-4421-8af4-6e1a09016e04</vt:lpwstr>
  </property>
  <property fmtid="{D5CDD505-2E9C-101B-9397-08002B2CF9AE}" pid="8" name="MSIP_Label_f2acd28b-79a3-4a0f-b0ff-4b75658b1549_ContentBits">
    <vt:lpwstr>0</vt:lpwstr>
  </property>
</Properties>
</file>