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3E029D86" w14:textId="77777777" w:rsidR="00BD6CF6" w:rsidRDefault="00BD6CF6">
      <w:pPr>
        <w:spacing w:before="600" w:after="200"/>
        <w:jc w:val="center"/>
        <w:rPr>
          <w:b/>
          <w:bCs/>
          <w:sz w:val="24"/>
          <w:szCs w:val="24"/>
        </w:rPr>
      </w:pPr>
    </w:p>
    <w:p w14:paraId="1B33518D" w14:textId="5AA3F05C" w:rsidR="00BD6CF6" w:rsidRDefault="00BD6CF6" w:rsidP="00BD6CF6">
      <w:pPr>
        <w:spacing w:before="600" w:after="200"/>
        <w:jc w:val="center"/>
        <w:rPr>
          <w:b/>
          <w:bCs/>
          <w:sz w:val="24"/>
          <w:szCs w:val="24"/>
        </w:rPr>
      </w:pPr>
      <w:r>
        <w:rPr>
          <w:b/>
          <w:bCs/>
          <w:noProof/>
          <w:sz w:val="24"/>
          <w:szCs w:val="24"/>
        </w:rPr>
        <w:drawing>
          <wp:inline distT="0" distB="0" distL="0" distR="0" wp14:anchorId="18F79D6A" wp14:editId="2CC9F40A">
            <wp:extent cx="3340735" cy="1341120"/>
            <wp:effectExtent l="0" t="0" r="0" b="0"/>
            <wp:docPr id="99307981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8">
                      <a:extLst>
                        <a:ext uri="{28A0092B-C50C-407E-A947-70E740481C1C}">
                          <a14:useLocalDpi xmlns:a14="http://schemas.microsoft.com/office/drawing/2010/main" val="0"/>
                        </a:ext>
                      </a:extLst>
                    </a:blip>
                    <a:srcRect/>
                    <a:stretch>
                      <a:fillRect/>
                    </a:stretch>
                  </pic:blipFill>
                  <pic:spPr bwMode="auto">
                    <a:xfrm>
                      <a:off x="0" y="0"/>
                      <a:ext cx="3340735" cy="1341120"/>
                    </a:xfrm>
                    <a:prstGeom prst="rect">
                      <a:avLst/>
                    </a:prstGeom>
                    <a:noFill/>
                  </pic:spPr>
                </pic:pic>
              </a:graphicData>
            </a:graphic>
          </wp:inline>
        </w:drawing>
      </w:r>
    </w:p>
    <w:p w14:paraId="5D36B64E" w14:textId="77777777" w:rsidR="00AF68D3" w:rsidRPr="00BD6CF6" w:rsidRDefault="00000000" w:rsidP="00BD6CF6">
      <w:pPr>
        <w:spacing w:after="800"/>
        <w:jc w:val="center"/>
        <w:rPr>
          <w:b/>
          <w:bCs/>
          <w:sz w:val="36"/>
          <w:szCs w:val="36"/>
        </w:rPr>
      </w:pPr>
      <w:r w:rsidRPr="00BD6CF6">
        <w:rPr>
          <w:b/>
          <w:bCs/>
          <w:sz w:val="36"/>
          <w:szCs w:val="36"/>
        </w:rPr>
        <w:t>BSc (Hons) Health and Social Care</w:t>
      </w:r>
    </w:p>
    <w:p w14:paraId="16FCB5BD" w14:textId="720C3110" w:rsidR="00AF68D3" w:rsidRDefault="00000000" w:rsidP="00BD6CF6">
      <w:pPr>
        <w:spacing w:before="800" w:after="300"/>
        <w:jc w:val="center"/>
      </w:pPr>
      <w:r>
        <w:rPr>
          <w:b/>
          <w:bCs/>
          <w:sz w:val="32"/>
          <w:szCs w:val="32"/>
        </w:rPr>
        <w:t>Autism Spectrum Disorder</w:t>
      </w:r>
    </w:p>
    <w:p w14:paraId="3CB9AF6B" w14:textId="7FBDAA30" w:rsidR="00AF68D3" w:rsidRDefault="00000000" w:rsidP="00BD6CF6">
      <w:pPr>
        <w:spacing w:after="800"/>
        <w:jc w:val="center"/>
      </w:pPr>
      <w:r>
        <w:rPr>
          <w:b/>
          <w:bCs/>
          <w:sz w:val="26"/>
          <w:szCs w:val="26"/>
        </w:rPr>
        <w:t>A Critical Examination of Classification, Diagnosis, Treatment and Rehabilitation under ICD-11</w:t>
      </w:r>
    </w:p>
    <w:tbl>
      <w:tblPr>
        <w:tblW w:w="5000" w:type="pct"/>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left w:w="10" w:type="dxa"/>
          <w:right w:w="10" w:type="dxa"/>
        </w:tblCellMar>
        <w:tblLook w:val="04A0" w:firstRow="1" w:lastRow="0" w:firstColumn="1" w:lastColumn="0" w:noHBand="0" w:noVBand="1"/>
      </w:tblPr>
      <w:tblGrid>
        <w:gridCol w:w="2705"/>
        <w:gridCol w:w="6311"/>
      </w:tblGrid>
      <w:tr w:rsidR="00AF68D3" w14:paraId="7934D482"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3A8B6155" w14:textId="77777777" w:rsidR="00AF68D3" w:rsidRPr="00BD6CF6" w:rsidRDefault="00000000">
            <w:pPr>
              <w:rPr>
                <w:b/>
                <w:bCs/>
              </w:rPr>
            </w:pPr>
            <w:r w:rsidRPr="00BD6CF6">
              <w:rPr>
                <w:b/>
                <w:bCs/>
              </w:rPr>
              <w:t>Student name:</w:t>
            </w:r>
          </w:p>
        </w:tc>
        <w:tc>
          <w:tcPr>
            <w:tcW w:w="3500" w:type="pct"/>
            <w:tcMar>
              <w:top w:w="100" w:type="dxa"/>
              <w:left w:w="120" w:type="dxa"/>
              <w:bottom w:w="100" w:type="dxa"/>
              <w:right w:w="120" w:type="dxa"/>
            </w:tcMar>
            <w:vAlign w:val="center"/>
          </w:tcPr>
          <w:p w14:paraId="1021BBF8" w14:textId="58C8DD33" w:rsidR="00AF68D3" w:rsidRDefault="00BD6CF6">
            <w:r>
              <w:t>NANKYA ESTHER</w:t>
            </w:r>
          </w:p>
        </w:tc>
      </w:tr>
      <w:tr w:rsidR="00AF68D3" w14:paraId="45F68005"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7AC98100" w14:textId="77777777" w:rsidR="00AF68D3" w:rsidRPr="00BD6CF6" w:rsidRDefault="00000000">
            <w:pPr>
              <w:rPr>
                <w:b/>
                <w:bCs/>
              </w:rPr>
            </w:pPr>
            <w:r w:rsidRPr="00BD6CF6">
              <w:rPr>
                <w:b/>
                <w:bCs/>
              </w:rPr>
              <w:t>Student ID number:</w:t>
            </w:r>
          </w:p>
        </w:tc>
        <w:tc>
          <w:tcPr>
            <w:tcW w:w="3500" w:type="pct"/>
            <w:tcMar>
              <w:top w:w="100" w:type="dxa"/>
              <w:left w:w="120" w:type="dxa"/>
              <w:bottom w:w="100" w:type="dxa"/>
              <w:right w:w="120" w:type="dxa"/>
            </w:tcMar>
            <w:vAlign w:val="center"/>
          </w:tcPr>
          <w:p w14:paraId="1F66CDEB" w14:textId="68BEC820" w:rsidR="00AF68D3" w:rsidRDefault="00BD6CF6">
            <w:r w:rsidRPr="00BD6CF6">
              <w:t>2336477</w:t>
            </w:r>
          </w:p>
        </w:tc>
      </w:tr>
      <w:tr w:rsidR="00AF68D3" w14:paraId="01EF8315"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1C9A1CE1" w14:textId="77777777" w:rsidR="00AF68D3" w:rsidRPr="00BD6CF6" w:rsidRDefault="00000000">
            <w:pPr>
              <w:rPr>
                <w:b/>
                <w:bCs/>
              </w:rPr>
            </w:pPr>
            <w:r w:rsidRPr="00BD6CF6">
              <w:rPr>
                <w:b/>
                <w:bCs/>
              </w:rPr>
              <w:t>Programme:</w:t>
            </w:r>
          </w:p>
        </w:tc>
        <w:tc>
          <w:tcPr>
            <w:tcW w:w="3500" w:type="pct"/>
            <w:tcMar>
              <w:top w:w="100" w:type="dxa"/>
              <w:left w:w="120" w:type="dxa"/>
              <w:bottom w:w="100" w:type="dxa"/>
              <w:right w:w="120" w:type="dxa"/>
            </w:tcMar>
            <w:vAlign w:val="center"/>
          </w:tcPr>
          <w:p w14:paraId="5F52AE24" w14:textId="77777777" w:rsidR="00AF68D3" w:rsidRDefault="00000000">
            <w:r>
              <w:t>BSc (Hons) Health and Social Care</w:t>
            </w:r>
          </w:p>
        </w:tc>
      </w:tr>
      <w:tr w:rsidR="00AF68D3" w14:paraId="443A6984"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5C847499" w14:textId="77777777" w:rsidR="00AF68D3" w:rsidRPr="00BD6CF6" w:rsidRDefault="00000000">
            <w:pPr>
              <w:rPr>
                <w:b/>
                <w:bCs/>
              </w:rPr>
            </w:pPr>
            <w:r w:rsidRPr="00BD6CF6">
              <w:rPr>
                <w:b/>
                <w:bCs/>
              </w:rPr>
              <w:t>Module:</w:t>
            </w:r>
          </w:p>
        </w:tc>
        <w:tc>
          <w:tcPr>
            <w:tcW w:w="3500" w:type="pct"/>
            <w:tcMar>
              <w:top w:w="100" w:type="dxa"/>
              <w:left w:w="120" w:type="dxa"/>
              <w:bottom w:w="100" w:type="dxa"/>
              <w:right w:w="120" w:type="dxa"/>
            </w:tcMar>
            <w:vAlign w:val="center"/>
          </w:tcPr>
          <w:p w14:paraId="607A05B9" w14:textId="2EE9966A" w:rsidR="00AF68D3" w:rsidRDefault="00000000">
            <w:r>
              <w:t>Psycho</w:t>
            </w:r>
            <w:r w:rsidR="00BD6CF6">
              <w:t>pathological</w:t>
            </w:r>
            <w:r>
              <w:t xml:space="preserve"> Classifications and Provisions</w:t>
            </w:r>
          </w:p>
        </w:tc>
      </w:tr>
      <w:tr w:rsidR="00AF68D3" w14:paraId="40216EA3"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0FEEC898" w14:textId="77777777" w:rsidR="00AF68D3" w:rsidRPr="00BD6CF6" w:rsidRDefault="00000000">
            <w:pPr>
              <w:rPr>
                <w:b/>
                <w:bCs/>
              </w:rPr>
            </w:pPr>
            <w:r w:rsidRPr="00BD6CF6">
              <w:rPr>
                <w:b/>
                <w:bCs/>
              </w:rPr>
              <w:t>Module code:</w:t>
            </w:r>
          </w:p>
        </w:tc>
        <w:tc>
          <w:tcPr>
            <w:tcW w:w="3500" w:type="pct"/>
            <w:tcMar>
              <w:top w:w="100" w:type="dxa"/>
              <w:left w:w="120" w:type="dxa"/>
              <w:bottom w:w="100" w:type="dxa"/>
              <w:right w:w="120" w:type="dxa"/>
            </w:tcMar>
            <w:vAlign w:val="center"/>
          </w:tcPr>
          <w:p w14:paraId="56922850" w14:textId="77777777" w:rsidR="00AF68D3" w:rsidRDefault="00000000">
            <w:r>
              <w:t>BMHP6029</w:t>
            </w:r>
          </w:p>
        </w:tc>
      </w:tr>
      <w:tr w:rsidR="00AF68D3" w14:paraId="69F758B1"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5D9E3A6E" w14:textId="77777777" w:rsidR="00AF68D3" w:rsidRPr="00BD6CF6" w:rsidRDefault="00000000">
            <w:pPr>
              <w:rPr>
                <w:b/>
                <w:bCs/>
              </w:rPr>
            </w:pPr>
            <w:r w:rsidRPr="00BD6CF6">
              <w:rPr>
                <w:b/>
                <w:bCs/>
              </w:rPr>
              <w:t>Assignment title:</w:t>
            </w:r>
          </w:p>
        </w:tc>
        <w:tc>
          <w:tcPr>
            <w:tcW w:w="3500" w:type="pct"/>
            <w:tcMar>
              <w:top w:w="100" w:type="dxa"/>
              <w:left w:w="120" w:type="dxa"/>
              <w:bottom w:w="100" w:type="dxa"/>
              <w:right w:w="120" w:type="dxa"/>
            </w:tcMar>
            <w:vAlign w:val="center"/>
          </w:tcPr>
          <w:p w14:paraId="1A347849" w14:textId="77777777" w:rsidR="00AF68D3" w:rsidRDefault="00000000">
            <w:r>
              <w:t>Component 2: Written Assignment (Report)</w:t>
            </w:r>
          </w:p>
        </w:tc>
      </w:tr>
      <w:tr w:rsidR="00AF68D3" w14:paraId="65399D3D" w14:textId="77777777">
        <w:tblPrEx>
          <w:tblCellMar>
            <w:top w:w="0" w:type="dxa"/>
            <w:bottom w:w="0" w:type="dxa"/>
          </w:tblCellMar>
        </w:tblPrEx>
        <w:tc>
          <w:tcPr>
            <w:tcW w:w="1500" w:type="pct"/>
            <w:shd w:val="clear" w:color="auto" w:fill="E7EDF6"/>
            <w:tcMar>
              <w:top w:w="100" w:type="dxa"/>
              <w:left w:w="120" w:type="dxa"/>
              <w:bottom w:w="100" w:type="dxa"/>
              <w:right w:w="120" w:type="dxa"/>
            </w:tcMar>
            <w:vAlign w:val="center"/>
          </w:tcPr>
          <w:p w14:paraId="511265C7" w14:textId="77777777" w:rsidR="00AF68D3" w:rsidRPr="00BD6CF6" w:rsidRDefault="00000000">
            <w:pPr>
              <w:rPr>
                <w:b/>
                <w:bCs/>
              </w:rPr>
            </w:pPr>
            <w:r w:rsidRPr="00BD6CF6">
              <w:rPr>
                <w:b/>
                <w:bCs/>
              </w:rPr>
              <w:lastRenderedPageBreak/>
              <w:t>Condition examined:</w:t>
            </w:r>
          </w:p>
        </w:tc>
        <w:tc>
          <w:tcPr>
            <w:tcW w:w="3500" w:type="pct"/>
            <w:tcMar>
              <w:top w:w="100" w:type="dxa"/>
              <w:left w:w="120" w:type="dxa"/>
              <w:bottom w:w="100" w:type="dxa"/>
              <w:right w:w="120" w:type="dxa"/>
            </w:tcMar>
            <w:vAlign w:val="center"/>
          </w:tcPr>
          <w:p w14:paraId="49D75736" w14:textId="77777777" w:rsidR="00AF68D3" w:rsidRDefault="00000000">
            <w:r>
              <w:t>Autism Spectrum Disorder (ICD-11: 6A02)</w:t>
            </w:r>
          </w:p>
        </w:tc>
      </w:tr>
      <w:tr w:rsidR="00AF68D3" w14:paraId="693D8F61" w14:textId="77777777" w:rsidTr="00BD6CF6">
        <w:tblPrEx>
          <w:tblCellMar>
            <w:top w:w="0" w:type="dxa"/>
            <w:bottom w:w="0" w:type="dxa"/>
          </w:tblCellMar>
        </w:tblPrEx>
        <w:trPr>
          <w:trHeight w:val="18"/>
        </w:trPr>
        <w:tc>
          <w:tcPr>
            <w:tcW w:w="1500" w:type="pct"/>
            <w:shd w:val="clear" w:color="auto" w:fill="E7EDF6"/>
            <w:tcMar>
              <w:top w:w="100" w:type="dxa"/>
              <w:left w:w="120" w:type="dxa"/>
              <w:bottom w:w="100" w:type="dxa"/>
              <w:right w:w="120" w:type="dxa"/>
            </w:tcMar>
            <w:vAlign w:val="center"/>
          </w:tcPr>
          <w:p w14:paraId="6E521934" w14:textId="046D073D" w:rsidR="00AF68D3" w:rsidRPr="00BD6CF6" w:rsidRDefault="00BD6CF6">
            <w:pPr>
              <w:rPr>
                <w:b/>
                <w:bCs/>
              </w:rPr>
            </w:pPr>
            <w:r w:rsidRPr="00BD6CF6">
              <w:rPr>
                <w:b/>
                <w:bCs/>
              </w:rPr>
              <w:t>Lecturer</w:t>
            </w:r>
          </w:p>
        </w:tc>
        <w:tc>
          <w:tcPr>
            <w:tcW w:w="3500" w:type="pct"/>
            <w:tcMar>
              <w:top w:w="100" w:type="dxa"/>
              <w:left w:w="120" w:type="dxa"/>
              <w:bottom w:w="100" w:type="dxa"/>
              <w:right w:w="120" w:type="dxa"/>
            </w:tcMar>
            <w:vAlign w:val="center"/>
          </w:tcPr>
          <w:p w14:paraId="5E9DDD3E" w14:textId="6A809211" w:rsidR="00AF68D3" w:rsidRDefault="00BD6CF6">
            <w:r>
              <w:t>Bianca Sanfilippo</w:t>
            </w:r>
          </w:p>
        </w:tc>
      </w:tr>
    </w:tbl>
    <w:p w14:paraId="79B25FBD" w14:textId="7D00997B" w:rsidR="00AF68D3" w:rsidRDefault="00AF68D3" w:rsidP="00BD6CF6">
      <w:pPr>
        <w:spacing w:before="1000"/>
      </w:pPr>
    </w:p>
    <w:p w14:paraId="4B0FDE41" w14:textId="77777777" w:rsidR="00AF68D3" w:rsidRDefault="00000000">
      <w:r>
        <w:br w:type="page"/>
      </w:r>
    </w:p>
    <w:p w14:paraId="3ACE428C" w14:textId="77777777" w:rsidR="00AF68D3" w:rsidRDefault="00AF68D3">
      <w:pPr>
        <w:sectPr w:rsidR="00AF68D3">
          <w:pgSz w:w="11906" w:h="16838"/>
          <w:pgMar w:top="1440" w:right="1440" w:bottom="1440" w:left="1440" w:header="708" w:footer="708" w:gutter="0"/>
          <w:cols w:space="720"/>
          <w:docGrid w:linePitch="360"/>
        </w:sectPr>
      </w:pPr>
    </w:p>
    <w:p w14:paraId="15DBD405" w14:textId="77777777" w:rsidR="00AF68D3" w:rsidRDefault="00000000">
      <w:pPr>
        <w:pStyle w:val="Heading1"/>
        <w:spacing w:after="300"/>
      </w:pPr>
      <w:r>
        <w:rPr>
          <w:b/>
          <w:bCs/>
          <w:color w:val="1F3864"/>
          <w:sz w:val="28"/>
          <w:szCs w:val="28"/>
        </w:rPr>
        <w:lastRenderedPageBreak/>
        <w:t>Contents</w:t>
      </w:r>
    </w:p>
    <w:p w14:paraId="2D619185" w14:textId="77777777" w:rsidR="00AF68D3" w:rsidRDefault="00000000">
      <w:pPr>
        <w:tabs>
          <w:tab w:val="right" w:leader="dot" w:pos="9026"/>
        </w:tabs>
        <w:spacing w:after="160" w:line="276" w:lineRule="auto"/>
      </w:pPr>
      <w:r>
        <w:rPr>
          <w:b/>
          <w:bCs/>
        </w:rPr>
        <w:t>1. Introduction</w:t>
      </w:r>
      <w:r>
        <w:tab/>
        <w:t>3</w:t>
      </w:r>
    </w:p>
    <w:p w14:paraId="13185CA8" w14:textId="77777777" w:rsidR="00AF68D3" w:rsidRDefault="00000000">
      <w:pPr>
        <w:tabs>
          <w:tab w:val="right" w:leader="dot" w:pos="9026"/>
        </w:tabs>
        <w:spacing w:after="160" w:line="276" w:lineRule="auto"/>
      </w:pPr>
      <w:r>
        <w:rPr>
          <w:b/>
          <w:bCs/>
        </w:rPr>
        <w:t>2. Classification of Autism Spectrum Disorder in ICD-11</w:t>
      </w:r>
      <w:r>
        <w:tab/>
        <w:t>3</w:t>
      </w:r>
    </w:p>
    <w:p w14:paraId="28A75B7F" w14:textId="77777777" w:rsidR="00AF68D3" w:rsidRDefault="00000000">
      <w:pPr>
        <w:tabs>
          <w:tab w:val="right" w:leader="dot" w:pos="9026"/>
        </w:tabs>
        <w:spacing w:after="100" w:line="276" w:lineRule="auto"/>
        <w:ind w:left="360"/>
      </w:pPr>
      <w:r>
        <w:rPr>
          <w:sz w:val="20"/>
          <w:szCs w:val="20"/>
        </w:rPr>
        <w:t>2.1 Diagnostic Criteria and the Assessment Process</w:t>
      </w:r>
      <w:r>
        <w:rPr>
          <w:sz w:val="20"/>
          <w:szCs w:val="20"/>
        </w:rPr>
        <w:tab/>
        <w:t>4</w:t>
      </w:r>
    </w:p>
    <w:p w14:paraId="376DCF09" w14:textId="77777777" w:rsidR="00AF68D3" w:rsidRDefault="00000000">
      <w:pPr>
        <w:tabs>
          <w:tab w:val="right" w:leader="dot" w:pos="9026"/>
        </w:tabs>
        <w:spacing w:after="100" w:line="276" w:lineRule="auto"/>
        <w:ind w:left="360"/>
      </w:pPr>
      <w:r>
        <w:rPr>
          <w:sz w:val="20"/>
          <w:szCs w:val="20"/>
        </w:rPr>
        <w:t>2.2 Language Used in Classification</w:t>
      </w:r>
      <w:r>
        <w:rPr>
          <w:sz w:val="20"/>
          <w:szCs w:val="20"/>
        </w:rPr>
        <w:tab/>
        <w:t>4</w:t>
      </w:r>
    </w:p>
    <w:p w14:paraId="0AAC5315" w14:textId="77777777" w:rsidR="00AF68D3" w:rsidRDefault="00000000">
      <w:pPr>
        <w:tabs>
          <w:tab w:val="right" w:leader="dot" w:pos="9026"/>
        </w:tabs>
        <w:spacing w:after="160" w:line="276" w:lineRule="auto"/>
      </w:pPr>
      <w:r>
        <w:rPr>
          <w:b/>
          <w:bCs/>
        </w:rPr>
        <w:t>3. Treatment and Rehabilitation</w:t>
      </w:r>
      <w:r>
        <w:tab/>
        <w:t>4</w:t>
      </w:r>
    </w:p>
    <w:p w14:paraId="0FFBF2B2" w14:textId="77777777" w:rsidR="00AF68D3" w:rsidRDefault="00000000">
      <w:pPr>
        <w:tabs>
          <w:tab w:val="right" w:leader="dot" w:pos="9026"/>
        </w:tabs>
        <w:spacing w:after="100" w:line="276" w:lineRule="auto"/>
        <w:ind w:left="360"/>
      </w:pPr>
      <w:r>
        <w:rPr>
          <w:sz w:val="20"/>
          <w:szCs w:val="20"/>
        </w:rPr>
        <w:t>3.1 Evidence-Based Interventions</w:t>
      </w:r>
      <w:r>
        <w:rPr>
          <w:sz w:val="20"/>
          <w:szCs w:val="20"/>
        </w:rPr>
        <w:tab/>
        <w:t>4</w:t>
      </w:r>
    </w:p>
    <w:p w14:paraId="4F9A54A1" w14:textId="77777777" w:rsidR="00AF68D3" w:rsidRDefault="00000000">
      <w:pPr>
        <w:tabs>
          <w:tab w:val="right" w:leader="dot" w:pos="9026"/>
        </w:tabs>
        <w:spacing w:after="100" w:line="276" w:lineRule="auto"/>
        <w:ind w:left="360"/>
      </w:pPr>
      <w:r>
        <w:rPr>
          <w:sz w:val="20"/>
          <w:szCs w:val="20"/>
        </w:rPr>
        <w:t>3.2 Effectiveness and Limitations</w:t>
      </w:r>
      <w:r>
        <w:rPr>
          <w:sz w:val="20"/>
          <w:szCs w:val="20"/>
        </w:rPr>
        <w:tab/>
        <w:t>5</w:t>
      </w:r>
    </w:p>
    <w:p w14:paraId="6EAD86A4" w14:textId="77777777" w:rsidR="00AF68D3" w:rsidRDefault="00000000">
      <w:pPr>
        <w:tabs>
          <w:tab w:val="right" w:leader="dot" w:pos="9026"/>
        </w:tabs>
        <w:spacing w:after="160" w:line="276" w:lineRule="auto"/>
      </w:pPr>
      <w:r>
        <w:rPr>
          <w:b/>
          <w:bCs/>
        </w:rPr>
        <w:t>4. Current Debates and Emerging Issues</w:t>
      </w:r>
      <w:r>
        <w:tab/>
        <w:t>5</w:t>
      </w:r>
    </w:p>
    <w:p w14:paraId="12133FD6" w14:textId="77777777" w:rsidR="00AF68D3" w:rsidRDefault="00000000">
      <w:pPr>
        <w:tabs>
          <w:tab w:val="right" w:leader="dot" w:pos="9026"/>
        </w:tabs>
        <w:spacing w:after="100" w:line="276" w:lineRule="auto"/>
        <w:ind w:left="360"/>
      </w:pPr>
      <w:r>
        <w:rPr>
          <w:sz w:val="20"/>
          <w:szCs w:val="20"/>
        </w:rPr>
        <w:t>4.1 Neurodiversity and the Medical Model</w:t>
      </w:r>
      <w:r>
        <w:rPr>
          <w:sz w:val="20"/>
          <w:szCs w:val="20"/>
        </w:rPr>
        <w:tab/>
        <w:t>5</w:t>
      </w:r>
    </w:p>
    <w:p w14:paraId="0784AAC5" w14:textId="77777777" w:rsidR="00AF68D3" w:rsidRDefault="00000000">
      <w:pPr>
        <w:tabs>
          <w:tab w:val="right" w:leader="dot" w:pos="9026"/>
        </w:tabs>
        <w:spacing w:after="100" w:line="276" w:lineRule="auto"/>
        <w:ind w:left="360"/>
      </w:pPr>
      <w:r>
        <w:rPr>
          <w:sz w:val="20"/>
          <w:szCs w:val="20"/>
        </w:rPr>
        <w:t>4.2 Reclassification and Diagnostic Boundaries</w:t>
      </w:r>
      <w:r>
        <w:rPr>
          <w:sz w:val="20"/>
          <w:szCs w:val="20"/>
        </w:rPr>
        <w:tab/>
        <w:t>6</w:t>
      </w:r>
    </w:p>
    <w:p w14:paraId="0797F99F" w14:textId="77777777" w:rsidR="00AF68D3" w:rsidRDefault="00000000">
      <w:pPr>
        <w:tabs>
          <w:tab w:val="right" w:leader="dot" w:pos="9026"/>
        </w:tabs>
        <w:spacing w:after="100" w:line="276" w:lineRule="auto"/>
        <w:ind w:left="360"/>
      </w:pPr>
      <w:r>
        <w:rPr>
          <w:sz w:val="20"/>
          <w:szCs w:val="20"/>
        </w:rPr>
        <w:t>4.3 Impact on Practice and Policy</w:t>
      </w:r>
      <w:r>
        <w:rPr>
          <w:sz w:val="20"/>
          <w:szCs w:val="20"/>
        </w:rPr>
        <w:tab/>
        <w:t>6</w:t>
      </w:r>
    </w:p>
    <w:p w14:paraId="6C50091F" w14:textId="77777777" w:rsidR="00AF68D3" w:rsidRDefault="00000000">
      <w:pPr>
        <w:tabs>
          <w:tab w:val="right" w:leader="dot" w:pos="9026"/>
        </w:tabs>
        <w:spacing w:after="160" w:line="276" w:lineRule="auto"/>
      </w:pPr>
      <w:r>
        <w:rPr>
          <w:b/>
          <w:bCs/>
        </w:rPr>
        <w:t>5. Recommendations</w:t>
      </w:r>
      <w:r>
        <w:tab/>
        <w:t>7</w:t>
      </w:r>
    </w:p>
    <w:p w14:paraId="557AEB96" w14:textId="77777777" w:rsidR="00AF68D3" w:rsidRDefault="00000000">
      <w:pPr>
        <w:tabs>
          <w:tab w:val="right" w:leader="dot" w:pos="9026"/>
        </w:tabs>
        <w:spacing w:after="160" w:line="276" w:lineRule="auto"/>
      </w:pPr>
      <w:r>
        <w:rPr>
          <w:b/>
          <w:bCs/>
        </w:rPr>
        <w:t>6. Conclusion</w:t>
      </w:r>
      <w:r>
        <w:tab/>
        <w:t>7</w:t>
      </w:r>
    </w:p>
    <w:p w14:paraId="67ACC71C" w14:textId="77777777" w:rsidR="00AF68D3" w:rsidRDefault="00000000">
      <w:pPr>
        <w:tabs>
          <w:tab w:val="right" w:leader="dot" w:pos="9026"/>
        </w:tabs>
        <w:spacing w:after="160" w:line="276" w:lineRule="auto"/>
      </w:pPr>
      <w:r>
        <w:rPr>
          <w:b/>
          <w:bCs/>
        </w:rPr>
        <w:t>References</w:t>
      </w:r>
      <w:r>
        <w:tab/>
        <w:t>8</w:t>
      </w:r>
    </w:p>
    <w:p w14:paraId="6A5F7368" w14:textId="77777777" w:rsidR="00AF68D3" w:rsidRDefault="00000000">
      <w:r>
        <w:br w:type="page"/>
      </w:r>
    </w:p>
    <w:p w14:paraId="6ADB4EBF" w14:textId="77777777" w:rsidR="00AF68D3" w:rsidRDefault="00AF68D3">
      <w:pPr>
        <w:sectPr w:rsidR="00AF68D3">
          <w:pgSz w:w="11906" w:h="16838"/>
          <w:pgMar w:top="1440" w:right="1440" w:bottom="1440" w:left="1440" w:header="708" w:footer="708" w:gutter="0"/>
          <w:cols w:space="720"/>
          <w:docGrid w:linePitch="360"/>
        </w:sectPr>
      </w:pPr>
    </w:p>
    <w:p w14:paraId="7A68D9CA" w14:textId="4F4B6B04" w:rsidR="00AF68D3" w:rsidRDefault="00000000">
      <w:pPr>
        <w:pStyle w:val="Heading1"/>
        <w:spacing w:before="360" w:after="200"/>
      </w:pPr>
      <w:r>
        <w:rPr>
          <w:b/>
          <w:bCs/>
          <w:color w:val="1F3864"/>
          <w:sz w:val="28"/>
          <w:szCs w:val="28"/>
        </w:rPr>
        <w:lastRenderedPageBreak/>
        <w:t>Introduction</w:t>
      </w:r>
    </w:p>
    <w:p w14:paraId="23780382" w14:textId="77777777" w:rsidR="00AF68D3" w:rsidRDefault="00000000">
      <w:pPr>
        <w:spacing w:after="200"/>
        <w:jc w:val="both"/>
      </w:pPr>
      <w:r>
        <w:t xml:space="preserve">Autism Spectrum Disorder (ASD) is one of the neurodevelopmental conditions classified within Chapter 6 of the eleventh revision of the International Classification of Diseases (ICD-11), published by the World Health Organization (WHO, 2019). This report provides a critical examination of ASD as classified in ICD-11, focusing on the diagnostic criteria and language used, the treatment and rehabilitation </w:t>
      </w:r>
      <w:proofErr w:type="gramStart"/>
      <w:r>
        <w:t>approaches</w:t>
      </w:r>
      <w:proofErr w:type="gramEnd"/>
      <w:r>
        <w:t xml:space="preserve"> available within the United Kingdom, and the contemporary debates surrounding the classification and support of autistic people. The discussion draws on National Institute for Health and Care Excellence (NICE) guidance and UK government policy, alongside recent academic literature on the neurodiversity movement, to provide an up-to-date and critically reasoned analysis. The report concludes with a set of recommendations for improving classification, diagnosis, treatment and rehabilitation practice for autistic individuals in the UK.</w:t>
      </w:r>
    </w:p>
    <w:p w14:paraId="4E2B6612" w14:textId="1B55536B" w:rsidR="00AF68D3" w:rsidRDefault="00000000">
      <w:pPr>
        <w:pStyle w:val="Heading1"/>
        <w:spacing w:before="360" w:after="200"/>
      </w:pPr>
      <w:r>
        <w:rPr>
          <w:b/>
          <w:bCs/>
          <w:color w:val="1F3864"/>
          <w:sz w:val="28"/>
          <w:szCs w:val="28"/>
        </w:rPr>
        <w:t>Classification of Autism Spectrum Disorder in ICD-11</w:t>
      </w:r>
    </w:p>
    <w:p w14:paraId="71F7A431" w14:textId="77777777" w:rsidR="00AF68D3" w:rsidRDefault="00000000">
      <w:pPr>
        <w:spacing w:after="200"/>
        <w:jc w:val="both"/>
      </w:pPr>
      <w:r>
        <w:t xml:space="preserve">Under ICD-11, ASD is coded 6A02 and is located within the neurodevelopmental disorders grouping of the Mental, Behavioural or Neurodevelopmental Disorders chapter, alongside conditions such as attention deficit hyperactivity disorder (ADHD), </w:t>
      </w:r>
      <w:r>
        <w:lastRenderedPageBreak/>
        <w:t>developmental learning disorder and developmental motor coordination disorder (WHO, 2019). This represents a substantial structural change from ICD-10, which separated childhood autism, Asperger syndrome and atypical autism or pervasive developmental disorder not otherwise specified into distinct diagnostic categories. ICD-11 instead adopts a single spectrum category with six subcodes, 6A02.0 to 6A02.5, which specify the presence or absence of a co-occurring disorder of intellectual development and the degree of functional language impairment, rather than assigning separate diagnostic labels (WHO, 2019). This dimensional approach aligns ICD-11 more closely with the DSM-5-TR (American Psychiatric Association, 2022), improving consistency between the two major classification systems used internationally.</w:t>
      </w:r>
    </w:p>
    <w:p w14:paraId="4462DBF8" w14:textId="77777777" w:rsidR="00AF68D3" w:rsidRDefault="00000000">
      <w:pPr>
        <w:spacing w:after="200"/>
        <w:jc w:val="both"/>
      </w:pPr>
      <w:r>
        <w:t>ICD-11 defines ASD as characterised by persistent deficits in the ability to initiate and sustain reciprocal social interaction and communication, together with a range of restricted, repetitive and inflexible patterns of behaviour, interests or activities that are atypical or excessive for the individual's age and socio-cultural context (WHO, 2019). Onset occurs during the developmental period, although features may not become fully apparent until social demands exceed the individual's capacity, a pattern of growing clinical relevance to late-diagnosed adults and to camouflaging or masking behaviour (Hull, Petrides and Mandy, 2020).</w:t>
      </w:r>
    </w:p>
    <w:p w14:paraId="1F9D8FCA" w14:textId="77777777" w:rsidR="00AF68D3" w:rsidRDefault="00000000">
      <w:pPr>
        <w:pStyle w:val="Heading2"/>
        <w:spacing w:before="260" w:after="160"/>
      </w:pPr>
      <w:r>
        <w:rPr>
          <w:b/>
          <w:bCs/>
          <w:color w:val="2E5395"/>
          <w:sz w:val="24"/>
          <w:szCs w:val="24"/>
        </w:rPr>
        <w:lastRenderedPageBreak/>
        <w:t>2.1 Diagnostic Criteria and the Assessment Process</w:t>
      </w:r>
    </w:p>
    <w:p w14:paraId="7AA1F1ED" w14:textId="77777777" w:rsidR="00AF68D3" w:rsidRDefault="00000000">
      <w:pPr>
        <w:spacing w:after="200"/>
        <w:jc w:val="both"/>
      </w:pPr>
      <w:r>
        <w:t xml:space="preserve">In the UK, diagnostic pathways for ASD are shaped by NICE guideline CG128 for children and young people and CG142 for adults, alongside the Autism Quality Standard QS51 (NICE, 2011; NICE, 2012; NICE, 2014). Assessment should be multidisciplinary, drawing on developmental history from parents or carers, direct observation, and standardised tools that map onto the behavioural domains specified in ICD-11 and DSM-5-TR (NICE, 2011). NICE (2021) surveillance work has highlighted the persistent underdiagnosis of autistic girls and women, whose presentations often diverge from the male-typical profile on which many diagnostic instruments were originally validated (Lai and Baron-Cohen, 2015). In practice, NHS diagnostic assessment is increasingly delivered through Specialist Autism Teams, which combine diagnostic and post-diagnostic support functions (NICE, 2021). However, demand for assessment across England has grown sharply: as of </w:t>
      </w:r>
      <w:proofErr w:type="gramStart"/>
      <w:r>
        <w:t>June 2025</w:t>
      </w:r>
      <w:proofErr w:type="gramEnd"/>
      <w:r>
        <w:t xml:space="preserve"> there were 236,225 open referrals for suspected autism, with 89.4 per cent of these having been open for longer than the 13-week period recommended by NICE (NHS England Digital, 2025). This scale of delay raises significant concerns about timeliness, equity of access, and the wellbeing of individuals and families awaiting assessment.</w:t>
      </w:r>
    </w:p>
    <w:p w14:paraId="31CAFE1F" w14:textId="77777777" w:rsidR="00AF68D3" w:rsidRDefault="00000000">
      <w:pPr>
        <w:pStyle w:val="Heading2"/>
        <w:spacing w:before="260" w:after="160"/>
      </w:pPr>
      <w:r>
        <w:rPr>
          <w:b/>
          <w:bCs/>
          <w:color w:val="2E5395"/>
          <w:sz w:val="24"/>
          <w:szCs w:val="24"/>
        </w:rPr>
        <w:t>2.2 Language Used in Classification</w:t>
      </w:r>
    </w:p>
    <w:p w14:paraId="5383A9D3" w14:textId="77777777" w:rsidR="00AF68D3" w:rsidRDefault="00000000">
      <w:pPr>
        <w:spacing w:after="200"/>
        <w:jc w:val="both"/>
      </w:pPr>
      <w:r>
        <w:t xml:space="preserve">ICD-11 retains the medical term "disorder" throughout its ASD entry, consistent with its function as a clinical and administrative </w:t>
      </w:r>
      <w:r>
        <w:lastRenderedPageBreak/>
        <w:t>coding tool used for statistics, service commissioning and international comparability (WHO, 2019). This contrasts with the language increasingly favoured by autistic self-advocacy organisations and within UK policy. The National Strategy for Autistic Children, Young People and Adults 2021 to 2026 favours identity-first language, such as "autistic person" rather than "person with autism", and frames autism as a lifelong difference rather than solely a disorder to be treated (Department of Health and Social Care, 2021). The strategy itself acknowledges that not all autistic people regard themselves as disabled, illustrating a tension between the clinical language required for diagnostic classification and the language preferred by many within the autistic community. This tension is explored further in Section 4.</w:t>
      </w:r>
    </w:p>
    <w:p w14:paraId="7D16F730" w14:textId="336DF6FB" w:rsidR="00AF68D3" w:rsidRDefault="00000000">
      <w:pPr>
        <w:pStyle w:val="Heading1"/>
        <w:spacing w:before="360" w:after="200"/>
      </w:pPr>
      <w:r>
        <w:rPr>
          <w:b/>
          <w:bCs/>
          <w:color w:val="1F3864"/>
          <w:sz w:val="28"/>
          <w:szCs w:val="28"/>
        </w:rPr>
        <w:t>Treatment and Rehabilitation</w:t>
      </w:r>
    </w:p>
    <w:p w14:paraId="7515F015" w14:textId="77777777" w:rsidR="00AF68D3" w:rsidRDefault="00000000">
      <w:pPr>
        <w:pStyle w:val="Heading2"/>
        <w:spacing w:before="260" w:after="160"/>
      </w:pPr>
      <w:r>
        <w:rPr>
          <w:b/>
          <w:bCs/>
          <w:color w:val="2E5395"/>
          <w:sz w:val="24"/>
          <w:szCs w:val="24"/>
        </w:rPr>
        <w:t>3.1 Evidence-Based Interventions</w:t>
      </w:r>
    </w:p>
    <w:p w14:paraId="65A85B60" w14:textId="77777777" w:rsidR="00AF68D3" w:rsidRDefault="00000000">
      <w:pPr>
        <w:spacing w:after="200"/>
        <w:jc w:val="both"/>
      </w:pPr>
      <w:r>
        <w:t xml:space="preserve">ASD has no cure, and NICE guidance is explicit that autism is not a condition to be eliminated; rather, interventions aim to support communication, reduce distress and enable participation in education, employment and community life (NICE, 2013). NICE guideline CG170 recommends structured social-communication interventions for children and young people, including play-based approaches delivered jointly with parents, carers and teachers to build joint attention and reciprocal communication skills (NICE, 2013). For adults, guideline CG142 recommends psychosocial </w:t>
      </w:r>
      <w:r>
        <w:lastRenderedPageBreak/>
        <w:t>interventions, including social-skills group work, and states clearly that pharmacological treatment should not be used to manage the core features of autism, although medication may be appropriate for co-occurring conditions such as anxiety, depression or ADHD (NICE, 2012). Occupational therapy addressing sensory processing differences, and speech and language therapy supporting communication, are widely used within NHS and educational settings under the Special Educational Needs and Disability (SEND) Code of Practice (Department for Education and Department of Health, 2015).</w:t>
      </w:r>
    </w:p>
    <w:p w14:paraId="06C6548F" w14:textId="77777777" w:rsidR="00AF68D3" w:rsidRDefault="00000000">
      <w:pPr>
        <w:pStyle w:val="Heading2"/>
        <w:spacing w:before="260" w:after="160"/>
      </w:pPr>
      <w:r>
        <w:rPr>
          <w:b/>
          <w:bCs/>
          <w:color w:val="2E5395"/>
          <w:sz w:val="24"/>
          <w:szCs w:val="24"/>
        </w:rPr>
        <w:t>3.2 Effectiveness and Limitations</w:t>
      </w:r>
    </w:p>
    <w:p w14:paraId="01A6ADE5" w14:textId="77777777" w:rsidR="00AF68D3" w:rsidRDefault="00000000">
      <w:pPr>
        <w:spacing w:after="200"/>
        <w:jc w:val="both"/>
      </w:pPr>
      <w:r>
        <w:t xml:space="preserve">The evidence base for behavioural interventions such as Applied Behaviour Analysis, widely used in North America, remains contested within the UK, where clinician and autistic-community concern has grown regarding approaches historically focused on suppressing autistic traits, such as reducing stimming, rather than supporting overall wellbeing. By contrast, UK provision has moved increasingly toward naturalistic, strengths-based and neurodiversity-affirming approaches, though access remains inconsistent across integrated care boards, producing marked regional variation in service quality and availability (National Autistic Society, 2023). Rehabilitation is not formally codified for ASD in ICD-11 in the way that it is for some physical health conditions; instead, support in the UK is delivered through education, health and care plans, workplace adjustments under the </w:t>
      </w:r>
      <w:r>
        <w:lastRenderedPageBreak/>
        <w:t>Equality Act 2010, and adult social care needs assessments (Department for Education and Department of Health, 2015). A key limitation of the current evidence base is that intervention effectiveness is frequently measured using outcomes defined by non-autistic researchers and clinicians, such as reduction of observable autistic behaviours, rather than outcomes that autistic people themselves prioritise, including reduced anxiety, improved quality of life, or reduced need to mask (Pellicano and den Houting, 2022). This measurement problem complicates interpretation of the evidence base and is itself part of the broader debate discussed below.</w:t>
      </w:r>
    </w:p>
    <w:p w14:paraId="7269E9A7" w14:textId="1CA8BD1F" w:rsidR="00AF68D3" w:rsidRDefault="00000000">
      <w:pPr>
        <w:pStyle w:val="Heading1"/>
        <w:spacing w:before="360" w:after="200"/>
      </w:pPr>
      <w:r>
        <w:rPr>
          <w:b/>
          <w:bCs/>
          <w:color w:val="1F3864"/>
          <w:sz w:val="28"/>
          <w:szCs w:val="28"/>
        </w:rPr>
        <w:t>Current Debates and Emerging Issues</w:t>
      </w:r>
    </w:p>
    <w:p w14:paraId="6435A61A" w14:textId="77777777" w:rsidR="00AF68D3" w:rsidRDefault="00000000">
      <w:pPr>
        <w:pStyle w:val="Heading2"/>
        <w:spacing w:before="260" w:after="160"/>
      </w:pPr>
      <w:r>
        <w:rPr>
          <w:b/>
          <w:bCs/>
          <w:color w:val="2E5395"/>
          <w:sz w:val="24"/>
          <w:szCs w:val="24"/>
        </w:rPr>
        <w:t>4.1 Neurodiversity and the Medical Model</w:t>
      </w:r>
    </w:p>
    <w:p w14:paraId="7932112D" w14:textId="77777777" w:rsidR="00AF68D3" w:rsidRDefault="00000000">
      <w:pPr>
        <w:spacing w:after="200"/>
        <w:jc w:val="both"/>
      </w:pPr>
      <w:r>
        <w:t xml:space="preserve">The most significant ongoing debate concerning ASD concerns the tension between the biomedical model, which frames autism as a disorder involving impairment located within the individual, and the neurodiversity paradigm, which frames autism as a natural variation in human neurocognition and locates disability primarily within a poorly accommodating environment, consistent with the social model of disability (Kapp, 2026; Pisciotta, 2024). Neurodiversity advocates do not uniformly reject clinical diagnosis or support, since diagnosis remains the principal route to statutory support and reasonable adjustments in the UK; rather, the movement challenges normalisation-oriented goals and calls for </w:t>
      </w:r>
      <w:r>
        <w:lastRenderedPageBreak/>
        <w:t>support that helps autistic people thrive without requiring them to mask their natural presentation (Kapp, 2026). Recent research indicates that the two models increasingly operate in creative tension rather than straightforward opposition, with many neurodiversity advocates supporting a hybrid position that combines individualised support with environmental and societal reform (Dwyer et al., 2025).</w:t>
      </w:r>
    </w:p>
    <w:p w14:paraId="10C9F478" w14:textId="77777777" w:rsidR="00AF68D3" w:rsidRDefault="00000000">
      <w:pPr>
        <w:pStyle w:val="Heading2"/>
        <w:spacing w:before="260" w:after="160"/>
      </w:pPr>
      <w:r>
        <w:rPr>
          <w:b/>
          <w:bCs/>
          <w:color w:val="2E5395"/>
          <w:sz w:val="24"/>
          <w:szCs w:val="24"/>
        </w:rPr>
        <w:t>4.2 Reclassification and Diagnostic Boundaries</w:t>
      </w:r>
    </w:p>
    <w:p w14:paraId="2EB462A8" w14:textId="77777777" w:rsidR="00AF68D3" w:rsidRDefault="00000000">
      <w:pPr>
        <w:spacing w:after="200"/>
        <w:jc w:val="both"/>
      </w:pPr>
      <w:r>
        <w:t xml:space="preserve">The ICD-11 shift to a single spectrum category has itself proven contentious. Some clinicians and researchers argue that collapsing previously distinct diagnoses, such as Asperger syndrome, into one category better reflects the continuous nature of autistic traits and removes arbitrary distinctions between subtypes. Others raise concern that a </w:t>
      </w:r>
      <w:proofErr w:type="gramStart"/>
      <w:r>
        <w:t>broad spectrum</w:t>
      </w:r>
      <w:proofErr w:type="gramEnd"/>
      <w:r>
        <w:t xml:space="preserve"> classification risks obscuring meaningful heterogeneity in support needs, potentially disadvantaging individuals with higher support needs, including those with co-occurring intellectual disability or minimal spoken language, whose needs differ substantially from those of autistic adults in employment (Russell et al., 2019). This heterogeneity debate has practical implications for UK service commissioning, since a single diagnostic label is often used as a proxy for eligibility criteria that may not map well onto the highly variable support needs across the spectrum (National Autistic Society, 2023).</w:t>
      </w:r>
    </w:p>
    <w:p w14:paraId="5939904F" w14:textId="77777777" w:rsidR="00AF68D3" w:rsidRDefault="00000000">
      <w:pPr>
        <w:pStyle w:val="Heading2"/>
        <w:spacing w:before="260" w:after="160"/>
      </w:pPr>
      <w:r>
        <w:rPr>
          <w:b/>
          <w:bCs/>
          <w:color w:val="2E5395"/>
          <w:sz w:val="24"/>
          <w:szCs w:val="24"/>
        </w:rPr>
        <w:t>4.3 Impact on Practice and Policy</w:t>
      </w:r>
    </w:p>
    <w:p w14:paraId="10621945" w14:textId="77777777" w:rsidR="00AF68D3" w:rsidRDefault="00000000">
      <w:pPr>
        <w:spacing w:after="200"/>
        <w:jc w:val="both"/>
      </w:pPr>
      <w:r>
        <w:lastRenderedPageBreak/>
        <w:t>These debates have shaped UK policy directly. The Autism Act 2009 remains the only disability-specific primary legislation in England, and the current National Strategy for Autistic Children, Young People and Adults 2021 to 2026 explicitly acknowledges differing views within the autistic community about identity and disability status, while committing to improve societal understanding and acceptance, education, employment access, and health and social care inequalities (Department of Health and Social Care, 2021). NHS diagnostic and post-diagnostic services have begun incorporating Right to Choose pathways, expanding independent-sector assessment capacity in response to lengthy NHS waiting lists (National Autistic Society, 2025). However, tension persists between an under-resourced diagnostic system built on a categorical, medically framed pathway and a policy and advocacy landscape increasingly shaped by neurodiversity-affirming principles, producing inconsistency in how autism is discussed, assessed and supported across services (National Autistic Society, 2023).</w:t>
      </w:r>
    </w:p>
    <w:p w14:paraId="1E701521" w14:textId="1F654977" w:rsidR="00AF68D3" w:rsidRDefault="00000000">
      <w:pPr>
        <w:pStyle w:val="Heading1"/>
        <w:spacing w:before="360" w:after="200"/>
      </w:pPr>
      <w:r>
        <w:rPr>
          <w:b/>
          <w:bCs/>
          <w:color w:val="1F3864"/>
          <w:sz w:val="28"/>
          <w:szCs w:val="28"/>
        </w:rPr>
        <w:t xml:space="preserve"> Recommendations</w:t>
      </w:r>
    </w:p>
    <w:p w14:paraId="4CE75B25" w14:textId="77777777" w:rsidR="00AF68D3" w:rsidRDefault="00000000">
      <w:pPr>
        <w:spacing w:after="200"/>
        <w:jc w:val="both"/>
      </w:pPr>
      <w:r>
        <w:t xml:space="preserve">Based on the analysis above, several recommendations are proposed. First, NHS diagnostic pathways should be resourced to meet the NICE-recommended 13-week assessment target, with particular attention to addressing underdiagnosis among girls, women and adults presenting later in life, through clinician training on diverse presentations and camouflaging behaviours (NICE, </w:t>
      </w:r>
      <w:r>
        <w:lastRenderedPageBreak/>
        <w:t xml:space="preserve">2021; Lai and Baron-Cohen, 2015). Second, outcome measures used to evaluate interventions should be co-produced with autistic people, prioritising quality-of-life and wellbeing indicators over the reduction of autistic traits alone, </w:t>
      </w:r>
      <w:proofErr w:type="gramStart"/>
      <w:r>
        <w:t>in order to</w:t>
      </w:r>
      <w:proofErr w:type="gramEnd"/>
      <w:r>
        <w:t xml:space="preserve"> close the gap between clinical and lived-experience definitions of effective support (Pellicano and den Houting, 2022). Third, post-diagnostic support and rehabilitation provision should be standardised across integrated care boards to reduce regional inconsistency in access to occupational therapy, speech and language therapy, and psychosocial intervention (National Autistic Society, 2023). Fourth, commissioning frameworks should more explicitly separate diagnostic classification from eligibility for support, using functional needs assessment alongside diagnosis to ensure that individuals across the spectrum, including those with substantial support needs, receive proportionate provision (Russell et al., 2019). Finally, professional training and public communication should reflect both clinical and neurodiversity-affirming language, ensuring that services remain sensitive to the preferences of the autistic community while retaining the clinical precision required for service commissioning and statutory eligibility (Department of Health and Social Care, 2021).</w:t>
      </w:r>
    </w:p>
    <w:p w14:paraId="62A07135" w14:textId="0BC0240A" w:rsidR="00AF68D3" w:rsidRDefault="00000000">
      <w:pPr>
        <w:pStyle w:val="Heading1"/>
        <w:spacing w:before="360" w:after="200"/>
      </w:pPr>
      <w:r>
        <w:rPr>
          <w:b/>
          <w:bCs/>
          <w:color w:val="1F3864"/>
          <w:sz w:val="28"/>
          <w:szCs w:val="28"/>
        </w:rPr>
        <w:t>Conclusion</w:t>
      </w:r>
    </w:p>
    <w:p w14:paraId="4023E521" w14:textId="77777777" w:rsidR="00AF68D3" w:rsidRDefault="00000000">
      <w:pPr>
        <w:spacing w:after="200"/>
        <w:jc w:val="both"/>
      </w:pPr>
      <w:r>
        <w:t xml:space="preserve">ASD, classified under ICD-11 code 6A02, is defined by persistent differences in social communication and by restricted or repetitive patterns of behaviour, with the current classification system </w:t>
      </w:r>
      <w:r>
        <w:lastRenderedPageBreak/>
        <w:t>reflecting a shift toward a single dimensional spectrum rather than discrete subtypes. UK diagnosis and support are shaped by NICE guidance and by the National Strategy for Autistic Children, Young People and Adults 2021 to 2026, yet significant challenges remain, including record NHS waiting lists, underdiagnosis in specific populations, and inconsistent post-diagnostic provision across the country. The ongoing debate between medical and neurodiversity models of autism continues to shape both clinical practice and policy, and reconciling these perspectives, particularly around outcome measurement and diagnostic-versus-needs-based eligibility, will be central to improving the classification, diagnosis, treatment and rehabilitation of autistic people in the UK.</w:t>
      </w:r>
    </w:p>
    <w:p w14:paraId="3C1A0BE3" w14:textId="77777777" w:rsidR="00AF68D3" w:rsidRDefault="00000000">
      <w:r>
        <w:br w:type="page"/>
      </w:r>
    </w:p>
    <w:p w14:paraId="4E46E8B1" w14:textId="77777777" w:rsidR="00AF68D3" w:rsidRDefault="00000000">
      <w:pPr>
        <w:pStyle w:val="Heading1"/>
        <w:spacing w:before="360" w:after="200"/>
      </w:pPr>
      <w:r>
        <w:rPr>
          <w:b/>
          <w:bCs/>
          <w:color w:val="1F3864"/>
          <w:sz w:val="28"/>
          <w:szCs w:val="28"/>
        </w:rPr>
        <w:lastRenderedPageBreak/>
        <w:t>References</w:t>
      </w:r>
    </w:p>
    <w:p w14:paraId="1159B75A" w14:textId="77777777" w:rsidR="00AF68D3" w:rsidRDefault="00000000">
      <w:pPr>
        <w:spacing w:after="160" w:line="276" w:lineRule="auto"/>
        <w:ind w:left="720" w:hanging="720"/>
      </w:pPr>
      <w:r>
        <w:t xml:space="preserve">American Psychiatric Association (2022) Diagnostic and Statistical Manual of Mental Disorders, 5th </w:t>
      </w:r>
      <w:proofErr w:type="spellStart"/>
      <w:r>
        <w:t>edn</w:t>
      </w:r>
      <w:proofErr w:type="spellEnd"/>
      <w:r>
        <w:t>, text revision. Washington, DC: American Psychiatric Publishing.</w:t>
      </w:r>
    </w:p>
    <w:p w14:paraId="39DBC47F" w14:textId="77777777" w:rsidR="00AF68D3" w:rsidRDefault="00000000">
      <w:pPr>
        <w:spacing w:after="160" w:line="276" w:lineRule="auto"/>
        <w:ind w:left="720" w:hanging="720"/>
      </w:pPr>
      <w:r>
        <w:t>Department for Education and Department of Health (2015) Special Educational Needs and Disability Code of Practice: 0 to 25 Years. London: DfE/DH.</w:t>
      </w:r>
    </w:p>
    <w:p w14:paraId="3F0E1CF2" w14:textId="77777777" w:rsidR="00AF68D3" w:rsidRDefault="00000000">
      <w:pPr>
        <w:spacing w:after="160" w:line="276" w:lineRule="auto"/>
        <w:ind w:left="720" w:hanging="720"/>
      </w:pPr>
      <w:r>
        <w:t>Department of Health and Social Care (2021) The National Strategy for Autistic Children, Young People and Adults: 2021 to 2026. London: DHSC.</w:t>
      </w:r>
    </w:p>
    <w:p w14:paraId="1B793D78" w14:textId="77777777" w:rsidR="00AF68D3" w:rsidRDefault="00000000">
      <w:pPr>
        <w:spacing w:after="160" w:line="276" w:lineRule="auto"/>
        <w:ind w:left="720" w:hanging="720"/>
      </w:pPr>
      <w:r>
        <w:t>Dwyer, P., Gurba, A.N., Kapp, S.K., Kilgallon, E., Hersh, L.H., Chang, D.S., Rivera, S.M. and Gillespie-Lynch, K. (2025) 'Community views of neurodiversity, models of disability and autism intervention: Mixed methods reveal shared goals and key tensions', Autism, 29(9), pp. 2297-2314.</w:t>
      </w:r>
    </w:p>
    <w:p w14:paraId="1537D7FF" w14:textId="77777777" w:rsidR="00AF68D3" w:rsidRDefault="00000000">
      <w:pPr>
        <w:spacing w:after="160" w:line="276" w:lineRule="auto"/>
        <w:ind w:left="720" w:hanging="720"/>
      </w:pPr>
      <w:r>
        <w:t>Hull, L., Petrides, K.V. and Mandy, W. (2020) 'The female autism phenotype and camouflaging: a narrative review', Review Journal of Autism and Developmental Disorders, 7(4), pp. 306-317.</w:t>
      </w:r>
    </w:p>
    <w:p w14:paraId="1A661C58" w14:textId="77777777" w:rsidR="00AF68D3" w:rsidRDefault="00000000">
      <w:pPr>
        <w:spacing w:after="160" w:line="276" w:lineRule="auto"/>
        <w:ind w:left="720" w:hanging="720"/>
      </w:pPr>
      <w:r>
        <w:t>Kapp, S.K. (2026) 'The neurodiversity movement vs. the medical model of autism', World Psychiatry, 25(2), pp. 322-323.</w:t>
      </w:r>
    </w:p>
    <w:p w14:paraId="5A5A131D" w14:textId="77777777" w:rsidR="00AF68D3" w:rsidRDefault="00000000">
      <w:pPr>
        <w:spacing w:after="160" w:line="276" w:lineRule="auto"/>
        <w:ind w:left="720" w:hanging="720"/>
      </w:pPr>
      <w:r>
        <w:t>Lai, M.C. and Baron-Cohen, S. (2015) 'Identifying the lost generation of adults with autism spectrum conditions', The Lancet Psychiatry, 2(11), pp. 1013-1027.</w:t>
      </w:r>
    </w:p>
    <w:p w14:paraId="4C9C33C0" w14:textId="77777777" w:rsidR="00AF68D3" w:rsidRDefault="00000000">
      <w:pPr>
        <w:spacing w:after="160" w:line="276" w:lineRule="auto"/>
        <w:ind w:left="720" w:hanging="720"/>
      </w:pPr>
      <w:r>
        <w:t>National Autistic Society (2023) The Autism Employment Gap. London: National Autistic Society.</w:t>
      </w:r>
    </w:p>
    <w:p w14:paraId="1F7A1C07" w14:textId="577A7CE9" w:rsidR="00AF68D3" w:rsidRDefault="00000000">
      <w:pPr>
        <w:spacing w:after="160" w:line="276" w:lineRule="auto"/>
        <w:ind w:left="720" w:hanging="720"/>
      </w:pPr>
      <w:r>
        <w:t xml:space="preserve">National Autistic Society (2025) Autism Assessment Waiting Times: August 2025. London: National Autistic Society. Available at: </w:t>
      </w:r>
      <w:r>
        <w:lastRenderedPageBreak/>
        <w:t xml:space="preserve">https://www.autism.org.uk/what-we-do/news/autism-assessment-waiting-times-11 </w:t>
      </w:r>
    </w:p>
    <w:p w14:paraId="2A91F2C4" w14:textId="213C7543" w:rsidR="00AF68D3" w:rsidRDefault="00000000">
      <w:pPr>
        <w:spacing w:after="160" w:line="276" w:lineRule="auto"/>
        <w:ind w:left="720" w:hanging="720"/>
      </w:pPr>
      <w:r>
        <w:t>NHS England Digital (2025) Autism Statistics, July 2024 to June 2025. Leeds: NHS England. Available at: https://digital.nhs.uk/data-and-information/publications/statistical/autism-statistics/july-2024-to-june-2025</w:t>
      </w:r>
    </w:p>
    <w:p w14:paraId="3C1B01D9" w14:textId="77777777" w:rsidR="00AF68D3" w:rsidRDefault="00000000">
      <w:pPr>
        <w:spacing w:after="160" w:line="276" w:lineRule="auto"/>
        <w:ind w:left="720" w:hanging="720"/>
      </w:pPr>
      <w:r>
        <w:t xml:space="preserve">National Institute for Health and Care Excellence (2011) </w:t>
      </w:r>
      <w:proofErr w:type="gramStart"/>
      <w:r>
        <w:t>Autism Spectrum Disorder</w:t>
      </w:r>
      <w:proofErr w:type="gramEnd"/>
      <w:r>
        <w:t xml:space="preserve"> in Under 19s: Recognition, Referral and Diagnosis (CG128). London: NICE.</w:t>
      </w:r>
    </w:p>
    <w:p w14:paraId="7322C7F5" w14:textId="77777777" w:rsidR="00AF68D3" w:rsidRDefault="00000000">
      <w:pPr>
        <w:spacing w:after="160" w:line="276" w:lineRule="auto"/>
        <w:ind w:left="720" w:hanging="720"/>
      </w:pPr>
      <w:r>
        <w:t xml:space="preserve">National Institute for Health and Care Excellence (2012) </w:t>
      </w:r>
      <w:proofErr w:type="gramStart"/>
      <w:r>
        <w:t>Autism Spectrum Disorder</w:t>
      </w:r>
      <w:proofErr w:type="gramEnd"/>
      <w:r>
        <w:t xml:space="preserve"> in Adults: Diagnosis and Management (CG142). London: NICE.</w:t>
      </w:r>
    </w:p>
    <w:p w14:paraId="185DF1F3" w14:textId="77777777" w:rsidR="00AF68D3" w:rsidRDefault="00000000">
      <w:pPr>
        <w:spacing w:after="160" w:line="276" w:lineRule="auto"/>
        <w:ind w:left="720" w:hanging="720"/>
      </w:pPr>
      <w:r>
        <w:t>National Institute for Health and Care Excellence (2013) Autism: The Management and Support of Children and Young People on the Autism Spectrum (CG170). London: NICE.</w:t>
      </w:r>
    </w:p>
    <w:p w14:paraId="6717B923" w14:textId="77777777" w:rsidR="00AF68D3" w:rsidRDefault="00000000">
      <w:pPr>
        <w:spacing w:after="160" w:line="276" w:lineRule="auto"/>
        <w:ind w:left="720" w:hanging="720"/>
      </w:pPr>
      <w:r>
        <w:t>National Institute for Health and Care Excellence (2014) Autism (QS51). London: NICE.</w:t>
      </w:r>
    </w:p>
    <w:p w14:paraId="142666F5" w14:textId="77777777" w:rsidR="00AF68D3" w:rsidRDefault="00000000">
      <w:pPr>
        <w:spacing w:after="160" w:line="276" w:lineRule="auto"/>
        <w:ind w:left="720" w:hanging="720"/>
      </w:pPr>
      <w:r>
        <w:t>National Institute for Health and Care Excellence (2021) 2021 Surveillance of Autism (NICE Guidelines CG128, CG142 and CG170). London: NICE.</w:t>
      </w:r>
    </w:p>
    <w:p w14:paraId="2048866B" w14:textId="77777777" w:rsidR="00AF68D3" w:rsidRDefault="00000000">
      <w:pPr>
        <w:spacing w:after="160" w:line="276" w:lineRule="auto"/>
        <w:ind w:left="720" w:hanging="720"/>
      </w:pPr>
      <w:r>
        <w:t>Pellicano, E. and den Houting, J. (2022) 'Annual Research Review: Shifting from "normal science" to neurodiversity in autism science', Journal of Child Psychology and Psychiatry, 63(4), pp. 381-396.</w:t>
      </w:r>
    </w:p>
    <w:p w14:paraId="1959804E" w14:textId="77777777" w:rsidR="00AF68D3" w:rsidRDefault="00000000">
      <w:pPr>
        <w:spacing w:after="160" w:line="276" w:lineRule="auto"/>
        <w:ind w:left="720" w:hanging="720"/>
      </w:pPr>
      <w:r>
        <w:t>Pisciotta, A. (2024) 'Shifting Paradigms: Rethinking Autism Beyond the Medical Model', Voices in Bioethics, 10.</w:t>
      </w:r>
    </w:p>
    <w:p w14:paraId="199BE41D" w14:textId="77777777" w:rsidR="00AF68D3" w:rsidRDefault="00000000">
      <w:pPr>
        <w:spacing w:after="160" w:line="276" w:lineRule="auto"/>
        <w:ind w:left="720" w:hanging="720"/>
      </w:pPr>
      <w:r>
        <w:t xml:space="preserve">Russell, G., Kapp, S.K., Elliott, D., Elphick, C., Gwernan-Jones, R. and Owens, C. (2019) 'Mapping the autistic advantage from </w:t>
      </w:r>
      <w:r>
        <w:lastRenderedPageBreak/>
        <w:t>the accounts of adults diagnosed with autism: A qualitative study', Autism in Adulthood, 1(2), pp. 124-133.</w:t>
      </w:r>
    </w:p>
    <w:p w14:paraId="0C8AF3B8" w14:textId="257D553C" w:rsidR="00AF68D3" w:rsidRDefault="00000000">
      <w:pPr>
        <w:spacing w:after="160" w:line="276" w:lineRule="auto"/>
        <w:ind w:left="720" w:hanging="720"/>
      </w:pPr>
      <w:r>
        <w:t xml:space="preserve">World Health Organization (2019) ICD-11 for Mortality and Morbidity Statistics: 6A02 </w:t>
      </w:r>
      <w:proofErr w:type="gramStart"/>
      <w:r>
        <w:t>Autism Spectrum Disorder</w:t>
      </w:r>
      <w:proofErr w:type="gramEnd"/>
      <w:r>
        <w:t xml:space="preserve">. Geneva: WHO. Available at: https://icd.who.int/browse11/l-m/en#/http://id.who.int/icd/entity/437815624 </w:t>
      </w:r>
    </w:p>
    <w:sectPr w:rsidR="00AF68D3">
      <w:headerReference w:type="default" r:id="rId9"/>
      <w:footerReference w:type="default" r:id="rId10"/>
      <w:pgSz w:w="11906" w:h="16838"/>
      <w:pgMar w:top="1440" w:right="1440" w:bottom="1440" w:left="1440" w:header="708" w:footer="708"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5E66DA7" w14:textId="77777777" w:rsidR="002068AC" w:rsidRDefault="002068AC">
      <w:pPr>
        <w:spacing w:line="240" w:lineRule="auto"/>
      </w:pPr>
      <w:r>
        <w:separator/>
      </w:r>
    </w:p>
  </w:endnote>
  <w:endnote w:type="continuationSeparator" w:id="0">
    <w:p w14:paraId="1F07EE0B" w14:textId="77777777" w:rsidR="002068AC" w:rsidRDefault="002068A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rial">
    <w:panose1 w:val="020B0604020202020204"/>
    <w:charset w:val="00"/>
    <w:family w:val="swiss"/>
    <w:pitch w:val="variable"/>
    <w:sig w:usb0="E0002EFF" w:usb1="C000785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Aptos">
    <w:charset w:val="00"/>
    <w:family w:val="swiss"/>
    <w:pitch w:val="variable"/>
    <w:sig w:usb0="20000287" w:usb1="00000003" w:usb2="00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7968664F" w14:textId="53D246BA" w:rsidR="00AF68D3" w:rsidRDefault="00000000">
    <w:pPr>
      <w:jc w:val="center"/>
    </w:pPr>
    <w:r>
      <w:rPr>
        <w:sz w:val="18"/>
        <w:szCs w:val="18"/>
      </w:rPr>
      <w:t xml:space="preserve">Page </w:t>
    </w:r>
    <w:r>
      <w:rPr>
        <w:sz w:val="18"/>
        <w:szCs w:val="18"/>
      </w:rPr>
      <w:fldChar w:fldCharType="begin"/>
    </w:r>
    <w:r>
      <w:rPr>
        <w:sz w:val="18"/>
        <w:szCs w:val="18"/>
      </w:rPr>
      <w:instrText>PAGE</w:instrText>
    </w:r>
    <w:r>
      <w:rPr>
        <w:sz w:val="18"/>
        <w:szCs w:val="18"/>
      </w:rPr>
      <w:fldChar w:fldCharType="separate"/>
    </w:r>
    <w:r w:rsidR="00BD6CF6">
      <w:rPr>
        <w:noProof/>
        <w:sz w:val="18"/>
        <w:szCs w:val="18"/>
      </w:rPr>
      <w:t>3</w:t>
    </w:r>
    <w:r>
      <w:rPr>
        <w:sz w:val="18"/>
        <w:szCs w:val="18"/>
      </w:rPr>
      <w:fldChar w:fldCharType="end"/>
    </w:r>
    <w:r>
      <w:rPr>
        <w:sz w:val="18"/>
        <w:szCs w:val="18"/>
      </w:rPr>
      <w:t xml:space="preserve"> of </w:t>
    </w:r>
    <w:r>
      <w:rPr>
        <w:sz w:val="18"/>
        <w:szCs w:val="18"/>
      </w:rPr>
      <w:fldChar w:fldCharType="begin"/>
    </w:r>
    <w:r>
      <w:rPr>
        <w:sz w:val="18"/>
        <w:szCs w:val="18"/>
      </w:rPr>
      <w:instrText>NUMPAGES</w:instrText>
    </w:r>
    <w:r>
      <w:rPr>
        <w:sz w:val="18"/>
        <w:szCs w:val="18"/>
      </w:rPr>
      <w:fldChar w:fldCharType="separate"/>
    </w:r>
    <w:r w:rsidR="00BD6CF6">
      <w:rPr>
        <w:noProof/>
        <w:sz w:val="18"/>
        <w:szCs w:val="18"/>
      </w:rPr>
      <w:t>4</w:t>
    </w:r>
    <w:r>
      <w:rPr>
        <w:sz w:val="18"/>
        <w:szCs w:val="18"/>
      </w:rPr>
      <w:fldChar w:fldCharType="end"/>
    </w: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4BC7ECA1" w14:textId="77777777" w:rsidR="002068AC" w:rsidRDefault="002068AC">
      <w:pPr>
        <w:spacing w:line="240" w:lineRule="auto"/>
      </w:pPr>
      <w:r>
        <w:separator/>
      </w:r>
    </w:p>
  </w:footnote>
  <w:footnote w:type="continuationSeparator" w:id="0">
    <w:p w14:paraId="2117EEDB" w14:textId="77777777" w:rsidR="002068AC" w:rsidRDefault="002068AC">
      <w:pPr>
        <w:spacing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2F0ADF93" w14:textId="77777777" w:rsidR="00AF68D3" w:rsidRDefault="00000000">
    <w:pPr>
      <w:jc w:val="right"/>
    </w:pPr>
    <w:r>
      <w:rPr>
        <w:color w:val="888888"/>
        <w:sz w:val="18"/>
        <w:szCs w:val="18"/>
      </w:rPr>
      <w:t>BMHP6029 — Component 2</w:t>
    </w: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512124D0"/>
    <w:multiLevelType w:val="hybridMultilevel"/>
    <w:tmpl w:val="F1C8104A"/>
    <w:lvl w:ilvl="0" w:tplc="4E962B44">
      <w:start w:val="1"/>
      <w:numFmt w:val="bullet"/>
      <w:lvlText w:val="•"/>
      <w:lvlJc w:val="left"/>
      <w:pPr>
        <w:ind w:left="720" w:hanging="360"/>
      </w:pPr>
    </w:lvl>
    <w:lvl w:ilvl="1" w:tplc="14A8E6EE">
      <w:numFmt w:val="decimal"/>
      <w:lvlText w:val=""/>
      <w:lvlJc w:val="left"/>
    </w:lvl>
    <w:lvl w:ilvl="2" w:tplc="E646B9C0">
      <w:numFmt w:val="decimal"/>
      <w:lvlText w:val=""/>
      <w:lvlJc w:val="left"/>
    </w:lvl>
    <w:lvl w:ilvl="3" w:tplc="690C4C84">
      <w:numFmt w:val="decimal"/>
      <w:lvlText w:val=""/>
      <w:lvlJc w:val="left"/>
    </w:lvl>
    <w:lvl w:ilvl="4" w:tplc="E28A6E58">
      <w:numFmt w:val="decimal"/>
      <w:lvlText w:val=""/>
      <w:lvlJc w:val="left"/>
    </w:lvl>
    <w:lvl w:ilvl="5" w:tplc="C048093E">
      <w:numFmt w:val="decimal"/>
      <w:lvlText w:val=""/>
      <w:lvlJc w:val="left"/>
    </w:lvl>
    <w:lvl w:ilvl="6" w:tplc="CF86DEF6">
      <w:numFmt w:val="decimal"/>
      <w:lvlText w:val=""/>
      <w:lvlJc w:val="left"/>
    </w:lvl>
    <w:lvl w:ilvl="7" w:tplc="46AC9CE2">
      <w:numFmt w:val="decimal"/>
      <w:lvlText w:val=""/>
      <w:lvlJc w:val="left"/>
    </w:lvl>
    <w:lvl w:ilvl="8" w:tplc="00D2E430">
      <w:numFmt w:val="decimal"/>
      <w:lvlText w:val=""/>
      <w:lvlJc w:val="left"/>
    </w:lvl>
  </w:abstractNum>
  <w:abstractNum w:abstractNumId="1" w15:restartNumberingAfterBreak="0">
    <w:nsid w:val="7CED6A40"/>
    <w:multiLevelType w:val="hybridMultilevel"/>
    <w:tmpl w:val="9E603BDC"/>
    <w:lvl w:ilvl="0" w:tplc="D33421C6">
      <w:start w:val="1"/>
      <w:numFmt w:val="bullet"/>
      <w:lvlText w:val="●"/>
      <w:lvlJc w:val="left"/>
      <w:pPr>
        <w:ind w:left="720" w:hanging="360"/>
      </w:pPr>
    </w:lvl>
    <w:lvl w:ilvl="1" w:tplc="33187E9E">
      <w:start w:val="1"/>
      <w:numFmt w:val="bullet"/>
      <w:lvlText w:val="○"/>
      <w:lvlJc w:val="left"/>
      <w:pPr>
        <w:ind w:left="1440" w:hanging="360"/>
      </w:pPr>
    </w:lvl>
    <w:lvl w:ilvl="2" w:tplc="E1EA7CA4">
      <w:start w:val="1"/>
      <w:numFmt w:val="bullet"/>
      <w:lvlText w:val="■"/>
      <w:lvlJc w:val="left"/>
      <w:pPr>
        <w:ind w:left="2160" w:hanging="360"/>
      </w:pPr>
    </w:lvl>
    <w:lvl w:ilvl="3" w:tplc="219230F2">
      <w:start w:val="1"/>
      <w:numFmt w:val="bullet"/>
      <w:lvlText w:val="●"/>
      <w:lvlJc w:val="left"/>
      <w:pPr>
        <w:ind w:left="2880" w:hanging="360"/>
      </w:pPr>
    </w:lvl>
    <w:lvl w:ilvl="4" w:tplc="1B9A3604">
      <w:start w:val="1"/>
      <w:numFmt w:val="bullet"/>
      <w:lvlText w:val="○"/>
      <w:lvlJc w:val="left"/>
      <w:pPr>
        <w:ind w:left="3600" w:hanging="360"/>
      </w:pPr>
    </w:lvl>
    <w:lvl w:ilvl="5" w:tplc="AC5E41C8">
      <w:start w:val="1"/>
      <w:numFmt w:val="bullet"/>
      <w:lvlText w:val="■"/>
      <w:lvlJc w:val="left"/>
      <w:pPr>
        <w:ind w:left="4320" w:hanging="360"/>
      </w:pPr>
    </w:lvl>
    <w:lvl w:ilvl="6" w:tplc="E8A48520">
      <w:start w:val="1"/>
      <w:numFmt w:val="bullet"/>
      <w:lvlText w:val="●"/>
      <w:lvlJc w:val="left"/>
      <w:pPr>
        <w:ind w:left="5040" w:hanging="360"/>
      </w:pPr>
    </w:lvl>
    <w:lvl w:ilvl="7" w:tplc="B3789ACA">
      <w:start w:val="1"/>
      <w:numFmt w:val="bullet"/>
      <w:lvlText w:val="●"/>
      <w:lvlJc w:val="left"/>
      <w:pPr>
        <w:ind w:left="5760" w:hanging="360"/>
      </w:pPr>
    </w:lvl>
    <w:lvl w:ilvl="8" w:tplc="D95AE4EE">
      <w:start w:val="1"/>
      <w:numFmt w:val="bullet"/>
      <w:lvlText w:val="●"/>
      <w:lvlJc w:val="left"/>
      <w:pPr>
        <w:ind w:left="6480" w:hanging="360"/>
      </w:pPr>
    </w:lvl>
  </w:abstractNum>
  <w:num w:numId="1" w16cid:durableId="306322903">
    <w:abstractNumId w:val="1"/>
    <w:lvlOverride w:ilvl="0">
      <w:startOverride w:val="1"/>
    </w:lvlOverride>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zoom w:percent="100"/>
  <w:doNotDisplayPageBoundaries/>
  <w:displayBackgroundShape/>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AF68D3"/>
    <w:rsid w:val="002068AC"/>
    <w:rsid w:val="00AF68D3"/>
    <w:rsid w:val="00B90D46"/>
    <w:rsid w:val="00BD6CF6"/>
    <w:rsid w:val="00C1177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8B1ED2F"/>
  <w15:docId w15:val="{770AF642-517E-4222-A497-5CC0AC44AF93}"/>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Arial" w:eastAsia="Arial" w:hAnsi="Arial" w:cs="Arial"/>
        <w:sz w:val="22"/>
        <w:szCs w:val="22"/>
        <w:lang w:val="en-GB" w:eastAsia="en-GB" w:bidi="ar-SA"/>
      </w:rPr>
    </w:rPrDefault>
    <w:pPrDefault>
      <w:pPr>
        <w:spacing w:line="360"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uiPriority w:val="9"/>
    <w:qFormat/>
    <w:pPr>
      <w:outlineLvl w:val="0"/>
    </w:pPr>
    <w:rPr>
      <w:color w:val="2E74B5"/>
      <w:sz w:val="32"/>
      <w:szCs w:val="32"/>
    </w:rPr>
  </w:style>
  <w:style w:type="paragraph" w:styleId="Heading2">
    <w:name w:val="heading 2"/>
    <w:uiPriority w:val="9"/>
    <w:unhideWhenUsed/>
    <w:qFormat/>
    <w:pPr>
      <w:outlineLvl w:val="1"/>
    </w:pPr>
    <w:rPr>
      <w:color w:val="2E74B5"/>
      <w:sz w:val="26"/>
      <w:szCs w:val="26"/>
    </w:rPr>
  </w:style>
  <w:style w:type="paragraph" w:styleId="Heading3">
    <w:name w:val="heading 3"/>
    <w:uiPriority w:val="9"/>
    <w:semiHidden/>
    <w:unhideWhenUsed/>
    <w:qFormat/>
    <w:pPr>
      <w:outlineLvl w:val="2"/>
    </w:pPr>
    <w:rPr>
      <w:color w:val="1F4D78"/>
      <w:sz w:val="24"/>
      <w:szCs w:val="24"/>
    </w:rPr>
  </w:style>
  <w:style w:type="paragraph" w:styleId="Heading4">
    <w:name w:val="heading 4"/>
    <w:uiPriority w:val="9"/>
    <w:semiHidden/>
    <w:unhideWhenUsed/>
    <w:qFormat/>
    <w:pPr>
      <w:outlineLvl w:val="3"/>
    </w:pPr>
    <w:rPr>
      <w:i/>
      <w:iCs/>
      <w:color w:val="2E74B5"/>
    </w:rPr>
  </w:style>
  <w:style w:type="paragraph" w:styleId="Heading5">
    <w:name w:val="heading 5"/>
    <w:uiPriority w:val="9"/>
    <w:semiHidden/>
    <w:unhideWhenUsed/>
    <w:qFormat/>
    <w:pPr>
      <w:outlineLvl w:val="4"/>
    </w:pPr>
    <w:rPr>
      <w:color w:val="2E74B5"/>
    </w:rPr>
  </w:style>
  <w:style w:type="paragraph" w:styleId="Heading6">
    <w:name w:val="heading 6"/>
    <w:uiPriority w:val="9"/>
    <w:semiHidden/>
    <w:unhideWhenUsed/>
    <w:qFormat/>
    <w:pPr>
      <w:outlineLvl w:val="5"/>
    </w:pPr>
    <w:rPr>
      <w:color w:val="1F4D7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uiPriority w:val="10"/>
    <w:qFormat/>
    <w:rPr>
      <w:sz w:val="56"/>
      <w:szCs w:val="56"/>
    </w:rPr>
  </w:style>
  <w:style w:type="paragraph" w:customStyle="1" w:styleId="Strong1">
    <w:name w:val="Strong1"/>
    <w:qFormat/>
    <w:rPr>
      <w:b/>
      <w:bCs/>
    </w:rPr>
  </w:style>
  <w:style w:type="paragraph" w:styleId="ListParagraph">
    <w:name w:val="List Paragraph"/>
    <w:qFormat/>
  </w:style>
  <w:style w:type="character" w:styleId="Hyperlink">
    <w:name w:val="Hyperlink"/>
    <w:uiPriority w:val="99"/>
    <w:unhideWhenUsed/>
    <w:rPr>
      <w:color w:val="0563C1"/>
      <w:u w:val="single"/>
    </w:rPr>
  </w:style>
  <w:style w:type="character" w:styleId="FootnoteReference">
    <w:name w:val="footnote reference"/>
    <w:uiPriority w:val="99"/>
    <w:semiHidden/>
    <w:unhideWhenUsed/>
    <w:rPr>
      <w:vertAlign w:val="superscript"/>
    </w:rPr>
  </w:style>
  <w:style w:type="paragraph" w:styleId="FootnoteText">
    <w:name w:val="footnote text"/>
    <w:link w:val="FootnoteTextChar"/>
    <w:uiPriority w:val="99"/>
    <w:semiHidden/>
    <w:unhideWhenUsed/>
    <w:pPr>
      <w:spacing w:line="240" w:lineRule="auto"/>
    </w:pPr>
    <w:rPr>
      <w:sz w:val="20"/>
      <w:szCs w:val="20"/>
    </w:rPr>
  </w:style>
  <w:style w:type="character" w:customStyle="1" w:styleId="FootnoteTextChar">
    <w:name w:val="Footnote Text Char"/>
    <w:link w:val="FootnoteText"/>
    <w:uiPriority w:val="99"/>
    <w:semiHidden/>
    <w:unhideWhenUsed/>
    <w:rPr>
      <w:sz w:val="20"/>
      <w:szCs w:val="20"/>
    </w:rPr>
  </w:style>
  <w:style w:type="character" w:styleId="EndnoteReference">
    <w:name w:val="endnote reference"/>
    <w:uiPriority w:val="99"/>
    <w:semiHidden/>
    <w:unhideWhenUsed/>
    <w:rPr>
      <w:vertAlign w:val="superscript"/>
    </w:rPr>
  </w:style>
  <w:style w:type="paragraph" w:styleId="EndnoteText">
    <w:name w:val="endnote text"/>
    <w:link w:val="EndnoteTextChar"/>
    <w:uiPriority w:val="99"/>
    <w:semiHidden/>
    <w:unhideWhenUsed/>
    <w:pPr>
      <w:spacing w:line="240" w:lineRule="auto"/>
    </w:pPr>
    <w:rPr>
      <w:sz w:val="20"/>
      <w:szCs w:val="20"/>
    </w:rPr>
  </w:style>
  <w:style w:type="character" w:customStyle="1" w:styleId="EndnoteTextChar">
    <w:name w:val="Endnote Text Char"/>
    <w:link w:val="EndnoteText"/>
    <w:uiPriority w:val="99"/>
    <w:semiHidden/>
    <w:unhideWhenUsed/>
    <w:rPr>
      <w:sz w:val="20"/>
      <w:szCs w:val="20"/>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file>

<file path=word/_rels/document.xml.rels><?xml version="1.0" encoding="UTF-8" standalone="yes"?>
<Relationships xmlns="http://schemas.openxmlformats.org/package/2006/relationships"><Relationship Id="rId8" Type="http://schemas.openxmlformats.org/officeDocument/2006/relationships/image" Target="media/image1.png"/><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theme" Target="theme/theme1.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ntTable" Target="fontTable.xml"/><Relationship Id="rId5" Type="http://schemas.openxmlformats.org/officeDocument/2006/relationships/webSettings" Target="webSettings.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02DD1DE5-6403-4519-9FC8-38BA7DCC81BD}">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16</Pages>
  <Words>2687</Words>
  <Characters>15319</Characters>
  <Application>Microsoft Office Word</Application>
  <DocSecurity>0</DocSecurity>
  <Lines>127</Lines>
  <Paragraphs>35</Paragraphs>
  <ScaleCrop>false</ScaleCrop>
  <HeadingPairs>
    <vt:vector size="2" baseType="variant">
      <vt:variant>
        <vt:lpstr>Title</vt:lpstr>
      </vt:variant>
      <vt:variant>
        <vt:i4>1</vt:i4>
      </vt:variant>
    </vt:vector>
  </HeadingPairs>
  <TitlesOfParts>
    <vt:vector size="1" baseType="lpstr">
      <vt:lpstr>Autism Spectrum Disorder: A Critical Examination under ICD-11</vt:lpstr>
    </vt:vector>
  </TitlesOfParts>
  <Company/>
  <LinksUpToDate>false</LinksUpToDate>
  <CharactersWithSpaces>17971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Autism Spectrum Disorder: A Critical Examination under ICD-11</dc:title>
  <dc:creator>ESTHER NANKYA</dc:creator>
  <cp:lastModifiedBy>Esther Nankya (2336477)</cp:lastModifiedBy>
  <cp:revision>2</cp:revision>
  <dcterms:created xsi:type="dcterms:W3CDTF">2026-08-08T12:04:00Z</dcterms:created>
  <dcterms:modified xsi:type="dcterms:W3CDTF">2026-08-08T12:04:00Z</dcterms:modified>
</cp:coreProperties>
</file>