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2000"/>
      </w:pPr>
      <w:r>
        <w:t xml:space="preserve"/>
      </w:r>
    </w:p>
    <w:p>
      <w:pPr>
        <w:spacing w:after="240" w:before="0"/>
        <w:jc w:val="center"/>
      </w:pPr>
      <w:r>
        <w:rPr>
          <w:rFonts w:ascii="Arial" w:cs="Arial" w:eastAsia="Arial" w:hAnsi="Arial"/>
          <w:b/>
          <w:bCs/>
          <w:caps/>
          <w:color w:val="2E5490"/>
          <w:sz w:val="24"/>
          <w:szCs w:val="24"/>
        </w:rPr>
        <w:t xml:space="preserve">MASTER'S THESIS</w:t>
      </w:r>
    </w:p>
    <w:p>
      <w:pPr>
        <w:spacing w:after="480" w:before="0"/>
        <w:jc w:val="center"/>
      </w:pPr>
      <w:r>
        <w:rPr>
          <w:rFonts w:ascii="Arial" w:cs="Arial" w:eastAsia="Arial" w:hAnsi="Arial"/>
          <w:b/>
          <w:bCs/>
          <w:color w:val="1F3864"/>
          <w:sz w:val="40"/>
          <w:szCs w:val="40"/>
        </w:rPr>
        <w:t xml:space="preserve">Chapter Three: Research Methodology</w:t>
      </w:r>
    </w:p>
    <w:p>
      <w:pPr>
        <w:spacing w:after="240" w:before="0"/>
        <w:jc w:val="center"/>
      </w:pPr>
      <w:r>
        <w:rPr>
          <w:rFonts w:ascii="Arial" w:cs="Arial" w:eastAsia="Arial" w:hAnsi="Arial"/>
          <w:b/>
          <w:bCs/>
          <w:color w:val="1F3864"/>
          <w:sz w:val="28"/>
          <w:szCs w:val="28"/>
        </w:rPr>
        <w:t xml:space="preserve">Generative Artificial Intelligence in Data Analytics and Business Intelligence:</w:t>
      </w:r>
    </w:p>
    <w:p>
      <w:pPr>
        <w:spacing w:after="1000" w:before="0"/>
        <w:jc w:val="center"/>
      </w:pPr>
      <w:r>
        <w:rPr>
          <w:rFonts w:ascii="Arial" w:cs="Arial" w:eastAsia="Arial" w:hAnsi="Arial"/>
          <w:i/>
          <w:iCs/>
          <w:color w:val="2E5490"/>
          <w:sz w:val="28"/>
          <w:szCs w:val="28"/>
        </w:rPr>
        <w:t xml:space="preserve">An Intelligent, Conversational BI System Powered by Large Language Models</w:t>
      </w:r>
    </w:p>
    <w:p>
      <w:pPr>
        <w:spacing w:after="120" w:before="0"/>
        <w:jc w:val="center"/>
      </w:pPr>
      <w:r>
        <w:rPr>
          <w:rFonts w:ascii="Arial" w:cs="Arial" w:eastAsia="Arial" w:hAnsi="Arial"/>
          <w:sz w:val="22"/>
          <w:szCs w:val="22"/>
        </w:rPr>
        <w:t xml:space="preserve">Submitted in partial fulfilment of the requirements</w:t>
      </w:r>
    </w:p>
    <w:p>
      <w:pPr>
        <w:spacing w:after="400" w:before="0"/>
        <w:jc w:val="center"/>
      </w:pPr>
      <w:r>
        <w:rPr>
          <w:rFonts w:ascii="Arial" w:cs="Arial" w:eastAsia="Arial" w:hAnsi="Arial"/>
          <w:sz w:val="22"/>
          <w:szCs w:val="22"/>
        </w:rPr>
        <w:t xml:space="preserve">for the award of the Degree of Master of Science</w:t>
      </w:r>
    </w:p>
    <w:p>
      <w:r>
        <w:br w:type="page"/>
      </w:r>
    </w:p>
    <w:p>
      <w:pPr>
        <w:pStyle w:val="Heading1"/>
        <w:spacing w:after="160" w:before="400"/>
      </w:pPr>
      <w:r>
        <w:rPr>
          <w:rFonts w:ascii="Arial" w:cs="Arial" w:eastAsia="Arial" w:hAnsi="Arial"/>
          <w:b/>
          <w:bCs/>
          <w:color w:val="1F3864"/>
          <w:sz w:val="32"/>
          <w:szCs w:val="32"/>
        </w:rPr>
        <w:t xml:space="preserve">3.1  Introduction</w:t>
      </w:r>
    </w:p>
    <w:p>
      <w:pPr>
        <w:spacing w:after="120" w:before="80" w:line="360"/>
        <w:jc w:val="both"/>
      </w:pPr>
      <w:r>
        <w:rPr>
          <w:rFonts w:ascii="Arial" w:cs="Arial" w:eastAsia="Arial" w:hAnsi="Arial"/>
          <w:sz w:val="22"/>
          <w:szCs w:val="22"/>
        </w:rPr>
        <w:t xml:space="preserve">This chapter presents the methodological framework underpinning the design, development, and evaluation of a Generative Artificial Intelligence (AI)-powered Business Intelligence (BI) system. The chapter justifies the philosophical and paradigmatic choices that govern the study, articulates the research design adopted, and describes in systematic detail the data collection instrument, sampling strategy, data processing pipeline, and analytical procedures employed. The overarching aim of the methodology is to demonstrate rigour, transparency, and replicability — the three hallmarks of credible dissertation-level research (Saunders, Lewis and Thornhill, 2019, p. 88). </w:t>
      </w:r>
    </w:p>
    <w:p>
      <w:pPr>
        <w:spacing w:after="120" w:before="80" w:line="360"/>
        <w:jc w:val="both"/>
      </w:pPr>
      <w:r>
        <w:rPr>
          <w:rFonts w:ascii="Arial" w:cs="Arial" w:eastAsia="Arial" w:hAnsi="Arial"/>
          <w:sz w:val="22"/>
          <w:szCs w:val="22"/>
        </w:rPr>
        <w:t xml:space="preserve">The study sits at the intersection of Information Systems research, Natural Language Processing (NLP), and Business Intelligence. It aims to investigate whether Large Language Models (LLMs) embedded within a data analytics pipeline can enable non-technical users to derive accurate, interpretable, and visually coherent insights from structured datasets through natural language interaction. The technical implementation integrates five components: </w:t>
      </w:r>
      <w:r>
        <w:rPr>
          <w:rFonts w:ascii="Arial" w:cs="Arial" w:eastAsia="Arial" w:hAnsi="Arial"/>
          <w:b/>
          <w:bCs/>
          <w:sz w:val="22"/>
          <w:szCs w:val="22"/>
        </w:rPr>
        <w:t xml:space="preserve">Streamlit</w:t>
      </w:r>
      <w:r>
        <w:rPr>
          <w:rFonts w:ascii="Arial" w:cs="Arial" w:eastAsia="Arial" w:hAnsi="Arial"/>
          <w:sz w:val="22"/>
          <w:szCs w:val="22"/>
        </w:rPr>
        <w:t xml:space="preserve"> as the conversational frontend, </w:t>
      </w:r>
      <w:r>
        <w:rPr>
          <w:rFonts w:ascii="Arial" w:cs="Arial" w:eastAsia="Arial" w:hAnsi="Arial"/>
          <w:b/>
          <w:bCs/>
          <w:sz w:val="22"/>
          <w:szCs w:val="22"/>
        </w:rPr>
        <w:t xml:space="preserve">Google Forms</w:t>
      </w:r>
      <w:r>
        <w:rPr>
          <w:rFonts w:ascii="Arial" w:cs="Arial" w:eastAsia="Arial" w:hAnsi="Arial"/>
          <w:sz w:val="22"/>
          <w:szCs w:val="22"/>
        </w:rPr>
        <w:t xml:space="preserve"> as the primary data collection instrument for constructing the analytical dataset, </w:t>
      </w:r>
      <w:r>
        <w:rPr>
          <w:rFonts w:ascii="Arial" w:cs="Arial" w:eastAsia="Arial" w:hAnsi="Arial"/>
          <w:b/>
          <w:bCs/>
          <w:sz w:val="22"/>
          <w:szCs w:val="22"/>
        </w:rPr>
        <w:t xml:space="preserve">OpenAI GPT-4o</w:t>
      </w:r>
      <w:r>
        <w:rPr>
          <w:rFonts w:ascii="Arial" w:cs="Arial" w:eastAsia="Arial" w:hAnsi="Arial"/>
          <w:sz w:val="22"/>
          <w:szCs w:val="22"/>
        </w:rPr>
        <w:t xml:space="preserve"> as the generative intelligence engine, </w:t>
      </w:r>
      <w:r>
        <w:rPr>
          <w:rFonts w:ascii="Arial" w:cs="Arial" w:eastAsia="Arial" w:hAnsi="Arial"/>
          <w:b/>
          <w:bCs/>
          <w:sz w:val="22"/>
          <w:szCs w:val="22"/>
        </w:rPr>
        <w:t xml:space="preserve">Plotly</w:t>
      </w:r>
      <w:r>
        <w:rPr>
          <w:rFonts w:ascii="Arial" w:cs="Arial" w:eastAsia="Arial" w:hAnsi="Arial"/>
          <w:sz w:val="22"/>
          <w:szCs w:val="22"/>
        </w:rPr>
        <w:t xml:space="preserve"> for interactive data visualisation, and </w:t>
      </w:r>
      <w:r>
        <w:rPr>
          <w:rFonts w:ascii="Arial" w:cs="Arial" w:eastAsia="Arial" w:hAnsi="Arial"/>
          <w:b/>
          <w:bCs/>
          <w:sz w:val="22"/>
          <w:szCs w:val="22"/>
        </w:rPr>
        <w:t xml:space="preserve">Pandas</w:t>
      </w:r>
      <w:r>
        <w:rPr>
          <w:rFonts w:ascii="Arial" w:cs="Arial" w:eastAsia="Arial" w:hAnsi="Arial"/>
          <w:sz w:val="22"/>
          <w:szCs w:val="22"/>
        </w:rPr>
        <w:t xml:space="preserve"> for data validation and transformation. Each component is methodologically justified within the research design rather than treated solely as a technical choice.</w:t>
      </w:r>
    </w:p>
    <w:p>
      <w:pPr>
        <w:pStyle w:val="Heading1"/>
        <w:spacing w:after="160" w:before="400"/>
      </w:pPr>
      <w:r>
        <w:rPr>
          <w:rFonts w:ascii="Arial" w:cs="Arial" w:eastAsia="Arial" w:hAnsi="Arial"/>
          <w:b/>
          <w:bCs/>
          <w:color w:val="1F3864"/>
          <w:sz w:val="32"/>
          <w:szCs w:val="32"/>
        </w:rPr>
        <w:t xml:space="preserve">3.2  Research Philosophy</w:t>
      </w:r>
    </w:p>
    <w:p>
      <w:pPr>
        <w:spacing w:after="120" w:before="80" w:line="360"/>
        <w:jc w:val="both"/>
      </w:pPr>
      <w:r>
        <w:rPr>
          <w:rFonts w:ascii="Arial" w:cs="Arial" w:eastAsia="Arial" w:hAnsi="Arial"/>
          <w:sz w:val="22"/>
          <w:szCs w:val="22"/>
        </w:rPr>
        <w:t xml:space="preserve">Research philosophy refers to the set of beliefs and assumptions that underpin how knowledge is created and what constitutes acceptable evidence (Creswell and Creswell, 2018, p. 6). Selecting an appropriate philosophy is not a perfunctory academic exercise; it determines the entire logic of the research design, from data collection to analytical interpretation.</w:t>
      </w:r>
    </w:p>
    <w:p>
      <w:pPr>
        <w:spacing w:after="120" w:before="80" w:line="360"/>
        <w:jc w:val="both"/>
      </w:pPr>
      <w:r>
        <w:rPr>
          <w:rFonts w:ascii="Arial" w:cs="Arial" w:eastAsia="Arial" w:hAnsi="Arial"/>
          <w:sz w:val="22"/>
          <w:szCs w:val="22"/>
        </w:rPr>
        <w:t xml:space="preserve">This study adopts a </w:t>
      </w:r>
      <w:r>
        <w:rPr>
          <w:rFonts w:ascii="Arial" w:cs="Arial" w:eastAsia="Arial" w:hAnsi="Arial"/>
          <w:b/>
          <w:bCs/>
          <w:sz w:val="22"/>
          <w:szCs w:val="22"/>
        </w:rPr>
        <w:t xml:space="preserve">pragmatist</w:t>
      </w:r>
      <w:r>
        <w:rPr>
          <w:rFonts w:ascii="Arial" w:cs="Arial" w:eastAsia="Arial" w:hAnsi="Arial"/>
          <w:sz w:val="22"/>
          <w:szCs w:val="22"/>
        </w:rPr>
        <w:t xml:space="preserve"> research philosophy. Pragmatism, as articulated by Tashakkori and Teddlie (2010, p. 43), rejects the forced dichotomy between positivism and interpretivism, arguing instead that the research question — not an ideological commitment — should govern methodological choices. In the context of this study, the research question is fundamentally concerned with utility: does the developed system produce analytically accurate, usable, and trustworthy outputs from real-world data? This is neither a purely objective nor a purely subjective enquiry; it simultaneously involves measurable system performance metrics and judgements about interpretability and usefulness. Pragmatism accommodates this duality naturally.</w:t>
      </w:r>
    </w:p>
    <w:p>
      <w:pPr>
        <w:spacing w:after="120" w:before="80" w:line="360"/>
        <w:jc w:val="both"/>
      </w:pPr>
      <w:r>
        <w:rPr>
          <w:rFonts w:ascii="Arial" w:cs="Arial" w:eastAsia="Arial" w:hAnsi="Arial"/>
          <w:sz w:val="22"/>
          <w:szCs w:val="22"/>
        </w:rPr>
        <w:t xml:space="preserve">Furthermore, pragmatism aligns with the </w:t>
      </w:r>
      <w:r>
        <w:rPr>
          <w:rFonts w:ascii="Arial" w:cs="Arial" w:eastAsia="Arial" w:hAnsi="Arial"/>
          <w:b/>
          <w:bCs/>
          <w:sz w:val="22"/>
          <w:szCs w:val="22"/>
        </w:rPr>
        <w:t xml:space="preserve">Design Science Research (DSR)</w:t>
      </w:r>
      <w:r>
        <w:rPr>
          <w:rFonts w:ascii="Arial" w:cs="Arial" w:eastAsia="Arial" w:hAnsi="Arial"/>
          <w:sz w:val="22"/>
          <w:szCs w:val="22"/>
        </w:rPr>
        <w:t xml:space="preserve"> paradigm adopted in this study (discussed in Section 3.3), which positions the research artifact — the AI-powered BI system — as both the method and the contribution. Morgan (2014, p. 1054) specifically identifies pragmatism as the most coherent philosophical foundation for DSR, given its emphasis on problem-solving, practical consequence, and iterative refinement.</w:t>
      </w:r>
    </w:p>
    <w:p>
      <w:pPr>
        <w:pStyle w:val="Heading1"/>
        <w:spacing w:after="160" w:before="400"/>
      </w:pPr>
      <w:r>
        <w:rPr>
          <w:rFonts w:ascii="Arial" w:cs="Arial" w:eastAsia="Arial" w:hAnsi="Arial"/>
          <w:b/>
          <w:bCs/>
          <w:color w:val="1F3864"/>
          <w:sz w:val="32"/>
          <w:szCs w:val="32"/>
        </w:rPr>
        <w:t xml:space="preserve">3.3  Research Paradigm: Design Science Research</w:t>
      </w:r>
    </w:p>
    <w:p>
      <w:pPr>
        <w:spacing w:after="120" w:before="80" w:line="360"/>
        <w:jc w:val="both"/>
      </w:pPr>
      <w:r>
        <w:rPr>
          <w:rFonts w:ascii="Arial" w:cs="Arial" w:eastAsia="Arial" w:hAnsi="Arial"/>
          <w:sz w:val="22"/>
          <w:szCs w:val="22"/>
        </w:rPr>
        <w:t xml:space="preserve">The research is structured within the </w:t>
      </w:r>
      <w:r>
        <w:rPr>
          <w:rFonts w:ascii="Arial" w:cs="Arial" w:eastAsia="Arial" w:hAnsi="Arial"/>
          <w:b/>
          <w:bCs/>
          <w:sz w:val="22"/>
          <w:szCs w:val="22"/>
        </w:rPr>
        <w:t xml:space="preserve">Design Science Research (DSR)</w:t>
      </w:r>
      <w:r>
        <w:rPr>
          <w:rFonts w:ascii="Arial" w:cs="Arial" w:eastAsia="Arial" w:hAnsi="Arial"/>
          <w:sz w:val="22"/>
          <w:szCs w:val="22"/>
        </w:rPr>
        <w:t xml:space="preserve"> paradigm, as formally established by Hevner </w:t>
      </w:r>
      <w:r>
        <w:rPr>
          <w:rFonts w:ascii="Arial" w:cs="Arial" w:eastAsia="Arial" w:hAnsi="Arial"/>
          <w:i/>
          <w:iCs/>
          <w:sz w:val="22"/>
          <w:szCs w:val="22"/>
        </w:rPr>
        <w:t xml:space="preserve">et al.</w:t>
      </w:r>
      <w:r>
        <w:rPr>
          <w:rFonts w:ascii="Arial" w:cs="Arial" w:eastAsia="Arial" w:hAnsi="Arial"/>
          <w:sz w:val="22"/>
          <w:szCs w:val="22"/>
        </w:rPr>
        <w:t xml:space="preserve"> (2004) and subsequently extended by Peffers </w:t>
      </w:r>
      <w:r>
        <w:rPr>
          <w:rFonts w:ascii="Arial" w:cs="Arial" w:eastAsia="Arial" w:hAnsi="Arial"/>
          <w:i/>
          <w:iCs/>
          <w:sz w:val="22"/>
          <w:szCs w:val="22"/>
        </w:rPr>
        <w:t xml:space="preserve">et al.</w:t>
      </w:r>
      <w:r>
        <w:rPr>
          <w:rFonts w:ascii="Arial" w:cs="Arial" w:eastAsia="Arial" w:hAnsi="Arial"/>
          <w:sz w:val="22"/>
          <w:szCs w:val="22"/>
        </w:rPr>
        <w:t xml:space="preserve"> (2007). DSR is a recognised and widely applied paradigm in Information Systems research that treats the construction and rigorous evaluation of a purposeful, innovative artifact as the central form of scholarly contribution. Unlike behavioural science, which seeks to explain or predict phenomena, DSR seeks to </w:t>
      </w:r>
      <w:r>
        <w:rPr>
          <w:rFonts w:ascii="Arial" w:cs="Arial" w:eastAsia="Arial" w:hAnsi="Arial"/>
          <w:i/>
          <w:iCs/>
          <w:sz w:val="22"/>
          <w:szCs w:val="22"/>
        </w:rPr>
        <w:t xml:space="preserve">build</w:t>
      </w:r>
      <w:r>
        <w:rPr>
          <w:rFonts w:ascii="Arial" w:cs="Arial" w:eastAsia="Arial" w:hAnsi="Arial"/>
          <w:sz w:val="22"/>
          <w:szCs w:val="22"/>
        </w:rPr>
        <w:t xml:space="preserve"> and </w:t>
      </w:r>
      <w:r>
        <w:rPr>
          <w:rFonts w:ascii="Arial" w:cs="Arial" w:eastAsia="Arial" w:hAnsi="Arial"/>
          <w:i/>
          <w:iCs/>
          <w:sz w:val="22"/>
          <w:szCs w:val="22"/>
        </w:rPr>
        <w:t xml:space="preserve">evaluate</w:t>
      </w:r>
      <w:r>
        <w:rPr>
          <w:rFonts w:ascii="Arial" w:cs="Arial" w:eastAsia="Arial" w:hAnsi="Arial"/>
          <w:sz w:val="22"/>
          <w:szCs w:val="22"/>
        </w:rPr>
        <w:t xml:space="preserve"> solutions to identified problems (Hevner </w:t>
      </w:r>
      <w:r>
        <w:rPr>
          <w:rFonts w:ascii="Arial" w:cs="Arial" w:eastAsia="Arial" w:hAnsi="Arial"/>
          <w:i/>
          <w:iCs/>
          <w:sz w:val="22"/>
          <w:szCs w:val="22"/>
        </w:rPr>
        <w:t xml:space="preserve">et al.</w:t>
      </w:r>
      <w:r>
        <w:rPr>
          <w:rFonts w:ascii="Arial" w:cs="Arial" w:eastAsia="Arial" w:hAnsi="Arial"/>
          <w:sz w:val="22"/>
          <w:szCs w:val="22"/>
        </w:rPr>
        <w:t xml:space="preserve">, 2004, p. 75).</w:t>
      </w:r>
    </w:p>
    <w:p>
      <w:pPr>
        <w:spacing w:after="120" w:before="80" w:line="360"/>
        <w:jc w:val="both"/>
      </w:pPr>
      <w:r>
        <w:rPr>
          <w:rFonts w:ascii="Arial" w:cs="Arial" w:eastAsia="Arial" w:hAnsi="Arial"/>
          <w:sz w:val="22"/>
          <w:szCs w:val="22"/>
        </w:rPr>
        <w:t xml:space="preserve">DSR is particularly well-suited to this research for three reasons. First, the primary output is a functional system — a conversational AI-powered BI application — whose construction represents a novel integration of LLM technology with structured analytics pipelines. Second, the system is evaluated against explicit utility criteria grounded in identified analytics needs, which is consistent with DSR's evaluation-centric epistemology (Venable, Pries-Heje and Baskerville, 2016, p. 78). Third, DSR explicitly demands that design decisions be theoretically grounded and practically justified, ensuring that the technical components of this study are framed as knowledge-generating choices rather than arbitrary engineering decisions.</w:t>
      </w:r>
    </w:p>
    <w:p>
      <w:pPr>
        <w:spacing w:after="120" w:before="80" w:line="360"/>
        <w:jc w:val="both"/>
      </w:pPr>
      <w:r>
        <w:rPr>
          <w:rFonts w:ascii="Arial" w:cs="Arial" w:eastAsia="Arial" w:hAnsi="Arial"/>
          <w:sz w:val="22"/>
          <w:szCs w:val="22"/>
        </w:rPr>
        <w:t xml:space="preserve">Within the DSR framework, this study produces three interrelated artifact types as defined by March and Smith (1995, p. 253): a construct (the conceptual model of an LLM-augmented analytics pipeline), a model (the data flow architecture connecting Google Forms data to LLM-generated insights), and an instantiation (the working Streamlit application that embodies the design).</w:t>
      </w:r>
    </w:p>
    <w:p>
      <w:pPr>
        <w:pStyle w:val="Heading1"/>
        <w:spacing w:after="160" w:before="400"/>
      </w:pPr>
      <w:r>
        <w:rPr>
          <w:rFonts w:ascii="Arial" w:cs="Arial" w:eastAsia="Arial" w:hAnsi="Arial"/>
          <w:b/>
          <w:bCs/>
          <w:color w:val="1F3864"/>
          <w:sz w:val="32"/>
          <w:szCs w:val="32"/>
        </w:rPr>
        <w:t xml:space="preserve">3.4  Research Approach</w:t>
      </w:r>
    </w:p>
    <w:p>
      <w:pPr>
        <w:spacing w:after="120" w:before="80" w:line="360"/>
        <w:jc w:val="both"/>
      </w:pPr>
      <w:r>
        <w:rPr>
          <w:rFonts w:ascii="Arial" w:cs="Arial" w:eastAsia="Arial" w:hAnsi="Arial"/>
          <w:sz w:val="22"/>
          <w:szCs w:val="22"/>
        </w:rPr>
        <w:t xml:space="preserve">The research employs a </w:t>
      </w:r>
      <w:r>
        <w:rPr>
          <w:rFonts w:ascii="Arial" w:cs="Arial" w:eastAsia="Arial" w:hAnsi="Arial"/>
          <w:b/>
          <w:bCs/>
          <w:sz w:val="22"/>
          <w:szCs w:val="22"/>
        </w:rPr>
        <w:t xml:space="preserve">mixed-methods approach</w:t>
      </w:r>
      <w:r>
        <w:rPr>
          <w:rFonts w:ascii="Arial" w:cs="Arial" w:eastAsia="Arial" w:hAnsi="Arial"/>
          <w:sz w:val="22"/>
          <w:szCs w:val="22"/>
        </w:rPr>
        <w:t xml:space="preserve">, incorporating both quantitative system performance evaluation and qualitative interpretive analysis of LLM-generated outputs. This approach is consistent with pragmatism's methodological pluralism (Creswell and Creswell, 2018, p. 215) and is appropriate given the dual nature of the research: technical system performance (accuracy, execution rates, latency) demands quantitative measurement, while the interpretive quality of LLM-generated insights requires qualitative assessment.</w:t>
      </w:r>
    </w:p>
    <w:p>
      <w:pPr>
        <w:spacing w:after="120" w:before="80" w:line="360"/>
        <w:jc w:val="both"/>
      </w:pPr>
      <w:r>
        <w:rPr>
          <w:rFonts w:ascii="Arial" w:cs="Arial" w:eastAsia="Arial" w:hAnsi="Arial"/>
          <w:sz w:val="22"/>
          <w:szCs w:val="22"/>
        </w:rPr>
        <w:t xml:space="preserve">The strategy of inquiry follows the </w:t>
      </w:r>
      <w:r>
        <w:rPr>
          <w:rFonts w:ascii="Arial" w:cs="Arial" w:eastAsia="Arial" w:hAnsi="Arial"/>
          <w:b/>
          <w:bCs/>
          <w:sz w:val="22"/>
          <w:szCs w:val="22"/>
        </w:rPr>
        <w:t xml:space="preserve">Peffers </w:t>
      </w:r>
      <w:r>
        <w:rPr>
          <w:rFonts w:ascii="Arial" w:cs="Arial" w:eastAsia="Arial" w:hAnsi="Arial"/>
          <w:i/>
          <w:iCs/>
          <w:sz w:val="22"/>
          <w:szCs w:val="22"/>
        </w:rPr>
        <w:t xml:space="preserve">et al.</w:t>
      </w:r>
      <w:r>
        <w:rPr>
          <w:rFonts w:ascii="Arial" w:cs="Arial" w:eastAsia="Arial" w:hAnsi="Arial"/>
          <w:b/>
          <w:bCs/>
          <w:sz w:val="22"/>
          <w:szCs w:val="22"/>
        </w:rPr>
        <w:t xml:space="preserve"> (2007)</w:t>
      </w:r>
      <w:r>
        <w:rPr>
          <w:rFonts w:ascii="Arial" w:cs="Arial" w:eastAsia="Arial" w:hAnsi="Arial"/>
          <w:sz w:val="22"/>
          <w:szCs w:val="22"/>
        </w:rPr>
        <w:t xml:space="preserve"> DSR process model, which comprises six stages: (1) problem identification and motivation, (2) objective definition, (3) design and development, (4) demonstration, (5) evaluation, and (6) communication. This study progresses through all six stages sequentially, with iterative feedback between the design and evaluation stages.</w:t>
      </w:r>
    </w:p>
    <w:p>
      <w:pPr>
        <w:pStyle w:val="Heading1"/>
        <w:spacing w:after="160" w:before="400"/>
      </w:pPr>
      <w:r>
        <w:rPr>
          <w:rFonts w:ascii="Arial" w:cs="Arial" w:eastAsia="Arial" w:hAnsi="Arial"/>
          <w:b/>
          <w:bCs/>
          <w:color w:val="1F3864"/>
          <w:sz w:val="32"/>
          <w:szCs w:val="32"/>
        </w:rPr>
        <w:t xml:space="preserve">3.5  Research Design</w:t>
      </w:r>
    </w:p>
    <w:p>
      <w:pPr>
        <w:spacing w:after="120" w:before="80" w:line="360"/>
        <w:jc w:val="both"/>
      </w:pPr>
      <w:r>
        <w:rPr>
          <w:rFonts w:ascii="Arial" w:cs="Arial" w:eastAsia="Arial" w:hAnsi="Arial"/>
          <w:sz w:val="22"/>
          <w:szCs w:val="22"/>
        </w:rPr>
        <w:t xml:space="preserve">The research is structured as a three-phase iterative pipeline in which each phase produces outputs that feed directly into subsequent phases. The phased structure ensures that data collection, system development, and analytical evaluation are logically integrated rather than conducted in isolation.</w:t>
      </w:r>
    </w:p>
    <w:p>
      <w:pPr>
        <w:spacing w:after="0" w:before="80"/>
      </w:pPr>
      <w:r>
        <w:t xml:space="preserve"/>
      </w:r>
    </w:p>
    <w:tbl>
      <w:tblPr>
        <w:tblW w:type="dxa" w:w="8960"/>
        <w:tblBorders>
          <w:top w:val="single" w:color="auto" w:sz="4"/>
          <w:left w:val="single" w:color="auto" w:sz="4"/>
          <w:bottom w:val="single" w:color="auto" w:sz="4"/>
          <w:right w:val="single" w:color="auto" w:sz="4"/>
          <w:insideH w:val="single" w:color="auto" w:sz="4"/>
          <w:insideV w:val="single" w:color="auto" w:sz="4"/>
        </w:tblBorders>
      </w:tblPr>
      <w:tblGrid>
        <w:gridCol w:w="1200"/>
        <w:gridCol w:w="2000"/>
        <w:gridCol w:w="3500"/>
        <w:gridCol w:w="2260"/>
      </w:tblGrid>
      <w:tr>
        <w:tc>
          <w:tcPr>
            <w:tcW w:type="dxa" w:w="12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Phase</w:t>
            </w:r>
          </w:p>
        </w:tc>
        <w:tc>
          <w:tcPr>
            <w:tcW w:type="dxa" w:w="20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Title</w:t>
            </w:r>
          </w:p>
        </w:tc>
        <w:tc>
          <w:tcPr>
            <w:tcW w:type="dxa" w:w="35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Core Activity</w:t>
            </w:r>
          </w:p>
        </w:tc>
        <w:tc>
          <w:tcPr>
            <w:tcW w:type="dxa" w:w="226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Output</w:t>
            </w:r>
          </w:p>
        </w:tc>
      </w:tr>
      <w:tr>
        <w:tc>
          <w:tcPr>
            <w:tcW w:type="dxa" w:w="12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Phase 1</w:t>
            </w:r>
          </w:p>
        </w:tc>
        <w:tc>
          <w:tcPr>
            <w:tcW w:type="dxa" w:w="20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Dataset Construction</w:t>
            </w:r>
          </w:p>
        </w:tc>
        <w:tc>
          <w:tcPr>
            <w:tcW w:type="dxa" w:w="35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Data collection via Google Forms questionnaire</w:t>
            </w:r>
          </w:p>
        </w:tc>
        <w:tc>
          <w:tcPr>
            <w:tcW w:type="dxa" w:w="22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Structured CSV dataset</w:t>
            </w:r>
          </w:p>
        </w:tc>
      </w:tr>
      <w:tr>
        <w:tc>
          <w:tcPr>
            <w:tcW w:type="dxa" w:w="12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Phase 2</w:t>
            </w:r>
          </w:p>
        </w:tc>
        <w:tc>
          <w:tcPr>
            <w:tcW w:type="dxa" w:w="20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System Development</w:t>
            </w:r>
          </w:p>
        </w:tc>
        <w:tc>
          <w:tcPr>
            <w:tcW w:type="dxa" w:w="35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Pipeline integration: Pandas, OpenAI API, Plotly, Streamlit</w:t>
            </w:r>
          </w:p>
        </w:tc>
        <w:tc>
          <w:tcPr>
            <w:tcW w:type="dxa" w:w="226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Functional BI prototype</w:t>
            </w:r>
          </w:p>
        </w:tc>
      </w:tr>
      <w:tr>
        <w:tc>
          <w:tcPr>
            <w:tcW w:type="dxa" w:w="12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Phase 3</w:t>
            </w:r>
          </w:p>
        </w:tc>
        <w:tc>
          <w:tcPr>
            <w:tcW w:type="dxa" w:w="20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Evaluation and Analysis</w:t>
            </w:r>
          </w:p>
        </w:tc>
        <w:tc>
          <w:tcPr>
            <w:tcW w:type="dxa" w:w="35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LLM-driven analysis, Plotly visualisation, accuracy validation</w:t>
            </w:r>
          </w:p>
        </w:tc>
        <w:tc>
          <w:tcPr>
            <w:tcW w:type="dxa" w:w="22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Findings, dashboards, and conclusions</w:t>
            </w:r>
          </w:p>
        </w:tc>
      </w:tr>
    </w:tbl>
    <w:p>
      <w:pPr>
        <w:spacing w:after="0" w:before="100"/>
      </w:pPr>
      <w:r>
        <w:t xml:space="preserve"/>
      </w:r>
    </w:p>
    <w:p>
      <w:pPr>
        <w:spacing w:after="120" w:before="80" w:line="360"/>
        <w:jc w:val="both"/>
      </w:pPr>
      <w:r>
        <w:rPr>
          <w:rFonts w:ascii="Arial" w:cs="Arial" w:eastAsia="Arial" w:hAnsi="Arial"/>
          <w:sz w:val="22"/>
          <w:szCs w:val="22"/>
        </w:rPr>
        <w:t xml:space="preserve">This design mirrors established BI development practice: the dataset informs system prompt design and transformation logic, while system outputs surface data quality issues that feed back into the cleaning and validation pipeline (Kimball and Ross, 2013, p. 3).</w:t>
      </w:r>
    </w:p>
    <w:p>
      <w:pPr>
        <w:pStyle w:val="Heading1"/>
        <w:spacing w:after="160" w:before="400"/>
      </w:pPr>
      <w:r>
        <w:rPr>
          <w:rFonts w:ascii="Arial" w:cs="Arial" w:eastAsia="Arial" w:hAnsi="Arial"/>
          <w:b/>
          <w:bCs/>
          <w:color w:val="1F3864"/>
          <w:sz w:val="32"/>
          <w:szCs w:val="32"/>
        </w:rPr>
        <w:t xml:space="preserve">3.6  Research Questions</w:t>
      </w:r>
    </w:p>
    <w:p>
      <w:pPr>
        <w:spacing w:after="120" w:before="80" w:line="360"/>
        <w:jc w:val="both"/>
      </w:pPr>
      <w:r>
        <w:rPr>
          <w:rFonts w:ascii="Arial" w:cs="Arial" w:eastAsia="Arial" w:hAnsi="Arial"/>
          <w:sz w:val="22"/>
          <w:szCs w:val="22"/>
        </w:rPr>
        <w:t xml:space="preserve">The study addresses the following primary and secondary research questions, which were formulated on the basis of the identified gap in the existing literature regarding LLM integration in BI systems.</w:t>
      </w:r>
    </w:p>
    <w:p>
      <w:pPr>
        <w:spacing w:after="0" w:before="60"/>
      </w:pPr>
      <w:r>
        <w:t xml:space="preserve"/>
      </w:r>
    </w:p>
    <w:p>
      <w:pPr>
        <w:spacing w:after="120" w:before="80" w:line="360"/>
        <w:jc w:val="both"/>
      </w:pPr>
      <w:r>
        <w:rPr>
          <w:rFonts w:ascii="Arial" w:cs="Arial" w:eastAsia="Arial" w:hAnsi="Arial"/>
          <w:b/>
          <w:bCs/>
          <w:sz w:val="22"/>
          <w:szCs w:val="22"/>
        </w:rPr>
        <w:t xml:space="preserve">Primary Research Question:</w:t>
      </w:r>
    </w:p>
    <w:p>
      <w:pPr>
        <w:spacing w:after="120" w:before="80" w:line="360"/>
        <w:jc w:val="both"/>
      </w:pPr>
      <w:r>
        <w:rPr>
          <w:rFonts w:ascii="Arial" w:cs="Arial" w:eastAsia="Arial" w:hAnsi="Arial"/>
          <w:i/>
          <w:iCs/>
          <w:sz w:val="22"/>
          <w:szCs w:val="22"/>
        </w:rPr>
        <w:t xml:space="preserve">To what extent can a Generative AI-powered analytics pipeline, operating over a primary dataset collected via Google Forms, produce accurate, interpretable, and visually coherent Business Intelligence outputs through natural language interaction?</w:t>
      </w:r>
    </w:p>
    <w:p>
      <w:pPr>
        <w:spacing w:after="0" w:before="60"/>
      </w:pPr>
      <w:r>
        <w:t xml:space="preserve"/>
      </w:r>
    </w:p>
    <w:p>
      <w:pPr>
        <w:spacing w:after="120" w:before="80" w:line="360"/>
        <w:jc w:val="both"/>
      </w:pPr>
      <w:r>
        <w:rPr>
          <w:rFonts w:ascii="Arial" w:cs="Arial" w:eastAsia="Arial" w:hAnsi="Arial"/>
          <w:b/>
          <w:bCs/>
          <w:sz w:val="22"/>
          <w:szCs w:val="22"/>
        </w:rPr>
        <w:t xml:space="preserve">Secondary Research Questions:</w:t>
      </w:r>
    </w:p>
    <w:p>
      <w:pPr>
        <w:pStyle w:val="ListParagraph"/>
        <w:numPr>
          <w:ilvl w:val="0"/>
          <w:numId w:val="2"/>
        </w:numPr>
        <w:spacing w:after="60" w:before="60" w:line="320"/>
        <w:jc w:val="both"/>
      </w:pPr>
      <w:r>
        <w:rPr>
          <w:rFonts w:ascii="Arial" w:cs="Arial" w:eastAsia="Arial" w:hAnsi="Arial"/>
          <w:sz w:val="22"/>
          <w:szCs w:val="22"/>
        </w:rPr>
        <w:t xml:space="preserve">How effectively can the OpenAI GPT-4o model interpret natural language analytical queries and generate statistically correct responses grounded in a structured Pandas DataFrame?</w:t>
      </w:r>
    </w:p>
    <w:p>
      <w:pPr>
        <w:pStyle w:val="ListParagraph"/>
        <w:numPr>
          <w:ilvl w:val="0"/>
          <w:numId w:val="2"/>
        </w:numPr>
        <w:spacing w:after="60" w:before="60" w:line="320"/>
        <w:jc w:val="both"/>
      </w:pPr>
      <w:r>
        <w:rPr>
          <w:rFonts w:ascii="Arial" w:cs="Arial" w:eastAsia="Arial" w:hAnsi="Arial"/>
          <w:sz w:val="22"/>
          <w:szCs w:val="22"/>
        </w:rPr>
        <w:t xml:space="preserve">What data quality and validation challenges arise when processing a Google Forms-sourced primary dataset, and how can a Pandas-based pipeline systematically address them?</w:t>
      </w:r>
    </w:p>
    <w:p>
      <w:pPr>
        <w:pStyle w:val="ListParagraph"/>
        <w:numPr>
          <w:ilvl w:val="0"/>
          <w:numId w:val="2"/>
        </w:numPr>
        <w:spacing w:after="60" w:before="60" w:line="320"/>
        <w:jc w:val="both"/>
      </w:pPr>
      <w:r>
        <w:rPr>
          <w:rFonts w:ascii="Arial" w:cs="Arial" w:eastAsia="Arial" w:hAnsi="Arial"/>
          <w:sz w:val="22"/>
          <w:szCs w:val="22"/>
        </w:rPr>
        <w:t xml:space="preserve">How well do LLM-generated Plotly visualisations reflect the analytical intent of user queries, as assessed against an expert-developed visualisation quality rubric?</w:t>
      </w:r>
    </w:p>
    <w:p>
      <w:pPr>
        <w:pStyle w:val="ListParagraph"/>
        <w:numPr>
          <w:ilvl w:val="0"/>
          <w:numId w:val="2"/>
        </w:numPr>
        <w:spacing w:after="60" w:before="60" w:line="320"/>
        <w:jc w:val="both"/>
      </w:pPr>
      <w:r>
        <w:rPr>
          <w:rFonts w:ascii="Arial" w:cs="Arial" w:eastAsia="Arial" w:hAnsi="Arial"/>
          <w:sz w:val="22"/>
          <w:szCs w:val="22"/>
        </w:rPr>
        <w:t xml:space="preserve">What are the measurable limitations of the system — including hallucination rate, code execution failure, and query misinterpretation — when applied to the collected dataset?</w:t>
      </w:r>
    </w:p>
    <w:p>
      <w:pPr>
        <w:pStyle w:val="Heading1"/>
        <w:spacing w:after="160" w:before="400"/>
      </w:pPr>
      <w:r>
        <w:rPr>
          <w:rFonts w:ascii="Arial" w:cs="Arial" w:eastAsia="Arial" w:hAnsi="Arial"/>
          <w:b/>
          <w:bCs/>
          <w:color w:val="1F3864"/>
          <w:sz w:val="32"/>
          <w:szCs w:val="32"/>
        </w:rPr>
        <w:t xml:space="preserve">3.7  Primary Data Collection</w:t>
      </w:r>
    </w:p>
    <w:p>
      <w:pPr>
        <w:pStyle w:val="Heading2"/>
        <w:spacing w:after="120" w:before="280"/>
      </w:pPr>
      <w:r>
        <w:rPr>
          <w:rFonts w:ascii="Arial" w:cs="Arial" w:eastAsia="Arial" w:hAnsi="Arial"/>
          <w:b/>
          <w:bCs/>
          <w:color w:val="2E5490"/>
          <w:sz w:val="26"/>
          <w:szCs w:val="26"/>
        </w:rPr>
        <w:t xml:space="preserve">3.7.1  Role of Primary Data in this Study</w:t>
      </w:r>
    </w:p>
    <w:p>
      <w:pPr>
        <w:spacing w:after="120" w:before="80" w:line="360"/>
        <w:jc w:val="both"/>
      </w:pPr>
      <w:r>
        <w:rPr>
          <w:rFonts w:ascii="Arial" w:cs="Arial" w:eastAsia="Arial" w:hAnsi="Arial"/>
          <w:sz w:val="22"/>
          <w:szCs w:val="22"/>
        </w:rPr>
        <w:t xml:space="preserve">Primary data collection is the foundational activity of this research. Unlike studies that conduct analytics over pre-existing datasets, this study constructs its own </w:t>
      </w:r>
      <w:r>
        <w:rPr>
          <w:rFonts w:ascii="Arial" w:cs="Arial" w:eastAsia="Arial" w:hAnsi="Arial"/>
          <w:b/>
          <w:bCs/>
          <w:sz w:val="22"/>
          <w:szCs w:val="22"/>
        </w:rPr>
        <w:t xml:space="preserve">purpose-designed analytical dataset</w:t>
      </w:r>
      <w:r>
        <w:rPr>
          <w:rFonts w:ascii="Arial" w:cs="Arial" w:eastAsia="Arial" w:hAnsi="Arial"/>
          <w:sz w:val="22"/>
          <w:szCs w:val="22"/>
        </w:rPr>
        <w:t xml:space="preserve"> through a structured questionnaire deployed via Google Forms. This data constitutes the raw input material upon which the entire BI pipeline operates. The decision to collect primary data, rather than rely on secondary or archival datasets, is justified on two grounds. First, it ensures that the dataset is specifically structured to test the full range of analytical and visualisation capabilities of the system (Bryman, 2016, p. 42). Second, it enables the researcher to document the complete data journey — from field design through collection, validation, and AI-mediated analysis — thereby producing a methodologically traceable research artifact.</w:t>
      </w:r>
    </w:p>
    <w:p>
      <w:pPr>
        <w:spacing w:after="120" w:before="80" w:line="360"/>
        <w:jc w:val="both"/>
      </w:pPr>
      <w:r>
        <w:rPr>
          <w:rFonts w:ascii="Arial" w:cs="Arial" w:eastAsia="Arial" w:hAnsi="Arial"/>
          <w:sz w:val="22"/>
          <w:szCs w:val="22"/>
        </w:rPr>
        <w:t xml:space="preserve">The use of Google Forms as the collection platform is justified by its capacity to generate structured, multi-type response data in a universally interoperable CSV export format, its zero-barrier accessibility to respondents, and its ability to produce datasets with realistic imperfections — missing values, inconsistent free-text entries, response variability — that reflect the conditions a production BI system would encounter (Bryman, 2016, p. 231). These imperfections are not a limitation of the method but a deliberate feature: they enable rigorous testing of the Pandas validation pipeline (Section 3.9).</w:t>
      </w:r>
    </w:p>
    <w:p>
      <w:pPr>
        <w:pStyle w:val="Heading2"/>
        <w:spacing w:after="120" w:before="280"/>
      </w:pPr>
      <w:r>
        <w:rPr>
          <w:rFonts w:ascii="Arial" w:cs="Arial" w:eastAsia="Arial" w:hAnsi="Arial"/>
          <w:b/>
          <w:bCs/>
          <w:color w:val="2E5490"/>
          <w:sz w:val="26"/>
          <w:szCs w:val="26"/>
        </w:rPr>
        <w:t xml:space="preserve">3.7.2  Research Instrument: The Structured Questionnaire</w:t>
      </w:r>
    </w:p>
    <w:p>
      <w:pPr>
        <w:spacing w:after="120" w:before="80" w:line="360"/>
        <w:jc w:val="both"/>
      </w:pPr>
      <w:r>
        <w:rPr>
          <w:rFonts w:ascii="Arial" w:cs="Arial" w:eastAsia="Arial" w:hAnsi="Arial"/>
          <w:sz w:val="22"/>
          <w:szCs w:val="22"/>
        </w:rPr>
        <w:t xml:space="preserve">The data collection instrument is a </w:t>
      </w:r>
      <w:r>
        <w:rPr>
          <w:rFonts w:ascii="Arial" w:cs="Arial" w:eastAsia="Arial" w:hAnsi="Arial"/>
          <w:b/>
          <w:bCs/>
          <w:sz w:val="22"/>
          <w:szCs w:val="22"/>
        </w:rPr>
        <w:t xml:space="preserve">structured questionnaire</w:t>
      </w:r>
      <w:r>
        <w:rPr>
          <w:rFonts w:ascii="Arial" w:cs="Arial" w:eastAsia="Arial" w:hAnsi="Arial"/>
          <w:sz w:val="22"/>
          <w:szCs w:val="22"/>
        </w:rPr>
        <w:t xml:space="preserve"> delivered via Google Forms. The choice of a structured questionnaire over semi-structured interviews, observation, or focus groups is justified by the study's analytical objectives. Structured questionnaires produce data in a consistent, machine-readable format amenable to statistical aggregation, visualisation, and LLM-based analysis — all of which are central to the research aims (Saunders, Lewis and Thornhill, 2019, p. 436). Furthermore, questionnaires enable data collection at scale within a realistic timeframe, consistent with the sample size requirements established in Section 3.7.3.</w:t>
      </w:r>
    </w:p>
    <w:p>
      <w:pPr>
        <w:spacing w:after="120" w:before="80" w:line="360"/>
        <w:jc w:val="both"/>
      </w:pPr>
      <w:r>
        <w:rPr>
          <w:rFonts w:ascii="Arial" w:cs="Arial" w:eastAsia="Arial" w:hAnsi="Arial"/>
          <w:sz w:val="22"/>
          <w:szCs w:val="22"/>
        </w:rPr>
        <w:t xml:space="preserve">The questionnaire is structured into four thematically distinct sections, each designed to yield a different variable type that tests a different analytical and visualisation capability of the system:</w:t>
      </w:r>
    </w:p>
    <w:p>
      <w:pPr>
        <w:spacing w:after="0" w:before="80"/>
      </w:pPr>
      <w:r>
        <w:t xml:space="preserve"/>
      </w:r>
    </w:p>
    <w:tbl>
      <w:tblPr>
        <w:tblW w:type="dxa" w:w="8960"/>
        <w:tblBorders>
          <w:top w:val="single" w:color="auto" w:sz="4"/>
          <w:left w:val="single" w:color="auto" w:sz="4"/>
          <w:bottom w:val="single" w:color="auto" w:sz="4"/>
          <w:right w:val="single" w:color="auto" w:sz="4"/>
          <w:insideH w:val="single" w:color="auto" w:sz="4"/>
          <w:insideV w:val="single" w:color="auto" w:sz="4"/>
        </w:tblBorders>
      </w:tblPr>
      <w:tblGrid>
        <w:gridCol w:w="1200"/>
        <w:gridCol w:w="1800"/>
        <w:gridCol w:w="2800"/>
        <w:gridCol w:w="3160"/>
      </w:tblGrid>
      <w:tr>
        <w:tc>
          <w:tcPr>
            <w:tcW w:type="dxa" w:w="12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Section</w:t>
            </w:r>
          </w:p>
        </w:tc>
        <w:tc>
          <w:tcPr>
            <w:tcW w:type="dxa" w:w="18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Variable Type</w:t>
            </w:r>
          </w:p>
        </w:tc>
        <w:tc>
          <w:tcPr>
            <w:tcW w:type="dxa" w:w="28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Field Examples</w:t>
            </w:r>
          </w:p>
        </w:tc>
        <w:tc>
          <w:tcPr>
            <w:tcW w:type="dxa" w:w="316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Analytical Purpose</w:t>
            </w:r>
          </w:p>
        </w:tc>
      </w:tr>
      <w:tr>
        <w:tc>
          <w:tcPr>
            <w:tcW w:type="dxa" w:w="12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Section A: Profile</w:t>
            </w:r>
          </w:p>
        </w:tc>
        <w:tc>
          <w:tcPr>
            <w:tcW w:type="dxa" w:w="18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Categorical / Nominal</w:t>
            </w:r>
          </w:p>
        </w:tc>
        <w:tc>
          <w:tcPr>
            <w:tcW w:type="dxa" w:w="28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Role, gender, age group, sector</w:t>
            </w:r>
          </w:p>
        </w:tc>
        <w:tc>
          <w:tcPr>
            <w:tcW w:type="dxa" w:w="31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Group-by aggregation, frequency analysis, bar and pie charts</w:t>
            </w:r>
          </w:p>
        </w:tc>
      </w:tr>
      <w:tr>
        <w:tc>
          <w:tcPr>
            <w:tcW w:type="dxa" w:w="12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Section B: Experience</w:t>
            </w:r>
          </w:p>
        </w:tc>
        <w:tc>
          <w:tcPr>
            <w:tcW w:type="dxa" w:w="18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Ordinal / Likert (1–5)</w:t>
            </w:r>
          </w:p>
        </w:tc>
        <w:tc>
          <w:tcPr>
            <w:tcW w:type="dxa" w:w="28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Familiarity with BI tools, perceived data literacy</w:t>
            </w:r>
          </w:p>
        </w:tc>
        <w:tc>
          <w:tcPr>
            <w:tcW w:type="dxa" w:w="316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Distribution analysis, heatmaps, comparative scoring</w:t>
            </w:r>
          </w:p>
        </w:tc>
      </w:tr>
      <w:tr>
        <w:tc>
          <w:tcPr>
            <w:tcW w:type="dxa" w:w="12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Section C: Usage &amp; Behaviour</w:t>
            </w:r>
          </w:p>
        </w:tc>
        <w:tc>
          <w:tcPr>
            <w:tcW w:type="dxa" w:w="18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Numerical / Quantitative</w:t>
            </w:r>
          </w:p>
        </w:tc>
        <w:tc>
          <w:tcPr>
            <w:tcW w:type="dxa" w:w="28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Hours per week using analytics tools, number of reports</w:t>
            </w:r>
          </w:p>
        </w:tc>
        <w:tc>
          <w:tcPr>
            <w:tcW w:type="dxa" w:w="31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Descriptive statistics, scatter plots, trend lines</w:t>
            </w:r>
          </w:p>
        </w:tc>
      </w:tr>
      <w:tr>
        <w:tc>
          <w:tcPr>
            <w:tcW w:type="dxa" w:w="12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Section D: Perception</w:t>
            </w:r>
          </w:p>
        </w:tc>
        <w:tc>
          <w:tcPr>
            <w:tcW w:type="dxa" w:w="18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Mixed — Likert + Open Text</w:t>
            </w:r>
          </w:p>
        </w:tc>
        <w:tc>
          <w:tcPr>
            <w:tcW w:type="dxa" w:w="28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Perceived AI usefulness, trust, barriers to adoption</w:t>
            </w:r>
          </w:p>
        </w:tc>
        <w:tc>
          <w:tcPr>
            <w:tcW w:type="dxa" w:w="316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LLM thematic analysis, sentiment scoring, rating distributions</w:t>
            </w:r>
          </w:p>
        </w:tc>
      </w:tr>
    </w:tbl>
    <w:p>
      <w:pPr>
        <w:spacing w:after="0" w:before="100"/>
      </w:pPr>
      <w:r>
        <w:t xml:space="preserve"/>
      </w:r>
    </w:p>
    <w:p>
      <w:pPr>
        <w:spacing w:after="120" w:before="80" w:line="360"/>
        <w:jc w:val="both"/>
      </w:pPr>
      <w:r>
        <w:rPr>
          <w:rFonts w:ascii="Arial" w:cs="Arial" w:eastAsia="Arial" w:hAnsi="Arial"/>
          <w:sz w:val="22"/>
          <w:szCs w:val="22"/>
        </w:rPr>
        <w:t xml:space="preserve">This multi-type variable structure is deliberate. A dataset composed exclusively of one variable type would provide an incomplete test of the system's capabilities; the combination of nominal, ordinal, numerical, temporal, and textual data ensures that every analytical mode and visualisation type supported by the pipeline is exercised under realistic conditions.</w:t>
      </w:r>
    </w:p>
    <w:p>
      <w:pPr>
        <w:pStyle w:val="Heading2"/>
        <w:spacing w:after="120" w:before="280"/>
      </w:pPr>
      <w:r>
        <w:rPr>
          <w:rFonts w:ascii="Arial" w:cs="Arial" w:eastAsia="Arial" w:hAnsi="Arial"/>
          <w:b/>
          <w:bCs/>
          <w:color w:val="2E5490"/>
          <w:sz w:val="26"/>
          <w:szCs w:val="26"/>
        </w:rPr>
        <w:t xml:space="preserve">3.7.3  Questionnaire Reliability and Validity</w:t>
      </w:r>
    </w:p>
    <w:p>
      <w:pPr>
        <w:spacing w:after="120" w:before="80" w:line="360"/>
        <w:jc w:val="both"/>
      </w:pPr>
      <w:r>
        <w:rPr>
          <w:rFonts w:ascii="Arial" w:cs="Arial" w:eastAsia="Arial" w:hAnsi="Arial"/>
          <w:b/>
          <w:bCs/>
          <w:sz w:val="22"/>
          <w:szCs w:val="22"/>
        </w:rPr>
        <w:t xml:space="preserve">Content Validity</w:t>
      </w:r>
      <w:r>
        <w:rPr>
          <w:rFonts w:ascii="Arial" w:cs="Arial" w:eastAsia="Arial" w:hAnsi="Arial"/>
          <w:sz w:val="22"/>
          <w:szCs w:val="22"/>
        </w:rPr>
        <w:t xml:space="preserve">: The questionnaire items were developed through a systematic review of the extant literature on BI adoption, AI trust, and data analytics usage (e.g., Venkatesh </w:t>
      </w:r>
      <w:r>
        <w:rPr>
          <w:rFonts w:ascii="Arial" w:cs="Arial" w:eastAsia="Arial" w:hAnsi="Arial"/>
          <w:i/>
          <w:iCs/>
          <w:sz w:val="22"/>
          <w:szCs w:val="22"/>
        </w:rPr>
        <w:t xml:space="preserve">et al.</w:t>
      </w:r>
      <w:r>
        <w:rPr>
          <w:rFonts w:ascii="Arial" w:cs="Arial" w:eastAsia="Arial" w:hAnsi="Arial"/>
          <w:sz w:val="22"/>
          <w:szCs w:val="22"/>
        </w:rPr>
        <w:t xml:space="preserve">, 2003; Davenport and Harris, 2007; Gartner, 2023). Each item is directly traceable to a construct of interest identified in the literature review. This ensures that the instrument measures what it purports to measure (Field, 2018, p. 11). A panel of three subject-matter experts reviewed the draft instrument and provided feedback on item clarity, completeness, and relevance; revisions were made accordingly.</w:t>
      </w:r>
    </w:p>
    <w:p>
      <w:pPr>
        <w:spacing w:after="120" w:before="80" w:line="360"/>
        <w:jc w:val="both"/>
      </w:pPr>
      <w:r>
        <w:rPr>
          <w:rFonts w:ascii="Arial" w:cs="Arial" w:eastAsia="Arial" w:hAnsi="Arial"/>
          <w:b/>
          <w:bCs/>
          <w:sz w:val="22"/>
          <w:szCs w:val="22"/>
        </w:rPr>
        <w:t xml:space="preserve">Face Validity</w:t>
      </w:r>
      <w:r>
        <w:rPr>
          <w:rFonts w:ascii="Arial" w:cs="Arial" w:eastAsia="Arial" w:hAnsi="Arial"/>
          <w:sz w:val="22"/>
          <w:szCs w:val="22"/>
        </w:rPr>
        <w:t xml:space="preserve">: The questionnaire was reviewed by two peers who confirmed that the items are unambiguous, appropriately worded, and representative of the constructs being studied.</w:t>
      </w:r>
    </w:p>
    <w:p>
      <w:pPr>
        <w:spacing w:after="120" w:before="80" w:line="360"/>
        <w:jc w:val="both"/>
      </w:pPr>
      <w:r>
        <w:rPr>
          <w:rFonts w:ascii="Arial" w:cs="Arial" w:eastAsia="Arial" w:hAnsi="Arial"/>
          <w:b/>
          <w:bCs/>
          <w:sz w:val="22"/>
          <w:szCs w:val="22"/>
        </w:rPr>
        <w:t xml:space="preserve">Reliability</w:t>
      </w:r>
      <w:r>
        <w:rPr>
          <w:rFonts w:ascii="Arial" w:cs="Arial" w:eastAsia="Arial" w:hAnsi="Arial"/>
          <w:sz w:val="22"/>
          <w:szCs w:val="22"/>
        </w:rPr>
        <w:t xml:space="preserve">: For the Likert-scale sections (Sections B and D), internal consistency reliability is assessed using </w:t>
      </w:r>
      <w:r>
        <w:rPr>
          <w:rFonts w:ascii="Arial" w:cs="Arial" w:eastAsia="Arial" w:hAnsi="Arial"/>
          <w:b/>
          <w:bCs/>
          <w:sz w:val="22"/>
          <w:szCs w:val="22"/>
        </w:rPr>
        <w:t xml:space="preserve">Cronbach's Alpha (α)</w:t>
      </w:r>
      <w:r>
        <w:rPr>
          <w:rFonts w:ascii="Arial" w:cs="Arial" w:eastAsia="Arial" w:hAnsi="Arial"/>
          <w:sz w:val="22"/>
          <w:szCs w:val="22"/>
        </w:rPr>
        <w:t xml:space="preserve">. An alpha coefficient of α ≥ 0.70 is considered acceptable for social science research instruments (Cronbach, 1951; Nunnally, 1978, p. 245). Reliability analysis is conducted using Pandas after data collection and is reported in the Results chapter.</w:t>
      </w:r>
    </w:p>
    <w:p>
      <w:pPr>
        <w:spacing w:after="120" w:before="80" w:line="360"/>
        <w:jc w:val="both"/>
      </w:pPr>
      <w:r>
        <w:rPr>
          <w:rFonts w:ascii="Arial" w:cs="Arial" w:eastAsia="Arial" w:hAnsi="Arial"/>
          <w:b/>
          <w:bCs/>
          <w:sz w:val="22"/>
          <w:szCs w:val="22"/>
        </w:rPr>
        <w:t xml:space="preserve">Pilot Testing</w:t>
      </w:r>
      <w:r>
        <w:rPr>
          <w:rFonts w:ascii="Arial" w:cs="Arial" w:eastAsia="Arial" w:hAnsi="Arial"/>
          <w:sz w:val="22"/>
          <w:szCs w:val="22"/>
        </w:rPr>
        <w:t xml:space="preserve">: Prior to full deployment, the questionnaire is pilot-tested with a sample of </w:t>
      </w:r>
      <w:r>
        <w:rPr>
          <w:rFonts w:ascii="Arial" w:cs="Arial" w:eastAsia="Arial" w:hAnsi="Arial"/>
          <w:b/>
          <w:bCs/>
          <w:sz w:val="22"/>
          <w:szCs w:val="22"/>
        </w:rPr>
        <w:t xml:space="preserve">five respondents</w:t>
      </w:r>
      <w:r>
        <w:rPr>
          <w:rFonts w:ascii="Arial" w:cs="Arial" w:eastAsia="Arial" w:hAnsi="Arial"/>
          <w:sz w:val="22"/>
          <w:szCs w:val="22"/>
        </w:rPr>
        <w:t xml:space="preserve"> drawn from outside the target population. The pilot tests for item clarity, logical flow, completion time, and technical functionality (Saunders, Lewis and Thornhill, 2019, p. 462). Items identified as ambiguous or poorly worded during the pilot are revised before the main distribution.</w:t>
      </w:r>
    </w:p>
    <w:p>
      <w:pPr>
        <w:pStyle w:val="Heading2"/>
        <w:spacing w:after="120" w:before="280"/>
      </w:pPr>
      <w:r>
        <w:rPr>
          <w:rFonts w:ascii="Arial" w:cs="Arial" w:eastAsia="Arial" w:hAnsi="Arial"/>
          <w:b/>
          <w:bCs/>
          <w:color w:val="2E5490"/>
          <w:sz w:val="26"/>
          <w:szCs w:val="26"/>
        </w:rPr>
        <w:t xml:space="preserve">3.7.4  Sample Size and Sampling Strategy</w:t>
      </w:r>
    </w:p>
    <w:p>
      <w:pPr>
        <w:spacing w:after="120" w:before="80" w:line="360"/>
        <w:jc w:val="both"/>
      </w:pPr>
      <w:r>
        <w:rPr>
          <w:rFonts w:ascii="Arial" w:cs="Arial" w:eastAsia="Arial" w:hAnsi="Arial"/>
          <w:sz w:val="22"/>
          <w:szCs w:val="22"/>
        </w:rPr>
        <w:t xml:space="preserve">The determination of an adequate sample size is a critical methodological decision. An insufficiently small sample undermines statistical power, while an unnecessarily large sample wastes research resources and may not be feasible within the study's timeframe (Field, 2018, p. 56). For this study, the required sample size is determined using </w:t>
      </w:r>
      <w:r>
        <w:rPr>
          <w:rFonts w:ascii="Arial" w:cs="Arial" w:eastAsia="Arial" w:hAnsi="Arial"/>
          <w:b/>
          <w:bCs/>
          <w:sz w:val="22"/>
          <w:szCs w:val="22"/>
        </w:rPr>
        <w:t xml:space="preserve">Cochran's (1977) sample size formula</w:t>
      </w:r>
      <w:r>
        <w:rPr>
          <w:rFonts w:ascii="Arial" w:cs="Arial" w:eastAsia="Arial" w:hAnsi="Arial"/>
          <w:sz w:val="22"/>
          <w:szCs w:val="22"/>
        </w:rPr>
        <w:t xml:space="preserve"> for a finite population:</w:t>
      </w:r>
    </w:p>
    <w:p>
      <w:pPr>
        <w:spacing w:after="120" w:before="80" w:line="360"/>
        <w:jc w:val="center"/>
      </w:pPr>
      <w:r>
        <w:rPr>
          <w:rFonts w:ascii="Arial" w:cs="Arial" w:eastAsia="Arial" w:hAnsi="Arial"/>
          <w:i/>
          <w:iCs/>
          <w:sz w:val="22"/>
          <w:szCs w:val="22"/>
        </w:rPr>
        <w:t xml:space="preserve">n = (Z² × p × q) / e²</w:t>
      </w:r>
    </w:p>
    <w:p>
      <w:pPr>
        <w:spacing w:after="120" w:before="80" w:line="360"/>
        <w:jc w:val="both"/>
      </w:pPr>
      <w:r>
        <w:rPr>
          <w:rFonts w:ascii="Arial" w:cs="Arial" w:eastAsia="Arial" w:hAnsi="Arial"/>
          <w:sz w:val="22"/>
          <w:szCs w:val="22"/>
        </w:rPr>
        <w:t xml:space="preserve">Where: </w:t>
      </w:r>
      <w:r>
        <w:rPr>
          <w:rFonts w:ascii="Arial" w:cs="Arial" w:eastAsia="Arial" w:hAnsi="Arial"/>
          <w:i/>
          <w:iCs/>
          <w:sz w:val="22"/>
          <w:szCs w:val="22"/>
        </w:rPr>
        <w:t xml:space="preserve">Z</w:t>
      </w:r>
      <w:r>
        <w:rPr>
          <w:rFonts w:ascii="Arial" w:cs="Arial" w:eastAsia="Arial" w:hAnsi="Arial"/>
          <w:sz w:val="22"/>
          <w:szCs w:val="22"/>
        </w:rPr>
        <w:t xml:space="preserve"> = 1.96 (the critical value for a 95% confidence level); </w:t>
      </w:r>
      <w:r>
        <w:rPr>
          <w:rFonts w:ascii="Arial" w:cs="Arial" w:eastAsia="Arial" w:hAnsi="Arial"/>
          <w:i/>
          <w:iCs/>
          <w:sz w:val="22"/>
          <w:szCs w:val="22"/>
        </w:rPr>
        <w:t xml:space="preserve">p</w:t>
      </w:r>
      <w:r>
        <w:rPr>
          <w:rFonts w:ascii="Arial" w:cs="Arial" w:eastAsia="Arial" w:hAnsi="Arial"/>
          <w:sz w:val="22"/>
          <w:szCs w:val="22"/>
        </w:rPr>
        <w:t xml:space="preserve"> = 0.50 (maximum variability assumed, as population proportion is unknown); </w:t>
      </w:r>
      <w:r>
        <w:rPr>
          <w:rFonts w:ascii="Arial" w:cs="Arial" w:eastAsia="Arial" w:hAnsi="Arial"/>
          <w:i/>
          <w:iCs/>
          <w:sz w:val="22"/>
          <w:szCs w:val="22"/>
        </w:rPr>
        <w:t xml:space="preserve">q</w:t>
      </w:r>
      <w:r>
        <w:rPr>
          <w:rFonts w:ascii="Arial" w:cs="Arial" w:eastAsia="Arial" w:hAnsi="Arial"/>
          <w:sz w:val="22"/>
          <w:szCs w:val="22"/>
        </w:rPr>
        <w:t xml:space="preserve"> = 1 − p = 0.50; </w:t>
      </w:r>
      <w:r>
        <w:rPr>
          <w:rFonts w:ascii="Arial" w:cs="Arial" w:eastAsia="Arial" w:hAnsi="Arial"/>
          <w:i/>
          <w:iCs/>
          <w:sz w:val="22"/>
          <w:szCs w:val="22"/>
        </w:rPr>
        <w:t xml:space="preserve">e</w:t>
      </w:r>
      <w:r>
        <w:rPr>
          <w:rFonts w:ascii="Arial" w:cs="Arial" w:eastAsia="Arial" w:hAnsi="Arial"/>
          <w:sz w:val="22"/>
          <w:szCs w:val="22"/>
        </w:rPr>
        <w:t xml:space="preserve"> = 0.10 (acceptable margin of error of ±10%).</w:t>
      </w:r>
    </w:p>
    <w:p>
      <w:pPr>
        <w:spacing w:after="120" w:before="80" w:line="360"/>
        <w:jc w:val="both"/>
      </w:pPr>
      <w:r>
        <w:rPr>
          <w:rFonts w:ascii="Arial" w:cs="Arial" w:eastAsia="Arial" w:hAnsi="Arial"/>
          <w:sz w:val="22"/>
          <w:szCs w:val="22"/>
        </w:rPr>
        <w:t xml:space="preserve">Applying the formula: n = (1.96² × 0.50 × 0.50) / 0.10² = (3.8416 × 0.25) / 0.01 = 96.04.</w:t>
      </w:r>
    </w:p>
    <w:p>
      <w:pPr>
        <w:spacing w:after="120" w:before="80" w:line="360"/>
        <w:jc w:val="both"/>
      </w:pPr>
      <w:r>
        <w:rPr>
          <w:rFonts w:ascii="Arial" w:cs="Arial" w:eastAsia="Arial" w:hAnsi="Arial"/>
          <w:sz w:val="22"/>
          <w:szCs w:val="22"/>
        </w:rPr>
        <w:t xml:space="preserve">Rounding up, the minimum required sample is </w:t>
      </w:r>
      <w:r>
        <w:rPr>
          <w:rFonts w:ascii="Arial" w:cs="Arial" w:eastAsia="Arial" w:hAnsi="Arial"/>
          <w:b/>
          <w:bCs/>
          <w:sz w:val="22"/>
          <w:szCs w:val="22"/>
        </w:rPr>
        <w:t xml:space="preserve">n = 97 respondents</w:t>
      </w:r>
      <w:r>
        <w:rPr>
          <w:rFonts w:ascii="Arial" w:cs="Arial" w:eastAsia="Arial" w:hAnsi="Arial"/>
          <w:sz w:val="22"/>
          <w:szCs w:val="22"/>
        </w:rPr>
        <w:t xml:space="preserve">. To account for an anticipated non-response or incomplete submission rate of approximately 10–15%, the questionnaire will be distributed to a target of </w:t>
      </w:r>
      <w:r>
        <w:rPr>
          <w:rFonts w:ascii="Arial" w:cs="Arial" w:eastAsia="Arial" w:hAnsi="Arial"/>
          <w:b/>
          <w:bCs/>
          <w:sz w:val="22"/>
          <w:szCs w:val="22"/>
        </w:rPr>
        <w:t xml:space="preserve">110–120 potential respondents</w:t>
      </w:r>
      <w:r>
        <w:rPr>
          <w:rFonts w:ascii="Arial" w:cs="Arial" w:eastAsia="Arial" w:hAnsi="Arial"/>
          <w:sz w:val="22"/>
          <w:szCs w:val="22"/>
        </w:rPr>
        <w:t xml:space="preserve">, consistent with recommendations for survey-based research in the social and information sciences (Saunders, Lewis and Thornhill, 2019, p. 268).</w:t>
      </w:r>
    </w:p>
    <w:p>
      <w:pPr>
        <w:spacing w:after="120" w:before="80" w:line="360"/>
        <w:jc w:val="both"/>
      </w:pPr>
      <w:r>
        <w:rPr>
          <w:rFonts w:ascii="Arial" w:cs="Arial" w:eastAsia="Arial" w:hAnsi="Arial"/>
          <w:sz w:val="22"/>
          <w:szCs w:val="22"/>
        </w:rPr>
        <w:t xml:space="preserve">The study employs </w:t>
      </w:r>
      <w:r>
        <w:rPr>
          <w:rFonts w:ascii="Arial" w:cs="Arial" w:eastAsia="Arial" w:hAnsi="Arial"/>
          <w:b/>
          <w:bCs/>
          <w:sz w:val="22"/>
          <w:szCs w:val="22"/>
        </w:rPr>
        <w:t xml:space="preserve">purposive sampling</w:t>
      </w:r>
      <w:r>
        <w:rPr>
          <w:rFonts w:ascii="Arial" w:cs="Arial" w:eastAsia="Arial" w:hAnsi="Arial"/>
          <w:sz w:val="22"/>
          <w:szCs w:val="22"/>
        </w:rPr>
        <w:t xml:space="preserve"> — a non-probability technique in which participants are selected on the basis of their relevance to the research objectives (Bryman, 2016, p. 408). Specifically, respondents are stratified into two groups to enable comparative analysis:</w:t>
      </w:r>
    </w:p>
    <w:p>
      <w:pPr>
        <w:spacing w:after="0" w:before="60"/>
      </w:pPr>
      <w:r>
        <w:t xml:space="preserve"/>
      </w:r>
    </w:p>
    <w:tbl>
      <w:tblPr>
        <w:tblW w:type="dxa" w:w="8960"/>
        <w:tblBorders>
          <w:top w:val="single" w:color="auto" w:sz="4"/>
          <w:left w:val="single" w:color="auto" w:sz="4"/>
          <w:bottom w:val="single" w:color="auto" w:sz="4"/>
          <w:right w:val="single" w:color="auto" w:sz="4"/>
          <w:insideH w:val="single" w:color="auto" w:sz="4"/>
          <w:insideV w:val="single" w:color="auto" w:sz="4"/>
        </w:tblBorders>
      </w:tblPr>
      <w:tblGrid>
        <w:gridCol w:w="1800"/>
        <w:gridCol w:w="3600"/>
        <w:gridCol w:w="3560"/>
      </w:tblGrid>
      <w:tr>
        <w:tc>
          <w:tcPr>
            <w:tcW w:type="dxa" w:w="18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Group</w:t>
            </w:r>
          </w:p>
        </w:tc>
        <w:tc>
          <w:tcPr>
            <w:tcW w:type="dxa" w:w="36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Profile</w:t>
            </w:r>
          </w:p>
        </w:tc>
        <w:tc>
          <w:tcPr>
            <w:tcW w:type="dxa" w:w="356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Rationale</w:t>
            </w:r>
          </w:p>
        </w:tc>
      </w:tr>
      <w:tr>
        <w:tc>
          <w:tcPr>
            <w:tcW w:type="dxa" w:w="18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Group A — Technical Users</w:t>
            </w:r>
          </w:p>
        </w:tc>
        <w:tc>
          <w:tcPr>
            <w:tcW w:type="dxa" w:w="36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Data analysts, BI developers, data scientists, software engineers</w:t>
            </w:r>
          </w:p>
        </w:tc>
        <w:tc>
          <w:tcPr>
            <w:tcW w:type="dxa" w:w="35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Provides a baseline for evaluating system accuracy from an expert perspective</w:t>
            </w:r>
          </w:p>
        </w:tc>
      </w:tr>
      <w:tr>
        <w:tc>
          <w:tcPr>
            <w:tcW w:type="dxa" w:w="18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Group B — Non-Technical Users</w:t>
            </w:r>
          </w:p>
        </w:tc>
        <w:tc>
          <w:tcPr>
            <w:tcW w:type="dxa" w:w="36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Business managers, marketing professionals, operations staff, postgraduate students</w:t>
            </w:r>
          </w:p>
        </w:tc>
        <w:tc>
          <w:tcPr>
            <w:tcW w:type="dxa" w:w="356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Tests the system's core accessibility value proposition for users without data programming skills</w:t>
            </w:r>
          </w:p>
        </w:tc>
      </w:tr>
    </w:tbl>
    <w:p>
      <w:pPr>
        <w:spacing w:after="0" w:before="100"/>
      </w:pPr>
      <w:r>
        <w:t xml:space="preserve"/>
      </w:r>
    </w:p>
    <w:p>
      <w:pPr>
        <w:spacing w:after="120" w:before="80" w:line="360"/>
        <w:jc w:val="both"/>
      </w:pPr>
      <w:r>
        <w:rPr>
          <w:rFonts w:ascii="Arial" w:cs="Arial" w:eastAsia="Arial" w:hAnsi="Arial"/>
          <w:sz w:val="22"/>
          <w:szCs w:val="22"/>
        </w:rPr>
        <w:t xml:space="preserve">This stratified purposive design enables the research to test the hypothesis — grounded in the literature on AI democratisation of analytics (Davenport and Harris, 2007, p. 12) — that the accessibility benefit of conversational BI is disproportionately experienced by non-technical users. Distributional differences between groups are analysed using the Mann-Whitney U test given the ordinal nature of the primary Likert-scale variables.</w:t>
      </w:r>
    </w:p>
    <w:p>
      <w:pPr>
        <w:pStyle w:val="Heading1"/>
        <w:spacing w:after="160" w:before="400"/>
      </w:pPr>
      <w:r>
        <w:rPr>
          <w:rFonts w:ascii="Arial" w:cs="Arial" w:eastAsia="Arial" w:hAnsi="Arial"/>
          <w:b/>
          <w:bCs/>
          <w:color w:val="1F3864"/>
          <w:sz w:val="32"/>
          <w:szCs w:val="32"/>
        </w:rPr>
        <w:t xml:space="preserve">3.8  Ethical Considerations</w:t>
      </w:r>
    </w:p>
    <w:p>
      <w:pPr>
        <w:spacing w:after="120" w:before="80" w:line="360"/>
        <w:jc w:val="both"/>
      </w:pPr>
      <w:r>
        <w:rPr>
          <w:rFonts w:ascii="Arial" w:cs="Arial" w:eastAsia="Arial" w:hAnsi="Arial"/>
          <w:sz w:val="22"/>
          <w:szCs w:val="22"/>
        </w:rPr>
        <w:t xml:space="preserve">Research ethics are not merely procedural requirements; they reflect the researcher's fundamental obligations to participants, to the academic community, and to the integrity of the knowledge produced (Bryman, 2016, p. 128). The following ethical protocols are observed throughout the study.</w:t>
      </w:r>
    </w:p>
    <w:p>
      <w:pPr>
        <w:spacing w:after="120" w:before="80" w:line="360"/>
        <w:jc w:val="both"/>
      </w:pPr>
      <w:r>
        <w:rPr>
          <w:rFonts w:ascii="Arial" w:cs="Arial" w:eastAsia="Arial" w:hAnsi="Arial"/>
          <w:b/>
          <w:bCs/>
          <w:sz w:val="22"/>
          <w:szCs w:val="22"/>
        </w:rPr>
        <w:t xml:space="preserve">Informed Consent: </w:t>
      </w:r>
      <w:r>
        <w:rPr>
          <w:rFonts w:ascii="Arial" w:cs="Arial" w:eastAsia="Arial" w:hAnsi="Arial"/>
          <w:sz w:val="22"/>
          <w:szCs w:val="22"/>
        </w:rPr>
        <w:t xml:space="preserve">All respondents receive a plain-language participant information statement at the opening of the Google Form. This statement explains the academic purpose of the research, how data will be used, who will have access to it, and the voluntary nature of participation. Digital consent is recorded by a mandatory checkbox before the questionnaire begins.</w:t>
      </w:r>
    </w:p>
    <w:p>
      <w:pPr>
        <w:spacing w:after="120" w:before="80" w:line="360"/>
        <w:jc w:val="both"/>
      </w:pPr>
      <w:r>
        <w:rPr>
          <w:rFonts w:ascii="Arial" w:cs="Arial" w:eastAsia="Arial" w:hAnsi="Arial"/>
          <w:b/>
          <w:bCs/>
          <w:sz w:val="22"/>
          <w:szCs w:val="22"/>
        </w:rPr>
        <w:t xml:space="preserve">Anonymity and Confidentiality: </w:t>
      </w:r>
      <w:r>
        <w:rPr>
          <w:rFonts w:ascii="Arial" w:cs="Arial" w:eastAsia="Arial" w:hAnsi="Arial"/>
          <w:sz w:val="22"/>
          <w:szCs w:val="22"/>
        </w:rPr>
        <w:t xml:space="preserve">No personally identifiable information (PII) is requested or retained. Respondents are identified only by their group category (technical/non-technical). The auto-generated Google Forms timestamp is retained for temporal analysis but is not linked to individual identity. All data is stored in encrypted local storage accessible only to the researcher.</w:t>
      </w:r>
    </w:p>
    <w:p>
      <w:pPr>
        <w:spacing w:after="120" w:before="80" w:line="360"/>
        <w:jc w:val="both"/>
      </w:pPr>
      <w:r>
        <w:rPr>
          <w:rFonts w:ascii="Arial" w:cs="Arial" w:eastAsia="Arial" w:hAnsi="Arial"/>
          <w:b/>
          <w:bCs/>
          <w:sz w:val="22"/>
          <w:szCs w:val="22"/>
        </w:rPr>
        <w:t xml:space="preserve">Data Protection: </w:t>
      </w:r>
      <w:r>
        <w:rPr>
          <w:rFonts w:ascii="Arial" w:cs="Arial" w:eastAsia="Arial" w:hAnsi="Arial"/>
          <w:sz w:val="22"/>
          <w:szCs w:val="22"/>
        </w:rPr>
        <w:t xml:space="preserve">Data handling complies with applicable data protection principles. The CSV export is stored locally and is transmitted to the OpenAI API only in the form of anonymised, aggregated statistical summaries embedded in system prompts, never as raw individual-level records.</w:t>
      </w:r>
    </w:p>
    <w:p>
      <w:pPr>
        <w:spacing w:after="120" w:before="80" w:line="360"/>
        <w:jc w:val="both"/>
      </w:pPr>
      <w:r>
        <w:rPr>
          <w:rFonts w:ascii="Arial" w:cs="Arial" w:eastAsia="Arial" w:hAnsi="Arial"/>
          <w:b/>
          <w:bCs/>
          <w:sz w:val="22"/>
          <w:szCs w:val="22"/>
        </w:rPr>
        <w:t xml:space="preserve">AI Transparency: </w:t>
      </w:r>
      <w:r>
        <w:rPr>
          <w:rFonts w:ascii="Arial" w:cs="Arial" w:eastAsia="Arial" w:hAnsi="Arial"/>
          <w:sz w:val="22"/>
          <w:szCs w:val="22"/>
        </w:rPr>
        <w:t xml:space="preserve">In accordance with emerging academic integrity standards regarding AI use in research (Perkins, 2023), all AI-generated analytical outputs are explicitly identified as such in the Results chapter. The system is not used to generate any content that is presented as the researcher's original human-authored analysis.</w:t>
      </w:r>
    </w:p>
    <w:p>
      <w:pPr>
        <w:spacing w:after="120" w:before="80" w:line="360"/>
        <w:jc w:val="both"/>
      </w:pPr>
      <w:r>
        <w:rPr>
          <w:rFonts w:ascii="Arial" w:cs="Arial" w:eastAsia="Arial" w:hAnsi="Arial"/>
          <w:b/>
          <w:bCs/>
          <w:sz w:val="22"/>
          <w:szCs w:val="22"/>
        </w:rPr>
        <w:t xml:space="preserve">OpenAI API Data Policy: </w:t>
      </w:r>
      <w:r>
        <w:rPr>
          <w:rFonts w:ascii="Arial" w:cs="Arial" w:eastAsia="Arial" w:hAnsi="Arial"/>
          <w:sz w:val="22"/>
          <w:szCs w:val="22"/>
        </w:rPr>
        <w:t xml:space="preserve">API calls are made under OpenAI's standard API terms of service, which specify that data submitted via the API is not used for model training by default (OpenAI, 2024). This is documented as a data governance measure.</w:t>
      </w:r>
    </w:p>
    <w:p>
      <w:pPr>
        <w:pStyle w:val="Heading1"/>
        <w:spacing w:after="160" w:before="400"/>
      </w:pPr>
      <w:r>
        <w:rPr>
          <w:rFonts w:ascii="Arial" w:cs="Arial" w:eastAsia="Arial" w:hAnsi="Arial"/>
          <w:b/>
          <w:bCs/>
          <w:color w:val="1F3864"/>
          <w:sz w:val="32"/>
          <w:szCs w:val="32"/>
        </w:rPr>
        <w:t xml:space="preserve">3.9  Data Processing and Validation Pipeline</w:t>
      </w:r>
    </w:p>
    <w:p>
      <w:pPr>
        <w:spacing w:after="120" w:before="80" w:line="360"/>
        <w:jc w:val="both"/>
      </w:pPr>
      <w:r>
        <w:rPr>
          <w:rFonts w:ascii="Arial" w:cs="Arial" w:eastAsia="Arial" w:hAnsi="Arial"/>
          <w:sz w:val="22"/>
          <w:szCs w:val="22"/>
        </w:rPr>
        <w:t xml:space="preserve">Upon export from Google Forms, the dataset enters a systematic </w:t>
      </w:r>
      <w:r>
        <w:rPr>
          <w:rFonts w:ascii="Arial" w:cs="Arial" w:eastAsia="Arial" w:hAnsi="Arial"/>
          <w:b/>
          <w:bCs/>
          <w:sz w:val="22"/>
          <w:szCs w:val="22"/>
        </w:rPr>
        <w:t xml:space="preserve">Pandas-based data processing and validation pipeline</w:t>
      </w:r>
      <w:r>
        <w:rPr>
          <w:rFonts w:ascii="Arial" w:cs="Arial" w:eastAsia="Arial" w:hAnsi="Arial"/>
          <w:sz w:val="22"/>
          <w:szCs w:val="22"/>
        </w:rPr>
        <w:t xml:space="preserve">. This pipeline is a methodologically critical component of the study: the quality of LLM-generated insights is directly contingent on the quality and structure of the data presented to the model. A poorly validated dataset will produce unreliable AI-generated analysis regardless of the model's capability (Provost and Fawcett, 2013, p. 27). The pipeline comprises five sequential stages:</w:t>
      </w:r>
    </w:p>
    <w:p>
      <w:pPr>
        <w:pStyle w:val="Heading2"/>
        <w:spacing w:after="120" w:before="280"/>
      </w:pPr>
      <w:r>
        <w:rPr>
          <w:rFonts w:ascii="Arial" w:cs="Arial" w:eastAsia="Arial" w:hAnsi="Arial"/>
          <w:b/>
          <w:bCs/>
          <w:color w:val="2E5490"/>
          <w:sz w:val="26"/>
          <w:szCs w:val="26"/>
        </w:rPr>
        <w:t xml:space="preserve">3.9.1  Ingestion and Schema Validation</w:t>
      </w:r>
    </w:p>
    <w:p>
      <w:pPr>
        <w:spacing w:after="120" w:before="80" w:line="360"/>
        <w:jc w:val="both"/>
      </w:pPr>
      <w:r>
        <w:rPr>
          <w:rFonts w:ascii="Arial" w:cs="Arial" w:eastAsia="Arial" w:hAnsi="Arial"/>
          <w:sz w:val="22"/>
          <w:szCs w:val="22"/>
        </w:rPr>
        <w:t xml:space="preserve">The Google Forms CSV is loaded into a Pandas DataFrame using pd.read_csv(). The auto-generated Timestamp column is parsed as a datetime object. All column names are normalised — stripped of whitespace, lowercased, and reformatted to snake_case — to ensure consistent programmatic access. A schema definition is declared prior to ingestion, specifying the expected data type and value constraints for each field. Columns whose inferred types conflict with the declared schema are flagged and logged for manual review before the pipeline proceeds.</w:t>
      </w:r>
    </w:p>
    <w:p>
      <w:pPr>
        <w:pStyle w:val="Heading2"/>
        <w:spacing w:after="120" w:before="280"/>
      </w:pPr>
      <w:r>
        <w:rPr>
          <w:rFonts w:ascii="Arial" w:cs="Arial" w:eastAsia="Arial" w:hAnsi="Arial"/>
          <w:b/>
          <w:bCs/>
          <w:color w:val="2E5490"/>
          <w:sz w:val="26"/>
          <w:szCs w:val="26"/>
        </w:rPr>
        <w:t xml:space="preserve">3.9.2  Missing Value Treatment</w:t>
      </w:r>
    </w:p>
    <w:p>
      <w:pPr>
        <w:spacing w:after="120" w:before="80" w:line="360"/>
        <w:jc w:val="both"/>
      </w:pPr>
      <w:r>
        <w:rPr>
          <w:rFonts w:ascii="Arial" w:cs="Arial" w:eastAsia="Arial" w:hAnsi="Arial"/>
          <w:sz w:val="22"/>
          <w:szCs w:val="22"/>
        </w:rPr>
        <w:t xml:space="preserve">Missing value rates are computed per column using Pandas' isnull().mean() method. The treatment strategy is tiered according to the severity of missingness, following guidance from Little and Rubin (2002, p. 41):</w:t>
      </w:r>
    </w:p>
    <w:p>
      <w:pPr>
        <w:spacing w:after="0" w:before="80"/>
      </w:pPr>
      <w:r>
        <w:t xml:space="preserve"/>
      </w:r>
    </w:p>
    <w:tbl>
      <w:tblPr>
        <w:tblW w:type="dxa" w:w="8960"/>
        <w:tblBorders>
          <w:top w:val="single" w:color="auto" w:sz="4"/>
          <w:left w:val="single" w:color="auto" w:sz="4"/>
          <w:bottom w:val="single" w:color="auto" w:sz="4"/>
          <w:right w:val="single" w:color="auto" w:sz="4"/>
          <w:insideH w:val="single" w:color="auto" w:sz="4"/>
          <w:insideV w:val="single" w:color="auto" w:sz="4"/>
        </w:tblBorders>
      </w:tblPr>
      <w:tblGrid>
        <w:gridCol w:w="1560"/>
        <w:gridCol w:w="2500"/>
        <w:gridCol w:w="4900"/>
      </w:tblGrid>
      <w:tr>
        <w:tc>
          <w:tcPr>
            <w:tcW w:type="dxa" w:w="156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Missing Rate</w:t>
            </w:r>
          </w:p>
        </w:tc>
        <w:tc>
          <w:tcPr>
            <w:tcW w:type="dxa" w:w="25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Treatment Strategy</w:t>
            </w:r>
          </w:p>
        </w:tc>
        <w:tc>
          <w:tcPr>
            <w:tcW w:type="dxa" w:w="49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Justification</w:t>
            </w:r>
          </w:p>
        </w:tc>
      </w:tr>
      <w:tr>
        <w:tc>
          <w:tcPr>
            <w:tcW w:type="dxa" w:w="15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&lt; 5%</w:t>
            </w:r>
          </w:p>
        </w:tc>
        <w:tc>
          <w:tcPr>
            <w:tcW w:type="dxa" w:w="25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Row-wise deletion (listwise)</w:t>
            </w:r>
          </w:p>
        </w:tc>
        <w:tc>
          <w:tcPr>
            <w:tcW w:type="dxa" w:w="49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Minimal data loss; missing-at-random assumption defensible</w:t>
            </w:r>
          </w:p>
        </w:tc>
      </w:tr>
      <w:tr>
        <w:tc>
          <w:tcPr>
            <w:tcW w:type="dxa" w:w="156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5% – 20%</w:t>
            </w:r>
          </w:p>
        </w:tc>
        <w:tc>
          <w:tcPr>
            <w:tcW w:type="dxa" w:w="25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Imputation (mode for categorical; median for numerical)</w:t>
            </w:r>
          </w:p>
        </w:tc>
        <w:tc>
          <w:tcPr>
            <w:tcW w:type="dxa" w:w="49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Preserves sample size; robust to non-normal distributions (Field, 2018, p. 118)</w:t>
            </w:r>
          </w:p>
        </w:tc>
      </w:tr>
      <w:tr>
        <w:tc>
          <w:tcPr>
            <w:tcW w:type="dxa" w:w="15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&gt; 20%</w:t>
            </w:r>
          </w:p>
        </w:tc>
        <w:tc>
          <w:tcPr>
            <w:tcW w:type="dxa" w:w="25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Column excluded from LLM context; flagged in dataset profile</w:t>
            </w:r>
          </w:p>
        </w:tc>
        <w:tc>
          <w:tcPr>
            <w:tcW w:type="dxa" w:w="49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Imputation above 20% risks introducing systematic bias (Little and Rubin, 2002, p. 44)</w:t>
            </w:r>
          </w:p>
        </w:tc>
      </w:tr>
    </w:tbl>
    <w:p>
      <w:pPr>
        <w:pStyle w:val="Heading2"/>
        <w:spacing w:after="120" w:before="280"/>
      </w:pPr>
      <w:r>
        <w:rPr>
          <w:rFonts w:ascii="Arial" w:cs="Arial" w:eastAsia="Arial" w:hAnsi="Arial"/>
          <w:b/>
          <w:bCs/>
          <w:color w:val="2E5490"/>
          <w:sz w:val="26"/>
          <w:szCs w:val="26"/>
        </w:rPr>
        <w:t xml:space="preserve">3.9.3  Categorical Standardisation</w:t>
      </w:r>
    </w:p>
    <w:p>
      <w:pPr>
        <w:spacing w:after="120" w:before="80" w:line="360"/>
        <w:jc w:val="both"/>
      </w:pPr>
      <w:r>
        <w:rPr>
          <w:rFonts w:ascii="Arial" w:cs="Arial" w:eastAsia="Arial" w:hAnsi="Arial"/>
          <w:sz w:val="22"/>
          <w:szCs w:val="22"/>
        </w:rPr>
        <w:t xml:space="preserve">Open-text responses in nominally categorical fields are standardised using string normalisation: lowercasing, whitespace stripping, and fuzzy-matching against the expected categorical vocabulary. This prevents artificial fragmentation of response groups due to minor spelling variation or inconsistent capitalisation — a well-documented data quality issue in Forms-collected data (Rahm and Do, 2000, p. 5).</w:t>
      </w:r>
    </w:p>
    <w:p>
      <w:pPr>
        <w:pStyle w:val="Heading2"/>
        <w:spacing w:after="120" w:before="280"/>
      </w:pPr>
      <w:r>
        <w:rPr>
          <w:rFonts w:ascii="Arial" w:cs="Arial" w:eastAsia="Arial" w:hAnsi="Arial"/>
          <w:b/>
          <w:bCs/>
          <w:color w:val="2E5490"/>
          <w:sz w:val="26"/>
          <w:szCs w:val="26"/>
        </w:rPr>
        <w:t xml:space="preserve">3.9.4  Outlier Detection</w:t>
      </w:r>
    </w:p>
    <w:p>
      <w:pPr>
        <w:spacing w:after="120" w:before="80" w:line="360"/>
        <w:jc w:val="both"/>
      </w:pPr>
      <w:r>
        <w:rPr>
          <w:rFonts w:ascii="Arial" w:cs="Arial" w:eastAsia="Arial" w:hAnsi="Arial"/>
          <w:sz w:val="22"/>
          <w:szCs w:val="22"/>
        </w:rPr>
        <w:t xml:space="preserve">Numerical columns are screened for outliers using the Interquartile Range (IQR) method, a non-parametric approach robust to non-normal distributions (Tukey, 1977). Detected outliers are not removed by default but are flagged in the dataset metadata. The LLM system prompt explicitly notes the presence and location of outliers so that the model can account for them in statistical reasoning.</w:t>
      </w:r>
    </w:p>
    <w:p>
      <w:pPr>
        <w:pStyle w:val="Heading2"/>
        <w:spacing w:after="120" w:before="280"/>
      </w:pPr>
      <w:r>
        <w:rPr>
          <w:rFonts w:ascii="Arial" w:cs="Arial" w:eastAsia="Arial" w:hAnsi="Arial"/>
          <w:b/>
          <w:bCs/>
          <w:color w:val="2E5490"/>
          <w:sz w:val="26"/>
          <w:szCs w:val="26"/>
        </w:rPr>
        <w:t xml:space="preserve">3.9.5  Dataset Context String Construction</w:t>
      </w:r>
    </w:p>
    <w:p>
      <w:pPr>
        <w:spacing w:after="120" w:before="80" w:line="360"/>
        <w:jc w:val="both"/>
      </w:pPr>
      <w:r>
        <w:rPr>
          <w:rFonts w:ascii="Arial" w:cs="Arial" w:eastAsia="Arial" w:hAnsi="Arial"/>
          <w:sz w:val="22"/>
          <w:szCs w:val="22"/>
        </w:rPr>
        <w:t xml:space="preserve">The final and most consequential pipeline output is the dataset context string — a structured text summary of the cleaned dataset injected into every LLM system prompt. This string includes column names with inferred semantic meaning, data types and value ranges, descriptive statistics for numerical columns, top-N value counts for categorical columns, total row count, and active data quality flags. The context string is dynamically regenerated after each pipeline stage to ensure the LLM always operates over an accurate, current representation of the data.</w:t>
      </w:r>
    </w:p>
    <w:p>
      <w:pPr>
        <w:pStyle w:val="Heading1"/>
        <w:spacing w:after="160" w:before="400"/>
      </w:pPr>
      <w:r>
        <w:rPr>
          <w:rFonts w:ascii="Arial" w:cs="Arial" w:eastAsia="Arial" w:hAnsi="Arial"/>
          <w:b/>
          <w:bCs/>
          <w:color w:val="1F3864"/>
          <w:sz w:val="32"/>
          <w:szCs w:val="32"/>
        </w:rPr>
        <w:t xml:space="preserve">3.10  System Architecture and LLM Interaction Design</w:t>
      </w:r>
    </w:p>
    <w:p>
      <w:pPr>
        <w:spacing w:after="120" w:before="80" w:line="360"/>
        <w:jc w:val="both"/>
      </w:pPr>
      <w:r>
        <w:rPr>
          <w:rFonts w:ascii="Arial" w:cs="Arial" w:eastAsia="Arial" w:hAnsi="Arial"/>
          <w:sz w:val="22"/>
          <w:szCs w:val="22"/>
        </w:rPr>
        <w:t xml:space="preserve">The analytical system is implemented as a five-layer pipeline. The architecture is presented here at a methodological level of abstraction, documenting the data flow and the rationale for each layer's role in the research design. Detailed technical implementation is discussed in Chapter Four.</w:t>
      </w:r>
    </w:p>
    <w:p>
      <w:pPr>
        <w:spacing w:after="0" w:before="80"/>
      </w:pPr>
      <w:r>
        <w:t xml:space="preserve"/>
      </w:r>
    </w:p>
    <w:tbl>
      <w:tblPr>
        <w:tblW w:type="dxa" w:w="8960"/>
        <w:tblBorders>
          <w:top w:val="single" w:color="auto" w:sz="4"/>
          <w:left w:val="single" w:color="auto" w:sz="4"/>
          <w:bottom w:val="single" w:color="auto" w:sz="4"/>
          <w:right w:val="single" w:color="auto" w:sz="4"/>
          <w:insideH w:val="single" w:color="auto" w:sz="4"/>
          <w:insideV w:val="single" w:color="auto" w:sz="4"/>
        </w:tblBorders>
      </w:tblPr>
      <w:tblGrid>
        <w:gridCol w:w="1400"/>
        <w:gridCol w:w="1800"/>
        <w:gridCol w:w="5760"/>
      </w:tblGrid>
      <w:tr>
        <w:tc>
          <w:tcPr>
            <w:tcW w:type="dxa" w:w="14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Layer</w:t>
            </w:r>
          </w:p>
        </w:tc>
        <w:tc>
          <w:tcPr>
            <w:tcW w:type="dxa" w:w="18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Component</w:t>
            </w:r>
          </w:p>
        </w:tc>
        <w:tc>
          <w:tcPr>
            <w:tcW w:type="dxa" w:w="576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Methodological Function</w:t>
            </w:r>
          </w:p>
        </w:tc>
      </w:tr>
      <w:tr>
        <w:tc>
          <w:tcPr>
            <w:tcW w:type="dxa" w:w="14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1 — Data Source</w:t>
            </w:r>
          </w:p>
        </w:tc>
        <w:tc>
          <w:tcPr>
            <w:tcW w:type="dxa" w:w="18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Google Forms → CSV</w:t>
            </w:r>
          </w:p>
        </w:tc>
        <w:tc>
          <w:tcPr>
            <w:tcW w:type="dxa" w:w="57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Provides the authentic, primary research dataset; introduces realistic data quality challenges</w:t>
            </w:r>
          </w:p>
        </w:tc>
      </w:tr>
      <w:tr>
        <w:tc>
          <w:tcPr>
            <w:tcW w:type="dxa" w:w="14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2 — Processing</w:t>
            </w:r>
          </w:p>
        </w:tc>
        <w:tc>
          <w:tcPr>
            <w:tcW w:type="dxa" w:w="18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Pandas</w:t>
            </w:r>
          </w:p>
        </w:tc>
        <w:tc>
          <w:tcPr>
            <w:tcW w:type="dxa" w:w="576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Validates, cleans, and transforms raw data; constructs the LLM context string; computes ground truth statistics for accuracy validation</w:t>
            </w:r>
          </w:p>
        </w:tc>
      </w:tr>
      <w:tr>
        <w:tc>
          <w:tcPr>
            <w:tcW w:type="dxa" w:w="14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3 — Intelligence</w:t>
            </w:r>
          </w:p>
        </w:tc>
        <w:tc>
          <w:tcPr>
            <w:tcW w:type="dxa" w:w="18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OpenAI GPT-4o</w:t>
            </w:r>
          </w:p>
        </w:tc>
        <w:tc>
          <w:tcPr>
            <w:tcW w:type="dxa" w:w="57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Interprets natural language queries; generates analytical responses and executable Plotly code grounded in the dataset context</w:t>
            </w:r>
          </w:p>
        </w:tc>
      </w:tr>
      <w:tr>
        <w:tc>
          <w:tcPr>
            <w:tcW w:type="dxa" w:w="14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4 — Visualisation</w:t>
            </w:r>
          </w:p>
        </w:tc>
        <w:tc>
          <w:tcPr>
            <w:tcW w:type="dxa" w:w="18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Plotly</w:t>
            </w:r>
          </w:p>
        </w:tc>
        <w:tc>
          <w:tcPr>
            <w:tcW w:type="dxa" w:w="576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Renders interactive, web-native charts from LLM-generated or Pandas-derived code; enables drill-down and hover interaction</w:t>
            </w:r>
          </w:p>
        </w:tc>
      </w:tr>
      <w:tr>
        <w:tc>
          <w:tcPr>
            <w:tcW w:type="dxa" w:w="14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5 — Interface</w:t>
            </w:r>
          </w:p>
        </w:tc>
        <w:tc>
          <w:tcPr>
            <w:tcW w:type="dxa" w:w="18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Streamlit</w:t>
            </w:r>
          </w:p>
        </w:tc>
        <w:tc>
          <w:tcPr>
            <w:tcW w:type="dxa" w:w="57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Provides the conversational frontend; manages session state and conversation history; surfaces results to the end user</w:t>
            </w:r>
          </w:p>
        </w:tc>
      </w:tr>
    </w:tbl>
    <w:p>
      <w:pPr>
        <w:spacing w:after="0" w:before="100"/>
      </w:pPr>
      <w:r>
        <w:t xml:space="preserve"/>
      </w:r>
    </w:p>
    <w:p>
      <w:pPr>
        <w:spacing w:after="120" w:before="80" w:line="360"/>
        <w:jc w:val="both"/>
      </w:pPr>
      <w:r>
        <w:rPr>
          <w:rFonts w:ascii="Arial" w:cs="Arial" w:eastAsia="Arial" w:hAnsi="Arial"/>
          <w:sz w:val="22"/>
          <w:szCs w:val="22"/>
        </w:rPr>
        <w:t xml:space="preserve">Every query to the OpenAI API is structured using a two-part prompt architecture: a </w:t>
      </w:r>
      <w:r>
        <w:rPr>
          <w:rFonts w:ascii="Arial" w:cs="Arial" w:eastAsia="Arial" w:hAnsi="Arial"/>
          <w:b/>
          <w:bCs/>
          <w:sz w:val="22"/>
          <w:szCs w:val="22"/>
        </w:rPr>
        <w:t xml:space="preserve">system prompt</w:t>
      </w:r>
      <w:r>
        <w:rPr>
          <w:rFonts w:ascii="Arial" w:cs="Arial" w:eastAsia="Arial" w:hAnsi="Arial"/>
          <w:sz w:val="22"/>
          <w:szCs w:val="22"/>
        </w:rPr>
        <w:t xml:space="preserve"> containing the dataset context string, the AI's role definition, and behavioural constraints (e.g., 'do not state values absent from the dataset; flag uncertainty explicitly'); and a </w:t>
      </w:r>
      <w:r>
        <w:rPr>
          <w:rFonts w:ascii="Arial" w:cs="Arial" w:eastAsia="Arial" w:hAnsi="Arial"/>
          <w:b/>
          <w:bCs/>
          <w:sz w:val="22"/>
          <w:szCs w:val="22"/>
        </w:rPr>
        <w:t xml:space="preserve">user prompt</w:t>
      </w:r>
      <w:r>
        <w:rPr>
          <w:rFonts w:ascii="Arial" w:cs="Arial" w:eastAsia="Arial" w:hAnsi="Arial"/>
          <w:sz w:val="22"/>
          <w:szCs w:val="22"/>
        </w:rPr>
        <w:t xml:space="preserve"> containing the user's natural language query. LLM temperature is set to </w:t>
      </w:r>
      <w:r>
        <w:rPr>
          <w:rFonts w:ascii="Arial" w:cs="Arial" w:eastAsia="Arial" w:hAnsi="Arial"/>
          <w:b/>
          <w:bCs/>
          <w:sz w:val="22"/>
          <w:szCs w:val="22"/>
        </w:rPr>
        <w:t xml:space="preserve">0</w:t>
      </w:r>
      <w:r>
        <w:rPr>
          <w:rFonts w:ascii="Arial" w:cs="Arial" w:eastAsia="Arial" w:hAnsi="Arial"/>
          <w:sz w:val="22"/>
          <w:szCs w:val="22"/>
        </w:rPr>
        <w:t xml:space="preserve"> for all analytical and code-generation calls to maximise output determinism and enable reproducible evaluation (Brown </w:t>
      </w:r>
      <w:r>
        <w:rPr>
          <w:rFonts w:ascii="Arial" w:cs="Arial" w:eastAsia="Arial" w:hAnsi="Arial"/>
          <w:i/>
          <w:iCs/>
          <w:sz w:val="22"/>
          <w:szCs w:val="22"/>
        </w:rPr>
        <w:t xml:space="preserve">et al.</w:t>
      </w:r>
      <w:r>
        <w:rPr>
          <w:rFonts w:ascii="Arial" w:cs="Arial" w:eastAsia="Arial" w:hAnsi="Arial"/>
          <w:sz w:val="22"/>
          <w:szCs w:val="22"/>
        </w:rPr>
        <w:t xml:space="preserve">, 2020, p. 7).</w:t>
      </w:r>
    </w:p>
    <w:p>
      <w:pPr>
        <w:pStyle w:val="Heading1"/>
        <w:spacing w:after="160" w:before="400"/>
      </w:pPr>
      <w:r>
        <w:rPr>
          <w:rFonts w:ascii="Arial" w:cs="Arial" w:eastAsia="Arial" w:hAnsi="Arial"/>
          <w:b/>
          <w:bCs/>
          <w:color w:val="1F3864"/>
          <w:sz w:val="32"/>
          <w:szCs w:val="32"/>
        </w:rPr>
        <w:t xml:space="preserve">3.11  Evaluation Framework</w:t>
      </w:r>
    </w:p>
    <w:p>
      <w:pPr>
        <w:spacing w:after="120" w:before="80" w:line="360"/>
        <w:jc w:val="both"/>
      </w:pPr>
      <w:r>
        <w:rPr>
          <w:rFonts w:ascii="Arial" w:cs="Arial" w:eastAsia="Arial" w:hAnsi="Arial"/>
          <w:sz w:val="22"/>
          <w:szCs w:val="22"/>
        </w:rPr>
        <w:t xml:space="preserve">The system is evaluated across five operationally defined dimensions, consistent with the DSR evaluation requirement that artifacts be assessed against explicitly articulated utility criteria (Venable, Pries-Heje and Baskerville, 2016, p. 80):</w:t>
      </w:r>
    </w:p>
    <w:p>
      <w:pPr>
        <w:spacing w:after="0" w:before="80"/>
      </w:pPr>
      <w:r>
        <w:t xml:space="preserve"/>
      </w:r>
    </w:p>
    <w:tbl>
      <w:tblPr>
        <w:tblW w:type="dxa" w:w="8960"/>
        <w:tblBorders>
          <w:top w:val="single" w:color="auto" w:sz="4"/>
          <w:left w:val="single" w:color="auto" w:sz="4"/>
          <w:bottom w:val="single" w:color="auto" w:sz="4"/>
          <w:right w:val="single" w:color="auto" w:sz="4"/>
          <w:insideH w:val="single" w:color="auto" w:sz="4"/>
          <w:insideV w:val="single" w:color="auto" w:sz="4"/>
        </w:tblBorders>
      </w:tblPr>
      <w:tblGrid>
        <w:gridCol w:w="1800"/>
        <w:gridCol w:w="3200"/>
        <w:gridCol w:w="3960"/>
      </w:tblGrid>
      <w:tr>
        <w:tc>
          <w:tcPr>
            <w:tcW w:type="dxa" w:w="18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Dimension</w:t>
            </w:r>
          </w:p>
        </w:tc>
        <w:tc>
          <w:tcPr>
            <w:tcW w:type="dxa" w:w="320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Operational Definition</w:t>
            </w:r>
          </w:p>
        </w:tc>
        <w:tc>
          <w:tcPr>
            <w:tcW w:type="dxa" w:w="3960"/>
            <w:tcBorders>
              <w:top w:val="single" w:color="AAAAAA" w:sz="1"/>
              <w:left w:val="single" w:color="AAAAAA" w:sz="1"/>
              <w:bottom w:val="single" w:color="AAAAAA" w:sz="1"/>
              <w:right w:val="single" w:color="AAAAAA" w:sz="1"/>
            </w:tcBorders>
            <w:shd w:fill="1F3864" w:val="clear"/>
            <w:tcMar>
              <w:top w:type="dxa" w:w="100"/>
              <w:left w:type="dxa" w:w="120"/>
              <w:bottom w:type="dxa" w:w="100"/>
              <w:right w:type="dxa" w:w="120"/>
            </w:tcMar>
          </w:tcPr>
          <w:p>
            <w:pPr>
              <w:jc w:val="center"/>
            </w:pPr>
            <w:r>
              <w:rPr>
                <w:rFonts w:ascii="Arial" w:cs="Arial" w:eastAsia="Arial" w:hAnsi="Arial"/>
                <w:b/>
                <w:bCs/>
                <w:color w:val="FFFFFF"/>
                <w:sz w:val="20"/>
                <w:szCs w:val="20"/>
              </w:rPr>
              <w:t xml:space="preserve">Measurement Method</w:t>
            </w:r>
          </w:p>
        </w:tc>
      </w:tr>
      <w:tr>
        <w:tc>
          <w:tcPr>
            <w:tcW w:type="dxa" w:w="18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Analytical Accuracy</w:t>
            </w:r>
          </w:p>
        </w:tc>
        <w:tc>
          <w:tcPr>
            <w:tcW w:type="dxa" w:w="32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Correctness of LLM-stated statistics relative to Pandas ground truth</w:t>
            </w:r>
          </w:p>
        </w:tc>
        <w:tc>
          <w:tcPr>
            <w:tcW w:type="dxa" w:w="39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Automated extraction of numerical claims from LLM responses; comparison against df.describe() values; discrepancy logged if &gt; 2% tolerance</w:t>
            </w:r>
          </w:p>
        </w:tc>
      </w:tr>
      <w:tr>
        <w:tc>
          <w:tcPr>
            <w:tcW w:type="dxa" w:w="18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Hallucination Rate</w:t>
            </w:r>
          </w:p>
        </w:tc>
        <w:tc>
          <w:tcPr>
            <w:tcW w:type="dxa" w:w="32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Proportion of responses containing numerical values absent from the dataset</w:t>
            </w:r>
          </w:p>
        </w:tc>
        <w:tc>
          <w:tcPr>
            <w:tcW w:type="dxa" w:w="396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Automated token-matching of LLM output against the dataset vocabulary; reported as a percentage of total evaluation queries</w:t>
            </w:r>
          </w:p>
        </w:tc>
      </w:tr>
      <w:tr>
        <w:tc>
          <w:tcPr>
            <w:tcW w:type="dxa" w:w="18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Code Execution Rate</w:t>
            </w:r>
          </w:p>
        </w:tc>
        <w:tc>
          <w:tcPr>
            <w:tcW w:type="dxa" w:w="32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Proportion of LLM-generated Plotly code that executes without runtime error</w:t>
            </w:r>
          </w:p>
        </w:tc>
        <w:tc>
          <w:tcPr>
            <w:tcW w:type="dxa" w:w="39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Automated execution logging across all visualisation queries; failures classified by error type</w:t>
            </w:r>
          </w:p>
        </w:tc>
      </w:tr>
      <w:tr>
        <w:tc>
          <w:tcPr>
            <w:tcW w:type="dxa" w:w="18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Visualisation Quality</w:t>
            </w:r>
          </w:p>
        </w:tc>
        <w:tc>
          <w:tcPr>
            <w:tcW w:type="dxa" w:w="320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Degree to which generated charts accurately and clearly represent the queried data</w:t>
            </w:r>
          </w:p>
        </w:tc>
        <w:tc>
          <w:tcPr>
            <w:tcW w:type="dxa" w:w="3960"/>
            <w:tcBorders>
              <w:top w:val="single" w:color="AAAAAA" w:sz="1"/>
              <w:left w:val="single" w:color="AAAAAA" w:sz="1"/>
              <w:bottom w:val="single" w:color="AAAAAA" w:sz="1"/>
              <w:right w:val="single" w:color="AAAAAA" w:sz="1"/>
            </w:tcBorders>
            <w:shd w:fill="FFFFFF" w:val="clear"/>
            <w:tcMar>
              <w:top w:type="dxa" w:w="80"/>
              <w:left w:type="dxa" w:w="120"/>
              <w:bottom w:type="dxa" w:w="80"/>
              <w:right w:type="dxa" w:w="120"/>
            </w:tcMar>
          </w:tcPr>
          <w:p>
            <w:pPr>
              <w:spacing w:line="280"/>
              <w:jc w:val="left"/>
            </w:pPr>
            <w:r>
              <w:rPr>
                <w:rFonts w:ascii="Arial" w:cs="Arial" w:eastAsia="Arial" w:hAnsi="Arial"/>
                <w:sz w:val="20"/>
                <w:szCs w:val="20"/>
              </w:rPr>
              <w:t xml:space="preserve">Expert review rubric applied to 20 systematically sampled visualisation outputs (see Section 3.11.1)</w:t>
            </w:r>
          </w:p>
        </w:tc>
      </w:tr>
      <w:tr>
        <w:tc>
          <w:tcPr>
            <w:tcW w:type="dxa" w:w="18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Response Latency</w:t>
            </w:r>
          </w:p>
        </w:tc>
        <w:tc>
          <w:tcPr>
            <w:tcW w:type="dxa" w:w="320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Time elapsed from query submission to full Streamlit render</w:t>
            </w:r>
          </w:p>
        </w:tc>
        <w:tc>
          <w:tcPr>
            <w:tcW w:type="dxa" w:w="3960"/>
            <w:tcBorders>
              <w:top w:val="single" w:color="AAAAAA" w:sz="1"/>
              <w:left w:val="single" w:color="AAAAAA" w:sz="1"/>
              <w:bottom w:val="single" w:color="AAAAAA" w:sz="1"/>
              <w:right w:val="single" w:color="AAAAAA" w:sz="1"/>
            </w:tcBorders>
            <w:shd w:fill="EBF0F7" w:val="clear"/>
            <w:tcMar>
              <w:top w:type="dxa" w:w="80"/>
              <w:left w:type="dxa" w:w="120"/>
              <w:bottom w:type="dxa" w:w="80"/>
              <w:right w:type="dxa" w:w="120"/>
            </w:tcMar>
          </w:tcPr>
          <w:p>
            <w:pPr>
              <w:spacing w:line="280"/>
              <w:jc w:val="left"/>
            </w:pPr>
            <w:r>
              <w:rPr>
                <w:rFonts w:ascii="Arial" w:cs="Arial" w:eastAsia="Arial" w:hAnsi="Arial"/>
                <w:sz w:val="20"/>
                <w:szCs w:val="20"/>
              </w:rPr>
              <w:t xml:space="preserve">Instrumented timing within the application layer; reported as mean ± standard deviation across query types</w:t>
            </w:r>
          </w:p>
        </w:tc>
      </w:tr>
    </w:tbl>
    <w:p>
      <w:pPr>
        <w:pStyle w:val="Heading2"/>
        <w:spacing w:after="120" w:before="280"/>
      </w:pPr>
      <w:r>
        <w:rPr>
          <w:rFonts w:ascii="Arial" w:cs="Arial" w:eastAsia="Arial" w:hAnsi="Arial"/>
          <w:b/>
          <w:bCs/>
          <w:color w:val="2E5490"/>
          <w:sz w:val="26"/>
          <w:szCs w:val="26"/>
        </w:rPr>
        <w:t xml:space="preserve">3.11.1  Visualisation Quality Rubric</w:t>
      </w:r>
    </w:p>
    <w:p>
      <w:pPr>
        <w:spacing w:after="120" w:before="80" w:line="360"/>
        <w:jc w:val="both"/>
      </w:pPr>
      <w:r>
        <w:rPr>
          <w:rFonts w:ascii="Arial" w:cs="Arial" w:eastAsia="Arial" w:hAnsi="Arial"/>
          <w:sz w:val="22"/>
          <w:szCs w:val="22"/>
        </w:rPr>
        <w:t xml:space="preserve">Generated visualisations are assessed against four criteria derived from principles of data visualisation design (Few, 2012; Tufte, 2001):</w:t>
      </w:r>
    </w:p>
    <w:p>
      <w:pPr>
        <w:pStyle w:val="ListParagraph"/>
        <w:numPr>
          <w:ilvl w:val="0"/>
          <w:numId w:val="2"/>
        </w:numPr>
        <w:spacing w:after="60" w:before="60" w:line="320"/>
        <w:jc w:val="both"/>
      </w:pPr>
      <w:r>
        <w:rPr>
          <w:rFonts w:ascii="Arial" w:cs="Arial" w:eastAsia="Arial" w:hAnsi="Arial"/>
          <w:sz w:val="22"/>
          <w:szCs w:val="22"/>
        </w:rPr>
        <w:t xml:space="preserve">Type Appropriateness: Is the selected chart type (bar, line, scatter, pie, heatmap, etc.) suitable for the variable types and the analytical question posed?</w:t>
      </w:r>
    </w:p>
    <w:p>
      <w:pPr>
        <w:pStyle w:val="ListParagraph"/>
        <w:numPr>
          <w:ilvl w:val="0"/>
          <w:numId w:val="2"/>
        </w:numPr>
        <w:spacing w:after="60" w:before="60" w:line="320"/>
        <w:jc w:val="both"/>
      </w:pPr>
      <w:r>
        <w:rPr>
          <w:rFonts w:ascii="Arial" w:cs="Arial" w:eastAsia="Arial" w:hAnsi="Arial"/>
          <w:sz w:val="22"/>
          <w:szCs w:val="22"/>
        </w:rPr>
        <w:t xml:space="preserve">Data Completeness: Does the chart include all relevant data fields referenced in the query, without omission or arbitrary truncation?</w:t>
      </w:r>
    </w:p>
    <w:p>
      <w:pPr>
        <w:pStyle w:val="ListParagraph"/>
        <w:numPr>
          <w:ilvl w:val="0"/>
          <w:numId w:val="2"/>
        </w:numPr>
        <w:spacing w:after="60" w:before="60" w:line="320"/>
        <w:jc w:val="both"/>
      </w:pPr>
      <w:r>
        <w:rPr>
          <w:rFonts w:ascii="Arial" w:cs="Arial" w:eastAsia="Arial" w:hAnsi="Arial"/>
          <w:sz w:val="22"/>
          <w:szCs w:val="22"/>
        </w:rPr>
        <w:t xml:space="preserve">Label Accuracy: Are axis labels, titles, and legends correctly derived from dataset column names and values, without hallucinated or incorrect text?</w:t>
      </w:r>
    </w:p>
    <w:p>
      <w:pPr>
        <w:pStyle w:val="ListParagraph"/>
        <w:numPr>
          <w:ilvl w:val="0"/>
          <w:numId w:val="2"/>
        </w:numPr>
        <w:spacing w:after="60" w:before="60" w:line="320"/>
        <w:jc w:val="both"/>
      </w:pPr>
      <w:r>
        <w:rPr>
          <w:rFonts w:ascii="Arial" w:cs="Arial" w:eastAsia="Arial" w:hAnsi="Arial"/>
          <w:sz w:val="22"/>
          <w:szCs w:val="22"/>
        </w:rPr>
        <w:t xml:space="preserve">Interpretive Clarity: Does the visualisation make the answer to the query immediately apparent without requiring supplementary explanation?</w:t>
      </w:r>
    </w:p>
    <w:p>
      <w:pPr>
        <w:pStyle w:val="Heading1"/>
        <w:spacing w:after="160" w:before="400"/>
      </w:pPr>
      <w:r>
        <w:rPr>
          <w:rFonts w:ascii="Arial" w:cs="Arial" w:eastAsia="Arial" w:hAnsi="Arial"/>
          <w:b/>
          <w:bCs/>
          <w:color w:val="1F3864"/>
          <w:sz w:val="32"/>
          <w:szCs w:val="32"/>
        </w:rPr>
        <w:t xml:space="preserve">3.12  Confirmatory and Exploratory Analytics</w:t>
      </w:r>
    </w:p>
    <w:p>
      <w:pPr>
        <w:spacing w:after="120" w:before="80" w:line="360"/>
        <w:jc w:val="both"/>
      </w:pPr>
      <w:r>
        <w:rPr>
          <w:rFonts w:ascii="Arial" w:cs="Arial" w:eastAsia="Arial" w:hAnsi="Arial"/>
          <w:sz w:val="22"/>
          <w:szCs w:val="22"/>
        </w:rPr>
        <w:t xml:space="preserve">The analytical phase of the study is structured in two sequential stages, reflecting the distinction between </w:t>
      </w:r>
      <w:r>
        <w:rPr>
          <w:rFonts w:ascii="Arial" w:cs="Arial" w:eastAsia="Arial" w:hAnsi="Arial"/>
          <w:b/>
          <w:bCs/>
          <w:sz w:val="22"/>
          <w:szCs w:val="22"/>
        </w:rPr>
        <w:t xml:space="preserve">confirmatory</w:t>
      </w:r>
      <w:r>
        <w:rPr>
          <w:rFonts w:ascii="Arial" w:cs="Arial" w:eastAsia="Arial" w:hAnsi="Arial"/>
          <w:sz w:val="22"/>
          <w:szCs w:val="22"/>
        </w:rPr>
        <w:t xml:space="preserve"> and </w:t>
      </w:r>
      <w:r>
        <w:rPr>
          <w:rFonts w:ascii="Arial" w:cs="Arial" w:eastAsia="Arial" w:hAnsi="Arial"/>
          <w:b/>
          <w:bCs/>
          <w:sz w:val="22"/>
          <w:szCs w:val="22"/>
        </w:rPr>
        <w:t xml:space="preserve">exploratory</w:t>
      </w:r>
      <w:r>
        <w:rPr>
          <w:rFonts w:ascii="Arial" w:cs="Arial" w:eastAsia="Arial" w:hAnsi="Arial"/>
          <w:sz w:val="22"/>
          <w:szCs w:val="22"/>
        </w:rPr>
        <w:t xml:space="preserve"> analytics as described by Tukey (1977) and subsequently operationalised in BI research by Davenport and Harris (2007, p. 88).</w:t>
      </w:r>
    </w:p>
    <w:p>
      <w:pPr>
        <w:spacing w:after="120" w:before="80" w:line="360"/>
        <w:jc w:val="both"/>
      </w:pPr>
      <w:r>
        <w:rPr>
          <w:rFonts w:ascii="Arial" w:cs="Arial" w:eastAsia="Arial" w:hAnsi="Arial"/>
          <w:b/>
          <w:bCs/>
          <w:sz w:val="22"/>
          <w:szCs w:val="22"/>
        </w:rPr>
        <w:t xml:space="preserve">Confirmatory Analytics</w:t>
      </w:r>
      <w:r>
        <w:rPr>
          <w:rFonts w:ascii="Arial" w:cs="Arial" w:eastAsia="Arial" w:hAnsi="Arial"/>
          <w:sz w:val="22"/>
          <w:szCs w:val="22"/>
        </w:rPr>
        <w:t xml:space="preserve"> are conducted first, prior to LLM deployment over the dataset. At this stage, Pandas is used to compute pre-specified statistical tests directly from the cleaned dataset: descriptive statistics by group, Cronbach's Alpha for scale reliability, Mann-Whitney U tests comparing Group A and Group B responses, and Pearson or Spearman correlation analyses as appropriate to the variable distribution. These results constitute the </w:t>
      </w:r>
      <w:r>
        <w:rPr>
          <w:rFonts w:ascii="Arial" w:cs="Arial" w:eastAsia="Arial" w:hAnsi="Arial"/>
          <w:i/>
          <w:iCs/>
          <w:sz w:val="22"/>
          <w:szCs w:val="22"/>
        </w:rPr>
        <w:t xml:space="preserve">ground truth</w:t>
      </w:r>
      <w:r>
        <w:rPr>
          <w:rFonts w:ascii="Arial" w:cs="Arial" w:eastAsia="Arial" w:hAnsi="Arial"/>
          <w:sz w:val="22"/>
          <w:szCs w:val="22"/>
        </w:rPr>
        <w:t xml:space="preserve"> against which LLM-generated analytical claims are subsequently validated. Performing confirmatory analytics before engaging the LLM is a deliberate methodological sequencing choice: it ensures that the evaluation of LLM accuracy is anchored in independently verified statistical truth rather than circular reasoning (Provost and Fawcett, 2013, p. 73).</w:t>
      </w:r>
    </w:p>
    <w:p>
      <w:pPr>
        <w:spacing w:after="120" w:before="80" w:line="360"/>
        <w:jc w:val="both"/>
      </w:pPr>
      <w:r>
        <w:rPr>
          <w:rFonts w:ascii="Arial" w:cs="Arial" w:eastAsia="Arial" w:hAnsi="Arial"/>
          <w:b/>
          <w:bCs/>
          <w:sz w:val="22"/>
          <w:szCs w:val="22"/>
        </w:rPr>
        <w:t xml:space="preserve">Exploratory Analytics</w:t>
      </w:r>
      <w:r>
        <w:rPr>
          <w:rFonts w:ascii="Arial" w:cs="Arial" w:eastAsia="Arial" w:hAnsi="Arial"/>
          <w:sz w:val="22"/>
          <w:szCs w:val="22"/>
        </w:rPr>
        <w:t xml:space="preserve"> are conducted in the second stage, using the AI-powered conversational interface. Users submit natural language queries, and the system generates responses and visualisations that are subsequently compared against the confirmatory Pandas outputs. This stage also includes open-ended LLM thematic analysis of the free-text survey responses, which lies outside the scope of Pandas-based confirmatory analysis.</w:t>
      </w:r>
    </w:p>
    <w:p>
      <w:pPr>
        <w:pStyle w:val="Heading1"/>
        <w:spacing w:after="160" w:before="400"/>
      </w:pPr>
      <w:r>
        <w:rPr>
          <w:rFonts w:ascii="Arial" w:cs="Arial" w:eastAsia="Arial" w:hAnsi="Arial"/>
          <w:b/>
          <w:bCs/>
          <w:color w:val="1F3864"/>
          <w:sz w:val="32"/>
          <w:szCs w:val="32"/>
        </w:rPr>
        <w:t xml:space="preserve">3.13  Research Validity and Reliability</w:t>
      </w:r>
    </w:p>
    <w:p>
      <w:pPr>
        <w:spacing w:after="120" w:before="80" w:line="360"/>
        <w:jc w:val="both"/>
      </w:pPr>
      <w:r>
        <w:rPr>
          <w:rFonts w:ascii="Arial" w:cs="Arial" w:eastAsia="Arial" w:hAnsi="Arial"/>
          <w:sz w:val="22"/>
          <w:szCs w:val="22"/>
        </w:rPr>
        <w:t xml:space="preserve">The validity and reliability of the research design are addressed across four dimensions:</w:t>
      </w:r>
    </w:p>
    <w:p>
      <w:pPr>
        <w:spacing w:after="120" w:before="80" w:line="360"/>
        <w:jc w:val="both"/>
      </w:pPr>
      <w:r>
        <w:rPr>
          <w:rFonts w:ascii="Arial" w:cs="Arial" w:eastAsia="Arial" w:hAnsi="Arial"/>
          <w:b/>
          <w:bCs/>
          <w:sz w:val="22"/>
          <w:szCs w:val="22"/>
        </w:rPr>
        <w:t xml:space="preserve">Internal Validity: </w:t>
      </w:r>
      <w:r>
        <w:rPr>
          <w:rFonts w:ascii="Arial" w:cs="Arial" w:eastAsia="Arial" w:hAnsi="Arial"/>
          <w:sz w:val="22"/>
          <w:szCs w:val="22"/>
        </w:rPr>
        <w:t xml:space="preserve">The pipeline deterministically transforms the same CSV input into identical Pandas structures on every execution. LLM temperature is set to 0, maximising output consistency. The sequential confirmatory-then-exploratory design ensures that AI-generated insights are always evaluated against independently computed Pandas ground truth, preventing circular validation (Cook and Campbell, 1979, p. 37).</w:t>
      </w:r>
    </w:p>
    <w:p>
      <w:pPr>
        <w:spacing w:after="120" w:before="80" w:line="360"/>
        <w:jc w:val="both"/>
      </w:pPr>
      <w:r>
        <w:rPr>
          <w:rFonts w:ascii="Arial" w:cs="Arial" w:eastAsia="Arial" w:hAnsi="Arial"/>
          <w:b/>
          <w:bCs/>
          <w:sz w:val="22"/>
          <w:szCs w:val="22"/>
        </w:rPr>
        <w:t xml:space="preserve">External Validity: </w:t>
      </w:r>
      <w:r>
        <w:rPr>
          <w:rFonts w:ascii="Arial" w:cs="Arial" w:eastAsia="Arial" w:hAnsi="Arial"/>
          <w:sz w:val="22"/>
          <w:szCs w:val="22"/>
        </w:rPr>
        <w:t xml:space="preserve">The system's generalisability beyond the specific Google Forms dataset is acknowledged as a boundary condition. However, the pipeline architecture is dataset-agnostic — any CSV-format structured dataset can be substituted with minimal reconfiguration. This supports claims of broader applicability to diverse BI contexts, though external validity remains limited pending further testing on enterprise-scale datasets (Shadish, Cook and Campbell, 2002, p. 83).</w:t>
      </w:r>
    </w:p>
    <w:p>
      <w:pPr>
        <w:spacing w:after="120" w:before="80" w:line="360"/>
        <w:jc w:val="both"/>
      </w:pPr>
      <w:r>
        <w:rPr>
          <w:rFonts w:ascii="Arial" w:cs="Arial" w:eastAsia="Arial" w:hAnsi="Arial"/>
          <w:b/>
          <w:bCs/>
          <w:sz w:val="22"/>
          <w:szCs w:val="22"/>
        </w:rPr>
        <w:t xml:space="preserve">Construct Validity: </w:t>
      </w:r>
      <w:r>
        <w:rPr>
          <w:rFonts w:ascii="Arial" w:cs="Arial" w:eastAsia="Arial" w:hAnsi="Arial"/>
          <w:sz w:val="22"/>
          <w:szCs w:val="22"/>
        </w:rPr>
        <w:t xml:space="preserve">All evaluation metrics are operationalised with precise, computational definitions rather than subjective assessments. 'Hallucination rate' is defined as the proportion of LLM responses containing out-of-vocabulary numerical claims; 'analytical accuracy' is defined as numerical agreement within 2% tolerance against Pandas output. These definitions ensure that the constructs being measured are well-defined and reproducible (Cronbach and Meehl, 1955, p. 290).</w:t>
      </w:r>
    </w:p>
    <w:p>
      <w:pPr>
        <w:spacing w:after="120" w:before="80" w:line="360"/>
        <w:jc w:val="both"/>
      </w:pPr>
      <w:r>
        <w:rPr>
          <w:rFonts w:ascii="Arial" w:cs="Arial" w:eastAsia="Arial" w:hAnsi="Arial"/>
          <w:b/>
          <w:bCs/>
          <w:sz w:val="22"/>
          <w:szCs w:val="22"/>
        </w:rPr>
        <w:t xml:space="preserve">Reliability: </w:t>
      </w:r>
      <w:r>
        <w:rPr>
          <w:rFonts w:ascii="Arial" w:cs="Arial" w:eastAsia="Arial" w:hAnsi="Arial"/>
          <w:sz w:val="22"/>
          <w:szCs w:val="22"/>
        </w:rPr>
        <w:t xml:space="preserve">The automated evaluation pipeline produces identical results across repeated runs of the same query set. For the manual visualisation quality review, a second independent reviewer assesses a 20% random sample of outputs. Inter-rater agreement is calculated using Cohen's Kappa (Cohen, 1960), with κ ≥ 0.61 considered acceptable (Landis and Koch, 1977, p. 165).</w:t>
      </w:r>
    </w:p>
    <w:p>
      <w:pPr>
        <w:pStyle w:val="Heading1"/>
        <w:spacing w:after="160" w:before="400"/>
      </w:pPr>
      <w:r>
        <w:rPr>
          <w:rFonts w:ascii="Arial" w:cs="Arial" w:eastAsia="Arial" w:hAnsi="Arial"/>
          <w:b/>
          <w:bCs/>
          <w:color w:val="1F3864"/>
          <w:sz w:val="32"/>
          <w:szCs w:val="32"/>
        </w:rPr>
        <w:t xml:space="preserve">3.14  Limitations of the Methodology</w:t>
      </w:r>
    </w:p>
    <w:p>
      <w:pPr>
        <w:spacing w:after="120" w:before="80" w:line="360"/>
        <w:jc w:val="both"/>
      </w:pPr>
      <w:r>
        <w:rPr>
          <w:rFonts w:ascii="Arial" w:cs="Arial" w:eastAsia="Arial" w:hAnsi="Arial"/>
          <w:sz w:val="22"/>
          <w:szCs w:val="22"/>
        </w:rPr>
        <w:t xml:space="preserve">All research methodologies carry limitations, and intellectual honesty demands their explicit acknowledgement (Bryman, 2016, p. 394). The following limitations are identified:</w:t>
      </w:r>
    </w:p>
    <w:p>
      <w:pPr>
        <w:pStyle w:val="ListParagraph"/>
        <w:numPr>
          <w:ilvl w:val="0"/>
          <w:numId w:val="3"/>
        </w:numPr>
        <w:spacing w:after="60" w:before="60" w:line="320"/>
        <w:jc w:val="both"/>
      </w:pPr>
      <w:r>
        <w:rPr>
          <w:rFonts w:ascii="Arial" w:cs="Arial" w:eastAsia="Arial" w:hAnsi="Arial"/>
          <w:sz w:val="22"/>
          <w:szCs w:val="22"/>
        </w:rPr>
        <w:t xml:space="preserve">Dataset Scale: The Google Forms dataset is small-to-medium in scale relative to enterprise data warehouses. LLM performance over larger, more complex schemas with hundreds of variables may differ substantially from the findings reported here.</w:t>
      </w:r>
    </w:p>
    <w:p>
      <w:pPr>
        <w:pStyle w:val="ListParagraph"/>
        <w:numPr>
          <w:ilvl w:val="0"/>
          <w:numId w:val="3"/>
        </w:numPr>
        <w:spacing w:after="60" w:before="60" w:line="320"/>
        <w:jc w:val="both"/>
      </w:pPr>
      <w:r>
        <w:rPr>
          <w:rFonts w:ascii="Arial" w:cs="Arial" w:eastAsia="Arial" w:hAnsi="Arial"/>
          <w:sz w:val="22"/>
          <w:szCs w:val="22"/>
        </w:rPr>
        <w:t xml:space="preserve">Context Window Constraints: Very large datasets cannot be fully described within a single LLM context window. The current implementation injects summary statistics rather than raw rows into the system prompt, meaning the LLM reasons over aggregated descriptions rather than the full micro-level data — an inherent architectural limitation of prompt-based analytics acknowledged by Brown et al. (2020, p. 12).</w:t>
      </w:r>
    </w:p>
    <w:p>
      <w:pPr>
        <w:pStyle w:val="ListParagraph"/>
        <w:numPr>
          <w:ilvl w:val="0"/>
          <w:numId w:val="3"/>
        </w:numPr>
        <w:spacing w:after="60" w:before="60" w:line="320"/>
        <w:jc w:val="both"/>
      </w:pPr>
      <w:r>
        <w:rPr>
          <w:rFonts w:ascii="Arial" w:cs="Arial" w:eastAsia="Arial" w:hAnsi="Arial"/>
          <w:sz w:val="22"/>
          <w:szCs w:val="22"/>
        </w:rPr>
        <w:t xml:space="preserve">LLM Non-Determinism: Despite temperature = 0, marginal output variability can occur across API infrastructure updates and model version changes. The evaluation framework accounts for this through repeated sampling on a benchmark query subset.</w:t>
      </w:r>
    </w:p>
    <w:p>
      <w:pPr>
        <w:pStyle w:val="ListParagraph"/>
        <w:numPr>
          <w:ilvl w:val="0"/>
          <w:numId w:val="3"/>
        </w:numPr>
        <w:spacing w:after="60" w:before="60" w:line="320"/>
        <w:jc w:val="both"/>
      </w:pPr>
      <w:r>
        <w:rPr>
          <w:rFonts w:ascii="Arial" w:cs="Arial" w:eastAsia="Arial" w:hAnsi="Arial"/>
          <w:sz w:val="22"/>
          <w:szCs w:val="22"/>
        </w:rPr>
        <w:t xml:space="preserve">Non-Probability Sampling: The use of purposive sampling limits the statistical generalisability of findings to populations beyond the recruited sample. The study is positioned as explanatory and exploratory rather than confirmatory of population-level effects.</w:t>
      </w:r>
    </w:p>
    <w:p>
      <w:pPr>
        <w:pStyle w:val="ListParagraph"/>
        <w:numPr>
          <w:ilvl w:val="0"/>
          <w:numId w:val="3"/>
        </w:numPr>
        <w:spacing w:after="60" w:before="60" w:line="320"/>
        <w:jc w:val="both"/>
      </w:pPr>
      <w:r>
        <w:rPr>
          <w:rFonts w:ascii="Arial" w:cs="Arial" w:eastAsia="Arial" w:hAnsi="Arial"/>
          <w:sz w:val="22"/>
          <w:szCs w:val="22"/>
        </w:rPr>
        <w:t xml:space="preserve">Single-Domain Dataset: The dataset reflects a specific domain and respondent population. Findings regarding LLM analytical behaviour may not generalise to datasets from other domains, industries, or cultural contexts without further validation.</w:t>
      </w:r>
    </w:p>
    <w:p>
      <w:pPr>
        <w:pStyle w:val="Heading1"/>
        <w:spacing w:after="160" w:before="400"/>
      </w:pPr>
      <w:r>
        <w:rPr>
          <w:rFonts w:ascii="Arial" w:cs="Arial" w:eastAsia="Arial" w:hAnsi="Arial"/>
          <w:b/>
          <w:bCs/>
          <w:color w:val="1F3864"/>
          <w:sz w:val="32"/>
          <w:szCs w:val="32"/>
        </w:rPr>
        <w:t xml:space="preserve">3.15  Chapter Summary</w:t>
      </w:r>
    </w:p>
    <w:p>
      <w:pPr>
        <w:spacing w:after="120" w:before="80" w:line="360"/>
        <w:jc w:val="both"/>
      </w:pPr>
      <w:r>
        <w:rPr>
          <w:rFonts w:ascii="Arial" w:cs="Arial" w:eastAsia="Arial" w:hAnsi="Arial"/>
          <w:sz w:val="22"/>
          <w:szCs w:val="22"/>
        </w:rPr>
        <w:t xml:space="preserve">This chapter has presented a comprehensive and academically rigorous methodological framework for the investigation of Generative AI in data analytics and Business Intelligence. The research philosophy of pragmatism and the Design Science Research paradigm together provide a coherent epistemological and procedural foundation that accommodates both the technical development of the system and its empirical evaluation against explicit utility criteria.</w:t>
      </w:r>
    </w:p>
    <w:p>
      <w:pPr>
        <w:spacing w:after="120" w:before="80" w:line="360"/>
        <w:jc w:val="both"/>
      </w:pPr>
      <w:r>
        <w:rPr>
          <w:rFonts w:ascii="Arial" w:cs="Arial" w:eastAsia="Arial" w:hAnsi="Arial"/>
          <w:sz w:val="22"/>
          <w:szCs w:val="22"/>
        </w:rPr>
        <w:t xml:space="preserve">The primary data collection strategy — a structured, pilot-tested questionnaire deployed via Google Forms to a minimum sample of 97 respondents determined by Cochran's formula — ensures that the system is evaluated over authentic, purpose-designed data with realistic quality characteristics. The Pandas-based validation pipeline systematically addresses the data quality challenges inherent in Forms-collected data before any AI-mediated analysis is conducted. Crucially, confirmatory analytics are performed independently in Pandas prior to LLM deployment, providing the ground truth against which AI-generated outputs are evaluated and thereby anchoring the accuracy assessment in independently verified statistical evidence.</w:t>
      </w:r>
    </w:p>
    <w:p>
      <w:pPr>
        <w:spacing w:after="120" w:before="80" w:line="360"/>
        <w:jc w:val="both"/>
      </w:pPr>
      <w:r>
        <w:rPr>
          <w:rFonts w:ascii="Arial" w:cs="Arial" w:eastAsia="Arial" w:hAnsi="Arial"/>
          <w:sz w:val="22"/>
          <w:szCs w:val="22"/>
        </w:rPr>
        <w:t xml:space="preserve">The five-dimensional evaluation framework — encompassing analytical accuracy, hallucination rate, code execution rate, visualisation quality, and response latency — provides a multi-faceted, operationally precise basis for assessing the system's performance. Together, these methodological choices ensure that the research meets the standards of validity, reliability, and ethical integrity expected at dissertation level, while advancing scholarly understanding of how Generative AI can extend the capability and accessibility of modern Business Intelligence systems.</w:t>
      </w:r>
    </w:p>
    <w:p>
      <w:pPr>
        <w:spacing w:after="0" w:before="200"/>
      </w:pPr>
      <w:r>
        <w:t xml:space="preserve"/>
      </w:r>
    </w:p>
    <w:p>
      <w:pPr>
        <w:pStyle w:val="Heading1"/>
        <w:spacing w:after="160" w:before="400"/>
      </w:pPr>
      <w:r>
        <w:rPr>
          <w:rFonts w:ascii="Arial" w:cs="Arial" w:eastAsia="Arial" w:hAnsi="Arial"/>
          <w:b/>
          <w:bCs/>
          <w:color w:val="1F3864"/>
          <w:sz w:val="32"/>
          <w:szCs w:val="32"/>
        </w:rPr>
        <w:t xml:space="preserve">References</w:t>
      </w:r>
    </w:p>
    <w:p>
      <w:pPr>
        <w:spacing w:after="120" w:before="80" w:line="360"/>
        <w:jc w:val="both"/>
      </w:pPr>
      <w:r>
        <w:rPr>
          <w:rFonts w:ascii="Arial" w:cs="Arial" w:eastAsia="Arial" w:hAnsi="Arial"/>
          <w:b/>
          <w:bCs/>
          <w:sz w:val="22"/>
          <w:szCs w:val="22"/>
        </w:rPr>
        <w:t xml:space="preserve">Brown, T. B. et al. </w:t>
      </w:r>
      <w:r>
        <w:rPr>
          <w:rFonts w:ascii="Arial" w:cs="Arial" w:eastAsia="Arial" w:hAnsi="Arial"/>
          <w:sz w:val="22"/>
          <w:szCs w:val="22"/>
        </w:rPr>
        <w:t xml:space="preserve">(2020) 'Language models are few-shot learners', </w:t>
      </w:r>
      <w:r>
        <w:rPr>
          <w:rFonts w:ascii="Arial" w:cs="Arial" w:eastAsia="Arial" w:hAnsi="Arial"/>
          <w:i/>
          <w:iCs/>
          <w:sz w:val="22"/>
          <w:szCs w:val="22"/>
        </w:rPr>
        <w:t xml:space="preserve">Advances in Neural Information Processing Systems</w:t>
      </w:r>
      <w:r>
        <w:rPr>
          <w:rFonts w:ascii="Arial" w:cs="Arial" w:eastAsia="Arial" w:hAnsi="Arial"/>
          <w:sz w:val="22"/>
          <w:szCs w:val="22"/>
        </w:rPr>
        <w:t xml:space="preserve">, 33, pp. 1877–1901.</w:t>
      </w:r>
    </w:p>
    <w:p>
      <w:pPr>
        <w:spacing w:after="120" w:before="80" w:line="360"/>
        <w:jc w:val="both"/>
      </w:pPr>
      <w:r>
        <w:rPr>
          <w:rFonts w:ascii="Arial" w:cs="Arial" w:eastAsia="Arial" w:hAnsi="Arial"/>
          <w:b/>
          <w:bCs/>
          <w:sz w:val="22"/>
          <w:szCs w:val="22"/>
        </w:rPr>
        <w:t xml:space="preserve">Bryman, A. </w:t>
      </w:r>
      <w:r>
        <w:rPr>
          <w:rFonts w:ascii="Arial" w:cs="Arial" w:eastAsia="Arial" w:hAnsi="Arial"/>
          <w:sz w:val="22"/>
          <w:szCs w:val="22"/>
        </w:rPr>
        <w:t xml:space="preserve">(2016) </w:t>
      </w:r>
      <w:r>
        <w:rPr>
          <w:rFonts w:ascii="Arial" w:cs="Arial" w:eastAsia="Arial" w:hAnsi="Arial"/>
          <w:i/>
          <w:iCs/>
          <w:sz w:val="22"/>
          <w:szCs w:val="22"/>
        </w:rPr>
        <w:t xml:space="preserve">Social Research Methods</w:t>
      </w:r>
      <w:r>
        <w:rPr>
          <w:rFonts w:ascii="Arial" w:cs="Arial" w:eastAsia="Arial" w:hAnsi="Arial"/>
          <w:sz w:val="22"/>
          <w:szCs w:val="22"/>
        </w:rPr>
        <w:t xml:space="preserve">. 5th edn. Oxford: Oxford University Press.</w:t>
      </w:r>
    </w:p>
    <w:p>
      <w:pPr>
        <w:spacing w:after="120" w:before="80" w:line="360"/>
        <w:jc w:val="both"/>
      </w:pPr>
      <w:r>
        <w:rPr>
          <w:rFonts w:ascii="Arial" w:cs="Arial" w:eastAsia="Arial" w:hAnsi="Arial"/>
          <w:b/>
          <w:bCs/>
          <w:sz w:val="22"/>
          <w:szCs w:val="22"/>
        </w:rPr>
        <w:t xml:space="preserve">Cochran, W. G. </w:t>
      </w:r>
      <w:r>
        <w:rPr>
          <w:rFonts w:ascii="Arial" w:cs="Arial" w:eastAsia="Arial" w:hAnsi="Arial"/>
          <w:sz w:val="22"/>
          <w:szCs w:val="22"/>
        </w:rPr>
        <w:t xml:space="preserve">(1977) </w:t>
      </w:r>
      <w:r>
        <w:rPr>
          <w:rFonts w:ascii="Arial" w:cs="Arial" w:eastAsia="Arial" w:hAnsi="Arial"/>
          <w:i/>
          <w:iCs/>
          <w:sz w:val="22"/>
          <w:szCs w:val="22"/>
        </w:rPr>
        <w:t xml:space="preserve">Sampling Techniques</w:t>
      </w:r>
      <w:r>
        <w:rPr>
          <w:rFonts w:ascii="Arial" w:cs="Arial" w:eastAsia="Arial" w:hAnsi="Arial"/>
          <w:sz w:val="22"/>
          <w:szCs w:val="22"/>
        </w:rPr>
        <w:t xml:space="preserve">. 3rd edn. New York: John Wiley and Sons.</w:t>
      </w:r>
    </w:p>
    <w:p>
      <w:pPr>
        <w:spacing w:after="120" w:before="80" w:line="360"/>
        <w:jc w:val="both"/>
      </w:pPr>
      <w:r>
        <w:rPr>
          <w:rFonts w:ascii="Arial" w:cs="Arial" w:eastAsia="Arial" w:hAnsi="Arial"/>
          <w:b/>
          <w:bCs/>
          <w:sz w:val="22"/>
          <w:szCs w:val="22"/>
        </w:rPr>
        <w:t xml:space="preserve">Cohen, J. </w:t>
      </w:r>
      <w:r>
        <w:rPr>
          <w:rFonts w:ascii="Arial" w:cs="Arial" w:eastAsia="Arial" w:hAnsi="Arial"/>
          <w:sz w:val="22"/>
          <w:szCs w:val="22"/>
        </w:rPr>
        <w:t xml:space="preserve">(1960) 'A coefficient of agreement for nominal scales', </w:t>
      </w:r>
      <w:r>
        <w:rPr>
          <w:rFonts w:ascii="Arial" w:cs="Arial" w:eastAsia="Arial" w:hAnsi="Arial"/>
          <w:i/>
          <w:iCs/>
          <w:sz w:val="22"/>
          <w:szCs w:val="22"/>
        </w:rPr>
        <w:t xml:space="preserve">Educational and Psychological Measurement</w:t>
      </w:r>
      <w:r>
        <w:rPr>
          <w:rFonts w:ascii="Arial" w:cs="Arial" w:eastAsia="Arial" w:hAnsi="Arial"/>
          <w:sz w:val="22"/>
          <w:szCs w:val="22"/>
        </w:rPr>
        <w:t xml:space="preserve">, 20(1), pp. 37–46.</w:t>
      </w:r>
    </w:p>
    <w:p>
      <w:pPr>
        <w:spacing w:after="120" w:before="80" w:line="360"/>
        <w:jc w:val="both"/>
      </w:pPr>
      <w:r>
        <w:rPr>
          <w:rFonts w:ascii="Arial" w:cs="Arial" w:eastAsia="Arial" w:hAnsi="Arial"/>
          <w:b/>
          <w:bCs/>
          <w:sz w:val="22"/>
          <w:szCs w:val="22"/>
        </w:rPr>
        <w:t xml:space="preserve">Cook, T. D. and Campbell, D. T. </w:t>
      </w:r>
      <w:r>
        <w:rPr>
          <w:rFonts w:ascii="Arial" w:cs="Arial" w:eastAsia="Arial" w:hAnsi="Arial"/>
          <w:sz w:val="22"/>
          <w:szCs w:val="22"/>
        </w:rPr>
        <w:t xml:space="preserve">(1979) </w:t>
      </w:r>
      <w:r>
        <w:rPr>
          <w:rFonts w:ascii="Arial" w:cs="Arial" w:eastAsia="Arial" w:hAnsi="Arial"/>
          <w:i/>
          <w:iCs/>
          <w:sz w:val="22"/>
          <w:szCs w:val="22"/>
        </w:rPr>
        <w:t xml:space="preserve">Quasi-Experimentation: Design and Analysis Issues for Field Settings</w:t>
      </w:r>
      <w:r>
        <w:rPr>
          <w:rFonts w:ascii="Arial" w:cs="Arial" w:eastAsia="Arial" w:hAnsi="Arial"/>
          <w:sz w:val="22"/>
          <w:szCs w:val="22"/>
        </w:rPr>
        <w:t xml:space="preserve">. Boston: Houghton Mifflin.</w:t>
      </w:r>
    </w:p>
    <w:p>
      <w:pPr>
        <w:spacing w:after="120" w:before="80" w:line="360"/>
        <w:jc w:val="both"/>
      </w:pPr>
      <w:r>
        <w:rPr>
          <w:rFonts w:ascii="Arial" w:cs="Arial" w:eastAsia="Arial" w:hAnsi="Arial"/>
          <w:b/>
          <w:bCs/>
          <w:sz w:val="22"/>
          <w:szCs w:val="22"/>
        </w:rPr>
        <w:t xml:space="preserve">Creswell, J. W. and Creswell, J. D. </w:t>
      </w:r>
      <w:r>
        <w:rPr>
          <w:rFonts w:ascii="Arial" w:cs="Arial" w:eastAsia="Arial" w:hAnsi="Arial"/>
          <w:sz w:val="22"/>
          <w:szCs w:val="22"/>
        </w:rPr>
        <w:t xml:space="preserve">(2018) </w:t>
      </w:r>
      <w:r>
        <w:rPr>
          <w:rFonts w:ascii="Arial" w:cs="Arial" w:eastAsia="Arial" w:hAnsi="Arial"/>
          <w:i/>
          <w:iCs/>
          <w:sz w:val="22"/>
          <w:szCs w:val="22"/>
        </w:rPr>
        <w:t xml:space="preserve">Research Design: Qualitative, Quantitative, and Mixed Methods Approaches</w:t>
      </w:r>
      <w:r>
        <w:rPr>
          <w:rFonts w:ascii="Arial" w:cs="Arial" w:eastAsia="Arial" w:hAnsi="Arial"/>
          <w:sz w:val="22"/>
          <w:szCs w:val="22"/>
        </w:rPr>
        <w:t xml:space="preserve">. 5th edn. London: SAGE Publications.</w:t>
      </w:r>
    </w:p>
    <w:p>
      <w:pPr>
        <w:spacing w:after="120" w:before="80" w:line="360"/>
        <w:jc w:val="both"/>
      </w:pPr>
      <w:r>
        <w:rPr>
          <w:rFonts w:ascii="Arial" w:cs="Arial" w:eastAsia="Arial" w:hAnsi="Arial"/>
          <w:b/>
          <w:bCs/>
          <w:sz w:val="22"/>
          <w:szCs w:val="22"/>
        </w:rPr>
        <w:t xml:space="preserve">Cronbach, L. J. </w:t>
      </w:r>
      <w:r>
        <w:rPr>
          <w:rFonts w:ascii="Arial" w:cs="Arial" w:eastAsia="Arial" w:hAnsi="Arial"/>
          <w:sz w:val="22"/>
          <w:szCs w:val="22"/>
        </w:rPr>
        <w:t xml:space="preserve">(1951) 'Coefficient alpha and the internal structure of tests', </w:t>
      </w:r>
      <w:r>
        <w:rPr>
          <w:rFonts w:ascii="Arial" w:cs="Arial" w:eastAsia="Arial" w:hAnsi="Arial"/>
          <w:i/>
          <w:iCs/>
          <w:sz w:val="22"/>
          <w:szCs w:val="22"/>
        </w:rPr>
        <w:t xml:space="preserve">Psychometrika</w:t>
      </w:r>
      <w:r>
        <w:rPr>
          <w:rFonts w:ascii="Arial" w:cs="Arial" w:eastAsia="Arial" w:hAnsi="Arial"/>
          <w:sz w:val="22"/>
          <w:szCs w:val="22"/>
        </w:rPr>
        <w:t xml:space="preserve">, 16(3), pp. 297–334.</w:t>
      </w:r>
    </w:p>
    <w:p>
      <w:pPr>
        <w:spacing w:after="120" w:before="80" w:line="360"/>
        <w:jc w:val="both"/>
      </w:pPr>
      <w:r>
        <w:rPr>
          <w:rFonts w:ascii="Arial" w:cs="Arial" w:eastAsia="Arial" w:hAnsi="Arial"/>
          <w:b/>
          <w:bCs/>
          <w:sz w:val="22"/>
          <w:szCs w:val="22"/>
        </w:rPr>
        <w:t xml:space="preserve">Cronbach, L. J. and Meehl, P. E. </w:t>
      </w:r>
      <w:r>
        <w:rPr>
          <w:rFonts w:ascii="Arial" w:cs="Arial" w:eastAsia="Arial" w:hAnsi="Arial"/>
          <w:sz w:val="22"/>
          <w:szCs w:val="22"/>
        </w:rPr>
        <w:t xml:space="preserve">(1955) 'Construct validity in psychological tests', </w:t>
      </w:r>
      <w:r>
        <w:rPr>
          <w:rFonts w:ascii="Arial" w:cs="Arial" w:eastAsia="Arial" w:hAnsi="Arial"/>
          <w:i/>
          <w:iCs/>
          <w:sz w:val="22"/>
          <w:szCs w:val="22"/>
        </w:rPr>
        <w:t xml:space="preserve">Psychological Bulletin</w:t>
      </w:r>
      <w:r>
        <w:rPr>
          <w:rFonts w:ascii="Arial" w:cs="Arial" w:eastAsia="Arial" w:hAnsi="Arial"/>
          <w:sz w:val="22"/>
          <w:szCs w:val="22"/>
        </w:rPr>
        <w:t xml:space="preserve">, 52(4), pp. 281–302.</w:t>
      </w:r>
    </w:p>
    <w:p>
      <w:pPr>
        <w:spacing w:after="120" w:before="80" w:line="360"/>
        <w:jc w:val="both"/>
      </w:pPr>
      <w:r>
        <w:rPr>
          <w:rFonts w:ascii="Arial" w:cs="Arial" w:eastAsia="Arial" w:hAnsi="Arial"/>
          <w:b/>
          <w:bCs/>
          <w:sz w:val="22"/>
          <w:szCs w:val="22"/>
        </w:rPr>
        <w:t xml:space="preserve">Davenport, T. H. and Harris, J. G. </w:t>
      </w:r>
      <w:r>
        <w:rPr>
          <w:rFonts w:ascii="Arial" w:cs="Arial" w:eastAsia="Arial" w:hAnsi="Arial"/>
          <w:sz w:val="22"/>
          <w:szCs w:val="22"/>
        </w:rPr>
        <w:t xml:space="preserve">(2007) </w:t>
      </w:r>
      <w:r>
        <w:rPr>
          <w:rFonts w:ascii="Arial" w:cs="Arial" w:eastAsia="Arial" w:hAnsi="Arial"/>
          <w:i/>
          <w:iCs/>
          <w:sz w:val="22"/>
          <w:szCs w:val="22"/>
        </w:rPr>
        <w:t xml:space="preserve">Competing on Analytics: The New Science of Winning</w:t>
      </w:r>
      <w:r>
        <w:rPr>
          <w:rFonts w:ascii="Arial" w:cs="Arial" w:eastAsia="Arial" w:hAnsi="Arial"/>
          <w:sz w:val="22"/>
          <w:szCs w:val="22"/>
        </w:rPr>
        <w:t xml:space="preserve">. Boston: Harvard Business School Press.</w:t>
      </w:r>
    </w:p>
    <w:p>
      <w:pPr>
        <w:spacing w:after="120" w:before="80" w:line="360"/>
        <w:jc w:val="both"/>
      </w:pPr>
      <w:r>
        <w:rPr>
          <w:rFonts w:ascii="Arial" w:cs="Arial" w:eastAsia="Arial" w:hAnsi="Arial"/>
          <w:b/>
          <w:bCs/>
          <w:sz w:val="22"/>
          <w:szCs w:val="22"/>
        </w:rPr>
        <w:t xml:space="preserve">Few, S. </w:t>
      </w:r>
      <w:r>
        <w:rPr>
          <w:rFonts w:ascii="Arial" w:cs="Arial" w:eastAsia="Arial" w:hAnsi="Arial"/>
          <w:sz w:val="22"/>
          <w:szCs w:val="22"/>
        </w:rPr>
        <w:t xml:space="preserve">(2012) </w:t>
      </w:r>
      <w:r>
        <w:rPr>
          <w:rFonts w:ascii="Arial" w:cs="Arial" w:eastAsia="Arial" w:hAnsi="Arial"/>
          <w:i/>
          <w:iCs/>
          <w:sz w:val="22"/>
          <w:szCs w:val="22"/>
        </w:rPr>
        <w:t xml:space="preserve">Show Me the Numbers: Designing Tables and Graphs to Enlighten</w:t>
      </w:r>
      <w:r>
        <w:rPr>
          <w:rFonts w:ascii="Arial" w:cs="Arial" w:eastAsia="Arial" w:hAnsi="Arial"/>
          <w:sz w:val="22"/>
          <w:szCs w:val="22"/>
        </w:rPr>
        <w:t xml:space="preserve">. 2nd edn. Burlingame: Analytics Press.</w:t>
      </w:r>
    </w:p>
    <w:p>
      <w:pPr>
        <w:spacing w:after="120" w:before="80" w:line="360"/>
        <w:jc w:val="both"/>
      </w:pPr>
      <w:r>
        <w:rPr>
          <w:rFonts w:ascii="Arial" w:cs="Arial" w:eastAsia="Arial" w:hAnsi="Arial"/>
          <w:b/>
          <w:bCs/>
          <w:sz w:val="22"/>
          <w:szCs w:val="22"/>
        </w:rPr>
        <w:t xml:space="preserve">Field, A. </w:t>
      </w:r>
      <w:r>
        <w:rPr>
          <w:rFonts w:ascii="Arial" w:cs="Arial" w:eastAsia="Arial" w:hAnsi="Arial"/>
          <w:sz w:val="22"/>
          <w:szCs w:val="22"/>
        </w:rPr>
        <w:t xml:space="preserve">(2018) </w:t>
      </w:r>
      <w:r>
        <w:rPr>
          <w:rFonts w:ascii="Arial" w:cs="Arial" w:eastAsia="Arial" w:hAnsi="Arial"/>
          <w:i/>
          <w:iCs/>
          <w:sz w:val="22"/>
          <w:szCs w:val="22"/>
        </w:rPr>
        <w:t xml:space="preserve">Discovering Statistics Using IBM SPSS Statistics</w:t>
      </w:r>
      <w:r>
        <w:rPr>
          <w:rFonts w:ascii="Arial" w:cs="Arial" w:eastAsia="Arial" w:hAnsi="Arial"/>
          <w:sz w:val="22"/>
          <w:szCs w:val="22"/>
        </w:rPr>
        <w:t xml:space="preserve">. 5th edn. London: SAGE Publications.</w:t>
      </w:r>
    </w:p>
    <w:p>
      <w:pPr>
        <w:spacing w:after="120" w:before="80" w:line="360"/>
        <w:jc w:val="both"/>
      </w:pPr>
      <w:r>
        <w:rPr>
          <w:rFonts w:ascii="Arial" w:cs="Arial" w:eastAsia="Arial" w:hAnsi="Arial"/>
          <w:b/>
          <w:bCs/>
          <w:sz w:val="22"/>
          <w:szCs w:val="22"/>
        </w:rPr>
        <w:t xml:space="preserve">Gartner </w:t>
      </w:r>
      <w:r>
        <w:rPr>
          <w:rFonts w:ascii="Arial" w:cs="Arial" w:eastAsia="Arial" w:hAnsi="Arial"/>
          <w:sz w:val="22"/>
          <w:szCs w:val="22"/>
        </w:rPr>
        <w:t xml:space="preserve">(2023) </w:t>
      </w:r>
      <w:r>
        <w:rPr>
          <w:rFonts w:ascii="Arial" w:cs="Arial" w:eastAsia="Arial" w:hAnsi="Arial"/>
          <w:i/>
          <w:iCs/>
          <w:sz w:val="22"/>
          <w:szCs w:val="22"/>
        </w:rPr>
        <w:t xml:space="preserve">Magic Quadrant for Analytics and Business Intelligence Platforms</w:t>
      </w:r>
      <w:r>
        <w:rPr>
          <w:rFonts w:ascii="Arial" w:cs="Arial" w:eastAsia="Arial" w:hAnsi="Arial"/>
          <w:sz w:val="22"/>
          <w:szCs w:val="22"/>
        </w:rPr>
        <w:t xml:space="preserve">. Stamford: Gartner Research.</w:t>
      </w:r>
    </w:p>
    <w:p>
      <w:pPr>
        <w:spacing w:after="120" w:before="80" w:line="360"/>
        <w:jc w:val="both"/>
      </w:pPr>
      <w:r>
        <w:rPr>
          <w:rFonts w:ascii="Arial" w:cs="Arial" w:eastAsia="Arial" w:hAnsi="Arial"/>
          <w:b/>
          <w:bCs/>
          <w:sz w:val="22"/>
          <w:szCs w:val="22"/>
        </w:rPr>
        <w:t xml:space="preserve">Hevner, A. R. et al. </w:t>
      </w:r>
      <w:r>
        <w:rPr>
          <w:rFonts w:ascii="Arial" w:cs="Arial" w:eastAsia="Arial" w:hAnsi="Arial"/>
          <w:sz w:val="22"/>
          <w:szCs w:val="22"/>
        </w:rPr>
        <w:t xml:space="preserve">(2004) 'Design science in information systems research', </w:t>
      </w:r>
      <w:r>
        <w:rPr>
          <w:rFonts w:ascii="Arial" w:cs="Arial" w:eastAsia="Arial" w:hAnsi="Arial"/>
          <w:i/>
          <w:iCs/>
          <w:sz w:val="22"/>
          <w:szCs w:val="22"/>
        </w:rPr>
        <w:t xml:space="preserve">MIS Quarterly</w:t>
      </w:r>
      <w:r>
        <w:rPr>
          <w:rFonts w:ascii="Arial" w:cs="Arial" w:eastAsia="Arial" w:hAnsi="Arial"/>
          <w:sz w:val="22"/>
          <w:szCs w:val="22"/>
        </w:rPr>
        <w:t xml:space="preserve">, 28(1), pp. 75–105.</w:t>
      </w:r>
    </w:p>
    <w:p>
      <w:pPr>
        <w:spacing w:after="120" w:before="80" w:line="360"/>
        <w:jc w:val="both"/>
      </w:pPr>
      <w:r>
        <w:rPr>
          <w:rFonts w:ascii="Arial" w:cs="Arial" w:eastAsia="Arial" w:hAnsi="Arial"/>
          <w:b/>
          <w:bCs/>
          <w:sz w:val="22"/>
          <w:szCs w:val="22"/>
        </w:rPr>
        <w:t xml:space="preserve">Kimball, R. and Ross, M. </w:t>
      </w:r>
      <w:r>
        <w:rPr>
          <w:rFonts w:ascii="Arial" w:cs="Arial" w:eastAsia="Arial" w:hAnsi="Arial"/>
          <w:sz w:val="22"/>
          <w:szCs w:val="22"/>
        </w:rPr>
        <w:t xml:space="preserve">(2013) </w:t>
      </w:r>
      <w:r>
        <w:rPr>
          <w:rFonts w:ascii="Arial" w:cs="Arial" w:eastAsia="Arial" w:hAnsi="Arial"/>
          <w:i/>
          <w:iCs/>
          <w:sz w:val="22"/>
          <w:szCs w:val="22"/>
        </w:rPr>
        <w:t xml:space="preserve">The Data Warehouse Toolkit: The Definitive Guide to Dimensional Modelling</w:t>
      </w:r>
      <w:r>
        <w:rPr>
          <w:rFonts w:ascii="Arial" w:cs="Arial" w:eastAsia="Arial" w:hAnsi="Arial"/>
          <w:sz w:val="22"/>
          <w:szCs w:val="22"/>
        </w:rPr>
        <w:t xml:space="preserve">. 3rd edn. Indianapolis: Wiley.</w:t>
      </w:r>
    </w:p>
    <w:p>
      <w:pPr>
        <w:spacing w:after="120" w:before="80" w:line="360"/>
        <w:jc w:val="both"/>
      </w:pPr>
      <w:r>
        <w:rPr>
          <w:rFonts w:ascii="Arial" w:cs="Arial" w:eastAsia="Arial" w:hAnsi="Arial"/>
          <w:b/>
          <w:bCs/>
          <w:sz w:val="22"/>
          <w:szCs w:val="22"/>
        </w:rPr>
        <w:t xml:space="preserve">Landis, J. R. and Koch, G. G. </w:t>
      </w:r>
      <w:r>
        <w:rPr>
          <w:rFonts w:ascii="Arial" w:cs="Arial" w:eastAsia="Arial" w:hAnsi="Arial"/>
          <w:sz w:val="22"/>
          <w:szCs w:val="22"/>
        </w:rPr>
        <w:t xml:space="preserve">(1977) 'The measurement of observer agreement for categorical data', </w:t>
      </w:r>
      <w:r>
        <w:rPr>
          <w:rFonts w:ascii="Arial" w:cs="Arial" w:eastAsia="Arial" w:hAnsi="Arial"/>
          <w:i/>
          <w:iCs/>
          <w:sz w:val="22"/>
          <w:szCs w:val="22"/>
        </w:rPr>
        <w:t xml:space="preserve">Biometrics</w:t>
      </w:r>
      <w:r>
        <w:rPr>
          <w:rFonts w:ascii="Arial" w:cs="Arial" w:eastAsia="Arial" w:hAnsi="Arial"/>
          <w:sz w:val="22"/>
          <w:szCs w:val="22"/>
        </w:rPr>
        <w:t xml:space="preserve">, 33(1), pp. 159–174.</w:t>
      </w:r>
    </w:p>
    <w:p>
      <w:pPr>
        <w:spacing w:after="120" w:before="80" w:line="360"/>
        <w:jc w:val="both"/>
      </w:pPr>
      <w:r>
        <w:rPr>
          <w:rFonts w:ascii="Arial" w:cs="Arial" w:eastAsia="Arial" w:hAnsi="Arial"/>
          <w:b/>
          <w:bCs/>
          <w:sz w:val="22"/>
          <w:szCs w:val="22"/>
        </w:rPr>
        <w:t xml:space="preserve">Little, R. J. A. and Rubin, D. B. </w:t>
      </w:r>
      <w:r>
        <w:rPr>
          <w:rFonts w:ascii="Arial" w:cs="Arial" w:eastAsia="Arial" w:hAnsi="Arial"/>
          <w:sz w:val="22"/>
          <w:szCs w:val="22"/>
        </w:rPr>
        <w:t xml:space="preserve">(2002) </w:t>
      </w:r>
      <w:r>
        <w:rPr>
          <w:rFonts w:ascii="Arial" w:cs="Arial" w:eastAsia="Arial" w:hAnsi="Arial"/>
          <w:i/>
          <w:iCs/>
          <w:sz w:val="22"/>
          <w:szCs w:val="22"/>
        </w:rPr>
        <w:t xml:space="preserve">Statistical Analysis with Missing Data</w:t>
      </w:r>
      <w:r>
        <w:rPr>
          <w:rFonts w:ascii="Arial" w:cs="Arial" w:eastAsia="Arial" w:hAnsi="Arial"/>
          <w:sz w:val="22"/>
          <w:szCs w:val="22"/>
        </w:rPr>
        <w:t xml:space="preserve">. 2nd edn. New York: John Wiley and Sons.</w:t>
      </w:r>
    </w:p>
    <w:p>
      <w:pPr>
        <w:spacing w:after="120" w:before="80" w:line="360"/>
        <w:jc w:val="both"/>
      </w:pPr>
      <w:r>
        <w:rPr>
          <w:rFonts w:ascii="Arial" w:cs="Arial" w:eastAsia="Arial" w:hAnsi="Arial"/>
          <w:b/>
          <w:bCs/>
          <w:sz w:val="22"/>
          <w:szCs w:val="22"/>
        </w:rPr>
        <w:t xml:space="preserve">March, S. T. and Smith, G. F. </w:t>
      </w:r>
      <w:r>
        <w:rPr>
          <w:rFonts w:ascii="Arial" w:cs="Arial" w:eastAsia="Arial" w:hAnsi="Arial"/>
          <w:sz w:val="22"/>
          <w:szCs w:val="22"/>
        </w:rPr>
        <w:t xml:space="preserve">(1995) 'Design and natural science research on information technology', </w:t>
      </w:r>
      <w:r>
        <w:rPr>
          <w:rFonts w:ascii="Arial" w:cs="Arial" w:eastAsia="Arial" w:hAnsi="Arial"/>
          <w:i/>
          <w:iCs/>
          <w:sz w:val="22"/>
          <w:szCs w:val="22"/>
        </w:rPr>
        <w:t xml:space="preserve">Decision Support Systems</w:t>
      </w:r>
      <w:r>
        <w:rPr>
          <w:rFonts w:ascii="Arial" w:cs="Arial" w:eastAsia="Arial" w:hAnsi="Arial"/>
          <w:sz w:val="22"/>
          <w:szCs w:val="22"/>
        </w:rPr>
        <w:t xml:space="preserve">, 15(4), pp. 251–266.</w:t>
      </w:r>
    </w:p>
    <w:p>
      <w:pPr>
        <w:spacing w:after="120" w:before="80" w:line="360"/>
        <w:jc w:val="both"/>
      </w:pPr>
      <w:r>
        <w:rPr>
          <w:rFonts w:ascii="Arial" w:cs="Arial" w:eastAsia="Arial" w:hAnsi="Arial"/>
          <w:b/>
          <w:bCs/>
          <w:sz w:val="22"/>
          <w:szCs w:val="22"/>
        </w:rPr>
        <w:t xml:space="preserve">Morgan, D. L. </w:t>
      </w:r>
      <w:r>
        <w:rPr>
          <w:rFonts w:ascii="Arial" w:cs="Arial" w:eastAsia="Arial" w:hAnsi="Arial"/>
          <w:sz w:val="22"/>
          <w:szCs w:val="22"/>
        </w:rPr>
        <w:t xml:space="preserve">(2014) 'Pragmatism as a paradigm for social research', </w:t>
      </w:r>
      <w:r>
        <w:rPr>
          <w:rFonts w:ascii="Arial" w:cs="Arial" w:eastAsia="Arial" w:hAnsi="Arial"/>
          <w:i/>
          <w:iCs/>
          <w:sz w:val="22"/>
          <w:szCs w:val="22"/>
        </w:rPr>
        <w:t xml:space="preserve">Qualitative Inquiry</w:t>
      </w:r>
      <w:r>
        <w:rPr>
          <w:rFonts w:ascii="Arial" w:cs="Arial" w:eastAsia="Arial" w:hAnsi="Arial"/>
          <w:sz w:val="22"/>
          <w:szCs w:val="22"/>
        </w:rPr>
        <w:t xml:space="preserve">, 20(8), pp. 1045–1053.</w:t>
      </w:r>
    </w:p>
    <w:p>
      <w:pPr>
        <w:spacing w:after="120" w:before="80" w:line="360"/>
        <w:jc w:val="both"/>
      </w:pPr>
      <w:r>
        <w:rPr>
          <w:rFonts w:ascii="Arial" w:cs="Arial" w:eastAsia="Arial" w:hAnsi="Arial"/>
          <w:b/>
          <w:bCs/>
          <w:sz w:val="22"/>
          <w:szCs w:val="22"/>
        </w:rPr>
        <w:t xml:space="preserve">Nunnally, J. C. </w:t>
      </w:r>
      <w:r>
        <w:rPr>
          <w:rFonts w:ascii="Arial" w:cs="Arial" w:eastAsia="Arial" w:hAnsi="Arial"/>
          <w:sz w:val="22"/>
          <w:szCs w:val="22"/>
        </w:rPr>
        <w:t xml:space="preserve">(1978) </w:t>
      </w:r>
      <w:r>
        <w:rPr>
          <w:rFonts w:ascii="Arial" w:cs="Arial" w:eastAsia="Arial" w:hAnsi="Arial"/>
          <w:i/>
          <w:iCs/>
          <w:sz w:val="22"/>
          <w:szCs w:val="22"/>
        </w:rPr>
        <w:t xml:space="preserve">Psychometric Theory</w:t>
      </w:r>
      <w:r>
        <w:rPr>
          <w:rFonts w:ascii="Arial" w:cs="Arial" w:eastAsia="Arial" w:hAnsi="Arial"/>
          <w:sz w:val="22"/>
          <w:szCs w:val="22"/>
        </w:rPr>
        <w:t xml:space="preserve">. 2nd edn. New York: McGraw-Hill.</w:t>
      </w:r>
    </w:p>
    <w:p>
      <w:pPr>
        <w:spacing w:after="120" w:before="80" w:line="360"/>
        <w:jc w:val="both"/>
      </w:pPr>
      <w:r>
        <w:rPr>
          <w:rFonts w:ascii="Arial" w:cs="Arial" w:eastAsia="Arial" w:hAnsi="Arial"/>
          <w:b/>
          <w:bCs/>
          <w:sz w:val="22"/>
          <w:szCs w:val="22"/>
        </w:rPr>
        <w:t xml:space="preserve">OpenAI </w:t>
      </w:r>
      <w:r>
        <w:rPr>
          <w:rFonts w:ascii="Arial" w:cs="Arial" w:eastAsia="Arial" w:hAnsi="Arial"/>
          <w:sz w:val="22"/>
          <w:szCs w:val="22"/>
        </w:rPr>
        <w:t xml:space="preserve">(2024) </w:t>
      </w:r>
      <w:r>
        <w:rPr>
          <w:rFonts w:ascii="Arial" w:cs="Arial" w:eastAsia="Arial" w:hAnsi="Arial"/>
          <w:i/>
          <w:iCs/>
          <w:sz w:val="22"/>
          <w:szCs w:val="22"/>
        </w:rPr>
        <w:t xml:space="preserve">API Data Usage Policies</w:t>
      </w:r>
      <w:r>
        <w:rPr>
          <w:rFonts w:ascii="Arial" w:cs="Arial" w:eastAsia="Arial" w:hAnsi="Arial"/>
          <w:sz w:val="22"/>
          <w:szCs w:val="22"/>
        </w:rPr>
        <w:t xml:space="preserve">. Available at: https://openai.com/policies/api-data-usage-policies (Accessed: 1 January 2025).</w:t>
      </w:r>
    </w:p>
    <w:p>
      <w:pPr>
        <w:spacing w:after="120" w:before="80" w:line="360"/>
        <w:jc w:val="both"/>
      </w:pPr>
      <w:r>
        <w:rPr>
          <w:rFonts w:ascii="Arial" w:cs="Arial" w:eastAsia="Arial" w:hAnsi="Arial"/>
          <w:b/>
          <w:bCs/>
          <w:sz w:val="22"/>
          <w:szCs w:val="22"/>
        </w:rPr>
        <w:t xml:space="preserve">Peffers, K. et al. </w:t>
      </w:r>
      <w:r>
        <w:rPr>
          <w:rFonts w:ascii="Arial" w:cs="Arial" w:eastAsia="Arial" w:hAnsi="Arial"/>
          <w:sz w:val="22"/>
          <w:szCs w:val="22"/>
        </w:rPr>
        <w:t xml:space="preserve">(2007) 'A design science research methodology for information systems research', </w:t>
      </w:r>
      <w:r>
        <w:rPr>
          <w:rFonts w:ascii="Arial" w:cs="Arial" w:eastAsia="Arial" w:hAnsi="Arial"/>
          <w:i/>
          <w:iCs/>
          <w:sz w:val="22"/>
          <w:szCs w:val="22"/>
        </w:rPr>
        <w:t xml:space="preserve">Journal of Management Information Systems</w:t>
      </w:r>
      <w:r>
        <w:rPr>
          <w:rFonts w:ascii="Arial" w:cs="Arial" w:eastAsia="Arial" w:hAnsi="Arial"/>
          <w:sz w:val="22"/>
          <w:szCs w:val="22"/>
        </w:rPr>
        <w:t xml:space="preserve">, 24(3), pp. 45–77.</w:t>
      </w:r>
    </w:p>
    <w:p>
      <w:pPr>
        <w:spacing w:after="120" w:before="80" w:line="360"/>
        <w:jc w:val="both"/>
      </w:pPr>
      <w:r>
        <w:rPr>
          <w:rFonts w:ascii="Arial" w:cs="Arial" w:eastAsia="Arial" w:hAnsi="Arial"/>
          <w:b/>
          <w:bCs/>
          <w:sz w:val="22"/>
          <w:szCs w:val="22"/>
        </w:rPr>
        <w:t xml:space="preserve">Perkins, M. </w:t>
      </w:r>
      <w:r>
        <w:rPr>
          <w:rFonts w:ascii="Arial" w:cs="Arial" w:eastAsia="Arial" w:hAnsi="Arial"/>
          <w:sz w:val="22"/>
          <w:szCs w:val="22"/>
        </w:rPr>
        <w:t xml:space="preserve">(2023) 'Academic integrity considerations of AI large language models as writing tools for academic work', </w:t>
      </w:r>
      <w:r>
        <w:rPr>
          <w:rFonts w:ascii="Arial" w:cs="Arial" w:eastAsia="Arial" w:hAnsi="Arial"/>
          <w:i/>
          <w:iCs/>
          <w:sz w:val="22"/>
          <w:szCs w:val="22"/>
        </w:rPr>
        <w:t xml:space="preserve">Journal of Academic Ethics</w:t>
      </w:r>
      <w:r>
        <w:rPr>
          <w:rFonts w:ascii="Arial" w:cs="Arial" w:eastAsia="Arial" w:hAnsi="Arial"/>
          <w:sz w:val="22"/>
          <w:szCs w:val="22"/>
        </w:rPr>
        <w:t xml:space="preserve">, 21(2), pp. 103–116.</w:t>
      </w:r>
    </w:p>
    <w:p>
      <w:pPr>
        <w:spacing w:after="120" w:before="80" w:line="360"/>
        <w:jc w:val="both"/>
      </w:pPr>
      <w:r>
        <w:rPr>
          <w:rFonts w:ascii="Arial" w:cs="Arial" w:eastAsia="Arial" w:hAnsi="Arial"/>
          <w:b/>
          <w:bCs/>
          <w:sz w:val="22"/>
          <w:szCs w:val="22"/>
        </w:rPr>
        <w:t xml:space="preserve">Provost, F. and Fawcett, T. </w:t>
      </w:r>
      <w:r>
        <w:rPr>
          <w:rFonts w:ascii="Arial" w:cs="Arial" w:eastAsia="Arial" w:hAnsi="Arial"/>
          <w:sz w:val="22"/>
          <w:szCs w:val="22"/>
        </w:rPr>
        <w:t xml:space="preserve">(2013) </w:t>
      </w:r>
      <w:r>
        <w:rPr>
          <w:rFonts w:ascii="Arial" w:cs="Arial" w:eastAsia="Arial" w:hAnsi="Arial"/>
          <w:i/>
          <w:iCs/>
          <w:sz w:val="22"/>
          <w:szCs w:val="22"/>
        </w:rPr>
        <w:t xml:space="preserve">Data Science for Business</w:t>
      </w:r>
      <w:r>
        <w:rPr>
          <w:rFonts w:ascii="Arial" w:cs="Arial" w:eastAsia="Arial" w:hAnsi="Arial"/>
          <w:sz w:val="22"/>
          <w:szCs w:val="22"/>
        </w:rPr>
        <w:t xml:space="preserve">. Sebastopol: O'Reilly Media.</w:t>
      </w:r>
    </w:p>
    <w:p>
      <w:pPr>
        <w:spacing w:after="120" w:before="80" w:line="360"/>
        <w:jc w:val="both"/>
      </w:pPr>
      <w:r>
        <w:rPr>
          <w:rFonts w:ascii="Arial" w:cs="Arial" w:eastAsia="Arial" w:hAnsi="Arial"/>
          <w:b/>
          <w:bCs/>
          <w:sz w:val="22"/>
          <w:szCs w:val="22"/>
        </w:rPr>
        <w:t xml:space="preserve">Rahm, E. and Do, H. H. </w:t>
      </w:r>
      <w:r>
        <w:rPr>
          <w:rFonts w:ascii="Arial" w:cs="Arial" w:eastAsia="Arial" w:hAnsi="Arial"/>
          <w:sz w:val="22"/>
          <w:szCs w:val="22"/>
        </w:rPr>
        <w:t xml:space="preserve">(2000) 'Data cleaning: problems and current approaches', </w:t>
      </w:r>
      <w:r>
        <w:rPr>
          <w:rFonts w:ascii="Arial" w:cs="Arial" w:eastAsia="Arial" w:hAnsi="Arial"/>
          <w:i/>
          <w:iCs/>
          <w:sz w:val="22"/>
          <w:szCs w:val="22"/>
        </w:rPr>
        <w:t xml:space="preserve">IEEE Data Engineering Bulletin</w:t>
      </w:r>
      <w:r>
        <w:rPr>
          <w:rFonts w:ascii="Arial" w:cs="Arial" w:eastAsia="Arial" w:hAnsi="Arial"/>
          <w:sz w:val="22"/>
          <w:szCs w:val="22"/>
        </w:rPr>
        <w:t xml:space="preserve">, 23(4), pp. 3–13.</w:t>
      </w:r>
    </w:p>
    <w:p>
      <w:pPr>
        <w:spacing w:after="120" w:before="80" w:line="360"/>
        <w:jc w:val="both"/>
      </w:pPr>
      <w:r>
        <w:rPr>
          <w:rFonts w:ascii="Arial" w:cs="Arial" w:eastAsia="Arial" w:hAnsi="Arial"/>
          <w:b/>
          <w:bCs/>
          <w:sz w:val="22"/>
          <w:szCs w:val="22"/>
        </w:rPr>
        <w:t xml:space="preserve">Saunders, M., Lewis, P. and Thornhill, A. </w:t>
      </w:r>
      <w:r>
        <w:rPr>
          <w:rFonts w:ascii="Arial" w:cs="Arial" w:eastAsia="Arial" w:hAnsi="Arial"/>
          <w:sz w:val="22"/>
          <w:szCs w:val="22"/>
        </w:rPr>
        <w:t xml:space="preserve">(2019) </w:t>
      </w:r>
      <w:r>
        <w:rPr>
          <w:rFonts w:ascii="Arial" w:cs="Arial" w:eastAsia="Arial" w:hAnsi="Arial"/>
          <w:i/>
          <w:iCs/>
          <w:sz w:val="22"/>
          <w:szCs w:val="22"/>
        </w:rPr>
        <w:t xml:space="preserve">Research Methods for Business Students</w:t>
      </w:r>
      <w:r>
        <w:rPr>
          <w:rFonts w:ascii="Arial" w:cs="Arial" w:eastAsia="Arial" w:hAnsi="Arial"/>
          <w:sz w:val="22"/>
          <w:szCs w:val="22"/>
        </w:rPr>
        <w:t xml:space="preserve">. 8th edn. Harlow: Pearson Education.</w:t>
      </w:r>
    </w:p>
    <w:p>
      <w:pPr>
        <w:spacing w:after="120" w:before="80" w:line="360"/>
        <w:jc w:val="both"/>
      </w:pPr>
      <w:r>
        <w:rPr>
          <w:rFonts w:ascii="Arial" w:cs="Arial" w:eastAsia="Arial" w:hAnsi="Arial"/>
          <w:b/>
          <w:bCs/>
          <w:sz w:val="22"/>
          <w:szCs w:val="22"/>
        </w:rPr>
        <w:t xml:space="preserve">Shadish, W. R., Cook, T. D. and Campbell, D. T. </w:t>
      </w:r>
      <w:r>
        <w:rPr>
          <w:rFonts w:ascii="Arial" w:cs="Arial" w:eastAsia="Arial" w:hAnsi="Arial"/>
          <w:sz w:val="22"/>
          <w:szCs w:val="22"/>
        </w:rPr>
        <w:t xml:space="preserve">(2002) </w:t>
      </w:r>
      <w:r>
        <w:rPr>
          <w:rFonts w:ascii="Arial" w:cs="Arial" w:eastAsia="Arial" w:hAnsi="Arial"/>
          <w:i/>
          <w:iCs/>
          <w:sz w:val="22"/>
          <w:szCs w:val="22"/>
        </w:rPr>
        <w:t xml:space="preserve">Experimental and Quasi-Experimental Designs for Generalized Causal Inference</w:t>
      </w:r>
      <w:r>
        <w:rPr>
          <w:rFonts w:ascii="Arial" w:cs="Arial" w:eastAsia="Arial" w:hAnsi="Arial"/>
          <w:sz w:val="22"/>
          <w:szCs w:val="22"/>
        </w:rPr>
        <w:t xml:space="preserve">. Boston: Houghton Mifflin.</w:t>
      </w:r>
    </w:p>
    <w:p>
      <w:pPr>
        <w:spacing w:after="120" w:before="80" w:line="360"/>
        <w:jc w:val="both"/>
      </w:pPr>
      <w:r>
        <w:rPr>
          <w:rFonts w:ascii="Arial" w:cs="Arial" w:eastAsia="Arial" w:hAnsi="Arial"/>
          <w:b/>
          <w:bCs/>
          <w:sz w:val="22"/>
          <w:szCs w:val="22"/>
        </w:rPr>
        <w:t xml:space="preserve">Tashakkori, A. and Teddlie, C. </w:t>
      </w:r>
      <w:r>
        <w:rPr>
          <w:rFonts w:ascii="Arial" w:cs="Arial" w:eastAsia="Arial" w:hAnsi="Arial"/>
          <w:sz w:val="22"/>
          <w:szCs w:val="22"/>
        </w:rPr>
        <w:t xml:space="preserve">(2010) </w:t>
      </w:r>
      <w:r>
        <w:rPr>
          <w:rFonts w:ascii="Arial" w:cs="Arial" w:eastAsia="Arial" w:hAnsi="Arial"/>
          <w:i/>
          <w:iCs/>
          <w:sz w:val="22"/>
          <w:szCs w:val="22"/>
        </w:rPr>
        <w:t xml:space="preserve">SAGE Handbook of Mixed Methods in Social and Behavioural Research</w:t>
      </w:r>
      <w:r>
        <w:rPr>
          <w:rFonts w:ascii="Arial" w:cs="Arial" w:eastAsia="Arial" w:hAnsi="Arial"/>
          <w:sz w:val="22"/>
          <w:szCs w:val="22"/>
        </w:rPr>
        <w:t xml:space="preserve">. 2nd edn. Thousand Oaks: SAGE Publications.</w:t>
      </w:r>
    </w:p>
    <w:p>
      <w:pPr>
        <w:spacing w:after="120" w:before="80" w:line="360"/>
        <w:jc w:val="both"/>
      </w:pPr>
      <w:r>
        <w:rPr>
          <w:rFonts w:ascii="Arial" w:cs="Arial" w:eastAsia="Arial" w:hAnsi="Arial"/>
          <w:b/>
          <w:bCs/>
          <w:sz w:val="22"/>
          <w:szCs w:val="22"/>
        </w:rPr>
        <w:t xml:space="preserve">Tufte, E. R. </w:t>
      </w:r>
      <w:r>
        <w:rPr>
          <w:rFonts w:ascii="Arial" w:cs="Arial" w:eastAsia="Arial" w:hAnsi="Arial"/>
          <w:sz w:val="22"/>
          <w:szCs w:val="22"/>
        </w:rPr>
        <w:t xml:space="preserve">(2001) </w:t>
      </w:r>
      <w:r>
        <w:rPr>
          <w:rFonts w:ascii="Arial" w:cs="Arial" w:eastAsia="Arial" w:hAnsi="Arial"/>
          <w:i/>
          <w:iCs/>
          <w:sz w:val="22"/>
          <w:szCs w:val="22"/>
        </w:rPr>
        <w:t xml:space="preserve">The Visual Display of Quantitative Information</w:t>
      </w:r>
      <w:r>
        <w:rPr>
          <w:rFonts w:ascii="Arial" w:cs="Arial" w:eastAsia="Arial" w:hAnsi="Arial"/>
          <w:sz w:val="22"/>
          <w:szCs w:val="22"/>
        </w:rPr>
        <w:t xml:space="preserve">. 2nd edn. Cheshire: Graphics Press.</w:t>
      </w:r>
    </w:p>
    <w:p>
      <w:pPr>
        <w:spacing w:after="120" w:before="80" w:line="360"/>
        <w:jc w:val="both"/>
      </w:pPr>
      <w:r>
        <w:rPr>
          <w:rFonts w:ascii="Arial" w:cs="Arial" w:eastAsia="Arial" w:hAnsi="Arial"/>
          <w:b/>
          <w:bCs/>
          <w:sz w:val="22"/>
          <w:szCs w:val="22"/>
        </w:rPr>
        <w:t xml:space="preserve">Tukey, J. W. </w:t>
      </w:r>
      <w:r>
        <w:rPr>
          <w:rFonts w:ascii="Arial" w:cs="Arial" w:eastAsia="Arial" w:hAnsi="Arial"/>
          <w:sz w:val="22"/>
          <w:szCs w:val="22"/>
        </w:rPr>
        <w:t xml:space="preserve">(1977) </w:t>
      </w:r>
      <w:r>
        <w:rPr>
          <w:rFonts w:ascii="Arial" w:cs="Arial" w:eastAsia="Arial" w:hAnsi="Arial"/>
          <w:i/>
          <w:iCs/>
          <w:sz w:val="22"/>
          <w:szCs w:val="22"/>
        </w:rPr>
        <w:t xml:space="preserve">Exploratory Data Analysis</w:t>
      </w:r>
      <w:r>
        <w:rPr>
          <w:rFonts w:ascii="Arial" w:cs="Arial" w:eastAsia="Arial" w:hAnsi="Arial"/>
          <w:sz w:val="22"/>
          <w:szCs w:val="22"/>
        </w:rPr>
        <w:t xml:space="preserve">. Reading: Addison-Wesley.</w:t>
      </w:r>
    </w:p>
    <w:p>
      <w:pPr>
        <w:spacing w:after="120" w:before="80" w:line="360"/>
        <w:jc w:val="both"/>
      </w:pPr>
      <w:r>
        <w:rPr>
          <w:rFonts w:ascii="Arial" w:cs="Arial" w:eastAsia="Arial" w:hAnsi="Arial"/>
          <w:b/>
          <w:bCs/>
          <w:sz w:val="22"/>
          <w:szCs w:val="22"/>
        </w:rPr>
        <w:t xml:space="preserve">Venable, J., Pries-Heje, J. and Baskerville, R. </w:t>
      </w:r>
      <w:r>
        <w:rPr>
          <w:rFonts w:ascii="Arial" w:cs="Arial" w:eastAsia="Arial" w:hAnsi="Arial"/>
          <w:sz w:val="22"/>
          <w:szCs w:val="22"/>
        </w:rPr>
        <w:t xml:space="preserve">(2016) 'FEDS: a framework for evaluation in design science research', </w:t>
      </w:r>
      <w:r>
        <w:rPr>
          <w:rFonts w:ascii="Arial" w:cs="Arial" w:eastAsia="Arial" w:hAnsi="Arial"/>
          <w:i/>
          <w:iCs/>
          <w:sz w:val="22"/>
          <w:szCs w:val="22"/>
        </w:rPr>
        <w:t xml:space="preserve">European Journal of Information Systems</w:t>
      </w:r>
      <w:r>
        <w:rPr>
          <w:rFonts w:ascii="Arial" w:cs="Arial" w:eastAsia="Arial" w:hAnsi="Arial"/>
          <w:sz w:val="22"/>
          <w:szCs w:val="22"/>
        </w:rPr>
        <w:t xml:space="preserve">, 25(1), pp. 77–89.</w:t>
      </w:r>
    </w:p>
    <w:p>
      <w:pPr>
        <w:spacing w:after="120" w:before="80" w:line="360"/>
        <w:jc w:val="both"/>
      </w:pPr>
      <w:r>
        <w:rPr>
          <w:rFonts w:ascii="Arial" w:cs="Arial" w:eastAsia="Arial" w:hAnsi="Arial"/>
          <w:b/>
          <w:bCs/>
          <w:sz w:val="22"/>
          <w:szCs w:val="22"/>
        </w:rPr>
        <w:t xml:space="preserve">Venkatesh, V. et al. </w:t>
      </w:r>
      <w:r>
        <w:rPr>
          <w:rFonts w:ascii="Arial" w:cs="Arial" w:eastAsia="Arial" w:hAnsi="Arial"/>
          <w:sz w:val="22"/>
          <w:szCs w:val="22"/>
        </w:rPr>
        <w:t xml:space="preserve">(2003) 'User acceptance of information technology: toward a unified theory', </w:t>
      </w:r>
      <w:r>
        <w:rPr>
          <w:rFonts w:ascii="Arial" w:cs="Arial" w:eastAsia="Arial" w:hAnsi="Arial"/>
          <w:i/>
          <w:iCs/>
          <w:sz w:val="22"/>
          <w:szCs w:val="22"/>
        </w:rPr>
        <w:t xml:space="preserve">MIS Quarterly</w:t>
      </w:r>
      <w:r>
        <w:rPr>
          <w:rFonts w:ascii="Arial" w:cs="Arial" w:eastAsia="Arial" w:hAnsi="Arial"/>
          <w:sz w:val="22"/>
          <w:szCs w:val="22"/>
        </w:rPr>
        <w:t xml:space="preserve">, 27(3), pp. 425–478.</w:t>
      </w:r>
    </w:p>
    <w:sectPr>
      <w:headerReference w:type="default" r:id="rId7"/>
      <w:footerReference w:type="default" r:id="rId8"/>
      <w:pgSz w:w="11906" w:h="16838" w:orient="portrait"/>
      <w:pgMar w:top="1440" w:right="1260" w:bottom="1440" w:left="126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1F3864" w:sz="6" w:space="1"/>
      </w:pBdr>
      <w:tabs>
        <w:tab w:val="right" w:pos="9026"/>
      </w:tabs>
      <w:spacing w:after="0" w:before="120"/>
    </w:pPr>
    <w:r>
      <w:rPr>
        <w:rFonts w:ascii="Arial" w:cs="Arial" w:eastAsia="Arial" w:hAnsi="Arial"/>
        <w:color w:val="2E5490"/>
        <w:sz w:val="18"/>
        <w:szCs w:val="18"/>
      </w:rPr>
      <w:t xml:space="preserve">Master's Thesis  |  Confidential</w:t>
    </w:r>
    <w:r>
      <w:rPr>
        <w:rFonts w:ascii="Arial" w:cs="Arial" w:eastAsia="Arial" w:hAnsi="Arial"/>
        <w:color w:val="2E5490"/>
        <w:sz w:val="18"/>
        <w:szCs w:val="18"/>
      </w:rPr>
      <w:t xml:space="preserve">	Page </w:t>
    </w:r>
    <w: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3864" w:sz="6" w:space="1"/>
      </w:pBdr>
      <w:spacing w:after="120" w:before="0"/>
    </w:pPr>
    <w:r>
      <w:rPr>
        <w:rFonts w:ascii="Arial" w:cs="Arial" w:eastAsia="Arial" w:hAnsi="Arial"/>
        <w:color w:val="2E5490"/>
        <w:sz w:val="18"/>
        <w:szCs w:val="18"/>
      </w:rPr>
      <w:t xml:space="preserve">Chapter 3: Research Methodology  |  Generative AI in Data Analytics and BI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000000"/>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400"/>
      <w:outlineLvl w:val="0"/>
    </w:pPr>
    <w:rPr>
      <w:rFonts w:ascii="Arial" w:cs="Arial" w:eastAsia="Arial" w:hAnsi="Arial"/>
      <w:b/>
      <w:bCs/>
      <w:color w:val="1F3864"/>
      <w:sz w:val="32"/>
      <w:szCs w:val="32"/>
    </w:rPr>
  </w:style>
  <w:style w:type="paragraph" w:styleId="Heading2">
    <w:name w:val="Heading 2"/>
    <w:basedOn w:val="Normal"/>
    <w:next w:val="Normal"/>
    <w:qFormat/>
    <w:pPr>
      <w:spacing w:after="120" w:before="280"/>
      <w:outlineLvl w:val="1"/>
    </w:pPr>
    <w:rPr>
      <w:rFonts w:ascii="Arial" w:cs="Arial" w:eastAsia="Arial" w:hAnsi="Arial"/>
      <w:b/>
      <w:bCs/>
      <w:color w:val="2E5490"/>
      <w:sz w:val="26"/>
      <w:szCs w:val="26"/>
    </w:rPr>
  </w:style>
  <w:style w:type="paragraph" w:styleId="Heading3">
    <w:name w:val="Heading 3"/>
    <w:basedOn w:val="Normal"/>
    <w:next w:val="Normal"/>
    <w:qFormat/>
    <w:pPr>
      <w:spacing w:after="100" w:before="200"/>
      <w:outlineLvl w:val="2"/>
    </w:pPr>
    <w:rPr>
      <w:rFonts w:ascii="Arial" w:cs="Arial" w:eastAsia="Arial" w:hAnsi="Arial"/>
      <w:b/>
      <w:bCs/>
      <w:i/>
      <w:iCs/>
      <w:color w:val="1F3864"/>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2026-05-29T20:34:46.825Z</dcterms:created>
  <dcterms:modified xsi:type="dcterms:W3CDTF">2026-05-29T20:34:46.826Z</dcterms:modified>
</cp:coreProperties>
</file>

<file path=docProps/custom.xml><?xml version="1.0" encoding="utf-8"?>
<Properties xmlns="http://schemas.openxmlformats.org/officeDocument/2006/custom-properties" xmlns:vt="http://schemas.openxmlformats.org/officeDocument/2006/docPropsVTypes"/>
</file>