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0297802"/>
        <w:docPartObj>
          <w:docPartGallery w:val="Cover Pages"/>
          <w:docPartUnique/>
        </w:docPartObj>
      </w:sdtPr>
      <w:sdtEndPr/>
      <w:sdtContent>
        <w:p w14:paraId="56FDE2D8" w14:textId="77777777" w:rsidR="00C7020B" w:rsidRDefault="00C7020B">
          <w:r>
            <w:rPr>
              <w:noProof/>
            </w:rPr>
            <mc:AlternateContent>
              <mc:Choice Requires="wpg">
                <w:drawing>
                  <wp:anchor distT="0" distB="0" distL="114300" distR="114300" simplePos="0" relativeHeight="251662336" behindDoc="0" locked="0" layoutInCell="1" allowOverlap="1" wp14:anchorId="7B7E12C7" wp14:editId="2EA3444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83959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14:paraId="64F46184" w14:textId="491E3DA9" w:rsidR="00C7020B" w:rsidRDefault="00095C6A">
          <w:pPr>
            <w:spacing w:line="259" w:lineRule="auto"/>
            <w:jc w:val="left"/>
          </w:pPr>
          <w:r>
            <w:rPr>
              <w:noProof/>
            </w:rPr>
            <mc:AlternateContent>
              <mc:Choice Requires="wps">
                <w:drawing>
                  <wp:anchor distT="0" distB="0" distL="114300" distR="114300" simplePos="0" relativeHeight="251659264" behindDoc="0" locked="0" layoutInCell="1" allowOverlap="1" wp14:anchorId="487FCF95" wp14:editId="6A4B54E7">
                    <wp:simplePos x="0" y="0"/>
                    <wp:positionH relativeFrom="page">
                      <wp:posOffset>-286419</wp:posOffset>
                    </wp:positionH>
                    <wp:positionV relativeFrom="page">
                      <wp:posOffset>1839595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4E79A" w14:textId="77777777" w:rsidR="00C7020B" w:rsidRPr="00574732" w:rsidRDefault="00F20ABC" w:rsidP="00095C6A">
                                <w:pPr>
                                  <w:jc w:val="center"/>
                                  <w:rPr>
                                    <w:rFonts w:cs="Times New Roman"/>
                                    <w:b/>
                                    <w:color w:val="5B9BD5" w:themeColor="accent1"/>
                                    <w:sz w:val="64"/>
                                    <w:szCs w:val="64"/>
                                  </w:rPr>
                                </w:pPr>
                                <w:sdt>
                                  <w:sdtPr>
                                    <w:rPr>
                                      <w:rFonts w:cs="Times New Roman"/>
                                      <w:b/>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03163">
                                      <w:rPr>
                                        <w:rFonts w:cs="Times New Roman"/>
                                        <w:b/>
                                        <w:color w:val="5B9BD5" w:themeColor="accent1"/>
                                        <w:sz w:val="64"/>
                                        <w:szCs w:val="64"/>
                                      </w:rPr>
                                      <w:t>ASSIGNMENT 1: HILTON HOTEL</w:t>
                                    </w:r>
                                  </w:sdtContent>
                                </w:sdt>
                              </w:p>
                              <w:sdt>
                                <w:sdtPr>
                                  <w:rPr>
                                    <w:rFonts w:cs="Times New Roman"/>
                                    <w:b/>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415E72C" w14:textId="77777777" w:rsidR="00C7020B" w:rsidRPr="00574732" w:rsidRDefault="00C7020B" w:rsidP="00095C6A">
                                    <w:pPr>
                                      <w:jc w:val="center"/>
                                      <w:rPr>
                                        <w:rFonts w:cs="Times New Roman"/>
                                        <w:b/>
                                        <w:smallCaps/>
                                        <w:color w:val="404040" w:themeColor="text1" w:themeTint="BF"/>
                                        <w:sz w:val="36"/>
                                        <w:szCs w:val="36"/>
                                      </w:rPr>
                                    </w:pPr>
                                    <w:r w:rsidRPr="00574732">
                                      <w:rPr>
                                        <w:rFonts w:cs="Times New Roman"/>
                                        <w:b/>
                                        <w:color w:val="404040" w:themeColor="text1" w:themeTint="BF"/>
                                        <w:sz w:val="36"/>
                                        <w:szCs w:val="36"/>
                                      </w:rPr>
                                      <w:t>Horizontal Ratio Analysis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22.55pt;margin-top:144.8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" filled="f" stroked="f" strokeweight=".5pt">
                    <v:textbox inset="126pt,0,54pt,0">
                      <w:txbxContent>
                        <w:p w:rsidR="00C7020B" w:rsidRPr="00574732" w:rsidRDefault="00C7020B" w:rsidP="00095C6A">
                          <w:pPr>
                            <w:jc w:val="center"/>
                            <w:rPr>
                              <w:rFonts w:cs="Times New Roman"/>
                              <w:b/>
                              <w:color w:val="5B9BD5" w:themeColor="accent1"/>
                              <w:sz w:val="64"/>
                              <w:szCs w:val="64"/>
                            </w:rPr>
                          </w:pPr>
                          <w:sdt>
                            <w:sdtPr>
                              <w:rPr>
                                <w:rFonts w:cs="Times New Roman"/>
                                <w:b/>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03163">
                                <w:rPr>
                                  <w:rFonts w:cs="Times New Roman"/>
                                  <w:b/>
                                  <w:color w:val="5B9BD5" w:themeColor="accent1"/>
                                  <w:sz w:val="64"/>
                                  <w:szCs w:val="64"/>
                                </w:rPr>
                                <w:t>ASSIGNMENT 1: HILTON HOTEL</w:t>
                              </w:r>
                            </w:sdtContent>
                          </w:sdt>
                        </w:p>
                        <w:sdt>
                          <w:sdtPr>
                            <w:rPr>
                              <w:rFonts w:cs="Times New Roman"/>
                              <w:b/>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7020B" w:rsidRPr="00574732" w:rsidRDefault="00C7020B" w:rsidP="00095C6A">
                              <w:pPr>
                                <w:jc w:val="center"/>
                                <w:rPr>
                                  <w:rFonts w:cs="Times New Roman"/>
                                  <w:b/>
                                  <w:smallCaps/>
                                  <w:color w:val="404040" w:themeColor="text1" w:themeTint="BF"/>
                                  <w:sz w:val="36"/>
                                  <w:szCs w:val="36"/>
                                </w:rPr>
                              </w:pPr>
                              <w:r w:rsidRPr="00574732">
                                <w:rPr>
                                  <w:rFonts w:cs="Times New Roman"/>
                                  <w:b/>
                                  <w:color w:val="404040" w:themeColor="text1" w:themeTint="BF"/>
                                  <w:sz w:val="36"/>
                                  <w:szCs w:val="36"/>
                                </w:rPr>
                                <w:t>Horizontal Ratio Analysis</w:t>
                              </w:r>
                            </w:p>
                          </w:sdtContent>
                        </w:sdt>
                      </w:txbxContent>
                    </v:textbox>
                    <w10:wrap type="square" anchorx="page" anchory="page"/>
                  </v:shape>
                </w:pict>
              </mc:Fallback>
            </mc:AlternateContent>
          </w:r>
          <w:r w:rsidRPr="00972A6C">
            <w:rPr>
              <w:rFonts w:cs="Arial"/>
              <w:noProof/>
            </w:rPr>
            <mc:AlternateContent>
              <mc:Choice Requires="wps">
                <w:drawing>
                  <wp:anchor distT="45720" distB="45720" distL="114300" distR="114300" simplePos="0" relativeHeight="251664384" behindDoc="0" locked="0" layoutInCell="1" allowOverlap="1" wp14:anchorId="67051096" wp14:editId="485A2F32">
                    <wp:simplePos x="0" y="0"/>
                    <wp:positionH relativeFrom="margin">
                      <wp:posOffset>1424639</wp:posOffset>
                    </wp:positionH>
                    <wp:positionV relativeFrom="paragraph">
                      <wp:posOffset>6987607</wp:posOffset>
                    </wp:positionV>
                    <wp:extent cx="3184525" cy="140462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4525" cy="1404620"/>
                            </a:xfrm>
                            <a:prstGeom prst="rect">
                              <a:avLst/>
                            </a:prstGeom>
                            <a:solidFill>
                              <a:srgbClr val="FFFFFF"/>
                            </a:solidFill>
                            <a:ln w="9525">
                              <a:noFill/>
                              <a:miter lim="800000"/>
                              <a:headEnd/>
                              <a:tailEnd/>
                            </a:ln>
                          </wps:spPr>
                          <wps:txbx>
                            <w:txbxContent>
                              <w:p w14:paraId="7EDEA674" w14:textId="06CAB089" w:rsidR="00574732" w:rsidRDefault="00DD0A72" w:rsidP="00095C6A">
                                <w:pPr>
                                  <w:jc w:val="center"/>
                                  <w:rPr>
                                    <w:color w:val="000000" w:themeColor="text1"/>
                                  </w:rPr>
                                </w:pPr>
                                <w:proofErr w:type="spellStart"/>
                                <w:r>
                                  <w:rPr>
                                    <w:color w:val="000000" w:themeColor="text1"/>
                                  </w:rPr>
                                  <w:t>Khalida</w:t>
                                </w:r>
                                <w:proofErr w:type="spellEnd"/>
                                <w:r>
                                  <w:rPr>
                                    <w:color w:val="000000" w:themeColor="text1"/>
                                  </w:rPr>
                                  <w:t xml:space="preserve"> Miah 2017369</w:t>
                                </w:r>
                              </w:p>
                              <w:p w14:paraId="4A897B67" w14:textId="2764842A" w:rsidR="00DD0A72" w:rsidRDefault="00DD0A72" w:rsidP="00DD0A72">
                                <w:pPr>
                                  <w:jc w:val="center"/>
                                  <w:rPr>
                                    <w:color w:val="000000" w:themeColor="text1"/>
                                  </w:rPr>
                                </w:pPr>
                                <w:r>
                                  <w:rPr>
                                    <w:color w:val="000000" w:themeColor="text1"/>
                                  </w:rPr>
                                  <w:t>BMIH5007</w:t>
                                </w:r>
                              </w:p>
                              <w:p w14:paraId="562EFAD3" w14:textId="186434C0" w:rsidR="00DD0A72" w:rsidRPr="00574732" w:rsidRDefault="00DD0A72" w:rsidP="00DD0A72">
                                <w:pPr>
                                  <w:jc w:val="center"/>
                                  <w:rPr>
                                    <w:color w:val="000000" w:themeColor="text1"/>
                                  </w:rPr>
                                </w:pPr>
                                <w:r>
                                  <w:rPr>
                                    <w:color w:val="000000" w:themeColor="text1"/>
                                  </w:rPr>
                                  <w:t>Dale Clarke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051096" id="_x0000_t202" coordsize="21600,21600" o:spt="202" path="m,l,21600r21600,l21600,xe">
                    <v:stroke joinstyle="miter"/>
                    <v:path gradientshapeok="t" o:connecttype="rect"/>
                  </v:shapetype>
                  <v:shape id="Text Box 2" o:spid="_x0000_s1027" type="#_x0000_t202" style="position:absolute;margin-left:112.2pt;margin-top:550.2pt;width:250.75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" stroked="f">
                    <v:textbox style="mso-fit-shape-to-text:t">
                      <w:txbxContent>
                        <w:p w14:paraId="7EDEA674" w14:textId="06CAB089" w:rsidR="00574732" w:rsidRDefault="00DD0A72" w:rsidP="00095C6A">
                          <w:pPr>
                            <w:jc w:val="center"/>
                            <w:rPr>
                              <w:color w:val="000000" w:themeColor="text1"/>
                            </w:rPr>
                          </w:pPr>
                          <w:proofErr w:type="spellStart"/>
                          <w:r>
                            <w:rPr>
                              <w:color w:val="000000" w:themeColor="text1"/>
                            </w:rPr>
                            <w:t>Khalida</w:t>
                          </w:r>
                          <w:proofErr w:type="spellEnd"/>
                          <w:r>
                            <w:rPr>
                              <w:color w:val="000000" w:themeColor="text1"/>
                            </w:rPr>
                            <w:t xml:space="preserve"> Miah 2017369</w:t>
                          </w:r>
                        </w:p>
                        <w:p w14:paraId="4A897B67" w14:textId="2764842A" w:rsidR="00DD0A72" w:rsidRDefault="00DD0A72" w:rsidP="00DD0A72">
                          <w:pPr>
                            <w:jc w:val="center"/>
                            <w:rPr>
                              <w:color w:val="000000" w:themeColor="text1"/>
                            </w:rPr>
                          </w:pPr>
                          <w:r>
                            <w:rPr>
                              <w:color w:val="000000" w:themeColor="text1"/>
                            </w:rPr>
                            <w:t>BMIH5007</w:t>
                          </w:r>
                        </w:p>
                        <w:p w14:paraId="562EFAD3" w14:textId="186434C0" w:rsidR="00DD0A72" w:rsidRPr="00574732" w:rsidRDefault="00DD0A72" w:rsidP="00DD0A72">
                          <w:pPr>
                            <w:jc w:val="center"/>
                            <w:rPr>
                              <w:color w:val="000000" w:themeColor="text1"/>
                            </w:rPr>
                          </w:pPr>
                          <w:r>
                            <w:rPr>
                              <w:color w:val="000000" w:themeColor="text1"/>
                            </w:rPr>
                            <w:t>Dale Clarke</w:t>
                          </w:r>
                        </w:p>
                      </w:txbxContent>
                    </v:textbox>
                    <w10:wrap type="square" anchorx="margin"/>
                  </v:shape>
                </w:pict>
              </mc:Fallback>
            </mc:AlternateContent>
          </w:r>
          <w:r w:rsidR="00C7020B">
            <w:br w:type="page"/>
          </w:r>
        </w:p>
      </w:sdtContent>
    </w:sdt>
    <w:p w14:paraId="0E4DF81F" w14:textId="77777777" w:rsidR="00DB7F72" w:rsidRDefault="00DB7F72" w:rsidP="00DB7F72">
      <w:pPr>
        <w:pStyle w:val="Heading1"/>
      </w:pPr>
      <w:bookmarkStart w:id="0" w:name="_Toc103888185"/>
      <w:r>
        <w:lastRenderedPageBreak/>
        <w:t>Executive Summary</w:t>
      </w:r>
      <w:bookmarkEnd w:id="0"/>
    </w:p>
    <w:p w14:paraId="603477B4" w14:textId="77777777" w:rsidR="009711B8" w:rsidRDefault="00041ADE">
      <w:r>
        <w:t xml:space="preserve">This report has been prepared on Hilton worldwide Inc. The ratio analysis based on 2020 and 2019 data has been used to find out the trend and the percentage change of the performance. Here, the ratios to measure the profitability, </w:t>
      </w:r>
      <w:r w:rsidR="002F1561">
        <w:t>l</w:t>
      </w:r>
      <w:r w:rsidR="00BE2EB4">
        <w:t xml:space="preserve">iquidity and gearing activities have been used to get </w:t>
      </w:r>
      <w:r w:rsidR="00F002CD">
        <w:t>an</w:t>
      </w:r>
      <w:r w:rsidR="00BE2EB4">
        <w:t xml:space="preserve"> idea of the overall performance.</w:t>
      </w:r>
    </w:p>
    <w:p w14:paraId="57E1284E" w14:textId="77777777" w:rsidR="008215CB" w:rsidRDefault="00BE2EB4">
      <w:r>
        <w:t xml:space="preserve">Firstly, an introduction has been given showing the purpose, motivation and method of this study. Then, </w:t>
      </w:r>
      <w:r w:rsidR="00A37DB5">
        <w:t>horizontal</w:t>
      </w:r>
      <w:r>
        <w:t xml:space="preserve"> ratios have been calculated and explained. After that, trend analysis has been created to show a </w:t>
      </w:r>
      <w:r w:rsidR="002F1561">
        <w:t>clearer</w:t>
      </w:r>
      <w:r>
        <w:t xml:space="preserve"> picture. It has been found that the profitability and gearing ratios ar</w:t>
      </w:r>
      <w:r w:rsidR="008215CB">
        <w:t xml:space="preserve">e below the industry threshold. </w:t>
      </w:r>
      <w:r>
        <w:t xml:space="preserve">But it is doing quite </w:t>
      </w:r>
      <w:r w:rsidR="00F002CD">
        <w:t>well</w:t>
      </w:r>
      <w:r>
        <w:t xml:space="preserve"> </w:t>
      </w:r>
      <w:r w:rsidR="002F1561">
        <w:t>in terms</w:t>
      </w:r>
      <w:r>
        <w:t xml:space="preserve"> of liquidity ratios. That means the company has enough money to pay long-term debts</w:t>
      </w:r>
      <w:r w:rsidR="008215CB">
        <w:t>. It also pays creditors frequently. The</w:t>
      </w:r>
      <w:r w:rsidR="00F002CD">
        <w:t>ir</w:t>
      </w:r>
      <w:r w:rsidR="008215CB">
        <w:t xml:space="preserve"> debt level of them is quite high which might be turned as alarming. </w:t>
      </w:r>
    </w:p>
    <w:p w14:paraId="73D41219" w14:textId="77777777" w:rsidR="00BE2EB4" w:rsidRDefault="008215CB">
      <w:r>
        <w:t xml:space="preserve">After this analysis, the impact of ratio </w:t>
      </w:r>
      <w:proofErr w:type="spellStart"/>
      <w:r>
        <w:t>anlaysis</w:t>
      </w:r>
      <w:proofErr w:type="spellEnd"/>
      <w:r>
        <w:t xml:space="preserve"> and the necessity of it to get </w:t>
      </w:r>
      <w:r w:rsidR="00A37DB5">
        <w:t>strategic</w:t>
      </w:r>
      <w:r>
        <w:t xml:space="preserve"> advantages </w:t>
      </w:r>
      <w:r w:rsidR="00F002CD">
        <w:t>are</w:t>
      </w:r>
      <w:r>
        <w:t xml:space="preserve"> described. Then the limitations have been drawn. Finally, the study is summarized in the conclusion showing possible steps to improve the situation of Hilton.</w:t>
      </w:r>
    </w:p>
    <w:p w14:paraId="29C73A27" w14:textId="77777777" w:rsidR="009711B8" w:rsidRDefault="009711B8">
      <w:pPr>
        <w:spacing w:line="259" w:lineRule="auto"/>
        <w:jc w:val="left"/>
      </w:pPr>
      <w:r>
        <w:br w:type="page"/>
      </w:r>
    </w:p>
    <w:sdt>
      <w:sdtPr>
        <w:rPr>
          <w:rFonts w:ascii="Times New Roman" w:eastAsiaTheme="minorHAnsi" w:hAnsi="Times New Roman" w:cstheme="minorBidi"/>
          <w:color w:val="auto"/>
          <w:sz w:val="24"/>
          <w:szCs w:val="22"/>
        </w:rPr>
        <w:id w:val="-544146644"/>
        <w:docPartObj>
          <w:docPartGallery w:val="Table of Contents"/>
          <w:docPartUnique/>
        </w:docPartObj>
      </w:sdtPr>
      <w:sdtEndPr>
        <w:rPr>
          <w:b/>
          <w:bCs/>
          <w:noProof/>
        </w:rPr>
      </w:sdtEndPr>
      <w:sdtContent>
        <w:p w14:paraId="5B0EA164" w14:textId="77777777" w:rsidR="000406F4" w:rsidRPr="000406F4" w:rsidRDefault="000406F4" w:rsidP="000406F4">
          <w:pPr>
            <w:pStyle w:val="TOCHeading"/>
            <w:spacing w:line="360" w:lineRule="auto"/>
            <w:jc w:val="center"/>
            <w:rPr>
              <w:rFonts w:ascii="Times New Roman" w:hAnsi="Times New Roman" w:cs="Times New Roman"/>
              <w:b/>
              <w:szCs w:val="24"/>
            </w:rPr>
          </w:pPr>
          <w:r w:rsidRPr="000406F4">
            <w:rPr>
              <w:rFonts w:ascii="Times New Roman" w:hAnsi="Times New Roman" w:cs="Times New Roman"/>
              <w:b/>
              <w:szCs w:val="24"/>
            </w:rPr>
            <w:t>Table of Contents</w:t>
          </w:r>
        </w:p>
        <w:p w14:paraId="5B524E25" w14:textId="77777777" w:rsidR="000406F4" w:rsidRPr="000406F4" w:rsidRDefault="000406F4" w:rsidP="000406F4">
          <w:pPr>
            <w:pStyle w:val="TOC1"/>
            <w:tabs>
              <w:tab w:val="right" w:leader="dot" w:pos="9350"/>
            </w:tabs>
            <w:rPr>
              <w:rFonts w:eastAsiaTheme="minorEastAsia" w:cs="Times New Roman"/>
              <w:noProof/>
              <w:szCs w:val="24"/>
            </w:rPr>
          </w:pPr>
          <w:r w:rsidRPr="000406F4">
            <w:rPr>
              <w:rFonts w:cs="Times New Roman"/>
              <w:szCs w:val="24"/>
            </w:rPr>
            <w:fldChar w:fldCharType="begin"/>
          </w:r>
          <w:r w:rsidRPr="000406F4">
            <w:rPr>
              <w:rFonts w:cs="Times New Roman"/>
              <w:szCs w:val="24"/>
            </w:rPr>
            <w:instrText xml:space="preserve"> TOC \o "1-3" \h \z \u </w:instrText>
          </w:r>
          <w:r w:rsidRPr="000406F4">
            <w:rPr>
              <w:rFonts w:cs="Times New Roman"/>
              <w:szCs w:val="24"/>
            </w:rPr>
            <w:fldChar w:fldCharType="separate"/>
          </w:r>
          <w:hyperlink w:anchor="_Toc103888185" w:history="1">
            <w:r w:rsidRPr="000406F4">
              <w:rPr>
                <w:rStyle w:val="Hyperlink"/>
                <w:rFonts w:cs="Times New Roman"/>
                <w:noProof/>
                <w:szCs w:val="24"/>
              </w:rPr>
              <w:t>Executive Summary</w:t>
            </w:r>
            <w:r w:rsidRPr="000406F4">
              <w:rPr>
                <w:rFonts w:cs="Times New Roman"/>
                <w:noProof/>
                <w:webHidden/>
                <w:szCs w:val="24"/>
              </w:rPr>
              <w:tab/>
            </w:r>
            <w:r w:rsidRPr="000406F4">
              <w:rPr>
                <w:rFonts w:cs="Times New Roman"/>
                <w:noProof/>
                <w:webHidden/>
                <w:szCs w:val="24"/>
              </w:rPr>
              <w:fldChar w:fldCharType="begin"/>
            </w:r>
            <w:r w:rsidRPr="000406F4">
              <w:rPr>
                <w:rFonts w:cs="Times New Roman"/>
                <w:noProof/>
                <w:webHidden/>
                <w:szCs w:val="24"/>
              </w:rPr>
              <w:instrText xml:space="preserve"> PAGEREF _Toc103888185 \h </w:instrText>
            </w:r>
            <w:r w:rsidRPr="000406F4">
              <w:rPr>
                <w:rFonts w:cs="Times New Roman"/>
                <w:noProof/>
                <w:webHidden/>
                <w:szCs w:val="24"/>
              </w:rPr>
            </w:r>
            <w:r w:rsidRPr="000406F4">
              <w:rPr>
                <w:rFonts w:cs="Times New Roman"/>
                <w:noProof/>
                <w:webHidden/>
                <w:szCs w:val="24"/>
              </w:rPr>
              <w:fldChar w:fldCharType="separate"/>
            </w:r>
            <w:r w:rsidRPr="000406F4">
              <w:rPr>
                <w:rFonts w:cs="Times New Roman"/>
                <w:noProof/>
                <w:webHidden/>
                <w:szCs w:val="24"/>
              </w:rPr>
              <w:t>1</w:t>
            </w:r>
            <w:r w:rsidRPr="000406F4">
              <w:rPr>
                <w:rFonts w:cs="Times New Roman"/>
                <w:noProof/>
                <w:webHidden/>
                <w:szCs w:val="24"/>
              </w:rPr>
              <w:fldChar w:fldCharType="end"/>
            </w:r>
          </w:hyperlink>
        </w:p>
        <w:p w14:paraId="7F8CD2F4" w14:textId="77777777" w:rsidR="000406F4" w:rsidRPr="000406F4" w:rsidRDefault="00F20ABC" w:rsidP="000406F4">
          <w:pPr>
            <w:pStyle w:val="TOC1"/>
            <w:tabs>
              <w:tab w:val="right" w:leader="dot" w:pos="9350"/>
            </w:tabs>
            <w:rPr>
              <w:rFonts w:eastAsiaTheme="minorEastAsia" w:cs="Times New Roman"/>
              <w:noProof/>
              <w:szCs w:val="24"/>
            </w:rPr>
          </w:pPr>
          <w:hyperlink w:anchor="_Toc103888186" w:history="1">
            <w:r w:rsidR="000406F4" w:rsidRPr="000406F4">
              <w:rPr>
                <w:rStyle w:val="Hyperlink"/>
                <w:rFonts w:cs="Times New Roman"/>
                <w:noProof/>
                <w:szCs w:val="24"/>
              </w:rPr>
              <w:t>Introduction</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_Toc103888186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3</w:t>
            </w:r>
            <w:r w:rsidR="000406F4" w:rsidRPr="000406F4">
              <w:rPr>
                <w:rFonts w:cs="Times New Roman"/>
                <w:noProof/>
                <w:webHidden/>
                <w:szCs w:val="24"/>
              </w:rPr>
              <w:fldChar w:fldCharType="end"/>
            </w:r>
          </w:hyperlink>
        </w:p>
        <w:p w14:paraId="5885E1F6" w14:textId="77777777" w:rsidR="000406F4" w:rsidRPr="000406F4" w:rsidRDefault="00F20ABC" w:rsidP="000406F4">
          <w:pPr>
            <w:pStyle w:val="TOC1"/>
            <w:tabs>
              <w:tab w:val="right" w:leader="dot" w:pos="9350"/>
            </w:tabs>
            <w:rPr>
              <w:rFonts w:eastAsiaTheme="minorEastAsia" w:cs="Times New Roman"/>
              <w:noProof/>
              <w:szCs w:val="24"/>
            </w:rPr>
          </w:pPr>
          <w:hyperlink w:anchor="_Toc103888187" w:history="1">
            <w:r w:rsidR="000406F4" w:rsidRPr="000406F4">
              <w:rPr>
                <w:rStyle w:val="Hyperlink"/>
                <w:rFonts w:cs="Times New Roman"/>
                <w:noProof/>
                <w:szCs w:val="24"/>
              </w:rPr>
              <w:t>Calculations of Horizontal Ratios of Hilton Hotel</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_Toc103888187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4</w:t>
            </w:r>
            <w:r w:rsidR="000406F4" w:rsidRPr="000406F4">
              <w:rPr>
                <w:rFonts w:cs="Times New Roman"/>
                <w:noProof/>
                <w:webHidden/>
                <w:szCs w:val="24"/>
              </w:rPr>
              <w:fldChar w:fldCharType="end"/>
            </w:r>
          </w:hyperlink>
        </w:p>
        <w:p w14:paraId="233A7602" w14:textId="77777777" w:rsidR="000406F4" w:rsidRPr="000406F4" w:rsidRDefault="00F20ABC" w:rsidP="000406F4">
          <w:pPr>
            <w:pStyle w:val="TOC2"/>
            <w:tabs>
              <w:tab w:val="right" w:leader="dot" w:pos="9350"/>
            </w:tabs>
            <w:rPr>
              <w:rFonts w:eastAsiaTheme="minorEastAsia" w:cs="Times New Roman"/>
              <w:noProof/>
              <w:szCs w:val="24"/>
            </w:rPr>
          </w:pPr>
          <w:hyperlink w:anchor="_Toc103888188" w:history="1">
            <w:r w:rsidR="000406F4" w:rsidRPr="000406F4">
              <w:rPr>
                <w:rStyle w:val="Hyperlink"/>
                <w:rFonts w:cs="Times New Roman"/>
                <w:noProof/>
                <w:szCs w:val="24"/>
              </w:rPr>
              <w:t>Profitability Ratios</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_Toc103888188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4</w:t>
            </w:r>
            <w:r w:rsidR="000406F4" w:rsidRPr="000406F4">
              <w:rPr>
                <w:rFonts w:cs="Times New Roman"/>
                <w:noProof/>
                <w:webHidden/>
                <w:szCs w:val="24"/>
              </w:rPr>
              <w:fldChar w:fldCharType="end"/>
            </w:r>
          </w:hyperlink>
        </w:p>
        <w:p w14:paraId="14CDE3D3" w14:textId="77777777" w:rsidR="000406F4" w:rsidRPr="000406F4" w:rsidRDefault="00F20ABC" w:rsidP="000406F4">
          <w:pPr>
            <w:pStyle w:val="TOC2"/>
            <w:tabs>
              <w:tab w:val="right" w:leader="dot" w:pos="9350"/>
            </w:tabs>
            <w:rPr>
              <w:rFonts w:eastAsiaTheme="minorEastAsia" w:cs="Times New Roman"/>
              <w:noProof/>
              <w:szCs w:val="24"/>
            </w:rPr>
          </w:pPr>
          <w:hyperlink w:anchor="_Toc103888189" w:history="1">
            <w:r w:rsidR="000406F4" w:rsidRPr="000406F4">
              <w:rPr>
                <w:rStyle w:val="Hyperlink"/>
                <w:rFonts w:cs="Times New Roman"/>
                <w:noProof/>
                <w:szCs w:val="24"/>
              </w:rPr>
              <w:t>Asset Turnover Ratio</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_Toc103888189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5</w:t>
            </w:r>
            <w:r w:rsidR="000406F4" w:rsidRPr="000406F4">
              <w:rPr>
                <w:rFonts w:cs="Times New Roman"/>
                <w:noProof/>
                <w:webHidden/>
                <w:szCs w:val="24"/>
              </w:rPr>
              <w:fldChar w:fldCharType="end"/>
            </w:r>
          </w:hyperlink>
        </w:p>
        <w:p w14:paraId="39A9D8DD" w14:textId="77777777" w:rsidR="000406F4" w:rsidRPr="000406F4" w:rsidRDefault="00F20ABC" w:rsidP="000406F4">
          <w:pPr>
            <w:pStyle w:val="TOC2"/>
            <w:tabs>
              <w:tab w:val="right" w:leader="dot" w:pos="9350"/>
            </w:tabs>
            <w:rPr>
              <w:rFonts w:eastAsiaTheme="minorEastAsia" w:cs="Times New Roman"/>
              <w:noProof/>
              <w:szCs w:val="24"/>
            </w:rPr>
          </w:pPr>
          <w:hyperlink w:anchor="_Toc103888190" w:history="1">
            <w:r w:rsidR="000406F4" w:rsidRPr="000406F4">
              <w:rPr>
                <w:rStyle w:val="Hyperlink"/>
                <w:rFonts w:cs="Times New Roman"/>
                <w:noProof/>
                <w:szCs w:val="24"/>
              </w:rPr>
              <w:t>Liquidity Ratios (Current &amp; Quick Ratios)</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_Toc103888190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6</w:t>
            </w:r>
            <w:r w:rsidR="000406F4" w:rsidRPr="000406F4">
              <w:rPr>
                <w:rFonts w:cs="Times New Roman"/>
                <w:noProof/>
                <w:webHidden/>
                <w:szCs w:val="24"/>
              </w:rPr>
              <w:fldChar w:fldCharType="end"/>
            </w:r>
          </w:hyperlink>
        </w:p>
        <w:p w14:paraId="43F16D80" w14:textId="77777777" w:rsidR="000406F4" w:rsidRPr="000406F4" w:rsidRDefault="00F20ABC" w:rsidP="000406F4">
          <w:pPr>
            <w:pStyle w:val="TOC2"/>
            <w:tabs>
              <w:tab w:val="right" w:leader="dot" w:pos="9350"/>
            </w:tabs>
            <w:rPr>
              <w:rFonts w:eastAsiaTheme="minorEastAsia" w:cs="Times New Roman"/>
              <w:noProof/>
              <w:szCs w:val="24"/>
            </w:rPr>
          </w:pPr>
          <w:hyperlink w:anchor="_Toc103888191" w:history="1">
            <w:r w:rsidR="000406F4" w:rsidRPr="000406F4">
              <w:rPr>
                <w:rStyle w:val="Hyperlink"/>
                <w:rFonts w:cs="Times New Roman"/>
                <w:noProof/>
                <w:szCs w:val="24"/>
              </w:rPr>
              <w:t>Debtor Days &amp; Creditor Days</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_Toc103888191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6</w:t>
            </w:r>
            <w:r w:rsidR="000406F4" w:rsidRPr="000406F4">
              <w:rPr>
                <w:rFonts w:cs="Times New Roman"/>
                <w:noProof/>
                <w:webHidden/>
                <w:szCs w:val="24"/>
              </w:rPr>
              <w:fldChar w:fldCharType="end"/>
            </w:r>
          </w:hyperlink>
        </w:p>
        <w:p w14:paraId="2002B1D3" w14:textId="77777777" w:rsidR="000406F4" w:rsidRPr="000406F4" w:rsidRDefault="00F20ABC" w:rsidP="000406F4">
          <w:pPr>
            <w:pStyle w:val="TOC2"/>
            <w:tabs>
              <w:tab w:val="right" w:leader="dot" w:pos="9350"/>
            </w:tabs>
            <w:rPr>
              <w:rFonts w:eastAsiaTheme="minorEastAsia" w:cs="Times New Roman"/>
              <w:noProof/>
              <w:szCs w:val="24"/>
            </w:rPr>
          </w:pPr>
          <w:hyperlink w:anchor="_Toc103888192" w:history="1">
            <w:r w:rsidR="000406F4" w:rsidRPr="000406F4">
              <w:rPr>
                <w:rStyle w:val="Hyperlink"/>
                <w:rFonts w:cs="Times New Roman"/>
                <w:noProof/>
                <w:szCs w:val="24"/>
              </w:rPr>
              <w:t>Gearing Ratios</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_Toc103888192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7</w:t>
            </w:r>
            <w:r w:rsidR="000406F4" w:rsidRPr="000406F4">
              <w:rPr>
                <w:rFonts w:cs="Times New Roman"/>
                <w:noProof/>
                <w:webHidden/>
                <w:szCs w:val="24"/>
              </w:rPr>
              <w:fldChar w:fldCharType="end"/>
            </w:r>
          </w:hyperlink>
        </w:p>
        <w:p w14:paraId="226CBBD4" w14:textId="77777777" w:rsidR="000406F4" w:rsidRPr="000406F4" w:rsidRDefault="00F20ABC" w:rsidP="000406F4">
          <w:pPr>
            <w:pStyle w:val="TOC1"/>
            <w:tabs>
              <w:tab w:val="right" w:leader="dot" w:pos="9350"/>
            </w:tabs>
            <w:rPr>
              <w:rFonts w:eastAsiaTheme="minorEastAsia" w:cs="Times New Roman"/>
              <w:noProof/>
              <w:szCs w:val="24"/>
            </w:rPr>
          </w:pPr>
          <w:hyperlink w:anchor="_Toc103888193" w:history="1">
            <w:r w:rsidR="000406F4" w:rsidRPr="000406F4">
              <w:rPr>
                <w:rStyle w:val="Hyperlink"/>
                <w:rFonts w:cs="Times New Roman"/>
                <w:noProof/>
                <w:szCs w:val="24"/>
              </w:rPr>
              <w:t>Trend Analysis</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_Toc103888193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8</w:t>
            </w:r>
            <w:r w:rsidR="000406F4" w:rsidRPr="000406F4">
              <w:rPr>
                <w:rFonts w:cs="Times New Roman"/>
                <w:noProof/>
                <w:webHidden/>
                <w:szCs w:val="24"/>
              </w:rPr>
              <w:fldChar w:fldCharType="end"/>
            </w:r>
          </w:hyperlink>
        </w:p>
        <w:p w14:paraId="406E7521" w14:textId="77777777" w:rsidR="000406F4" w:rsidRPr="000406F4" w:rsidRDefault="00F20ABC" w:rsidP="000406F4">
          <w:pPr>
            <w:pStyle w:val="TOC2"/>
            <w:tabs>
              <w:tab w:val="right" w:leader="dot" w:pos="9350"/>
            </w:tabs>
            <w:rPr>
              <w:rFonts w:eastAsiaTheme="minorEastAsia" w:cs="Times New Roman"/>
              <w:noProof/>
              <w:szCs w:val="24"/>
            </w:rPr>
          </w:pPr>
          <w:hyperlink w:anchor="_Toc103888194" w:history="1">
            <w:r w:rsidR="000406F4" w:rsidRPr="000406F4">
              <w:rPr>
                <w:rStyle w:val="Hyperlink"/>
                <w:rFonts w:cs="Times New Roman"/>
                <w:noProof/>
                <w:szCs w:val="24"/>
              </w:rPr>
              <w:t>Profitability</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_Toc103888194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8</w:t>
            </w:r>
            <w:r w:rsidR="000406F4" w:rsidRPr="000406F4">
              <w:rPr>
                <w:rFonts w:cs="Times New Roman"/>
                <w:noProof/>
                <w:webHidden/>
                <w:szCs w:val="24"/>
              </w:rPr>
              <w:fldChar w:fldCharType="end"/>
            </w:r>
          </w:hyperlink>
        </w:p>
        <w:p w14:paraId="689046E8" w14:textId="77777777" w:rsidR="000406F4" w:rsidRPr="000406F4" w:rsidRDefault="00F20ABC" w:rsidP="000406F4">
          <w:pPr>
            <w:pStyle w:val="TOC2"/>
            <w:tabs>
              <w:tab w:val="right" w:leader="dot" w:pos="9350"/>
            </w:tabs>
            <w:rPr>
              <w:rFonts w:eastAsiaTheme="minorEastAsia" w:cs="Times New Roman"/>
              <w:noProof/>
              <w:szCs w:val="24"/>
            </w:rPr>
          </w:pPr>
          <w:hyperlink w:anchor="_Toc103888195" w:history="1">
            <w:r w:rsidR="000406F4" w:rsidRPr="000406F4">
              <w:rPr>
                <w:rStyle w:val="Hyperlink"/>
                <w:rFonts w:cs="Times New Roman"/>
                <w:noProof/>
                <w:szCs w:val="24"/>
              </w:rPr>
              <w:t>Asset Turnover</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_Toc103888195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8</w:t>
            </w:r>
            <w:r w:rsidR="000406F4" w:rsidRPr="000406F4">
              <w:rPr>
                <w:rFonts w:cs="Times New Roman"/>
                <w:noProof/>
                <w:webHidden/>
                <w:szCs w:val="24"/>
              </w:rPr>
              <w:fldChar w:fldCharType="end"/>
            </w:r>
          </w:hyperlink>
        </w:p>
        <w:p w14:paraId="01FD1CE9" w14:textId="77777777" w:rsidR="000406F4" w:rsidRPr="000406F4" w:rsidRDefault="00F20ABC" w:rsidP="000406F4">
          <w:pPr>
            <w:pStyle w:val="TOC2"/>
            <w:tabs>
              <w:tab w:val="right" w:leader="dot" w:pos="9350"/>
            </w:tabs>
            <w:rPr>
              <w:rFonts w:eastAsiaTheme="minorEastAsia" w:cs="Times New Roman"/>
              <w:noProof/>
              <w:szCs w:val="24"/>
            </w:rPr>
          </w:pPr>
          <w:hyperlink w:anchor="_Toc103888196" w:history="1">
            <w:r w:rsidR="000406F4" w:rsidRPr="000406F4">
              <w:rPr>
                <w:rStyle w:val="Hyperlink"/>
                <w:rFonts w:cs="Times New Roman"/>
                <w:noProof/>
                <w:szCs w:val="24"/>
              </w:rPr>
              <w:t>Liquidity</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_Toc103888196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9</w:t>
            </w:r>
            <w:r w:rsidR="000406F4" w:rsidRPr="000406F4">
              <w:rPr>
                <w:rFonts w:cs="Times New Roman"/>
                <w:noProof/>
                <w:webHidden/>
                <w:szCs w:val="24"/>
              </w:rPr>
              <w:fldChar w:fldCharType="end"/>
            </w:r>
          </w:hyperlink>
        </w:p>
        <w:p w14:paraId="664AB5F6" w14:textId="77777777" w:rsidR="000406F4" w:rsidRPr="000406F4" w:rsidRDefault="00F20ABC" w:rsidP="000406F4">
          <w:pPr>
            <w:pStyle w:val="TOC2"/>
            <w:tabs>
              <w:tab w:val="right" w:leader="dot" w:pos="9350"/>
            </w:tabs>
            <w:rPr>
              <w:rFonts w:eastAsiaTheme="minorEastAsia" w:cs="Times New Roman"/>
              <w:noProof/>
              <w:szCs w:val="24"/>
            </w:rPr>
          </w:pPr>
          <w:hyperlink w:anchor="_Toc103888197" w:history="1">
            <w:r w:rsidR="000406F4" w:rsidRPr="000406F4">
              <w:rPr>
                <w:rStyle w:val="Hyperlink"/>
                <w:rFonts w:cs="Times New Roman"/>
                <w:noProof/>
                <w:szCs w:val="24"/>
              </w:rPr>
              <w:t>Gearing (Leverage)</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_Toc103888197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10</w:t>
            </w:r>
            <w:r w:rsidR="000406F4" w:rsidRPr="000406F4">
              <w:rPr>
                <w:rFonts w:cs="Times New Roman"/>
                <w:noProof/>
                <w:webHidden/>
                <w:szCs w:val="24"/>
              </w:rPr>
              <w:fldChar w:fldCharType="end"/>
            </w:r>
          </w:hyperlink>
        </w:p>
        <w:p w14:paraId="5B339BB9" w14:textId="77777777" w:rsidR="000406F4" w:rsidRPr="000406F4" w:rsidRDefault="00F20ABC" w:rsidP="000406F4">
          <w:pPr>
            <w:pStyle w:val="TOC1"/>
            <w:tabs>
              <w:tab w:val="right" w:leader="dot" w:pos="9350"/>
            </w:tabs>
            <w:rPr>
              <w:rFonts w:eastAsiaTheme="minorEastAsia" w:cs="Times New Roman"/>
              <w:noProof/>
              <w:szCs w:val="24"/>
            </w:rPr>
          </w:pPr>
          <w:hyperlink w:anchor="_Toc103888198" w:history="1">
            <w:r w:rsidR="000406F4" w:rsidRPr="000406F4">
              <w:rPr>
                <w:rStyle w:val="Hyperlink"/>
                <w:rFonts w:cs="Times New Roman"/>
                <w:noProof/>
                <w:szCs w:val="24"/>
              </w:rPr>
              <w:t>Impact of Ratio Analysis on Decision Making</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_Toc103888198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11</w:t>
            </w:r>
            <w:r w:rsidR="000406F4" w:rsidRPr="000406F4">
              <w:rPr>
                <w:rFonts w:cs="Times New Roman"/>
                <w:noProof/>
                <w:webHidden/>
                <w:szCs w:val="24"/>
              </w:rPr>
              <w:fldChar w:fldCharType="end"/>
            </w:r>
          </w:hyperlink>
        </w:p>
        <w:p w14:paraId="65E9F4A0" w14:textId="77777777" w:rsidR="000406F4" w:rsidRPr="000406F4" w:rsidRDefault="00F20ABC" w:rsidP="000406F4">
          <w:pPr>
            <w:pStyle w:val="TOC1"/>
            <w:tabs>
              <w:tab w:val="right" w:leader="dot" w:pos="9350"/>
            </w:tabs>
            <w:rPr>
              <w:rFonts w:eastAsiaTheme="minorEastAsia" w:cs="Times New Roman"/>
              <w:noProof/>
              <w:szCs w:val="24"/>
            </w:rPr>
          </w:pPr>
          <w:hyperlink w:anchor="_Toc103888199" w:history="1">
            <w:r w:rsidR="000406F4" w:rsidRPr="000406F4">
              <w:rPr>
                <w:rStyle w:val="Hyperlink"/>
                <w:rFonts w:cs="Times New Roman"/>
                <w:noProof/>
                <w:szCs w:val="24"/>
              </w:rPr>
              <w:t>Limitations of Ratio Analysis</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_Toc103888199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12</w:t>
            </w:r>
            <w:r w:rsidR="000406F4" w:rsidRPr="000406F4">
              <w:rPr>
                <w:rFonts w:cs="Times New Roman"/>
                <w:noProof/>
                <w:webHidden/>
                <w:szCs w:val="24"/>
              </w:rPr>
              <w:fldChar w:fldCharType="end"/>
            </w:r>
          </w:hyperlink>
        </w:p>
        <w:p w14:paraId="5B5A97F5" w14:textId="77777777" w:rsidR="000406F4" w:rsidRPr="000406F4" w:rsidRDefault="00F20ABC" w:rsidP="000406F4">
          <w:pPr>
            <w:pStyle w:val="TOC1"/>
            <w:tabs>
              <w:tab w:val="right" w:leader="dot" w:pos="9350"/>
            </w:tabs>
            <w:rPr>
              <w:rFonts w:eastAsiaTheme="minorEastAsia" w:cs="Times New Roman"/>
              <w:noProof/>
              <w:szCs w:val="24"/>
            </w:rPr>
          </w:pPr>
          <w:hyperlink w:anchor="_Toc103888200" w:history="1">
            <w:r w:rsidR="000406F4" w:rsidRPr="000406F4">
              <w:rPr>
                <w:rStyle w:val="Hyperlink"/>
                <w:rFonts w:cs="Times New Roman"/>
                <w:noProof/>
                <w:szCs w:val="24"/>
              </w:rPr>
              <w:t>Importance of Understanding Ratios and their Fluctuations</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_Toc103888200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12</w:t>
            </w:r>
            <w:r w:rsidR="000406F4" w:rsidRPr="000406F4">
              <w:rPr>
                <w:rFonts w:cs="Times New Roman"/>
                <w:noProof/>
                <w:webHidden/>
                <w:szCs w:val="24"/>
              </w:rPr>
              <w:fldChar w:fldCharType="end"/>
            </w:r>
          </w:hyperlink>
        </w:p>
        <w:p w14:paraId="3D84792E" w14:textId="77777777" w:rsidR="000406F4" w:rsidRPr="000406F4" w:rsidRDefault="00F20ABC" w:rsidP="000406F4">
          <w:pPr>
            <w:pStyle w:val="TOC1"/>
            <w:tabs>
              <w:tab w:val="right" w:leader="dot" w:pos="9350"/>
            </w:tabs>
            <w:rPr>
              <w:rFonts w:eastAsiaTheme="minorEastAsia" w:cs="Times New Roman"/>
              <w:noProof/>
              <w:szCs w:val="24"/>
            </w:rPr>
          </w:pPr>
          <w:hyperlink w:anchor="_Toc103888201" w:history="1">
            <w:r w:rsidR="000406F4" w:rsidRPr="000406F4">
              <w:rPr>
                <w:rStyle w:val="Hyperlink"/>
                <w:rFonts w:cs="Times New Roman"/>
                <w:noProof/>
                <w:szCs w:val="24"/>
              </w:rPr>
              <w:t>Conclusion</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_Toc103888201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14</w:t>
            </w:r>
            <w:r w:rsidR="000406F4" w:rsidRPr="000406F4">
              <w:rPr>
                <w:rFonts w:cs="Times New Roman"/>
                <w:noProof/>
                <w:webHidden/>
                <w:szCs w:val="24"/>
              </w:rPr>
              <w:fldChar w:fldCharType="end"/>
            </w:r>
          </w:hyperlink>
        </w:p>
        <w:p w14:paraId="1E29B81F" w14:textId="77777777" w:rsidR="000406F4" w:rsidRPr="000406F4" w:rsidRDefault="00F20ABC" w:rsidP="000406F4">
          <w:pPr>
            <w:pStyle w:val="TOC1"/>
            <w:tabs>
              <w:tab w:val="right" w:leader="dot" w:pos="9350"/>
            </w:tabs>
            <w:rPr>
              <w:rFonts w:eastAsiaTheme="minorEastAsia" w:cs="Times New Roman"/>
              <w:noProof/>
              <w:szCs w:val="24"/>
            </w:rPr>
          </w:pPr>
          <w:hyperlink w:anchor="_Toc103888202" w:history="1">
            <w:r w:rsidR="000406F4" w:rsidRPr="000406F4">
              <w:rPr>
                <w:rStyle w:val="Hyperlink"/>
                <w:rFonts w:cs="Times New Roman"/>
                <w:noProof/>
                <w:szCs w:val="24"/>
              </w:rPr>
              <w:t>References</w:t>
            </w:r>
            <w:r w:rsidR="000406F4" w:rsidRPr="000406F4">
              <w:rPr>
                <w:rFonts w:cs="Times New Roman"/>
                <w:noProof/>
                <w:webHidden/>
                <w:szCs w:val="24"/>
              </w:rPr>
              <w:tab/>
            </w:r>
            <w:r w:rsidR="000406F4" w:rsidRPr="000406F4">
              <w:rPr>
                <w:rFonts w:cs="Times New Roman"/>
                <w:noProof/>
                <w:webHidden/>
                <w:szCs w:val="24"/>
              </w:rPr>
              <w:fldChar w:fldCharType="begin"/>
            </w:r>
            <w:r w:rsidR="000406F4" w:rsidRPr="000406F4">
              <w:rPr>
                <w:rFonts w:cs="Times New Roman"/>
                <w:noProof/>
                <w:webHidden/>
                <w:szCs w:val="24"/>
              </w:rPr>
              <w:instrText xml:space="preserve"> PAGEREF _Toc103888202 \h </w:instrText>
            </w:r>
            <w:r w:rsidR="000406F4" w:rsidRPr="000406F4">
              <w:rPr>
                <w:rFonts w:cs="Times New Roman"/>
                <w:noProof/>
                <w:webHidden/>
                <w:szCs w:val="24"/>
              </w:rPr>
            </w:r>
            <w:r w:rsidR="000406F4" w:rsidRPr="000406F4">
              <w:rPr>
                <w:rFonts w:cs="Times New Roman"/>
                <w:noProof/>
                <w:webHidden/>
                <w:szCs w:val="24"/>
              </w:rPr>
              <w:fldChar w:fldCharType="separate"/>
            </w:r>
            <w:r w:rsidR="000406F4" w:rsidRPr="000406F4">
              <w:rPr>
                <w:rFonts w:cs="Times New Roman"/>
                <w:noProof/>
                <w:webHidden/>
                <w:szCs w:val="24"/>
              </w:rPr>
              <w:t>15</w:t>
            </w:r>
            <w:r w:rsidR="000406F4" w:rsidRPr="000406F4">
              <w:rPr>
                <w:rFonts w:cs="Times New Roman"/>
                <w:noProof/>
                <w:webHidden/>
                <w:szCs w:val="24"/>
              </w:rPr>
              <w:fldChar w:fldCharType="end"/>
            </w:r>
          </w:hyperlink>
        </w:p>
        <w:p w14:paraId="41895201" w14:textId="77777777" w:rsidR="000406F4" w:rsidRDefault="000406F4" w:rsidP="000406F4">
          <w:r w:rsidRPr="000406F4">
            <w:rPr>
              <w:rFonts w:cs="Times New Roman"/>
              <w:b/>
              <w:bCs/>
              <w:noProof/>
              <w:szCs w:val="24"/>
            </w:rPr>
            <w:fldChar w:fldCharType="end"/>
          </w:r>
        </w:p>
      </w:sdtContent>
    </w:sdt>
    <w:p w14:paraId="4C1BDAE9" w14:textId="77777777" w:rsidR="00DB7F72" w:rsidRDefault="00DB7F72" w:rsidP="009711B8"/>
    <w:p w14:paraId="63AA01B9" w14:textId="77777777" w:rsidR="00DB7F72" w:rsidRDefault="00DB7F72">
      <w:pPr>
        <w:spacing w:line="259" w:lineRule="auto"/>
        <w:jc w:val="left"/>
      </w:pPr>
      <w:r>
        <w:br w:type="page"/>
      </w:r>
    </w:p>
    <w:p w14:paraId="0C10F153" w14:textId="77777777" w:rsidR="00C94873" w:rsidRDefault="00DB7F72" w:rsidP="00C94873">
      <w:pPr>
        <w:pStyle w:val="Heading1"/>
      </w:pPr>
      <w:bookmarkStart w:id="1" w:name="_Toc103888186"/>
      <w:r>
        <w:lastRenderedPageBreak/>
        <w:t>Introduction</w:t>
      </w:r>
      <w:bookmarkEnd w:id="1"/>
    </w:p>
    <w:p w14:paraId="0106ABD6" w14:textId="77777777" w:rsidR="00C94873" w:rsidRDefault="00C94873" w:rsidP="00C94873">
      <w:pPr>
        <w:rPr>
          <w:rFonts w:cs="Arial"/>
        </w:rPr>
      </w:pPr>
      <w:r>
        <w:t xml:space="preserve">Financial ratio analysis is a management tool that helps to extract data from </w:t>
      </w:r>
      <w:r w:rsidR="00F002CD">
        <w:t xml:space="preserve">the </w:t>
      </w:r>
      <w:r>
        <w:t>financial statement of a company and shape them into meaningful dataset</w:t>
      </w:r>
      <w:r w:rsidR="00F002CD">
        <w:t>s</w:t>
      </w:r>
      <w:r>
        <w:t xml:space="preserve"> so that, they can show the trends over periods and provide </w:t>
      </w:r>
      <w:r w:rsidR="00F002CD">
        <w:t xml:space="preserve">an </w:t>
      </w:r>
      <w:r>
        <w:t>indication of the company’s performance</w:t>
      </w:r>
      <w:r w:rsidR="00834659">
        <w:t xml:space="preserve"> </w:t>
      </w:r>
      <w:r w:rsidR="00834659">
        <w:rPr>
          <w:rFonts w:cs="Arial"/>
        </w:rPr>
        <w:t>(</w:t>
      </w:r>
      <w:r w:rsidR="00834659" w:rsidRPr="00C47981">
        <w:rPr>
          <w:rFonts w:cs="Arial"/>
        </w:rPr>
        <w:t>T</w:t>
      </w:r>
      <w:r w:rsidR="00834659">
        <w:rPr>
          <w:rFonts w:cs="Arial"/>
        </w:rPr>
        <w:t>ian &amp; Yu</w:t>
      </w:r>
      <w:r w:rsidR="00834659" w:rsidRPr="00C47981">
        <w:rPr>
          <w:rFonts w:cs="Arial"/>
        </w:rPr>
        <w:t>, 2017</w:t>
      </w:r>
      <w:r w:rsidR="00834659">
        <w:rPr>
          <w:rFonts w:cs="Arial"/>
        </w:rPr>
        <w:t>)</w:t>
      </w:r>
      <w:r>
        <w:t>. Horizontal ratio analysis helps to assess the compare the ratios over several accounting periods and shows the relative changes from time to time</w:t>
      </w:r>
      <w:r w:rsidR="00834659">
        <w:t xml:space="preserve"> </w:t>
      </w:r>
      <w:r w:rsidR="00834659">
        <w:rPr>
          <w:rFonts w:cs="Arial"/>
        </w:rPr>
        <w:t>(</w:t>
      </w:r>
      <w:proofErr w:type="spellStart"/>
      <w:r w:rsidR="00834659">
        <w:rPr>
          <w:rFonts w:cs="Arial"/>
        </w:rPr>
        <w:t>Hosaka</w:t>
      </w:r>
      <w:proofErr w:type="spellEnd"/>
      <w:r w:rsidR="00834659">
        <w:rPr>
          <w:rFonts w:cs="Arial"/>
        </w:rPr>
        <w:t>, 2019)</w:t>
      </w:r>
      <w:r w:rsidR="00A56B2F">
        <w:t xml:space="preserve">. </w:t>
      </w:r>
      <w:r w:rsidR="00313634">
        <w:t xml:space="preserve">The motive of this report is to </w:t>
      </w:r>
      <w:proofErr w:type="spellStart"/>
      <w:r w:rsidR="00313634">
        <w:t>an</w:t>
      </w:r>
      <w:r w:rsidR="00F002CD">
        <w:t>a</w:t>
      </w:r>
      <w:r w:rsidR="00313634">
        <w:t>lyse</w:t>
      </w:r>
      <w:proofErr w:type="spellEnd"/>
      <w:r w:rsidR="00313634">
        <w:t xml:space="preserve"> the data from </w:t>
      </w:r>
      <w:r w:rsidR="00F002CD">
        <w:t xml:space="preserve">the </w:t>
      </w:r>
      <w:r w:rsidR="00313634">
        <w:t>financial statem</w:t>
      </w:r>
      <w:r w:rsidR="00EF48AA">
        <w:t>e</w:t>
      </w:r>
      <w:r w:rsidR="00313634">
        <w:t xml:space="preserve">nts of Hilton Worldwide Inc., one of the biggest hotel chains in the world having operations in over 100 countries (Hilton.com, 2022). </w:t>
      </w:r>
      <w:r w:rsidR="00C801D5">
        <w:rPr>
          <w:rFonts w:cs="Arial"/>
        </w:rPr>
        <w:t xml:space="preserve">Due to the cyclical nature of the industry, ratio analysis is a good way to measure the impact of changes in </w:t>
      </w:r>
      <w:r w:rsidR="00F002CD">
        <w:rPr>
          <w:rFonts w:cs="Arial"/>
        </w:rPr>
        <w:t xml:space="preserve">the </w:t>
      </w:r>
      <w:r w:rsidR="00C801D5">
        <w:rPr>
          <w:rFonts w:cs="Arial"/>
        </w:rPr>
        <w:t xml:space="preserve">environment on company performance. So, this study has calculated </w:t>
      </w:r>
      <w:r w:rsidR="00EF48AA">
        <w:rPr>
          <w:rFonts w:cs="Arial"/>
        </w:rPr>
        <w:t>year</w:t>
      </w:r>
      <w:r w:rsidR="00F002CD">
        <w:rPr>
          <w:rFonts w:cs="Arial"/>
        </w:rPr>
        <w:t>-</w:t>
      </w:r>
      <w:r w:rsidR="00EF48AA">
        <w:rPr>
          <w:rFonts w:cs="Arial"/>
        </w:rPr>
        <w:t>wise</w:t>
      </w:r>
      <w:r w:rsidR="00C801D5">
        <w:rPr>
          <w:rFonts w:cs="Arial"/>
        </w:rPr>
        <w:t xml:space="preserve"> data </w:t>
      </w:r>
      <w:r w:rsidR="00F002CD">
        <w:rPr>
          <w:rFonts w:cs="Arial"/>
        </w:rPr>
        <w:t>for</w:t>
      </w:r>
      <w:r w:rsidR="00C801D5">
        <w:rPr>
          <w:rFonts w:cs="Arial"/>
        </w:rPr>
        <w:t xml:space="preserve"> 2020 and 2019 and showed the trend analysis, absolute change and </w:t>
      </w:r>
      <w:r w:rsidR="00EF48AA">
        <w:rPr>
          <w:rFonts w:cs="Arial"/>
        </w:rPr>
        <w:t>percentage</w:t>
      </w:r>
      <w:r w:rsidR="00C801D5">
        <w:rPr>
          <w:rFonts w:cs="Arial"/>
        </w:rPr>
        <w:t xml:space="preserve"> change of performance. It has also discussed the relevance, importance and limitations of ratio analysis.</w:t>
      </w:r>
    </w:p>
    <w:p w14:paraId="77FAEA6F" w14:textId="77777777" w:rsidR="00E61B48" w:rsidRDefault="00E61B48" w:rsidP="00C94873">
      <w:pPr>
        <w:rPr>
          <w:rFonts w:cs="Arial"/>
        </w:rPr>
      </w:pPr>
    </w:p>
    <w:p w14:paraId="70009F48" w14:textId="77777777" w:rsidR="00E61B48" w:rsidRDefault="00E61B48" w:rsidP="00C94873">
      <w:pPr>
        <w:rPr>
          <w:rFonts w:cs="Arial"/>
        </w:rPr>
      </w:pPr>
    </w:p>
    <w:p w14:paraId="62EB7561" w14:textId="77777777" w:rsidR="00E61B48" w:rsidRDefault="00E61B48" w:rsidP="00C94873">
      <w:pPr>
        <w:rPr>
          <w:rFonts w:cs="Arial"/>
        </w:rPr>
      </w:pPr>
    </w:p>
    <w:p w14:paraId="7E02FD8D" w14:textId="77777777" w:rsidR="00E61B48" w:rsidRDefault="00E61B48" w:rsidP="00C94873">
      <w:pPr>
        <w:rPr>
          <w:rFonts w:cs="Arial"/>
        </w:rPr>
      </w:pPr>
    </w:p>
    <w:p w14:paraId="53C5F8F7" w14:textId="77777777" w:rsidR="00E61B48" w:rsidRDefault="00E61B48" w:rsidP="00C94873">
      <w:pPr>
        <w:rPr>
          <w:rFonts w:cs="Arial"/>
        </w:rPr>
      </w:pPr>
    </w:p>
    <w:p w14:paraId="6CED078D" w14:textId="77777777" w:rsidR="00E61B48" w:rsidRDefault="00E61B48" w:rsidP="00C94873">
      <w:pPr>
        <w:rPr>
          <w:rFonts w:cs="Arial"/>
        </w:rPr>
      </w:pPr>
    </w:p>
    <w:p w14:paraId="5C4794AC" w14:textId="77777777" w:rsidR="00E61B48" w:rsidRDefault="00E61B48" w:rsidP="00C94873">
      <w:pPr>
        <w:rPr>
          <w:rFonts w:cs="Arial"/>
        </w:rPr>
      </w:pPr>
    </w:p>
    <w:p w14:paraId="411F6C6A" w14:textId="77777777" w:rsidR="00E61B48" w:rsidRDefault="00E61B48" w:rsidP="00C94873">
      <w:pPr>
        <w:rPr>
          <w:rFonts w:cs="Arial"/>
        </w:rPr>
      </w:pPr>
    </w:p>
    <w:p w14:paraId="6D8F07DB" w14:textId="77777777" w:rsidR="00E61B48" w:rsidRDefault="00E61B48" w:rsidP="00C94873">
      <w:pPr>
        <w:rPr>
          <w:rFonts w:cs="Arial"/>
        </w:rPr>
      </w:pPr>
    </w:p>
    <w:p w14:paraId="232D453C" w14:textId="77777777" w:rsidR="00E61B48" w:rsidRDefault="00E61B48" w:rsidP="00C94873">
      <w:pPr>
        <w:rPr>
          <w:rFonts w:cs="Arial"/>
        </w:rPr>
      </w:pPr>
    </w:p>
    <w:p w14:paraId="1AC5DF33" w14:textId="77777777" w:rsidR="00E61B48" w:rsidRDefault="00E61B48" w:rsidP="00C94873">
      <w:pPr>
        <w:rPr>
          <w:rFonts w:cs="Arial"/>
        </w:rPr>
      </w:pPr>
    </w:p>
    <w:p w14:paraId="3410572F" w14:textId="77777777" w:rsidR="005811BC" w:rsidRDefault="005811BC" w:rsidP="00C94873"/>
    <w:p w14:paraId="71ED6DA1" w14:textId="77777777" w:rsidR="005811BC" w:rsidRDefault="005811BC">
      <w:pPr>
        <w:spacing w:line="259" w:lineRule="auto"/>
        <w:jc w:val="left"/>
      </w:pPr>
    </w:p>
    <w:p w14:paraId="3C93A53C" w14:textId="77777777" w:rsidR="005811BC" w:rsidRDefault="00C5250E" w:rsidP="005811BC">
      <w:pPr>
        <w:pStyle w:val="Heading1"/>
      </w:pPr>
      <w:bookmarkStart w:id="2" w:name="_Toc103888187"/>
      <w:r>
        <w:lastRenderedPageBreak/>
        <w:t>Calculations of Horizontal Ratios</w:t>
      </w:r>
      <w:r w:rsidR="005811BC">
        <w:t xml:space="preserve"> of Hilton Hotel</w:t>
      </w:r>
      <w:bookmarkEnd w:id="2"/>
    </w:p>
    <w:p w14:paraId="0736D06F" w14:textId="77777777" w:rsidR="000B1BF0" w:rsidRDefault="000B1BF0" w:rsidP="00DF51B8">
      <w:r>
        <w:t xml:space="preserve">To </w:t>
      </w:r>
      <w:proofErr w:type="spellStart"/>
      <w:r>
        <w:t>analyse</w:t>
      </w:r>
      <w:proofErr w:type="spellEnd"/>
      <w:r>
        <w:t xml:space="preserve"> the performance of a company, </w:t>
      </w:r>
      <w:r w:rsidR="00F002CD">
        <w:t xml:space="preserve">the </w:t>
      </w:r>
      <w:r>
        <w:t>following ratios are used:</w:t>
      </w:r>
    </w:p>
    <w:p w14:paraId="5CE6D96F" w14:textId="77777777" w:rsidR="00DF51B8" w:rsidRDefault="001A782D" w:rsidP="00C14AEE">
      <w:pPr>
        <w:jc w:val="center"/>
      </w:pPr>
      <w:r>
        <w:rPr>
          <w:noProof/>
        </w:rPr>
        <w:drawing>
          <wp:inline distT="0" distB="0" distL="0" distR="0" wp14:anchorId="46D16FCC" wp14:editId="6BBACEC2">
            <wp:extent cx="4030236" cy="2506718"/>
            <wp:effectExtent l="0" t="0" r="889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 ratio.png"/>
                    <pic:cNvPicPr/>
                  </pic:nvPicPr>
                  <pic:blipFill>
                    <a:blip r:embed="rId10">
                      <a:extLst>
                        <a:ext uri="{28A0092B-C50C-407E-A947-70E740481C1C}">
                          <a14:useLocalDpi xmlns:a14="http://schemas.microsoft.com/office/drawing/2010/main" val="0"/>
                        </a:ext>
                      </a:extLst>
                    </a:blip>
                    <a:stretch>
                      <a:fillRect/>
                    </a:stretch>
                  </pic:blipFill>
                  <pic:spPr>
                    <a:xfrm>
                      <a:off x="0" y="0"/>
                      <a:ext cx="4033372" cy="2508668"/>
                    </a:xfrm>
                    <a:prstGeom prst="rect">
                      <a:avLst/>
                    </a:prstGeom>
                  </pic:spPr>
                </pic:pic>
              </a:graphicData>
            </a:graphic>
          </wp:inline>
        </w:drawing>
      </w:r>
    </w:p>
    <w:p w14:paraId="1F30707C" w14:textId="77777777" w:rsidR="00C14AEE" w:rsidRPr="00C14AEE" w:rsidRDefault="00C14AEE" w:rsidP="00C14AEE">
      <w:pPr>
        <w:jc w:val="center"/>
      </w:pPr>
      <w:r w:rsidRPr="00C14AEE">
        <w:t>Figure 01: Financial Ratios</w:t>
      </w:r>
    </w:p>
    <w:p w14:paraId="205813E0" w14:textId="77777777" w:rsidR="00C14AEE" w:rsidRPr="00C14AEE" w:rsidRDefault="00C14AEE" w:rsidP="00C14AEE">
      <w:pPr>
        <w:jc w:val="center"/>
      </w:pPr>
      <w:r w:rsidRPr="00C14AEE">
        <w:t>Source: Adapted from Rashid, 2018</w:t>
      </w:r>
    </w:p>
    <w:p w14:paraId="6DFF2F25" w14:textId="77777777" w:rsidR="00C14AEE" w:rsidRDefault="006815C1" w:rsidP="005C6F83">
      <w:pPr>
        <w:pStyle w:val="Heading2"/>
      </w:pPr>
      <w:bookmarkStart w:id="3" w:name="_Toc103888188"/>
      <w:r>
        <w:t>Profitability Ratios</w:t>
      </w:r>
      <w:bookmarkEnd w:id="3"/>
    </w:p>
    <w:p w14:paraId="71C0962D" w14:textId="77777777" w:rsidR="00FD2DDC" w:rsidRPr="00FD2DDC" w:rsidRDefault="00FD2DDC" w:rsidP="00FD2DDC">
      <w:r>
        <w:t>The ability to generate profits is measured by these ratios</w:t>
      </w:r>
      <w:r w:rsidR="00834659">
        <w:t xml:space="preserve"> </w:t>
      </w:r>
      <w:r w:rsidR="00834659">
        <w:rPr>
          <w:rFonts w:cs="Arial"/>
        </w:rPr>
        <w:t>(</w:t>
      </w:r>
      <w:proofErr w:type="spellStart"/>
      <w:r w:rsidR="00834659">
        <w:rPr>
          <w:rFonts w:cs="Arial"/>
        </w:rPr>
        <w:t>Kadim</w:t>
      </w:r>
      <w:proofErr w:type="spellEnd"/>
      <w:r w:rsidR="00834659">
        <w:rPr>
          <w:rFonts w:cs="Arial"/>
        </w:rPr>
        <w:t xml:space="preserve"> et Al., 2020)</w:t>
      </w:r>
      <w:r>
        <w:t>. The calculations for two consecutive years are as follows:</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990"/>
        <w:gridCol w:w="1350"/>
        <w:gridCol w:w="2520"/>
        <w:gridCol w:w="2700"/>
        <w:gridCol w:w="1170"/>
      </w:tblGrid>
      <w:tr w:rsidR="00BC6EE0" w:rsidRPr="00507A3D" w14:paraId="6A1CF4BC" w14:textId="77777777" w:rsidTr="00BC6EE0">
        <w:trPr>
          <w:trHeight w:val="258"/>
          <w:jc w:val="center"/>
        </w:trPr>
        <w:tc>
          <w:tcPr>
            <w:tcW w:w="535" w:type="dxa"/>
            <w:shd w:val="clear" w:color="auto" w:fill="538135" w:themeFill="accent6" w:themeFillShade="BF"/>
            <w:noWrap/>
            <w:vAlign w:val="bottom"/>
            <w:hideMark/>
          </w:tcPr>
          <w:p w14:paraId="044E2062" w14:textId="77777777" w:rsidR="00FD3849" w:rsidRPr="00787984" w:rsidRDefault="00FD3849" w:rsidP="00DE4DC6">
            <w:pPr>
              <w:spacing w:line="240" w:lineRule="auto"/>
              <w:jc w:val="center"/>
              <w:rPr>
                <w:b/>
                <w:color w:val="FFFFFF" w:themeColor="background1"/>
              </w:rPr>
            </w:pPr>
            <w:r w:rsidRPr="00787984">
              <w:rPr>
                <w:b/>
                <w:color w:val="FFFFFF" w:themeColor="background1"/>
              </w:rPr>
              <w:t>No</w:t>
            </w:r>
          </w:p>
        </w:tc>
        <w:tc>
          <w:tcPr>
            <w:tcW w:w="990" w:type="dxa"/>
            <w:shd w:val="clear" w:color="auto" w:fill="538135" w:themeFill="accent6" w:themeFillShade="BF"/>
            <w:vAlign w:val="bottom"/>
          </w:tcPr>
          <w:p w14:paraId="443CEF99" w14:textId="77777777" w:rsidR="00FD3849" w:rsidRPr="00787984" w:rsidRDefault="00FD3849" w:rsidP="00DE4DC6">
            <w:pPr>
              <w:spacing w:line="240" w:lineRule="auto"/>
              <w:jc w:val="center"/>
              <w:rPr>
                <w:b/>
                <w:color w:val="FFFFFF" w:themeColor="background1"/>
              </w:rPr>
            </w:pPr>
            <w:r w:rsidRPr="00787984">
              <w:rPr>
                <w:b/>
                <w:color w:val="FFFFFF" w:themeColor="background1"/>
              </w:rPr>
              <w:t>Name</w:t>
            </w:r>
          </w:p>
        </w:tc>
        <w:tc>
          <w:tcPr>
            <w:tcW w:w="1350" w:type="dxa"/>
            <w:shd w:val="clear" w:color="auto" w:fill="538135" w:themeFill="accent6" w:themeFillShade="BF"/>
            <w:noWrap/>
            <w:vAlign w:val="bottom"/>
            <w:hideMark/>
          </w:tcPr>
          <w:p w14:paraId="70C0898F" w14:textId="77777777" w:rsidR="00FD3849" w:rsidRPr="00787984" w:rsidRDefault="00FD3849" w:rsidP="00DE4DC6">
            <w:pPr>
              <w:spacing w:line="240" w:lineRule="auto"/>
              <w:jc w:val="center"/>
              <w:rPr>
                <w:b/>
                <w:color w:val="FFFFFF" w:themeColor="background1"/>
              </w:rPr>
            </w:pPr>
            <w:r w:rsidRPr="00787984">
              <w:rPr>
                <w:b/>
                <w:color w:val="FFFFFF" w:themeColor="background1"/>
              </w:rPr>
              <w:t>Formula</w:t>
            </w:r>
          </w:p>
        </w:tc>
        <w:tc>
          <w:tcPr>
            <w:tcW w:w="2520" w:type="dxa"/>
            <w:shd w:val="clear" w:color="auto" w:fill="538135" w:themeFill="accent6" w:themeFillShade="BF"/>
            <w:noWrap/>
            <w:vAlign w:val="bottom"/>
            <w:hideMark/>
          </w:tcPr>
          <w:p w14:paraId="256A3002" w14:textId="77777777" w:rsidR="00FD3849" w:rsidRPr="00787984" w:rsidRDefault="00FD3849" w:rsidP="00DE4DC6">
            <w:pPr>
              <w:spacing w:line="240" w:lineRule="auto"/>
              <w:jc w:val="center"/>
              <w:rPr>
                <w:b/>
                <w:bCs/>
                <w:color w:val="FFFFFF" w:themeColor="background1"/>
              </w:rPr>
            </w:pPr>
            <w:r w:rsidRPr="00787984">
              <w:rPr>
                <w:b/>
                <w:bCs/>
                <w:color w:val="FFFFFF" w:themeColor="background1"/>
              </w:rPr>
              <w:t>Calculation for 2020</w:t>
            </w:r>
          </w:p>
        </w:tc>
        <w:tc>
          <w:tcPr>
            <w:tcW w:w="2700" w:type="dxa"/>
            <w:shd w:val="clear" w:color="auto" w:fill="538135" w:themeFill="accent6" w:themeFillShade="BF"/>
            <w:vAlign w:val="bottom"/>
          </w:tcPr>
          <w:p w14:paraId="75C07658" w14:textId="77777777" w:rsidR="00FD3849" w:rsidRPr="00787984" w:rsidRDefault="00FD3849" w:rsidP="00DE4DC6">
            <w:pPr>
              <w:spacing w:line="240" w:lineRule="auto"/>
              <w:jc w:val="center"/>
              <w:rPr>
                <w:b/>
                <w:bCs/>
                <w:color w:val="FFFFFF" w:themeColor="background1"/>
              </w:rPr>
            </w:pPr>
            <w:r w:rsidRPr="00787984">
              <w:rPr>
                <w:b/>
                <w:bCs/>
                <w:color w:val="FFFFFF" w:themeColor="background1"/>
              </w:rPr>
              <w:t>Calculation for 2019</w:t>
            </w:r>
          </w:p>
        </w:tc>
        <w:tc>
          <w:tcPr>
            <w:tcW w:w="1170" w:type="dxa"/>
            <w:shd w:val="clear" w:color="auto" w:fill="538135" w:themeFill="accent6" w:themeFillShade="BF"/>
            <w:noWrap/>
            <w:vAlign w:val="bottom"/>
            <w:hideMark/>
          </w:tcPr>
          <w:p w14:paraId="738901F4" w14:textId="77777777" w:rsidR="00FD3849" w:rsidRPr="00787984" w:rsidRDefault="00FD3849" w:rsidP="00DE4DC6">
            <w:pPr>
              <w:spacing w:line="240" w:lineRule="auto"/>
              <w:jc w:val="center"/>
              <w:rPr>
                <w:b/>
                <w:bCs/>
                <w:color w:val="FFFFFF" w:themeColor="background1"/>
              </w:rPr>
            </w:pPr>
            <w:r w:rsidRPr="00787984">
              <w:rPr>
                <w:b/>
                <w:bCs/>
                <w:color w:val="FFFFFF" w:themeColor="background1"/>
              </w:rPr>
              <w:t>% Change</w:t>
            </w:r>
          </w:p>
        </w:tc>
      </w:tr>
      <w:tr w:rsidR="005A16F8" w:rsidRPr="00507A3D" w14:paraId="4F4298FE" w14:textId="77777777" w:rsidTr="00BC6EE0">
        <w:trPr>
          <w:trHeight w:val="614"/>
          <w:jc w:val="center"/>
        </w:trPr>
        <w:tc>
          <w:tcPr>
            <w:tcW w:w="535" w:type="dxa"/>
            <w:shd w:val="clear" w:color="auto" w:fill="auto"/>
            <w:noWrap/>
            <w:vAlign w:val="bottom"/>
            <w:hideMark/>
          </w:tcPr>
          <w:p w14:paraId="73E5BD51" w14:textId="77777777" w:rsidR="00787984" w:rsidRPr="00FB5D15" w:rsidRDefault="00787984" w:rsidP="00DE4DC6">
            <w:pPr>
              <w:spacing w:line="240" w:lineRule="auto"/>
              <w:jc w:val="center"/>
            </w:pPr>
            <w:r w:rsidRPr="00FB5D15">
              <w:t>01</w:t>
            </w:r>
          </w:p>
        </w:tc>
        <w:tc>
          <w:tcPr>
            <w:tcW w:w="990" w:type="dxa"/>
            <w:vAlign w:val="bottom"/>
          </w:tcPr>
          <w:p w14:paraId="4F9CB147" w14:textId="77777777" w:rsidR="00787984" w:rsidRPr="00FB5D15" w:rsidRDefault="00787984" w:rsidP="00DE4DC6">
            <w:pPr>
              <w:spacing w:line="240" w:lineRule="auto"/>
              <w:jc w:val="center"/>
              <w:rPr>
                <w:b/>
              </w:rPr>
            </w:pPr>
            <w:r w:rsidRPr="00FB5D15">
              <w:rPr>
                <w:b/>
              </w:rPr>
              <w:t>Gross Profit Margin</w:t>
            </w:r>
          </w:p>
        </w:tc>
        <w:tc>
          <w:tcPr>
            <w:tcW w:w="1350" w:type="dxa"/>
            <w:shd w:val="clear" w:color="auto" w:fill="auto"/>
            <w:noWrap/>
            <w:vAlign w:val="bottom"/>
            <w:hideMark/>
          </w:tcPr>
          <w:p w14:paraId="4949DD84" w14:textId="77777777" w:rsidR="00787984" w:rsidRPr="00507A3D" w:rsidRDefault="00787984" w:rsidP="00DE4DC6">
            <w:pPr>
              <w:spacing w:line="240" w:lineRule="auto"/>
              <w:jc w:val="center"/>
            </w:pPr>
            <w:r w:rsidRPr="00507A3D">
              <w:t>Gross Profit/Sales</w:t>
            </w:r>
          </w:p>
        </w:tc>
        <w:tc>
          <w:tcPr>
            <w:tcW w:w="2520" w:type="dxa"/>
            <w:shd w:val="clear" w:color="auto" w:fill="auto"/>
            <w:noWrap/>
            <w:vAlign w:val="bottom"/>
            <w:hideMark/>
          </w:tcPr>
          <w:p w14:paraId="31C3D9EF" w14:textId="77777777" w:rsidR="00787984" w:rsidRPr="00507A3D" w:rsidRDefault="00787984" w:rsidP="00DE4DC6">
            <w:pPr>
              <w:spacing w:line="240" w:lineRule="auto"/>
              <w:jc w:val="center"/>
            </w:pPr>
            <w:proofErr w:type="gramStart"/>
            <w:r w:rsidRPr="00507A3D">
              <w:t>=(</w:t>
            </w:r>
            <w:proofErr w:type="gramEnd"/>
            <w:r w:rsidRPr="00507A3D">
              <w:t>583</w:t>
            </w:r>
            <w:r>
              <w:t>,000</w:t>
            </w:r>
            <w:r w:rsidRPr="00507A3D">
              <w:t>/4,307</w:t>
            </w:r>
            <w:r>
              <w:t>,000</w:t>
            </w:r>
            <w:r w:rsidRPr="00507A3D">
              <w:t>) x 100</w:t>
            </w:r>
          </w:p>
          <w:p w14:paraId="418C7C84" w14:textId="77777777" w:rsidR="00787984" w:rsidRPr="00507A3D" w:rsidRDefault="00787984" w:rsidP="00DE4DC6">
            <w:pPr>
              <w:spacing w:line="240" w:lineRule="auto"/>
              <w:jc w:val="center"/>
            </w:pPr>
            <w:r w:rsidRPr="00507A3D">
              <w:t>=13.54%</w:t>
            </w:r>
          </w:p>
        </w:tc>
        <w:tc>
          <w:tcPr>
            <w:tcW w:w="2700" w:type="dxa"/>
            <w:vAlign w:val="bottom"/>
          </w:tcPr>
          <w:p w14:paraId="4591B3DC" w14:textId="77777777" w:rsidR="00787984" w:rsidRPr="00507A3D" w:rsidRDefault="00787984" w:rsidP="00DE4DC6">
            <w:pPr>
              <w:spacing w:line="240" w:lineRule="auto"/>
              <w:jc w:val="center"/>
            </w:pPr>
            <w:proofErr w:type="gramStart"/>
            <w:r w:rsidRPr="00507A3D">
              <w:t>=(</w:t>
            </w:r>
            <w:proofErr w:type="gramEnd"/>
            <w:r w:rsidRPr="00507A3D">
              <w:t>2,435</w:t>
            </w:r>
            <w:r>
              <w:t>,000</w:t>
            </w:r>
            <w:r w:rsidRPr="00507A3D">
              <w:t>/9,452</w:t>
            </w:r>
            <w:r>
              <w:t>,000</w:t>
            </w:r>
            <w:r w:rsidRPr="00507A3D">
              <w:t>) x 100</w:t>
            </w:r>
          </w:p>
          <w:p w14:paraId="01ADEBF2" w14:textId="77777777" w:rsidR="00787984" w:rsidRPr="00507A3D" w:rsidRDefault="00787984" w:rsidP="00DE4DC6">
            <w:pPr>
              <w:spacing w:line="240" w:lineRule="auto"/>
              <w:jc w:val="center"/>
            </w:pPr>
            <w:r w:rsidRPr="00507A3D">
              <w:t>=25.76%</w:t>
            </w:r>
          </w:p>
        </w:tc>
        <w:tc>
          <w:tcPr>
            <w:tcW w:w="1170" w:type="dxa"/>
            <w:shd w:val="clear" w:color="000000" w:fill="FFFFFF"/>
            <w:noWrap/>
            <w:vAlign w:val="center"/>
            <w:hideMark/>
          </w:tcPr>
          <w:p w14:paraId="08416168" w14:textId="77777777" w:rsidR="00787984" w:rsidRPr="00DE4DC6" w:rsidRDefault="00787984" w:rsidP="00DE4DC6">
            <w:pPr>
              <w:spacing w:line="240" w:lineRule="auto"/>
              <w:jc w:val="center"/>
              <w:rPr>
                <w:rFonts w:cs="Times New Roman"/>
                <w:color w:val="000000"/>
              </w:rPr>
            </w:pPr>
            <w:r w:rsidRPr="00DE4DC6">
              <w:rPr>
                <w:rFonts w:cs="Times New Roman"/>
                <w:color w:val="000000"/>
              </w:rPr>
              <w:t>-47.46%</w:t>
            </w:r>
          </w:p>
        </w:tc>
      </w:tr>
      <w:tr w:rsidR="005A16F8" w:rsidRPr="00507A3D" w14:paraId="1F6E5DE6" w14:textId="77777777" w:rsidTr="00BC6EE0">
        <w:trPr>
          <w:trHeight w:val="1088"/>
          <w:jc w:val="center"/>
        </w:trPr>
        <w:tc>
          <w:tcPr>
            <w:tcW w:w="535" w:type="dxa"/>
            <w:shd w:val="clear" w:color="auto" w:fill="auto"/>
            <w:noWrap/>
            <w:vAlign w:val="bottom"/>
            <w:hideMark/>
          </w:tcPr>
          <w:p w14:paraId="48F41A4F" w14:textId="77777777" w:rsidR="00787984" w:rsidRPr="00FB5D15" w:rsidRDefault="00787984" w:rsidP="00DE4DC6">
            <w:pPr>
              <w:spacing w:line="240" w:lineRule="auto"/>
              <w:jc w:val="center"/>
            </w:pPr>
            <w:r w:rsidRPr="00FB5D15">
              <w:t>02</w:t>
            </w:r>
          </w:p>
        </w:tc>
        <w:tc>
          <w:tcPr>
            <w:tcW w:w="990" w:type="dxa"/>
            <w:vAlign w:val="bottom"/>
          </w:tcPr>
          <w:p w14:paraId="57A235A5" w14:textId="77777777" w:rsidR="00787984" w:rsidRPr="00FB5D15" w:rsidRDefault="00787984" w:rsidP="00DE4DC6">
            <w:pPr>
              <w:spacing w:line="240" w:lineRule="auto"/>
              <w:jc w:val="center"/>
              <w:rPr>
                <w:b/>
              </w:rPr>
            </w:pPr>
            <w:r w:rsidRPr="00FB5D15">
              <w:rPr>
                <w:b/>
              </w:rPr>
              <w:t>Net Profit Margin</w:t>
            </w:r>
          </w:p>
        </w:tc>
        <w:tc>
          <w:tcPr>
            <w:tcW w:w="1350" w:type="dxa"/>
            <w:shd w:val="clear" w:color="auto" w:fill="auto"/>
            <w:noWrap/>
            <w:vAlign w:val="bottom"/>
            <w:hideMark/>
          </w:tcPr>
          <w:p w14:paraId="04F0D8D5" w14:textId="77777777" w:rsidR="00787984" w:rsidRPr="00507A3D" w:rsidRDefault="00787984" w:rsidP="00DE4DC6">
            <w:pPr>
              <w:spacing w:line="240" w:lineRule="auto"/>
              <w:jc w:val="center"/>
            </w:pPr>
            <w:r w:rsidRPr="00507A3D">
              <w:t>Net Profit/Sales</w:t>
            </w:r>
          </w:p>
        </w:tc>
        <w:tc>
          <w:tcPr>
            <w:tcW w:w="2520" w:type="dxa"/>
            <w:shd w:val="clear" w:color="auto" w:fill="auto"/>
            <w:noWrap/>
            <w:vAlign w:val="bottom"/>
            <w:hideMark/>
          </w:tcPr>
          <w:p w14:paraId="26BB0759" w14:textId="77777777" w:rsidR="00787984" w:rsidRDefault="00787984" w:rsidP="00DE4DC6">
            <w:pPr>
              <w:spacing w:line="240" w:lineRule="auto"/>
              <w:jc w:val="center"/>
            </w:pPr>
            <w:proofErr w:type="gramStart"/>
            <w:r w:rsidRPr="00507A3D">
              <w:t>=(</w:t>
            </w:r>
            <w:proofErr w:type="gramEnd"/>
            <w:r w:rsidRPr="00507A3D">
              <w:t>-715</w:t>
            </w:r>
            <w:r>
              <w:t>,000</w:t>
            </w:r>
            <w:r w:rsidRPr="00507A3D">
              <w:t>/4,307</w:t>
            </w:r>
            <w:r>
              <w:t>,000</w:t>
            </w:r>
            <w:r w:rsidRPr="00507A3D">
              <w:t>)</w:t>
            </w:r>
          </w:p>
          <w:p w14:paraId="70159C00" w14:textId="77777777" w:rsidR="00787984" w:rsidRPr="00507A3D" w:rsidRDefault="00787984" w:rsidP="00DE4DC6">
            <w:pPr>
              <w:spacing w:line="240" w:lineRule="auto"/>
              <w:jc w:val="center"/>
            </w:pPr>
            <w:r w:rsidRPr="00507A3D">
              <w:t>x 100</w:t>
            </w:r>
          </w:p>
          <w:p w14:paraId="080E8E76" w14:textId="77777777" w:rsidR="00787984" w:rsidRPr="00507A3D" w:rsidRDefault="00787984" w:rsidP="00DE4DC6">
            <w:pPr>
              <w:spacing w:line="240" w:lineRule="auto"/>
              <w:jc w:val="center"/>
            </w:pPr>
            <w:r w:rsidRPr="00507A3D">
              <w:t>=-16.60%</w:t>
            </w:r>
          </w:p>
        </w:tc>
        <w:tc>
          <w:tcPr>
            <w:tcW w:w="2700" w:type="dxa"/>
            <w:vAlign w:val="bottom"/>
          </w:tcPr>
          <w:p w14:paraId="317BEC0E" w14:textId="77777777" w:rsidR="00787984" w:rsidRDefault="00787984" w:rsidP="00DE4DC6">
            <w:pPr>
              <w:spacing w:line="240" w:lineRule="auto"/>
              <w:jc w:val="center"/>
            </w:pPr>
            <w:proofErr w:type="gramStart"/>
            <w:r w:rsidRPr="00507A3D">
              <w:t>=(</w:t>
            </w:r>
            <w:proofErr w:type="gramEnd"/>
            <w:r w:rsidRPr="00507A3D">
              <w:t>881</w:t>
            </w:r>
            <w:r>
              <w:t>,000</w:t>
            </w:r>
            <w:r w:rsidRPr="00507A3D">
              <w:t>/9,452</w:t>
            </w:r>
            <w:r>
              <w:t>,000</w:t>
            </w:r>
            <w:r w:rsidRPr="00507A3D">
              <w:t>)</w:t>
            </w:r>
          </w:p>
          <w:p w14:paraId="7A1BAED9" w14:textId="77777777" w:rsidR="00787984" w:rsidRPr="00507A3D" w:rsidRDefault="00787984" w:rsidP="00DE4DC6">
            <w:pPr>
              <w:spacing w:line="240" w:lineRule="auto"/>
              <w:jc w:val="center"/>
            </w:pPr>
            <w:r w:rsidRPr="00507A3D">
              <w:t>x 100</w:t>
            </w:r>
          </w:p>
          <w:p w14:paraId="130FABE7" w14:textId="77777777" w:rsidR="00787984" w:rsidRPr="00507A3D" w:rsidRDefault="00787984" w:rsidP="00DE4DC6">
            <w:pPr>
              <w:spacing w:line="240" w:lineRule="auto"/>
              <w:jc w:val="center"/>
            </w:pPr>
            <w:r w:rsidRPr="00507A3D">
              <w:t>=9.32%</w:t>
            </w:r>
          </w:p>
        </w:tc>
        <w:tc>
          <w:tcPr>
            <w:tcW w:w="1170" w:type="dxa"/>
            <w:shd w:val="clear" w:color="000000" w:fill="FFFFFF"/>
            <w:noWrap/>
            <w:vAlign w:val="center"/>
            <w:hideMark/>
          </w:tcPr>
          <w:p w14:paraId="5B427424" w14:textId="77777777" w:rsidR="00787984" w:rsidRPr="00DE4DC6" w:rsidRDefault="00787984" w:rsidP="00DE4DC6">
            <w:pPr>
              <w:spacing w:line="240" w:lineRule="auto"/>
              <w:jc w:val="center"/>
              <w:rPr>
                <w:rFonts w:cs="Times New Roman"/>
                <w:color w:val="000000"/>
              </w:rPr>
            </w:pPr>
            <w:r w:rsidRPr="00DE4DC6">
              <w:rPr>
                <w:rFonts w:cs="Times New Roman"/>
                <w:color w:val="000000"/>
              </w:rPr>
              <w:t>-278.11%</w:t>
            </w:r>
          </w:p>
        </w:tc>
      </w:tr>
      <w:tr w:rsidR="005A16F8" w:rsidRPr="00507A3D" w14:paraId="058502F6" w14:textId="77777777" w:rsidTr="00BC6EE0">
        <w:trPr>
          <w:trHeight w:val="1484"/>
          <w:jc w:val="center"/>
        </w:trPr>
        <w:tc>
          <w:tcPr>
            <w:tcW w:w="535" w:type="dxa"/>
            <w:shd w:val="clear" w:color="auto" w:fill="auto"/>
            <w:noWrap/>
            <w:vAlign w:val="bottom"/>
            <w:hideMark/>
          </w:tcPr>
          <w:p w14:paraId="68150BB5" w14:textId="77777777" w:rsidR="00787984" w:rsidRPr="00FB5D15" w:rsidRDefault="00787984" w:rsidP="00DE4DC6">
            <w:pPr>
              <w:spacing w:line="240" w:lineRule="auto"/>
              <w:jc w:val="center"/>
            </w:pPr>
            <w:r w:rsidRPr="00FB5D15">
              <w:t>03</w:t>
            </w:r>
          </w:p>
        </w:tc>
        <w:tc>
          <w:tcPr>
            <w:tcW w:w="990" w:type="dxa"/>
            <w:vAlign w:val="bottom"/>
          </w:tcPr>
          <w:p w14:paraId="0A6EFFB7" w14:textId="77777777" w:rsidR="00787984" w:rsidRPr="00FB5D15" w:rsidRDefault="00787984" w:rsidP="00E025FF">
            <w:pPr>
              <w:spacing w:line="240" w:lineRule="auto"/>
              <w:rPr>
                <w:b/>
              </w:rPr>
            </w:pPr>
            <w:r w:rsidRPr="00FB5D15">
              <w:rPr>
                <w:b/>
              </w:rPr>
              <w:t>ROCE</w:t>
            </w:r>
          </w:p>
        </w:tc>
        <w:tc>
          <w:tcPr>
            <w:tcW w:w="1350" w:type="dxa"/>
            <w:shd w:val="clear" w:color="auto" w:fill="auto"/>
            <w:noWrap/>
            <w:vAlign w:val="bottom"/>
            <w:hideMark/>
          </w:tcPr>
          <w:p w14:paraId="5F54C49A" w14:textId="77777777" w:rsidR="00787984" w:rsidRDefault="00DE4DC6" w:rsidP="00DE4DC6">
            <w:pPr>
              <w:spacing w:line="240" w:lineRule="auto"/>
              <w:jc w:val="center"/>
            </w:pPr>
            <w:r>
              <w:t>EBIT</w:t>
            </w:r>
            <w:r w:rsidR="00787984" w:rsidRPr="00507A3D">
              <w:t>/</w:t>
            </w:r>
          </w:p>
          <w:p w14:paraId="52073FD4" w14:textId="77777777" w:rsidR="00787984" w:rsidRPr="00507A3D" w:rsidRDefault="00787984" w:rsidP="00DE4DC6">
            <w:pPr>
              <w:spacing w:line="240" w:lineRule="auto"/>
              <w:jc w:val="center"/>
            </w:pPr>
            <w:r w:rsidRPr="00507A3D">
              <w:t xml:space="preserve">Total Asset </w:t>
            </w:r>
            <w:r w:rsidR="00DE4DC6">
              <w:t xml:space="preserve">- </w:t>
            </w:r>
            <w:r w:rsidRPr="00507A3D">
              <w:t>Current Liabilities</w:t>
            </w:r>
          </w:p>
        </w:tc>
        <w:tc>
          <w:tcPr>
            <w:tcW w:w="2520" w:type="dxa"/>
            <w:shd w:val="clear" w:color="auto" w:fill="auto"/>
            <w:noWrap/>
            <w:vAlign w:val="bottom"/>
            <w:hideMark/>
          </w:tcPr>
          <w:p w14:paraId="7B2899D4" w14:textId="77777777" w:rsidR="00787984" w:rsidRPr="00507A3D" w:rsidRDefault="00787984" w:rsidP="00DE4DC6">
            <w:pPr>
              <w:spacing w:line="240" w:lineRule="auto"/>
              <w:jc w:val="center"/>
            </w:pPr>
            <w:proofErr w:type="gramStart"/>
            <w:r w:rsidRPr="00507A3D">
              <w:t>=(</w:t>
            </w:r>
            <w:proofErr w:type="gramEnd"/>
            <w:r w:rsidRPr="00507A3D">
              <w:t>-495</w:t>
            </w:r>
            <w:r w:rsidR="00885205">
              <w:t>,000</w:t>
            </w:r>
            <w:r w:rsidRPr="00507A3D">
              <w:t>/14,324</w:t>
            </w:r>
            <w:r w:rsidR="00885205">
              <w:t>,000</w:t>
            </w:r>
            <w:r w:rsidRPr="00507A3D">
              <w:t>) x 100</w:t>
            </w:r>
          </w:p>
          <w:p w14:paraId="5FA256D8" w14:textId="77777777" w:rsidR="00787984" w:rsidRPr="00507A3D" w:rsidRDefault="00787984" w:rsidP="00DE4DC6">
            <w:pPr>
              <w:spacing w:line="240" w:lineRule="auto"/>
              <w:jc w:val="center"/>
            </w:pPr>
            <w:r w:rsidRPr="00507A3D">
              <w:t>=-3.46%</w:t>
            </w:r>
          </w:p>
        </w:tc>
        <w:tc>
          <w:tcPr>
            <w:tcW w:w="2700" w:type="dxa"/>
            <w:vAlign w:val="bottom"/>
          </w:tcPr>
          <w:p w14:paraId="71EA8DFB" w14:textId="77777777" w:rsidR="00787984" w:rsidRPr="00507A3D" w:rsidRDefault="00787984" w:rsidP="00DE4DC6">
            <w:pPr>
              <w:spacing w:line="240" w:lineRule="auto"/>
              <w:jc w:val="center"/>
            </w:pPr>
            <w:proofErr w:type="gramStart"/>
            <w:r w:rsidRPr="00507A3D">
              <w:t>=(</w:t>
            </w:r>
            <w:proofErr w:type="gramEnd"/>
            <w:r w:rsidRPr="00507A3D">
              <w:t>1,658</w:t>
            </w:r>
            <w:r>
              <w:t>,000/</w:t>
            </w:r>
            <w:r w:rsidRPr="00507A3D">
              <w:t>12,086</w:t>
            </w:r>
            <w:r>
              <w:t>,000</w:t>
            </w:r>
            <w:r w:rsidRPr="00507A3D">
              <w:t>) x 100</w:t>
            </w:r>
          </w:p>
          <w:p w14:paraId="4E55DD81" w14:textId="77777777" w:rsidR="00787984" w:rsidRPr="00507A3D" w:rsidRDefault="00787984" w:rsidP="00DE4DC6">
            <w:pPr>
              <w:spacing w:line="240" w:lineRule="auto"/>
              <w:jc w:val="center"/>
            </w:pPr>
            <w:r w:rsidRPr="00507A3D">
              <w:t>=13.72%</w:t>
            </w:r>
          </w:p>
        </w:tc>
        <w:tc>
          <w:tcPr>
            <w:tcW w:w="1170" w:type="dxa"/>
            <w:shd w:val="clear" w:color="000000" w:fill="FFFFFF"/>
            <w:noWrap/>
            <w:vAlign w:val="center"/>
            <w:hideMark/>
          </w:tcPr>
          <w:p w14:paraId="4F1F7980" w14:textId="77777777" w:rsidR="00787984" w:rsidRPr="00DE4DC6" w:rsidRDefault="00787984" w:rsidP="00DE4DC6">
            <w:pPr>
              <w:spacing w:line="240" w:lineRule="auto"/>
              <w:jc w:val="center"/>
              <w:rPr>
                <w:rFonts w:cs="Times New Roman"/>
                <w:color w:val="000000"/>
              </w:rPr>
            </w:pPr>
            <w:r w:rsidRPr="00DE4DC6">
              <w:rPr>
                <w:rFonts w:cs="Times New Roman"/>
                <w:color w:val="000000"/>
              </w:rPr>
              <w:t>-125.19%</w:t>
            </w:r>
          </w:p>
        </w:tc>
      </w:tr>
    </w:tbl>
    <w:p w14:paraId="5ACF5A94" w14:textId="77777777" w:rsidR="003407D7" w:rsidRPr="003407D7" w:rsidRDefault="003407D7" w:rsidP="003407D7">
      <w:pPr>
        <w:jc w:val="center"/>
      </w:pPr>
      <w:r w:rsidRPr="003407D7">
        <w:lastRenderedPageBreak/>
        <w:t>Table 01: Profitability Ratios</w:t>
      </w:r>
    </w:p>
    <w:p w14:paraId="5FD2B6FB" w14:textId="77777777" w:rsidR="004A2E15" w:rsidRDefault="003407D7" w:rsidP="004A2E15">
      <w:pPr>
        <w:jc w:val="center"/>
      </w:pPr>
      <w:r w:rsidRPr="003407D7">
        <w:t>Source: Own Calculation</w:t>
      </w:r>
    </w:p>
    <w:p w14:paraId="31C2A582" w14:textId="77777777" w:rsidR="005539F8" w:rsidRDefault="005539F8" w:rsidP="005539F8">
      <w:r>
        <w:t xml:space="preserve">These calculations show that, the ratios are lower than </w:t>
      </w:r>
      <w:r w:rsidR="00F002CD">
        <w:t xml:space="preserve">the </w:t>
      </w:r>
      <w:r>
        <w:t xml:space="preserve">industry threshold (25%-40%), which denotes their incapability to generate enough profit. In fact, in 2020, ROCE and Net profit margin ratios went negative due to </w:t>
      </w:r>
      <w:r w:rsidR="00F002CD">
        <w:t xml:space="preserve">a </w:t>
      </w:r>
      <w:r>
        <w:t>reduction in revenue.</w:t>
      </w:r>
    </w:p>
    <w:p w14:paraId="13543C67" w14:textId="77777777" w:rsidR="005539F8" w:rsidRDefault="004A2E15" w:rsidP="00E53A38">
      <w:pPr>
        <w:pStyle w:val="Heading2"/>
      </w:pPr>
      <w:bookmarkStart w:id="4" w:name="_Toc103888189"/>
      <w:r>
        <w:t>Asset Turnover Ratio</w:t>
      </w:r>
      <w:bookmarkEnd w:id="4"/>
    </w:p>
    <w:p w14:paraId="219DFC88" w14:textId="77777777" w:rsidR="00BC6EE0" w:rsidRPr="00BC6EE0" w:rsidRDefault="00BC6EE0" w:rsidP="00BC6EE0"/>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1260"/>
        <w:gridCol w:w="1890"/>
        <w:gridCol w:w="1890"/>
        <w:gridCol w:w="2070"/>
        <w:gridCol w:w="1260"/>
      </w:tblGrid>
      <w:tr w:rsidR="004A4D27" w:rsidRPr="004A4D27" w14:paraId="5BDB01AD" w14:textId="77777777" w:rsidTr="00776625">
        <w:trPr>
          <w:trHeight w:val="221"/>
          <w:jc w:val="center"/>
        </w:trPr>
        <w:tc>
          <w:tcPr>
            <w:tcW w:w="625" w:type="dxa"/>
            <w:shd w:val="clear" w:color="auto" w:fill="538135" w:themeFill="accent6" w:themeFillShade="BF"/>
            <w:noWrap/>
            <w:vAlign w:val="bottom"/>
            <w:hideMark/>
          </w:tcPr>
          <w:p w14:paraId="44EDC153" w14:textId="77777777" w:rsidR="004A2E15" w:rsidRPr="004A4D27" w:rsidRDefault="004A2E15" w:rsidP="004A2E15">
            <w:pPr>
              <w:spacing w:line="240" w:lineRule="auto"/>
              <w:jc w:val="center"/>
              <w:rPr>
                <w:rFonts w:cs="Times New Roman"/>
                <w:b/>
                <w:color w:val="FFFFFF" w:themeColor="background1"/>
              </w:rPr>
            </w:pPr>
            <w:r w:rsidRPr="004A4D27">
              <w:rPr>
                <w:rFonts w:cs="Times New Roman"/>
                <w:b/>
                <w:color w:val="FFFFFF" w:themeColor="background1"/>
              </w:rPr>
              <w:t>No</w:t>
            </w:r>
          </w:p>
        </w:tc>
        <w:tc>
          <w:tcPr>
            <w:tcW w:w="1260" w:type="dxa"/>
            <w:shd w:val="clear" w:color="auto" w:fill="538135" w:themeFill="accent6" w:themeFillShade="BF"/>
            <w:vAlign w:val="bottom"/>
          </w:tcPr>
          <w:p w14:paraId="701E77C6" w14:textId="77777777" w:rsidR="004A2E15" w:rsidRPr="004A4D27" w:rsidRDefault="004A2E15" w:rsidP="004A2E15">
            <w:pPr>
              <w:spacing w:line="240" w:lineRule="auto"/>
              <w:jc w:val="center"/>
              <w:rPr>
                <w:rFonts w:cs="Times New Roman"/>
                <w:b/>
                <w:color w:val="FFFFFF" w:themeColor="background1"/>
              </w:rPr>
            </w:pPr>
            <w:r w:rsidRPr="004A4D27">
              <w:rPr>
                <w:rFonts w:cs="Times New Roman"/>
                <w:b/>
                <w:color w:val="FFFFFF" w:themeColor="background1"/>
              </w:rPr>
              <w:t>Name</w:t>
            </w:r>
          </w:p>
        </w:tc>
        <w:tc>
          <w:tcPr>
            <w:tcW w:w="1890" w:type="dxa"/>
            <w:shd w:val="clear" w:color="auto" w:fill="538135" w:themeFill="accent6" w:themeFillShade="BF"/>
            <w:noWrap/>
            <w:vAlign w:val="bottom"/>
            <w:hideMark/>
          </w:tcPr>
          <w:p w14:paraId="5BE5D2FA" w14:textId="77777777" w:rsidR="004A2E15" w:rsidRPr="004A4D27" w:rsidRDefault="004A2E15" w:rsidP="004A2E15">
            <w:pPr>
              <w:spacing w:line="240" w:lineRule="auto"/>
              <w:jc w:val="center"/>
              <w:rPr>
                <w:rFonts w:cs="Times New Roman"/>
                <w:b/>
                <w:color w:val="FFFFFF" w:themeColor="background1"/>
              </w:rPr>
            </w:pPr>
            <w:r w:rsidRPr="004A4D27">
              <w:rPr>
                <w:rFonts w:cs="Times New Roman"/>
                <w:b/>
                <w:color w:val="FFFFFF" w:themeColor="background1"/>
              </w:rPr>
              <w:t>Formula</w:t>
            </w:r>
          </w:p>
        </w:tc>
        <w:tc>
          <w:tcPr>
            <w:tcW w:w="1890" w:type="dxa"/>
            <w:shd w:val="clear" w:color="auto" w:fill="538135" w:themeFill="accent6" w:themeFillShade="BF"/>
            <w:noWrap/>
            <w:vAlign w:val="bottom"/>
            <w:hideMark/>
          </w:tcPr>
          <w:p w14:paraId="1ADB97F7" w14:textId="77777777" w:rsidR="004A2E15" w:rsidRPr="004A4D27" w:rsidRDefault="004A2E15" w:rsidP="004A2E15">
            <w:pPr>
              <w:spacing w:line="240" w:lineRule="auto"/>
              <w:jc w:val="center"/>
              <w:rPr>
                <w:rFonts w:cs="Times New Roman"/>
                <w:b/>
                <w:bCs/>
                <w:color w:val="FFFFFF" w:themeColor="background1"/>
              </w:rPr>
            </w:pPr>
            <w:r w:rsidRPr="004A4D27">
              <w:rPr>
                <w:rFonts w:cs="Times New Roman"/>
                <w:b/>
                <w:bCs/>
                <w:color w:val="FFFFFF" w:themeColor="background1"/>
              </w:rPr>
              <w:t>Calculation for 2020</w:t>
            </w:r>
          </w:p>
        </w:tc>
        <w:tc>
          <w:tcPr>
            <w:tcW w:w="2070" w:type="dxa"/>
            <w:shd w:val="clear" w:color="auto" w:fill="538135" w:themeFill="accent6" w:themeFillShade="BF"/>
            <w:vAlign w:val="bottom"/>
          </w:tcPr>
          <w:p w14:paraId="75619BB8" w14:textId="77777777" w:rsidR="004A2E15" w:rsidRPr="004A4D27" w:rsidRDefault="004A2E15" w:rsidP="004A2E15">
            <w:pPr>
              <w:spacing w:line="240" w:lineRule="auto"/>
              <w:jc w:val="center"/>
              <w:rPr>
                <w:rFonts w:cs="Times New Roman"/>
                <w:b/>
                <w:bCs/>
                <w:color w:val="FFFFFF" w:themeColor="background1"/>
              </w:rPr>
            </w:pPr>
            <w:r w:rsidRPr="004A4D27">
              <w:rPr>
                <w:rFonts w:cs="Times New Roman"/>
                <w:b/>
                <w:bCs/>
                <w:color w:val="FFFFFF" w:themeColor="background1"/>
              </w:rPr>
              <w:t>Calculation for 2019</w:t>
            </w:r>
          </w:p>
        </w:tc>
        <w:tc>
          <w:tcPr>
            <w:tcW w:w="1260" w:type="dxa"/>
            <w:shd w:val="clear" w:color="auto" w:fill="538135" w:themeFill="accent6" w:themeFillShade="BF"/>
            <w:vAlign w:val="bottom"/>
          </w:tcPr>
          <w:p w14:paraId="3C9FDC80" w14:textId="77777777" w:rsidR="004A2E15" w:rsidRPr="004A4D27" w:rsidRDefault="004A2E15" w:rsidP="004A2E15">
            <w:pPr>
              <w:spacing w:line="240" w:lineRule="auto"/>
              <w:jc w:val="center"/>
              <w:rPr>
                <w:rFonts w:cs="Times New Roman"/>
                <w:b/>
                <w:bCs/>
                <w:color w:val="FFFFFF" w:themeColor="background1"/>
              </w:rPr>
            </w:pPr>
            <w:r w:rsidRPr="004A4D27">
              <w:rPr>
                <w:rFonts w:cs="Times New Roman"/>
                <w:b/>
                <w:bCs/>
                <w:color w:val="FFFFFF" w:themeColor="background1"/>
              </w:rPr>
              <w:t>% Change</w:t>
            </w:r>
          </w:p>
        </w:tc>
      </w:tr>
      <w:tr w:rsidR="004A4D27" w:rsidRPr="004A4D27" w14:paraId="06109982" w14:textId="77777777" w:rsidTr="00776625">
        <w:trPr>
          <w:trHeight w:val="2105"/>
          <w:jc w:val="center"/>
        </w:trPr>
        <w:tc>
          <w:tcPr>
            <w:tcW w:w="625" w:type="dxa"/>
            <w:shd w:val="clear" w:color="auto" w:fill="auto"/>
            <w:noWrap/>
            <w:vAlign w:val="bottom"/>
            <w:hideMark/>
          </w:tcPr>
          <w:p w14:paraId="7BDC2841" w14:textId="77777777" w:rsidR="004A4D27" w:rsidRPr="004A4D27" w:rsidRDefault="004A4D27" w:rsidP="00E62E62">
            <w:pPr>
              <w:spacing w:line="276" w:lineRule="auto"/>
              <w:jc w:val="center"/>
              <w:rPr>
                <w:rFonts w:cs="Times New Roman"/>
              </w:rPr>
            </w:pPr>
            <w:r w:rsidRPr="004A4D27">
              <w:rPr>
                <w:rFonts w:cs="Times New Roman"/>
              </w:rPr>
              <w:t>01</w:t>
            </w:r>
          </w:p>
        </w:tc>
        <w:tc>
          <w:tcPr>
            <w:tcW w:w="1260" w:type="dxa"/>
            <w:vAlign w:val="bottom"/>
          </w:tcPr>
          <w:p w14:paraId="480140B8" w14:textId="77777777" w:rsidR="004A4D27" w:rsidRPr="004A4D27" w:rsidRDefault="004A4D27" w:rsidP="00E62E62">
            <w:pPr>
              <w:spacing w:line="276" w:lineRule="auto"/>
              <w:jc w:val="center"/>
              <w:rPr>
                <w:rFonts w:cs="Times New Roman"/>
                <w:b/>
              </w:rPr>
            </w:pPr>
            <w:r w:rsidRPr="004A4D27">
              <w:rPr>
                <w:rFonts w:cs="Times New Roman"/>
                <w:b/>
              </w:rPr>
              <w:t>Total Assets Turnover</w:t>
            </w:r>
          </w:p>
        </w:tc>
        <w:tc>
          <w:tcPr>
            <w:tcW w:w="1890" w:type="dxa"/>
            <w:shd w:val="clear" w:color="auto" w:fill="auto"/>
            <w:noWrap/>
            <w:vAlign w:val="bottom"/>
            <w:hideMark/>
          </w:tcPr>
          <w:p w14:paraId="731CBD77" w14:textId="77777777" w:rsidR="004A4D27" w:rsidRPr="004A4D27" w:rsidRDefault="004A4D27" w:rsidP="00776625">
            <w:pPr>
              <w:spacing w:line="276" w:lineRule="auto"/>
              <w:jc w:val="center"/>
              <w:rPr>
                <w:rFonts w:cs="Times New Roman"/>
              </w:rPr>
            </w:pPr>
            <w:r w:rsidRPr="004A4D27">
              <w:rPr>
                <w:rFonts w:cs="Times New Roman"/>
              </w:rPr>
              <w:t xml:space="preserve">Sales Turnover/Total Assets </w:t>
            </w:r>
            <w:r w:rsidR="00776625">
              <w:rPr>
                <w:rFonts w:cs="Times New Roman"/>
              </w:rPr>
              <w:t xml:space="preserve">- </w:t>
            </w:r>
            <w:r w:rsidRPr="004A4D27">
              <w:rPr>
                <w:rFonts w:cs="Times New Roman"/>
              </w:rPr>
              <w:t>Current Liabilities</w:t>
            </w:r>
          </w:p>
        </w:tc>
        <w:tc>
          <w:tcPr>
            <w:tcW w:w="1890" w:type="dxa"/>
            <w:shd w:val="clear" w:color="auto" w:fill="auto"/>
            <w:noWrap/>
            <w:vAlign w:val="bottom"/>
            <w:hideMark/>
          </w:tcPr>
          <w:p w14:paraId="309D6A47" w14:textId="77777777" w:rsidR="004A4D27" w:rsidRPr="004A4D27" w:rsidRDefault="004A4D27" w:rsidP="00E62E62">
            <w:pPr>
              <w:spacing w:line="276" w:lineRule="auto"/>
              <w:jc w:val="center"/>
              <w:rPr>
                <w:rFonts w:cs="Times New Roman"/>
              </w:rPr>
            </w:pPr>
            <w:r w:rsidRPr="004A4D27">
              <w:rPr>
                <w:rFonts w:cs="Times New Roman"/>
              </w:rPr>
              <w:t>=4,307,000/</w:t>
            </w:r>
          </w:p>
          <w:p w14:paraId="2202FCF0" w14:textId="77777777" w:rsidR="004A4D27" w:rsidRPr="004A4D27" w:rsidRDefault="004A4D27" w:rsidP="00E62E62">
            <w:pPr>
              <w:spacing w:line="276" w:lineRule="auto"/>
              <w:jc w:val="center"/>
              <w:rPr>
                <w:rFonts w:cs="Times New Roman"/>
              </w:rPr>
            </w:pPr>
            <w:r w:rsidRPr="004A4D27">
              <w:rPr>
                <w:rFonts w:cs="Times New Roman"/>
              </w:rPr>
              <w:t>14,324,000</w:t>
            </w:r>
          </w:p>
          <w:p w14:paraId="67AE402D" w14:textId="77777777" w:rsidR="004A4D27" w:rsidRPr="004A4D27" w:rsidRDefault="004A4D27" w:rsidP="00E62E62">
            <w:pPr>
              <w:spacing w:line="276" w:lineRule="auto"/>
              <w:jc w:val="center"/>
              <w:rPr>
                <w:rFonts w:cs="Times New Roman"/>
              </w:rPr>
            </w:pPr>
            <w:r w:rsidRPr="004A4D27">
              <w:rPr>
                <w:rFonts w:cs="Times New Roman"/>
              </w:rPr>
              <w:t>=0.30 times</w:t>
            </w:r>
          </w:p>
        </w:tc>
        <w:tc>
          <w:tcPr>
            <w:tcW w:w="2070" w:type="dxa"/>
            <w:vAlign w:val="bottom"/>
          </w:tcPr>
          <w:p w14:paraId="22E0F902" w14:textId="77777777" w:rsidR="004A4D27" w:rsidRPr="004A4D27" w:rsidRDefault="004A4D27" w:rsidP="00E62E62">
            <w:pPr>
              <w:spacing w:line="276" w:lineRule="auto"/>
              <w:jc w:val="center"/>
              <w:rPr>
                <w:rFonts w:cs="Times New Roman"/>
              </w:rPr>
            </w:pPr>
            <w:r w:rsidRPr="004A4D27">
              <w:rPr>
                <w:rFonts w:cs="Times New Roman"/>
              </w:rPr>
              <w:t>=9,452,000/</w:t>
            </w:r>
          </w:p>
          <w:p w14:paraId="2BBD8277" w14:textId="77777777" w:rsidR="004A4D27" w:rsidRPr="004A4D27" w:rsidRDefault="004A4D27" w:rsidP="00E62E62">
            <w:pPr>
              <w:spacing w:line="276" w:lineRule="auto"/>
              <w:jc w:val="center"/>
              <w:rPr>
                <w:rFonts w:cs="Times New Roman"/>
              </w:rPr>
            </w:pPr>
            <w:r w:rsidRPr="004A4D27">
              <w:rPr>
                <w:rFonts w:cs="Times New Roman"/>
              </w:rPr>
              <w:t>12,086,000</w:t>
            </w:r>
          </w:p>
          <w:p w14:paraId="2042E6AD" w14:textId="77777777" w:rsidR="004A4D27" w:rsidRPr="004A4D27" w:rsidRDefault="004A4D27" w:rsidP="00E62E62">
            <w:pPr>
              <w:spacing w:line="276" w:lineRule="auto"/>
              <w:jc w:val="center"/>
              <w:rPr>
                <w:rFonts w:cs="Times New Roman"/>
              </w:rPr>
            </w:pPr>
            <w:r w:rsidRPr="004A4D27">
              <w:rPr>
                <w:rFonts w:cs="Times New Roman"/>
              </w:rPr>
              <w:t>=0.78 times</w:t>
            </w:r>
          </w:p>
        </w:tc>
        <w:tc>
          <w:tcPr>
            <w:tcW w:w="1260" w:type="dxa"/>
            <w:shd w:val="clear" w:color="000000" w:fill="FFFFFF"/>
            <w:vAlign w:val="center"/>
          </w:tcPr>
          <w:p w14:paraId="41982D59" w14:textId="77777777" w:rsidR="004A4D27" w:rsidRPr="004A4D27" w:rsidRDefault="004A4D27" w:rsidP="00E62E62">
            <w:pPr>
              <w:spacing w:line="276" w:lineRule="auto"/>
              <w:jc w:val="center"/>
              <w:rPr>
                <w:rFonts w:cs="Times New Roman"/>
                <w:color w:val="000000"/>
              </w:rPr>
            </w:pPr>
            <w:r w:rsidRPr="004A4D27">
              <w:rPr>
                <w:rFonts w:cs="Times New Roman"/>
                <w:color w:val="000000"/>
              </w:rPr>
              <w:t>-61.55%</w:t>
            </w:r>
          </w:p>
        </w:tc>
      </w:tr>
      <w:tr w:rsidR="004A4D27" w:rsidRPr="004A4D27" w14:paraId="107A95F6" w14:textId="77777777" w:rsidTr="00776625">
        <w:trPr>
          <w:trHeight w:val="660"/>
          <w:jc w:val="center"/>
        </w:trPr>
        <w:tc>
          <w:tcPr>
            <w:tcW w:w="625" w:type="dxa"/>
            <w:shd w:val="clear" w:color="auto" w:fill="auto"/>
            <w:noWrap/>
            <w:vAlign w:val="bottom"/>
            <w:hideMark/>
          </w:tcPr>
          <w:p w14:paraId="45DDD277" w14:textId="77777777" w:rsidR="004A4D27" w:rsidRPr="004A4D27" w:rsidRDefault="004A4D27" w:rsidP="00E62E62">
            <w:pPr>
              <w:spacing w:line="276" w:lineRule="auto"/>
              <w:jc w:val="center"/>
              <w:rPr>
                <w:rFonts w:cs="Times New Roman"/>
              </w:rPr>
            </w:pPr>
            <w:r w:rsidRPr="004A4D27">
              <w:rPr>
                <w:rFonts w:cs="Times New Roman"/>
              </w:rPr>
              <w:t>02</w:t>
            </w:r>
          </w:p>
        </w:tc>
        <w:tc>
          <w:tcPr>
            <w:tcW w:w="1260" w:type="dxa"/>
            <w:vAlign w:val="bottom"/>
          </w:tcPr>
          <w:p w14:paraId="69DFE895" w14:textId="77777777" w:rsidR="004A4D27" w:rsidRPr="004A4D27" w:rsidRDefault="004A4D27" w:rsidP="00E62E62">
            <w:pPr>
              <w:spacing w:line="276" w:lineRule="auto"/>
              <w:jc w:val="center"/>
              <w:rPr>
                <w:rFonts w:cs="Times New Roman"/>
                <w:b/>
              </w:rPr>
            </w:pPr>
            <w:r w:rsidRPr="004A4D27">
              <w:rPr>
                <w:rFonts w:cs="Times New Roman"/>
                <w:b/>
              </w:rPr>
              <w:t>Fixed Assets Turnover</w:t>
            </w:r>
          </w:p>
        </w:tc>
        <w:tc>
          <w:tcPr>
            <w:tcW w:w="1890" w:type="dxa"/>
            <w:shd w:val="clear" w:color="auto" w:fill="auto"/>
            <w:noWrap/>
            <w:vAlign w:val="bottom"/>
            <w:hideMark/>
          </w:tcPr>
          <w:p w14:paraId="4DEA95A9" w14:textId="77777777" w:rsidR="004A4D27" w:rsidRPr="004A4D27" w:rsidRDefault="004A4D27" w:rsidP="00E62E62">
            <w:pPr>
              <w:spacing w:line="276" w:lineRule="auto"/>
              <w:jc w:val="center"/>
              <w:rPr>
                <w:rFonts w:cs="Times New Roman"/>
              </w:rPr>
            </w:pPr>
            <w:r w:rsidRPr="004A4D27">
              <w:rPr>
                <w:rFonts w:cs="Times New Roman"/>
              </w:rPr>
              <w:t>Sales Turnover/Fixed Assets</w:t>
            </w:r>
          </w:p>
        </w:tc>
        <w:tc>
          <w:tcPr>
            <w:tcW w:w="1890" w:type="dxa"/>
            <w:shd w:val="clear" w:color="auto" w:fill="auto"/>
            <w:noWrap/>
            <w:vAlign w:val="bottom"/>
            <w:hideMark/>
          </w:tcPr>
          <w:p w14:paraId="3B7C6610" w14:textId="77777777" w:rsidR="004A4D27" w:rsidRPr="004A4D27" w:rsidRDefault="004A4D27" w:rsidP="00E62E62">
            <w:pPr>
              <w:spacing w:line="276" w:lineRule="auto"/>
              <w:jc w:val="center"/>
              <w:rPr>
                <w:rFonts w:cs="Times New Roman"/>
              </w:rPr>
            </w:pPr>
            <w:r w:rsidRPr="004A4D27">
              <w:rPr>
                <w:rFonts w:cs="Times New Roman"/>
              </w:rPr>
              <w:t>=4,307,000/</w:t>
            </w:r>
          </w:p>
          <w:p w14:paraId="2E643C58" w14:textId="77777777" w:rsidR="004A4D27" w:rsidRPr="004A4D27" w:rsidRDefault="004A4D27" w:rsidP="00E62E62">
            <w:pPr>
              <w:spacing w:line="276" w:lineRule="auto"/>
              <w:jc w:val="center"/>
              <w:rPr>
                <w:rFonts w:cs="Times New Roman"/>
              </w:rPr>
            </w:pPr>
            <w:r w:rsidRPr="004A4D27">
              <w:rPr>
                <w:rFonts w:cs="Times New Roman"/>
              </w:rPr>
              <w:t>15,810,000</w:t>
            </w:r>
          </w:p>
          <w:p w14:paraId="566BCF37" w14:textId="77777777" w:rsidR="004A4D27" w:rsidRPr="004A4D27" w:rsidRDefault="004A4D27" w:rsidP="00E62E62">
            <w:pPr>
              <w:spacing w:line="276" w:lineRule="auto"/>
              <w:jc w:val="center"/>
              <w:rPr>
                <w:rFonts w:cs="Times New Roman"/>
              </w:rPr>
            </w:pPr>
            <w:r w:rsidRPr="004A4D27">
              <w:rPr>
                <w:rFonts w:cs="Times New Roman"/>
              </w:rPr>
              <w:t>=0.27 times</w:t>
            </w:r>
          </w:p>
        </w:tc>
        <w:tc>
          <w:tcPr>
            <w:tcW w:w="2070" w:type="dxa"/>
            <w:vAlign w:val="bottom"/>
          </w:tcPr>
          <w:p w14:paraId="00F94342" w14:textId="77777777" w:rsidR="004A4D27" w:rsidRPr="004A4D27" w:rsidRDefault="004A4D27" w:rsidP="00E62E62">
            <w:pPr>
              <w:spacing w:line="276" w:lineRule="auto"/>
              <w:jc w:val="center"/>
              <w:rPr>
                <w:rFonts w:cs="Times New Roman"/>
              </w:rPr>
            </w:pPr>
            <w:r w:rsidRPr="004A4D27">
              <w:rPr>
                <w:rFonts w:cs="Times New Roman"/>
              </w:rPr>
              <w:t>=9,452,000/</w:t>
            </w:r>
          </w:p>
          <w:p w14:paraId="7595D905" w14:textId="77777777" w:rsidR="004A4D27" w:rsidRPr="004A4D27" w:rsidRDefault="004A4D27" w:rsidP="00E62E62">
            <w:pPr>
              <w:spacing w:line="276" w:lineRule="auto"/>
              <w:jc w:val="center"/>
              <w:rPr>
                <w:rFonts w:cs="Times New Roman"/>
              </w:rPr>
            </w:pPr>
            <w:r w:rsidRPr="004A4D27">
              <w:rPr>
                <w:rFonts w:cs="Times New Roman"/>
              </w:rPr>
              <w:t>12,086,000</w:t>
            </w:r>
          </w:p>
          <w:p w14:paraId="10B38ECE" w14:textId="77777777" w:rsidR="004A4D27" w:rsidRPr="004A4D27" w:rsidRDefault="004A4D27" w:rsidP="00E62E62">
            <w:pPr>
              <w:spacing w:line="276" w:lineRule="auto"/>
              <w:jc w:val="center"/>
              <w:rPr>
                <w:rFonts w:cs="Times New Roman"/>
              </w:rPr>
            </w:pPr>
            <w:r w:rsidRPr="004A4D27">
              <w:rPr>
                <w:rFonts w:cs="Times New Roman"/>
              </w:rPr>
              <w:t>=0.78 times</w:t>
            </w:r>
          </w:p>
        </w:tc>
        <w:tc>
          <w:tcPr>
            <w:tcW w:w="1260" w:type="dxa"/>
            <w:shd w:val="clear" w:color="000000" w:fill="FFFFFF"/>
            <w:vAlign w:val="center"/>
          </w:tcPr>
          <w:p w14:paraId="537A28C3" w14:textId="77777777" w:rsidR="004A4D27" w:rsidRPr="004A4D27" w:rsidRDefault="004A4D27" w:rsidP="00E62E62">
            <w:pPr>
              <w:spacing w:line="276" w:lineRule="auto"/>
              <w:jc w:val="center"/>
              <w:rPr>
                <w:rFonts w:cs="Times New Roman"/>
                <w:color w:val="000000"/>
              </w:rPr>
            </w:pPr>
            <w:r w:rsidRPr="004A4D27">
              <w:rPr>
                <w:rFonts w:cs="Times New Roman"/>
                <w:color w:val="000000"/>
              </w:rPr>
              <w:t>-63.81%</w:t>
            </w:r>
          </w:p>
        </w:tc>
      </w:tr>
      <w:tr w:rsidR="004A4D27" w:rsidRPr="004A4D27" w14:paraId="22882270" w14:textId="77777777" w:rsidTr="00776625">
        <w:trPr>
          <w:trHeight w:val="705"/>
          <w:jc w:val="center"/>
        </w:trPr>
        <w:tc>
          <w:tcPr>
            <w:tcW w:w="625" w:type="dxa"/>
            <w:shd w:val="clear" w:color="auto" w:fill="auto"/>
            <w:noWrap/>
            <w:vAlign w:val="bottom"/>
            <w:hideMark/>
          </w:tcPr>
          <w:p w14:paraId="49D7BF08" w14:textId="77777777" w:rsidR="004A4D27" w:rsidRPr="004A4D27" w:rsidRDefault="004A4D27" w:rsidP="00E62E62">
            <w:pPr>
              <w:spacing w:line="276" w:lineRule="auto"/>
              <w:jc w:val="center"/>
              <w:rPr>
                <w:rFonts w:cs="Times New Roman"/>
              </w:rPr>
            </w:pPr>
            <w:r w:rsidRPr="004A4D27">
              <w:rPr>
                <w:rFonts w:cs="Times New Roman"/>
              </w:rPr>
              <w:t>03</w:t>
            </w:r>
          </w:p>
        </w:tc>
        <w:tc>
          <w:tcPr>
            <w:tcW w:w="1260" w:type="dxa"/>
            <w:vAlign w:val="bottom"/>
          </w:tcPr>
          <w:p w14:paraId="74C86660" w14:textId="77777777" w:rsidR="004A4D27" w:rsidRPr="004A4D27" w:rsidRDefault="004A4D27" w:rsidP="00E62E62">
            <w:pPr>
              <w:spacing w:line="276" w:lineRule="auto"/>
              <w:jc w:val="center"/>
              <w:rPr>
                <w:rFonts w:cs="Times New Roman"/>
                <w:b/>
              </w:rPr>
            </w:pPr>
            <w:r w:rsidRPr="004A4D27">
              <w:rPr>
                <w:rFonts w:cs="Times New Roman"/>
                <w:b/>
              </w:rPr>
              <w:t>Working Capital Turnover</w:t>
            </w:r>
          </w:p>
        </w:tc>
        <w:tc>
          <w:tcPr>
            <w:tcW w:w="1890" w:type="dxa"/>
            <w:shd w:val="clear" w:color="auto" w:fill="auto"/>
            <w:noWrap/>
            <w:vAlign w:val="bottom"/>
            <w:hideMark/>
          </w:tcPr>
          <w:p w14:paraId="470C7439" w14:textId="77777777" w:rsidR="004A4D27" w:rsidRPr="004A4D27" w:rsidRDefault="004A4D27" w:rsidP="00E62E62">
            <w:pPr>
              <w:spacing w:line="276" w:lineRule="auto"/>
              <w:jc w:val="center"/>
              <w:rPr>
                <w:rFonts w:cs="Times New Roman"/>
              </w:rPr>
            </w:pPr>
            <w:r w:rsidRPr="004A4D27">
              <w:rPr>
                <w:rFonts w:cs="Times New Roman"/>
              </w:rPr>
              <w:t>Sales Turnover/Net Current Assets</w:t>
            </w:r>
          </w:p>
        </w:tc>
        <w:tc>
          <w:tcPr>
            <w:tcW w:w="1890" w:type="dxa"/>
            <w:shd w:val="clear" w:color="auto" w:fill="auto"/>
            <w:noWrap/>
            <w:vAlign w:val="bottom"/>
            <w:hideMark/>
          </w:tcPr>
          <w:p w14:paraId="43D39895" w14:textId="77777777" w:rsidR="004A4D27" w:rsidRPr="004A4D27" w:rsidRDefault="004A4D27" w:rsidP="00E62E62">
            <w:pPr>
              <w:spacing w:line="276" w:lineRule="auto"/>
              <w:jc w:val="center"/>
              <w:rPr>
                <w:rFonts w:cs="Times New Roman"/>
              </w:rPr>
            </w:pPr>
            <w:r w:rsidRPr="004A4D27">
              <w:rPr>
                <w:rFonts w:cs="Times New Roman"/>
              </w:rPr>
              <w:t>=4,307,000/</w:t>
            </w:r>
          </w:p>
          <w:p w14:paraId="279158DB" w14:textId="77777777" w:rsidR="004A4D27" w:rsidRPr="004A4D27" w:rsidRDefault="004A4D27" w:rsidP="00E62E62">
            <w:pPr>
              <w:spacing w:line="276" w:lineRule="auto"/>
              <w:jc w:val="center"/>
              <w:rPr>
                <w:rFonts w:cs="Times New Roman"/>
              </w:rPr>
            </w:pPr>
            <w:r w:rsidRPr="004A4D27">
              <w:rPr>
                <w:rFonts w:cs="Times New Roman"/>
              </w:rPr>
              <w:t>1,771,000</w:t>
            </w:r>
          </w:p>
          <w:p w14:paraId="0E0AA367" w14:textId="77777777" w:rsidR="004A4D27" w:rsidRPr="004A4D27" w:rsidRDefault="004A4D27" w:rsidP="00E62E62">
            <w:pPr>
              <w:spacing w:line="276" w:lineRule="auto"/>
              <w:jc w:val="center"/>
              <w:rPr>
                <w:rFonts w:cs="Times New Roman"/>
              </w:rPr>
            </w:pPr>
            <w:r w:rsidRPr="004A4D27">
              <w:rPr>
                <w:rFonts w:cs="Times New Roman"/>
              </w:rPr>
              <w:t>=2.43 times</w:t>
            </w:r>
          </w:p>
        </w:tc>
        <w:tc>
          <w:tcPr>
            <w:tcW w:w="2070" w:type="dxa"/>
            <w:vAlign w:val="bottom"/>
          </w:tcPr>
          <w:p w14:paraId="492B51BA" w14:textId="77777777" w:rsidR="004A4D27" w:rsidRPr="004A4D27" w:rsidRDefault="004A4D27" w:rsidP="00E62E62">
            <w:pPr>
              <w:spacing w:line="276" w:lineRule="auto"/>
              <w:jc w:val="center"/>
              <w:rPr>
                <w:rFonts w:cs="Times New Roman"/>
              </w:rPr>
            </w:pPr>
            <w:r w:rsidRPr="004A4D27">
              <w:rPr>
                <w:rFonts w:cs="Times New Roman"/>
              </w:rPr>
              <w:t>=9,452,000/</w:t>
            </w:r>
          </w:p>
          <w:p w14:paraId="1DEB25F6" w14:textId="77777777" w:rsidR="004A4D27" w:rsidRPr="004A4D27" w:rsidRDefault="004A4D27" w:rsidP="00E62E62">
            <w:pPr>
              <w:spacing w:line="276" w:lineRule="auto"/>
              <w:jc w:val="center"/>
              <w:rPr>
                <w:rFonts w:cs="Times New Roman"/>
              </w:rPr>
            </w:pPr>
            <w:r w:rsidRPr="004A4D27">
              <w:rPr>
                <w:rFonts w:cs="Times New Roman"/>
              </w:rPr>
              <w:t>-778,000</w:t>
            </w:r>
          </w:p>
          <w:p w14:paraId="611C1C97" w14:textId="77777777" w:rsidR="004A4D27" w:rsidRPr="004A4D27" w:rsidRDefault="004A4D27" w:rsidP="00E62E62">
            <w:pPr>
              <w:spacing w:line="276" w:lineRule="auto"/>
              <w:jc w:val="center"/>
              <w:rPr>
                <w:rFonts w:cs="Times New Roman"/>
              </w:rPr>
            </w:pPr>
            <w:r w:rsidRPr="004A4D27">
              <w:rPr>
                <w:rFonts w:cs="Times New Roman"/>
              </w:rPr>
              <w:t>=-12.15 times</w:t>
            </w:r>
          </w:p>
        </w:tc>
        <w:tc>
          <w:tcPr>
            <w:tcW w:w="1260" w:type="dxa"/>
            <w:shd w:val="clear" w:color="000000" w:fill="FFFFFF"/>
            <w:vAlign w:val="center"/>
          </w:tcPr>
          <w:p w14:paraId="0E81BEF9" w14:textId="77777777" w:rsidR="004A4D27" w:rsidRPr="004A4D27" w:rsidRDefault="004A4D27" w:rsidP="00E62E62">
            <w:pPr>
              <w:spacing w:line="276" w:lineRule="auto"/>
              <w:jc w:val="center"/>
              <w:rPr>
                <w:rFonts w:cs="Times New Roman"/>
                <w:color w:val="000000"/>
              </w:rPr>
            </w:pPr>
            <w:r w:rsidRPr="004A4D27">
              <w:rPr>
                <w:rFonts w:cs="Times New Roman"/>
                <w:color w:val="000000"/>
              </w:rPr>
              <w:t>-120.02%</w:t>
            </w:r>
          </w:p>
        </w:tc>
      </w:tr>
    </w:tbl>
    <w:p w14:paraId="5B9DDD35" w14:textId="77777777" w:rsidR="004A2E15" w:rsidRPr="00BE3BBE" w:rsidRDefault="004A2E15" w:rsidP="004A2E15">
      <w:pPr>
        <w:jc w:val="center"/>
        <w:rPr>
          <w:rFonts w:cs="Arial"/>
        </w:rPr>
      </w:pPr>
      <w:r w:rsidRPr="00BE3BBE">
        <w:rPr>
          <w:rFonts w:cs="Arial"/>
        </w:rPr>
        <w:t>Table 02: Asset Turnover Ratios</w:t>
      </w:r>
    </w:p>
    <w:p w14:paraId="523C0EC6" w14:textId="77777777" w:rsidR="004A2E15" w:rsidRDefault="004A2E15" w:rsidP="00AC624B">
      <w:pPr>
        <w:jc w:val="center"/>
        <w:rPr>
          <w:rFonts w:cs="Arial"/>
        </w:rPr>
      </w:pPr>
      <w:r w:rsidRPr="00BE3BBE">
        <w:rPr>
          <w:rFonts w:cs="Arial"/>
        </w:rPr>
        <w:t xml:space="preserve">Source: </w:t>
      </w:r>
      <w:r>
        <w:rPr>
          <w:rFonts w:cs="Arial"/>
        </w:rPr>
        <w:t>Own</w:t>
      </w:r>
      <w:r w:rsidRPr="00BE3BBE">
        <w:rPr>
          <w:rFonts w:cs="Arial"/>
        </w:rPr>
        <w:t xml:space="preserve"> Calculation</w:t>
      </w:r>
    </w:p>
    <w:p w14:paraId="650F9792" w14:textId="77777777" w:rsidR="005539F8" w:rsidRPr="00AC624B" w:rsidRDefault="005539F8" w:rsidP="005539F8">
      <w:r>
        <w:t>The ability to incur profit as a percentage of assets is measured by th</w:t>
      </w:r>
      <w:r w:rsidR="00F002CD">
        <w:t>ese</w:t>
      </w:r>
      <w:r>
        <w:t xml:space="preserve"> ratios</w:t>
      </w:r>
      <w:r w:rsidR="00834659">
        <w:t xml:space="preserve"> </w:t>
      </w:r>
      <w:r w:rsidR="00834659">
        <w:rPr>
          <w:rFonts w:cs="Arial"/>
        </w:rPr>
        <w:t>(</w:t>
      </w:r>
      <w:r w:rsidR="00C90295">
        <w:rPr>
          <w:rFonts w:cs="Arial"/>
        </w:rPr>
        <w:t xml:space="preserve">Marsha &amp; </w:t>
      </w:r>
      <w:proofErr w:type="spellStart"/>
      <w:r w:rsidR="00C90295">
        <w:rPr>
          <w:rFonts w:cs="Arial"/>
        </w:rPr>
        <w:t>Murtaqi</w:t>
      </w:r>
      <w:proofErr w:type="spellEnd"/>
      <w:r w:rsidR="00C90295">
        <w:rPr>
          <w:rFonts w:cs="Arial"/>
        </w:rPr>
        <w:t>, 2017</w:t>
      </w:r>
      <w:r w:rsidR="00834659">
        <w:rPr>
          <w:rFonts w:cs="Arial"/>
        </w:rPr>
        <w:t>)</w:t>
      </w:r>
      <w:r>
        <w:t xml:space="preserve">. Hilton’s performance regarding Total and fixed asset turnover is below the industry benchmark, 1. This means the generated profit is lower than expected. </w:t>
      </w:r>
      <w:proofErr w:type="gramStart"/>
      <w:r w:rsidR="00E15E53">
        <w:t>But,</w:t>
      </w:r>
      <w:proofErr w:type="gramEnd"/>
      <w:r w:rsidR="00E15E53">
        <w:t xml:space="preserve"> the working capital turnover is good enough</w:t>
      </w:r>
      <w:r w:rsidR="00726167">
        <w:t xml:space="preserve"> and is within the expected range (2)</w:t>
      </w:r>
      <w:r w:rsidR="00E15E53">
        <w:t>.</w:t>
      </w:r>
    </w:p>
    <w:p w14:paraId="2236AD7C" w14:textId="77777777" w:rsidR="00776625" w:rsidRDefault="00B64A85" w:rsidP="00776625">
      <w:pPr>
        <w:pStyle w:val="Heading2"/>
      </w:pPr>
      <w:bookmarkStart w:id="5" w:name="_Toc103888190"/>
      <w:r>
        <w:lastRenderedPageBreak/>
        <w:t>Liquidity Ratios (Current &amp; Quick Ratios)</w:t>
      </w:r>
      <w:bookmarkEnd w:id="5"/>
    </w:p>
    <w:p w14:paraId="26AA21AD" w14:textId="77777777" w:rsidR="00582698" w:rsidRPr="00582698" w:rsidRDefault="00582698" w:rsidP="00582698">
      <w:r>
        <w:t>Liquidity ratios depict the ability to pay the short-term liabilities within short notice</w:t>
      </w:r>
      <w:r w:rsidR="00834659">
        <w:t xml:space="preserve"> (</w:t>
      </w:r>
      <w:proofErr w:type="spellStart"/>
      <w:r w:rsidR="002D0536">
        <w:t>Hasanaj</w:t>
      </w:r>
      <w:proofErr w:type="spellEnd"/>
      <w:r w:rsidR="002D0536">
        <w:t xml:space="preserve"> &amp; </w:t>
      </w:r>
      <w:proofErr w:type="spellStart"/>
      <w:r w:rsidR="002D0536">
        <w:t>Kuqi</w:t>
      </w:r>
      <w:proofErr w:type="spellEnd"/>
      <w:r w:rsidR="002D0536">
        <w:t>, 2019</w:t>
      </w:r>
      <w:r w:rsidR="00834659">
        <w:t>)</w:t>
      </w:r>
      <w:r>
        <w:t>. A ratio shows that, the company ha</w:t>
      </w:r>
      <w:r w:rsidR="00F002CD">
        <w:t>s</w:t>
      </w:r>
      <w:r>
        <w:t xml:space="preserve"> enough liquid assets such as cash, marketable securities etc. at hand to fund </w:t>
      </w:r>
      <w:r w:rsidR="00F002CD">
        <w:t>its</w:t>
      </w:r>
      <w:r>
        <w:t xml:space="preserve"> liquidity needs. </w:t>
      </w:r>
    </w:p>
    <w:tbl>
      <w:tblPr>
        <w:tblW w:w="8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1530"/>
        <w:gridCol w:w="1855"/>
        <w:gridCol w:w="1910"/>
        <w:gridCol w:w="1980"/>
        <w:gridCol w:w="1076"/>
      </w:tblGrid>
      <w:tr w:rsidR="00E61B48" w:rsidRPr="00776625" w14:paraId="43A30B23" w14:textId="77777777" w:rsidTr="00E61B48">
        <w:trPr>
          <w:trHeight w:val="614"/>
          <w:jc w:val="center"/>
        </w:trPr>
        <w:tc>
          <w:tcPr>
            <w:tcW w:w="625" w:type="dxa"/>
            <w:shd w:val="clear" w:color="auto" w:fill="538135" w:themeFill="accent6" w:themeFillShade="BF"/>
            <w:noWrap/>
            <w:vAlign w:val="bottom"/>
            <w:hideMark/>
          </w:tcPr>
          <w:p w14:paraId="67DAA317" w14:textId="77777777" w:rsidR="00776625" w:rsidRPr="008B095A" w:rsidRDefault="00776625" w:rsidP="00776625">
            <w:pPr>
              <w:spacing w:line="259" w:lineRule="auto"/>
              <w:jc w:val="center"/>
              <w:rPr>
                <w:rFonts w:cs="Times New Roman"/>
                <w:b/>
                <w:color w:val="FFFFFF" w:themeColor="background1"/>
              </w:rPr>
            </w:pPr>
            <w:r w:rsidRPr="008B095A">
              <w:rPr>
                <w:rFonts w:cs="Times New Roman"/>
                <w:b/>
                <w:color w:val="FFFFFF" w:themeColor="background1"/>
              </w:rPr>
              <w:t>No</w:t>
            </w:r>
          </w:p>
        </w:tc>
        <w:tc>
          <w:tcPr>
            <w:tcW w:w="1530" w:type="dxa"/>
            <w:shd w:val="clear" w:color="auto" w:fill="538135" w:themeFill="accent6" w:themeFillShade="BF"/>
            <w:vAlign w:val="bottom"/>
          </w:tcPr>
          <w:p w14:paraId="49AFA0DE" w14:textId="77777777" w:rsidR="00776625" w:rsidRPr="008B095A" w:rsidRDefault="00776625" w:rsidP="00776625">
            <w:pPr>
              <w:spacing w:line="259" w:lineRule="auto"/>
              <w:jc w:val="center"/>
              <w:rPr>
                <w:rFonts w:cs="Times New Roman"/>
                <w:b/>
                <w:color w:val="FFFFFF" w:themeColor="background1"/>
              </w:rPr>
            </w:pPr>
            <w:r w:rsidRPr="008B095A">
              <w:rPr>
                <w:rFonts w:cs="Times New Roman"/>
                <w:b/>
                <w:color w:val="FFFFFF" w:themeColor="background1"/>
              </w:rPr>
              <w:t>Name</w:t>
            </w:r>
          </w:p>
        </w:tc>
        <w:tc>
          <w:tcPr>
            <w:tcW w:w="1855" w:type="dxa"/>
            <w:shd w:val="clear" w:color="auto" w:fill="538135" w:themeFill="accent6" w:themeFillShade="BF"/>
            <w:noWrap/>
            <w:vAlign w:val="bottom"/>
            <w:hideMark/>
          </w:tcPr>
          <w:p w14:paraId="71BB339F" w14:textId="77777777" w:rsidR="00776625" w:rsidRPr="008B095A" w:rsidRDefault="00776625" w:rsidP="00776625">
            <w:pPr>
              <w:spacing w:line="259" w:lineRule="auto"/>
              <w:jc w:val="center"/>
              <w:rPr>
                <w:rFonts w:cs="Times New Roman"/>
                <w:b/>
                <w:color w:val="FFFFFF" w:themeColor="background1"/>
              </w:rPr>
            </w:pPr>
            <w:r w:rsidRPr="008B095A">
              <w:rPr>
                <w:rFonts w:cs="Times New Roman"/>
                <w:b/>
                <w:color w:val="FFFFFF" w:themeColor="background1"/>
              </w:rPr>
              <w:t>Formula</w:t>
            </w:r>
          </w:p>
        </w:tc>
        <w:tc>
          <w:tcPr>
            <w:tcW w:w="1910" w:type="dxa"/>
            <w:shd w:val="clear" w:color="auto" w:fill="538135" w:themeFill="accent6" w:themeFillShade="BF"/>
            <w:noWrap/>
            <w:vAlign w:val="bottom"/>
            <w:hideMark/>
          </w:tcPr>
          <w:p w14:paraId="35B845D6" w14:textId="77777777" w:rsidR="00776625" w:rsidRPr="008B095A" w:rsidRDefault="00776625" w:rsidP="00776625">
            <w:pPr>
              <w:spacing w:line="259" w:lineRule="auto"/>
              <w:jc w:val="center"/>
              <w:rPr>
                <w:rFonts w:cs="Times New Roman"/>
                <w:b/>
                <w:color w:val="FFFFFF" w:themeColor="background1"/>
              </w:rPr>
            </w:pPr>
            <w:r w:rsidRPr="008B095A">
              <w:rPr>
                <w:rFonts w:cs="Times New Roman"/>
                <w:b/>
                <w:color w:val="FFFFFF" w:themeColor="background1"/>
              </w:rPr>
              <w:t>Calculation for 2020</w:t>
            </w:r>
          </w:p>
        </w:tc>
        <w:tc>
          <w:tcPr>
            <w:tcW w:w="1980" w:type="dxa"/>
            <w:shd w:val="clear" w:color="auto" w:fill="538135" w:themeFill="accent6" w:themeFillShade="BF"/>
            <w:noWrap/>
            <w:vAlign w:val="bottom"/>
            <w:hideMark/>
          </w:tcPr>
          <w:p w14:paraId="795BEBF2" w14:textId="77777777" w:rsidR="00776625" w:rsidRPr="008B095A" w:rsidRDefault="00776625" w:rsidP="00776625">
            <w:pPr>
              <w:spacing w:line="259" w:lineRule="auto"/>
              <w:jc w:val="center"/>
              <w:rPr>
                <w:rFonts w:cs="Times New Roman"/>
                <w:b/>
                <w:color w:val="FFFFFF" w:themeColor="background1"/>
              </w:rPr>
            </w:pPr>
            <w:r w:rsidRPr="008B095A">
              <w:rPr>
                <w:rFonts w:cs="Times New Roman"/>
                <w:b/>
                <w:color w:val="FFFFFF" w:themeColor="background1"/>
              </w:rPr>
              <w:t>Calculation for 2019</w:t>
            </w:r>
          </w:p>
        </w:tc>
        <w:tc>
          <w:tcPr>
            <w:tcW w:w="1076" w:type="dxa"/>
            <w:shd w:val="clear" w:color="auto" w:fill="538135" w:themeFill="accent6" w:themeFillShade="BF"/>
          </w:tcPr>
          <w:p w14:paraId="56778E83" w14:textId="77777777" w:rsidR="00776625" w:rsidRPr="008B095A" w:rsidRDefault="00776625" w:rsidP="00776625">
            <w:pPr>
              <w:spacing w:line="259" w:lineRule="auto"/>
              <w:jc w:val="center"/>
              <w:rPr>
                <w:rFonts w:cs="Times New Roman"/>
                <w:b/>
                <w:color w:val="FFFFFF" w:themeColor="background1"/>
              </w:rPr>
            </w:pPr>
            <w:r w:rsidRPr="008B095A">
              <w:rPr>
                <w:rFonts w:cs="Times New Roman"/>
                <w:b/>
                <w:color w:val="FFFFFF" w:themeColor="background1"/>
              </w:rPr>
              <w:t>% Change</w:t>
            </w:r>
          </w:p>
        </w:tc>
      </w:tr>
      <w:tr w:rsidR="00776625" w:rsidRPr="00776625" w14:paraId="6C83F6A8" w14:textId="77777777" w:rsidTr="00E61B48">
        <w:trPr>
          <w:trHeight w:val="1601"/>
          <w:jc w:val="center"/>
        </w:trPr>
        <w:tc>
          <w:tcPr>
            <w:tcW w:w="625" w:type="dxa"/>
            <w:shd w:val="clear" w:color="auto" w:fill="auto"/>
            <w:noWrap/>
            <w:vAlign w:val="bottom"/>
            <w:hideMark/>
          </w:tcPr>
          <w:p w14:paraId="60EF057F" w14:textId="77777777" w:rsidR="00776625" w:rsidRPr="00776625" w:rsidRDefault="00776625" w:rsidP="00AC624B">
            <w:pPr>
              <w:spacing w:line="276" w:lineRule="auto"/>
              <w:jc w:val="center"/>
              <w:rPr>
                <w:rFonts w:cs="Times New Roman"/>
              </w:rPr>
            </w:pPr>
            <w:r w:rsidRPr="00776625">
              <w:rPr>
                <w:rFonts w:cs="Times New Roman"/>
              </w:rPr>
              <w:t>01</w:t>
            </w:r>
          </w:p>
        </w:tc>
        <w:tc>
          <w:tcPr>
            <w:tcW w:w="1530" w:type="dxa"/>
            <w:vAlign w:val="bottom"/>
          </w:tcPr>
          <w:p w14:paraId="4CB2B36D" w14:textId="77777777" w:rsidR="00776625" w:rsidRPr="00776625" w:rsidRDefault="00776625" w:rsidP="00AC624B">
            <w:pPr>
              <w:spacing w:line="276" w:lineRule="auto"/>
              <w:jc w:val="center"/>
              <w:rPr>
                <w:rFonts w:cs="Times New Roman"/>
                <w:b/>
              </w:rPr>
            </w:pPr>
            <w:r w:rsidRPr="00776625">
              <w:rPr>
                <w:rFonts w:cs="Times New Roman"/>
                <w:b/>
              </w:rPr>
              <w:t>Current Ratio</w:t>
            </w:r>
          </w:p>
        </w:tc>
        <w:tc>
          <w:tcPr>
            <w:tcW w:w="1855" w:type="dxa"/>
            <w:shd w:val="clear" w:color="auto" w:fill="auto"/>
            <w:noWrap/>
            <w:vAlign w:val="bottom"/>
            <w:hideMark/>
          </w:tcPr>
          <w:p w14:paraId="7E9A31B6" w14:textId="77777777" w:rsidR="00776625" w:rsidRPr="00776625" w:rsidRDefault="00776625" w:rsidP="00AC624B">
            <w:pPr>
              <w:spacing w:line="276" w:lineRule="auto"/>
              <w:jc w:val="center"/>
              <w:rPr>
                <w:rFonts w:cs="Times New Roman"/>
              </w:rPr>
            </w:pPr>
            <w:r w:rsidRPr="00776625">
              <w:rPr>
                <w:rFonts w:cs="Times New Roman"/>
              </w:rPr>
              <w:t>Current Assets/Current Liabilities</w:t>
            </w:r>
          </w:p>
        </w:tc>
        <w:tc>
          <w:tcPr>
            <w:tcW w:w="1910" w:type="dxa"/>
            <w:shd w:val="clear" w:color="auto" w:fill="auto"/>
            <w:noWrap/>
            <w:vAlign w:val="bottom"/>
            <w:hideMark/>
          </w:tcPr>
          <w:p w14:paraId="7C722081" w14:textId="77777777" w:rsidR="00776625" w:rsidRPr="00776625" w:rsidRDefault="00776625" w:rsidP="00AC624B">
            <w:pPr>
              <w:spacing w:line="276" w:lineRule="auto"/>
              <w:jc w:val="center"/>
              <w:rPr>
                <w:rFonts w:cs="Times New Roman"/>
              </w:rPr>
            </w:pPr>
            <w:r w:rsidRPr="00776625">
              <w:rPr>
                <w:rFonts w:cs="Times New Roman"/>
              </w:rPr>
              <w:t>=4,202,000/</w:t>
            </w:r>
          </w:p>
          <w:p w14:paraId="4155EBC6" w14:textId="77777777" w:rsidR="00776625" w:rsidRPr="00776625" w:rsidRDefault="00776625" w:rsidP="00AC624B">
            <w:pPr>
              <w:spacing w:line="276" w:lineRule="auto"/>
              <w:jc w:val="center"/>
              <w:rPr>
                <w:rFonts w:cs="Times New Roman"/>
              </w:rPr>
            </w:pPr>
            <w:r w:rsidRPr="00776625">
              <w:rPr>
                <w:rFonts w:cs="Times New Roman"/>
              </w:rPr>
              <w:t>2,431,000</w:t>
            </w:r>
          </w:p>
          <w:p w14:paraId="1842EEF6" w14:textId="77777777" w:rsidR="00776625" w:rsidRPr="00776625" w:rsidRDefault="00776625" w:rsidP="00AC624B">
            <w:pPr>
              <w:spacing w:line="276" w:lineRule="auto"/>
              <w:jc w:val="center"/>
              <w:rPr>
                <w:rFonts w:cs="Times New Roman"/>
              </w:rPr>
            </w:pPr>
            <w:r w:rsidRPr="00776625">
              <w:rPr>
                <w:rFonts w:cs="Times New Roman"/>
              </w:rPr>
              <w:t>=1.73:1</w:t>
            </w:r>
          </w:p>
        </w:tc>
        <w:tc>
          <w:tcPr>
            <w:tcW w:w="1980" w:type="dxa"/>
            <w:shd w:val="clear" w:color="auto" w:fill="auto"/>
            <w:noWrap/>
            <w:vAlign w:val="bottom"/>
            <w:hideMark/>
          </w:tcPr>
          <w:p w14:paraId="5AD619A6" w14:textId="77777777" w:rsidR="00776625" w:rsidRPr="00776625" w:rsidRDefault="00776625" w:rsidP="00AC624B">
            <w:pPr>
              <w:spacing w:line="276" w:lineRule="auto"/>
              <w:jc w:val="center"/>
              <w:rPr>
                <w:rFonts w:cs="Times New Roman"/>
              </w:rPr>
            </w:pPr>
            <w:r w:rsidRPr="00776625">
              <w:rPr>
                <w:rFonts w:cs="Times New Roman"/>
              </w:rPr>
              <w:t>=2,093,000/</w:t>
            </w:r>
          </w:p>
          <w:p w14:paraId="62A2DDAE" w14:textId="77777777" w:rsidR="00776625" w:rsidRPr="00776625" w:rsidRDefault="00776625" w:rsidP="00AC624B">
            <w:pPr>
              <w:spacing w:line="276" w:lineRule="auto"/>
              <w:jc w:val="center"/>
              <w:rPr>
                <w:rFonts w:cs="Times New Roman"/>
              </w:rPr>
            </w:pPr>
            <w:r w:rsidRPr="00776625">
              <w:rPr>
                <w:rFonts w:cs="Times New Roman"/>
              </w:rPr>
              <w:t>2,871,000</w:t>
            </w:r>
          </w:p>
          <w:p w14:paraId="1D1F3707" w14:textId="77777777" w:rsidR="00776625" w:rsidRPr="00776625" w:rsidRDefault="00776625" w:rsidP="00AC624B">
            <w:pPr>
              <w:spacing w:line="276" w:lineRule="auto"/>
              <w:jc w:val="center"/>
              <w:rPr>
                <w:rFonts w:cs="Times New Roman"/>
              </w:rPr>
            </w:pPr>
            <w:r w:rsidRPr="00776625">
              <w:rPr>
                <w:rFonts w:cs="Times New Roman"/>
              </w:rPr>
              <w:t>=0.73:1</w:t>
            </w:r>
          </w:p>
        </w:tc>
        <w:tc>
          <w:tcPr>
            <w:tcW w:w="1076" w:type="dxa"/>
            <w:shd w:val="clear" w:color="auto" w:fill="auto"/>
            <w:vAlign w:val="center"/>
          </w:tcPr>
          <w:p w14:paraId="518EC0B6" w14:textId="77777777" w:rsidR="00776625" w:rsidRPr="00776625" w:rsidRDefault="00776625" w:rsidP="00AC624B">
            <w:pPr>
              <w:spacing w:line="276" w:lineRule="auto"/>
              <w:jc w:val="center"/>
              <w:rPr>
                <w:rFonts w:cs="Times New Roman"/>
                <w:color w:val="000000"/>
              </w:rPr>
            </w:pPr>
            <w:r w:rsidRPr="00776625">
              <w:rPr>
                <w:rFonts w:cs="Times New Roman"/>
                <w:color w:val="000000"/>
              </w:rPr>
              <w:t>137.10%</w:t>
            </w:r>
          </w:p>
        </w:tc>
      </w:tr>
      <w:tr w:rsidR="00776625" w:rsidRPr="00776625" w14:paraId="6219DF6D" w14:textId="77777777" w:rsidTr="00E61B48">
        <w:trPr>
          <w:trHeight w:val="1277"/>
          <w:jc w:val="center"/>
        </w:trPr>
        <w:tc>
          <w:tcPr>
            <w:tcW w:w="625" w:type="dxa"/>
            <w:shd w:val="clear" w:color="auto" w:fill="auto"/>
            <w:noWrap/>
            <w:vAlign w:val="bottom"/>
            <w:hideMark/>
          </w:tcPr>
          <w:p w14:paraId="1D9A847E" w14:textId="77777777" w:rsidR="00776625" w:rsidRPr="00776625" w:rsidRDefault="00776625" w:rsidP="00AC624B">
            <w:pPr>
              <w:spacing w:line="276" w:lineRule="auto"/>
              <w:jc w:val="center"/>
              <w:rPr>
                <w:rFonts w:cs="Times New Roman"/>
              </w:rPr>
            </w:pPr>
            <w:r w:rsidRPr="00776625">
              <w:rPr>
                <w:rFonts w:cs="Times New Roman"/>
              </w:rPr>
              <w:t>02</w:t>
            </w:r>
          </w:p>
        </w:tc>
        <w:tc>
          <w:tcPr>
            <w:tcW w:w="1530" w:type="dxa"/>
            <w:vAlign w:val="bottom"/>
          </w:tcPr>
          <w:p w14:paraId="4BD99A2F" w14:textId="77777777" w:rsidR="00776625" w:rsidRPr="00776625" w:rsidRDefault="00776625" w:rsidP="00AC624B">
            <w:pPr>
              <w:spacing w:line="276" w:lineRule="auto"/>
              <w:jc w:val="center"/>
              <w:rPr>
                <w:rFonts w:cs="Times New Roman"/>
                <w:b/>
              </w:rPr>
            </w:pPr>
            <w:r w:rsidRPr="00776625">
              <w:rPr>
                <w:rFonts w:cs="Times New Roman"/>
                <w:b/>
              </w:rPr>
              <w:t>Quick Ratio</w:t>
            </w:r>
          </w:p>
        </w:tc>
        <w:tc>
          <w:tcPr>
            <w:tcW w:w="1855" w:type="dxa"/>
            <w:shd w:val="clear" w:color="auto" w:fill="auto"/>
            <w:noWrap/>
            <w:vAlign w:val="bottom"/>
            <w:hideMark/>
          </w:tcPr>
          <w:p w14:paraId="75FCD0B1" w14:textId="77777777" w:rsidR="00776625" w:rsidRPr="00776625" w:rsidRDefault="00776625" w:rsidP="00AC624B">
            <w:pPr>
              <w:spacing w:line="276" w:lineRule="auto"/>
              <w:jc w:val="center"/>
              <w:rPr>
                <w:rFonts w:cs="Times New Roman"/>
              </w:rPr>
            </w:pPr>
            <w:r w:rsidRPr="00776625">
              <w:rPr>
                <w:rFonts w:cs="Times New Roman"/>
              </w:rPr>
              <w:t>Current Assets- Stock/Current Liabilities</w:t>
            </w:r>
          </w:p>
        </w:tc>
        <w:tc>
          <w:tcPr>
            <w:tcW w:w="1910" w:type="dxa"/>
            <w:shd w:val="clear" w:color="auto" w:fill="auto"/>
            <w:noWrap/>
            <w:vAlign w:val="bottom"/>
            <w:hideMark/>
          </w:tcPr>
          <w:p w14:paraId="7EDF0B69" w14:textId="77777777" w:rsidR="00776625" w:rsidRPr="00776625" w:rsidRDefault="00776625" w:rsidP="00AC624B">
            <w:pPr>
              <w:spacing w:line="276" w:lineRule="auto"/>
              <w:jc w:val="center"/>
              <w:rPr>
                <w:rFonts w:cs="Times New Roman"/>
              </w:rPr>
            </w:pPr>
            <w:r w:rsidRPr="00776625">
              <w:rPr>
                <w:rFonts w:cs="Times New Roman"/>
              </w:rPr>
              <w:t>=3,989,000/</w:t>
            </w:r>
          </w:p>
          <w:p w14:paraId="4DC5B7C0" w14:textId="77777777" w:rsidR="00776625" w:rsidRPr="00776625" w:rsidRDefault="00776625" w:rsidP="00AC624B">
            <w:pPr>
              <w:spacing w:line="276" w:lineRule="auto"/>
              <w:jc w:val="center"/>
              <w:rPr>
                <w:rFonts w:cs="Times New Roman"/>
              </w:rPr>
            </w:pPr>
            <w:r w:rsidRPr="00776625">
              <w:rPr>
                <w:rFonts w:cs="Times New Roman"/>
              </w:rPr>
              <w:t>2,431,000</w:t>
            </w:r>
          </w:p>
          <w:p w14:paraId="35271D4A" w14:textId="77777777" w:rsidR="00776625" w:rsidRPr="00776625" w:rsidRDefault="00776625" w:rsidP="00AC624B">
            <w:pPr>
              <w:spacing w:line="276" w:lineRule="auto"/>
              <w:jc w:val="center"/>
              <w:rPr>
                <w:rFonts w:cs="Times New Roman"/>
              </w:rPr>
            </w:pPr>
            <w:r w:rsidRPr="00776625">
              <w:rPr>
                <w:rFonts w:cs="Times New Roman"/>
              </w:rPr>
              <w:t>=1.64:1</w:t>
            </w:r>
          </w:p>
        </w:tc>
        <w:tc>
          <w:tcPr>
            <w:tcW w:w="1980" w:type="dxa"/>
            <w:shd w:val="clear" w:color="auto" w:fill="auto"/>
            <w:noWrap/>
            <w:vAlign w:val="bottom"/>
            <w:hideMark/>
          </w:tcPr>
          <w:p w14:paraId="389B5FDF" w14:textId="77777777" w:rsidR="00AC624B" w:rsidRDefault="00776625" w:rsidP="00AC624B">
            <w:pPr>
              <w:spacing w:line="276" w:lineRule="auto"/>
              <w:jc w:val="center"/>
              <w:rPr>
                <w:rFonts w:cs="Times New Roman"/>
              </w:rPr>
            </w:pPr>
            <w:r w:rsidRPr="00776625">
              <w:rPr>
                <w:rFonts w:cs="Times New Roman"/>
              </w:rPr>
              <w:t>=1,799</w:t>
            </w:r>
            <w:r w:rsidR="00AC624B">
              <w:rPr>
                <w:rFonts w:cs="Times New Roman"/>
              </w:rPr>
              <w:t>,000</w:t>
            </w:r>
            <w:r w:rsidRPr="00776625">
              <w:rPr>
                <w:rFonts w:cs="Times New Roman"/>
              </w:rPr>
              <w:t>/</w:t>
            </w:r>
          </w:p>
          <w:p w14:paraId="3BB9CC7F" w14:textId="77777777" w:rsidR="00776625" w:rsidRPr="00776625" w:rsidRDefault="00776625" w:rsidP="00AC624B">
            <w:pPr>
              <w:spacing w:line="276" w:lineRule="auto"/>
              <w:jc w:val="center"/>
              <w:rPr>
                <w:rFonts w:cs="Times New Roman"/>
              </w:rPr>
            </w:pPr>
            <w:r w:rsidRPr="00776625">
              <w:rPr>
                <w:rFonts w:cs="Times New Roman"/>
              </w:rPr>
              <w:t>2,871</w:t>
            </w:r>
            <w:r w:rsidR="00AC624B">
              <w:rPr>
                <w:rFonts w:cs="Times New Roman"/>
              </w:rPr>
              <w:t>,000</w:t>
            </w:r>
          </w:p>
          <w:p w14:paraId="61E6FFD9" w14:textId="77777777" w:rsidR="00776625" w:rsidRPr="00776625" w:rsidRDefault="00776625" w:rsidP="00AC624B">
            <w:pPr>
              <w:spacing w:line="276" w:lineRule="auto"/>
              <w:jc w:val="center"/>
              <w:rPr>
                <w:rFonts w:cs="Times New Roman"/>
              </w:rPr>
            </w:pPr>
            <w:r w:rsidRPr="00776625">
              <w:rPr>
                <w:rFonts w:cs="Times New Roman"/>
              </w:rPr>
              <w:t>=0.63:1</w:t>
            </w:r>
          </w:p>
        </w:tc>
        <w:tc>
          <w:tcPr>
            <w:tcW w:w="1076" w:type="dxa"/>
            <w:shd w:val="clear" w:color="auto" w:fill="auto"/>
            <w:vAlign w:val="center"/>
          </w:tcPr>
          <w:p w14:paraId="75F20E42" w14:textId="77777777" w:rsidR="00776625" w:rsidRPr="00776625" w:rsidRDefault="00776625" w:rsidP="00AC624B">
            <w:pPr>
              <w:spacing w:line="276" w:lineRule="auto"/>
              <w:jc w:val="center"/>
              <w:rPr>
                <w:rFonts w:cs="Times New Roman"/>
                <w:color w:val="000000"/>
              </w:rPr>
            </w:pPr>
            <w:r w:rsidRPr="00776625">
              <w:rPr>
                <w:rFonts w:cs="Times New Roman"/>
                <w:color w:val="000000"/>
              </w:rPr>
              <w:t>161.87%</w:t>
            </w:r>
          </w:p>
        </w:tc>
      </w:tr>
    </w:tbl>
    <w:p w14:paraId="159D56B4" w14:textId="77777777" w:rsidR="00AC624B" w:rsidRPr="00776625" w:rsidRDefault="00AC624B" w:rsidP="00326911">
      <w:pPr>
        <w:jc w:val="center"/>
        <w:rPr>
          <w:rFonts w:cs="Times New Roman"/>
        </w:rPr>
      </w:pPr>
      <w:r w:rsidRPr="00776625">
        <w:rPr>
          <w:rFonts w:cs="Times New Roman"/>
        </w:rPr>
        <w:t>Table 03: Current and Quick Ratios</w:t>
      </w:r>
    </w:p>
    <w:p w14:paraId="501405C4" w14:textId="77777777" w:rsidR="00AC624B" w:rsidRDefault="00AC624B" w:rsidP="00326911">
      <w:pPr>
        <w:spacing w:line="259" w:lineRule="auto"/>
        <w:jc w:val="center"/>
        <w:rPr>
          <w:rFonts w:cs="Times New Roman"/>
        </w:rPr>
      </w:pPr>
      <w:r w:rsidRPr="00776625">
        <w:rPr>
          <w:rFonts w:cs="Times New Roman"/>
        </w:rPr>
        <w:t>Source: Own Calculation</w:t>
      </w:r>
    </w:p>
    <w:p w14:paraId="2B2E09E5" w14:textId="77777777" w:rsidR="00DC55ED" w:rsidRPr="00776625" w:rsidRDefault="00DC55ED" w:rsidP="00DC55ED">
      <w:r>
        <w:t>In 2020, the company’s liquidity performance improved and became closer to the benchmark ratio 1. So, the</w:t>
      </w:r>
      <w:r w:rsidR="00F002CD">
        <w:t>y</w:t>
      </w:r>
      <w:r>
        <w:t xml:space="preserve"> have performed </w:t>
      </w:r>
      <w:r w:rsidR="00F002CD">
        <w:t>well</w:t>
      </w:r>
      <w:r>
        <w:t>.</w:t>
      </w:r>
    </w:p>
    <w:p w14:paraId="203E59EE" w14:textId="77777777" w:rsidR="00AC624B" w:rsidRDefault="00F2629C" w:rsidP="00F2629C">
      <w:pPr>
        <w:pStyle w:val="Heading2"/>
      </w:pPr>
      <w:bookmarkStart w:id="6" w:name="_Toc103888191"/>
      <w:r>
        <w:t>Debtor Days &amp; Creditor Days</w:t>
      </w:r>
      <w:bookmarkEnd w:id="6"/>
    </w:p>
    <w:p w14:paraId="130CBABB" w14:textId="77777777" w:rsidR="00DC55ED" w:rsidRPr="00DC55ED" w:rsidRDefault="00DC55ED" w:rsidP="00DC55ED">
      <w:r>
        <w:t>These ratios calculate the time required by the company to pay the creditors and get payment from receivables</w:t>
      </w:r>
      <w:r w:rsidR="00834659">
        <w:t xml:space="preserve"> </w:t>
      </w:r>
      <w:r w:rsidR="00834659">
        <w:rPr>
          <w:rFonts w:cs="Arial"/>
        </w:rPr>
        <w:t>(</w:t>
      </w:r>
      <w:proofErr w:type="spellStart"/>
      <w:r w:rsidR="00834659">
        <w:rPr>
          <w:rFonts w:cs="Arial"/>
        </w:rPr>
        <w:t>Sudharto</w:t>
      </w:r>
      <w:proofErr w:type="spellEnd"/>
      <w:r w:rsidR="00834659">
        <w:rPr>
          <w:rFonts w:cs="Arial"/>
        </w:rPr>
        <w:t xml:space="preserve"> &amp; Salim, 2021)</w:t>
      </w:r>
      <w:r>
        <w:t xml:space="preserve">. </w:t>
      </w: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1109"/>
        <w:gridCol w:w="1638"/>
        <w:gridCol w:w="2070"/>
        <w:gridCol w:w="2160"/>
        <w:gridCol w:w="1170"/>
      </w:tblGrid>
      <w:tr w:rsidR="00E16877" w:rsidRPr="00BE3BBE" w14:paraId="3B912B19" w14:textId="77777777" w:rsidTr="00E16877">
        <w:trPr>
          <w:trHeight w:val="242"/>
          <w:jc w:val="center"/>
        </w:trPr>
        <w:tc>
          <w:tcPr>
            <w:tcW w:w="848" w:type="dxa"/>
            <w:shd w:val="clear" w:color="auto" w:fill="538135" w:themeFill="accent6" w:themeFillShade="BF"/>
            <w:vAlign w:val="bottom"/>
          </w:tcPr>
          <w:p w14:paraId="6A646568" w14:textId="77777777" w:rsidR="00F2629C" w:rsidRPr="008B095A" w:rsidRDefault="00F2629C" w:rsidP="00E16877">
            <w:pPr>
              <w:spacing w:line="259" w:lineRule="auto"/>
              <w:jc w:val="center"/>
              <w:rPr>
                <w:rFonts w:cs="Times New Roman"/>
                <w:b/>
                <w:color w:val="FFFFFF" w:themeColor="background1"/>
              </w:rPr>
            </w:pPr>
            <w:r w:rsidRPr="008B095A">
              <w:rPr>
                <w:rFonts w:cs="Times New Roman"/>
                <w:b/>
                <w:color w:val="FFFFFF" w:themeColor="background1"/>
              </w:rPr>
              <w:t>No</w:t>
            </w:r>
          </w:p>
        </w:tc>
        <w:tc>
          <w:tcPr>
            <w:tcW w:w="1109" w:type="dxa"/>
            <w:shd w:val="clear" w:color="auto" w:fill="538135" w:themeFill="accent6" w:themeFillShade="BF"/>
            <w:vAlign w:val="bottom"/>
          </w:tcPr>
          <w:p w14:paraId="28933FF1" w14:textId="77777777" w:rsidR="00F2629C" w:rsidRPr="008B095A" w:rsidRDefault="00F2629C" w:rsidP="00E16877">
            <w:pPr>
              <w:spacing w:line="259" w:lineRule="auto"/>
              <w:jc w:val="center"/>
              <w:rPr>
                <w:rFonts w:cs="Times New Roman"/>
                <w:b/>
                <w:color w:val="FFFFFF" w:themeColor="background1"/>
              </w:rPr>
            </w:pPr>
            <w:r w:rsidRPr="008B095A">
              <w:rPr>
                <w:rFonts w:cs="Times New Roman"/>
                <w:b/>
                <w:color w:val="FFFFFF" w:themeColor="background1"/>
              </w:rPr>
              <w:t>Name</w:t>
            </w:r>
          </w:p>
        </w:tc>
        <w:tc>
          <w:tcPr>
            <w:tcW w:w="1638" w:type="dxa"/>
            <w:shd w:val="clear" w:color="auto" w:fill="538135" w:themeFill="accent6" w:themeFillShade="BF"/>
            <w:vAlign w:val="bottom"/>
          </w:tcPr>
          <w:p w14:paraId="3408CF60" w14:textId="77777777" w:rsidR="00F2629C" w:rsidRPr="008B095A" w:rsidRDefault="00F2629C" w:rsidP="00E16877">
            <w:pPr>
              <w:spacing w:line="259" w:lineRule="auto"/>
              <w:jc w:val="center"/>
              <w:rPr>
                <w:rFonts w:cs="Times New Roman"/>
                <w:b/>
                <w:color w:val="FFFFFF" w:themeColor="background1"/>
              </w:rPr>
            </w:pPr>
            <w:r w:rsidRPr="008B095A">
              <w:rPr>
                <w:rFonts w:cs="Times New Roman"/>
                <w:b/>
                <w:color w:val="FFFFFF" w:themeColor="background1"/>
              </w:rPr>
              <w:t>Formula</w:t>
            </w:r>
          </w:p>
        </w:tc>
        <w:tc>
          <w:tcPr>
            <w:tcW w:w="2070" w:type="dxa"/>
            <w:shd w:val="clear" w:color="auto" w:fill="538135" w:themeFill="accent6" w:themeFillShade="BF"/>
            <w:vAlign w:val="bottom"/>
          </w:tcPr>
          <w:p w14:paraId="51087303" w14:textId="77777777" w:rsidR="00F2629C" w:rsidRPr="008B095A" w:rsidRDefault="00F2629C" w:rsidP="00E16877">
            <w:pPr>
              <w:spacing w:line="259" w:lineRule="auto"/>
              <w:jc w:val="center"/>
              <w:rPr>
                <w:rFonts w:cs="Times New Roman"/>
                <w:b/>
                <w:color w:val="FFFFFF" w:themeColor="background1"/>
              </w:rPr>
            </w:pPr>
            <w:r w:rsidRPr="008B095A">
              <w:rPr>
                <w:rFonts w:cs="Times New Roman"/>
                <w:b/>
                <w:color w:val="FFFFFF" w:themeColor="background1"/>
              </w:rPr>
              <w:t>Calculation for 2020</w:t>
            </w:r>
          </w:p>
        </w:tc>
        <w:tc>
          <w:tcPr>
            <w:tcW w:w="2160" w:type="dxa"/>
            <w:shd w:val="clear" w:color="auto" w:fill="538135" w:themeFill="accent6" w:themeFillShade="BF"/>
            <w:vAlign w:val="bottom"/>
          </w:tcPr>
          <w:p w14:paraId="4C310B76" w14:textId="77777777" w:rsidR="00F2629C" w:rsidRPr="008B095A" w:rsidRDefault="00F2629C" w:rsidP="00E16877">
            <w:pPr>
              <w:spacing w:line="259" w:lineRule="auto"/>
              <w:jc w:val="center"/>
              <w:rPr>
                <w:rFonts w:cs="Times New Roman"/>
                <w:b/>
                <w:color w:val="FFFFFF" w:themeColor="background1"/>
              </w:rPr>
            </w:pPr>
            <w:r w:rsidRPr="008B095A">
              <w:rPr>
                <w:rFonts w:cs="Times New Roman"/>
                <w:b/>
                <w:color w:val="FFFFFF" w:themeColor="background1"/>
              </w:rPr>
              <w:t>Calculation for 2019</w:t>
            </w:r>
          </w:p>
        </w:tc>
        <w:tc>
          <w:tcPr>
            <w:tcW w:w="1170" w:type="dxa"/>
            <w:shd w:val="clear" w:color="auto" w:fill="538135" w:themeFill="accent6" w:themeFillShade="BF"/>
            <w:noWrap/>
            <w:hideMark/>
          </w:tcPr>
          <w:p w14:paraId="109191C0" w14:textId="77777777" w:rsidR="00F2629C" w:rsidRPr="008B095A" w:rsidRDefault="00F2629C" w:rsidP="00E16877">
            <w:pPr>
              <w:spacing w:line="259" w:lineRule="auto"/>
              <w:jc w:val="center"/>
              <w:rPr>
                <w:rFonts w:cs="Times New Roman"/>
                <w:b/>
                <w:color w:val="FFFFFF" w:themeColor="background1"/>
              </w:rPr>
            </w:pPr>
            <w:r w:rsidRPr="008B095A">
              <w:rPr>
                <w:rFonts w:cs="Times New Roman"/>
                <w:b/>
                <w:color w:val="FFFFFF" w:themeColor="background1"/>
              </w:rPr>
              <w:t>% Change</w:t>
            </w:r>
          </w:p>
        </w:tc>
      </w:tr>
      <w:tr w:rsidR="00E16877" w:rsidRPr="00BE3BBE" w14:paraId="16847453" w14:textId="77777777" w:rsidTr="00E16877">
        <w:trPr>
          <w:trHeight w:val="1027"/>
          <w:jc w:val="center"/>
        </w:trPr>
        <w:tc>
          <w:tcPr>
            <w:tcW w:w="848" w:type="dxa"/>
            <w:vAlign w:val="bottom"/>
          </w:tcPr>
          <w:p w14:paraId="4B2F2856" w14:textId="77777777" w:rsidR="00E16877" w:rsidRPr="00F2629C" w:rsidRDefault="00E16877" w:rsidP="00E16877">
            <w:pPr>
              <w:jc w:val="center"/>
              <w:rPr>
                <w:rFonts w:cs="Arial"/>
                <w:color w:val="000000"/>
              </w:rPr>
            </w:pPr>
            <w:r w:rsidRPr="00F2629C">
              <w:rPr>
                <w:rFonts w:cs="Arial"/>
                <w:color w:val="000000"/>
              </w:rPr>
              <w:t>01</w:t>
            </w:r>
          </w:p>
        </w:tc>
        <w:tc>
          <w:tcPr>
            <w:tcW w:w="1109" w:type="dxa"/>
            <w:vAlign w:val="bottom"/>
          </w:tcPr>
          <w:p w14:paraId="6B2B454E" w14:textId="77777777" w:rsidR="00E16877" w:rsidRPr="00F2629C" w:rsidRDefault="00E16877" w:rsidP="00E16877">
            <w:pPr>
              <w:jc w:val="center"/>
              <w:rPr>
                <w:rFonts w:cs="Arial"/>
                <w:b/>
                <w:color w:val="000000"/>
              </w:rPr>
            </w:pPr>
            <w:r w:rsidRPr="00F2629C">
              <w:rPr>
                <w:rFonts w:cs="Arial"/>
                <w:b/>
                <w:color w:val="000000"/>
              </w:rPr>
              <w:t>Debtors Days</w:t>
            </w:r>
          </w:p>
        </w:tc>
        <w:tc>
          <w:tcPr>
            <w:tcW w:w="1638" w:type="dxa"/>
            <w:vAlign w:val="bottom"/>
          </w:tcPr>
          <w:p w14:paraId="760EA7E9" w14:textId="77777777" w:rsidR="00E16877" w:rsidRPr="00BE3BBE" w:rsidRDefault="00E16877" w:rsidP="00E16877">
            <w:pPr>
              <w:jc w:val="center"/>
              <w:rPr>
                <w:rFonts w:cs="Arial"/>
                <w:color w:val="000000"/>
              </w:rPr>
            </w:pPr>
            <w:r w:rsidRPr="00BE3BBE">
              <w:rPr>
                <w:rFonts w:cs="Arial"/>
                <w:color w:val="000000"/>
              </w:rPr>
              <w:t>Debtors*365/Credit Sales</w:t>
            </w:r>
          </w:p>
        </w:tc>
        <w:tc>
          <w:tcPr>
            <w:tcW w:w="2070" w:type="dxa"/>
            <w:vAlign w:val="bottom"/>
          </w:tcPr>
          <w:p w14:paraId="2B4C891C" w14:textId="77777777" w:rsidR="00E16877" w:rsidRPr="00BE3BBE" w:rsidRDefault="00E16877" w:rsidP="00E16877">
            <w:pPr>
              <w:spacing w:after="0" w:line="240" w:lineRule="auto"/>
              <w:jc w:val="center"/>
              <w:rPr>
                <w:rFonts w:eastAsia="Times New Roman" w:cs="Arial"/>
                <w:color w:val="000000"/>
                <w:szCs w:val="24"/>
              </w:rPr>
            </w:pPr>
            <w:proofErr w:type="gramStart"/>
            <w:r w:rsidRPr="00BE3BBE">
              <w:rPr>
                <w:rFonts w:eastAsia="Times New Roman" w:cs="Arial"/>
                <w:color w:val="000000"/>
                <w:szCs w:val="24"/>
              </w:rPr>
              <w:t>=(</w:t>
            </w:r>
            <w:proofErr w:type="gramEnd"/>
            <w:r>
              <w:rPr>
                <w:rFonts w:eastAsia="Times New Roman" w:cs="Arial"/>
                <w:color w:val="000000"/>
                <w:szCs w:val="24"/>
              </w:rPr>
              <w:t>771,000</w:t>
            </w:r>
            <w:r w:rsidRPr="00BE3BBE">
              <w:rPr>
                <w:rFonts w:eastAsia="Times New Roman" w:cs="Arial"/>
                <w:color w:val="000000"/>
                <w:szCs w:val="24"/>
              </w:rPr>
              <w:t xml:space="preserve"> </w:t>
            </w:r>
            <w:r w:rsidRPr="00BE3BBE">
              <w:rPr>
                <w:rFonts w:cs="Arial"/>
              </w:rPr>
              <w:t>x</w:t>
            </w:r>
            <w:r>
              <w:rPr>
                <w:rFonts w:eastAsia="Times New Roman" w:cs="Arial"/>
                <w:color w:val="000000"/>
                <w:szCs w:val="24"/>
              </w:rPr>
              <w:t xml:space="preserve"> 365) /4,307</w:t>
            </w:r>
            <w:r>
              <w:rPr>
                <w:rFonts w:cs="Arial"/>
              </w:rPr>
              <w:t>,000</w:t>
            </w:r>
          </w:p>
          <w:p w14:paraId="3234CD91" w14:textId="77777777" w:rsidR="00E16877" w:rsidRPr="00652DA8" w:rsidRDefault="00E16877" w:rsidP="00E16877">
            <w:pPr>
              <w:spacing w:after="0" w:line="240"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65.34 Days</w:t>
            </w:r>
          </w:p>
        </w:tc>
        <w:tc>
          <w:tcPr>
            <w:tcW w:w="2160" w:type="dxa"/>
            <w:vAlign w:val="bottom"/>
          </w:tcPr>
          <w:p w14:paraId="2EBEF7B6" w14:textId="77777777" w:rsidR="00E16877" w:rsidRPr="00BE3BBE" w:rsidRDefault="00E16877" w:rsidP="00E16877">
            <w:pPr>
              <w:spacing w:after="0" w:line="240" w:lineRule="auto"/>
              <w:jc w:val="center"/>
              <w:rPr>
                <w:rFonts w:eastAsia="Times New Roman" w:cs="Arial"/>
                <w:color w:val="000000"/>
                <w:szCs w:val="24"/>
              </w:rPr>
            </w:pPr>
            <w:proofErr w:type="gramStart"/>
            <w:r w:rsidRPr="00BE3BBE">
              <w:rPr>
                <w:rFonts w:eastAsia="Times New Roman" w:cs="Arial"/>
                <w:color w:val="000000"/>
                <w:szCs w:val="24"/>
              </w:rPr>
              <w:t>=(</w:t>
            </w:r>
            <w:proofErr w:type="gramEnd"/>
            <w:r>
              <w:rPr>
                <w:rFonts w:eastAsia="Times New Roman" w:cs="Arial"/>
                <w:color w:val="000000"/>
                <w:szCs w:val="24"/>
              </w:rPr>
              <w:t>1,261,000</w:t>
            </w:r>
            <w:r w:rsidRPr="00BE3BBE">
              <w:rPr>
                <w:rFonts w:cs="Arial"/>
              </w:rPr>
              <w:t>x</w:t>
            </w:r>
            <w:r w:rsidRPr="00BE3BBE">
              <w:rPr>
                <w:rFonts w:eastAsia="Times New Roman" w:cs="Arial"/>
                <w:color w:val="000000"/>
                <w:szCs w:val="24"/>
              </w:rPr>
              <w:t xml:space="preserve"> 365) /</w:t>
            </w:r>
            <w:r>
              <w:rPr>
                <w:rFonts w:eastAsia="Times New Roman" w:cs="Arial"/>
                <w:color w:val="000000"/>
                <w:szCs w:val="24"/>
              </w:rPr>
              <w:t>9,452,000</w:t>
            </w:r>
          </w:p>
          <w:p w14:paraId="6F31D842" w14:textId="77777777" w:rsidR="00E16877" w:rsidRPr="00652DA8" w:rsidRDefault="00E16877" w:rsidP="00E16877">
            <w:pPr>
              <w:spacing w:after="0" w:line="240"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48.69 Days</w:t>
            </w:r>
          </w:p>
        </w:tc>
        <w:tc>
          <w:tcPr>
            <w:tcW w:w="1170" w:type="dxa"/>
            <w:shd w:val="clear" w:color="auto" w:fill="auto"/>
            <w:noWrap/>
            <w:vAlign w:val="center"/>
            <w:hideMark/>
          </w:tcPr>
          <w:p w14:paraId="66423F54" w14:textId="77777777" w:rsidR="00E16877" w:rsidRPr="00E16877" w:rsidRDefault="00E16877" w:rsidP="00E16877">
            <w:pPr>
              <w:spacing w:line="240" w:lineRule="auto"/>
              <w:jc w:val="center"/>
              <w:rPr>
                <w:rFonts w:cs="Times New Roman"/>
                <w:color w:val="000000"/>
              </w:rPr>
            </w:pPr>
            <w:r w:rsidRPr="00E16877">
              <w:rPr>
                <w:rFonts w:cs="Times New Roman"/>
                <w:color w:val="000000"/>
              </w:rPr>
              <w:t>-34.18%</w:t>
            </w:r>
          </w:p>
        </w:tc>
      </w:tr>
      <w:tr w:rsidR="00E16877" w:rsidRPr="00BE3BBE" w14:paraId="373E4172" w14:textId="77777777" w:rsidTr="00E16877">
        <w:trPr>
          <w:trHeight w:val="720"/>
          <w:jc w:val="center"/>
        </w:trPr>
        <w:tc>
          <w:tcPr>
            <w:tcW w:w="848" w:type="dxa"/>
            <w:vAlign w:val="bottom"/>
          </w:tcPr>
          <w:p w14:paraId="726F62D3" w14:textId="77777777" w:rsidR="00E16877" w:rsidRPr="00F2629C" w:rsidRDefault="00E16877" w:rsidP="00E16877">
            <w:pPr>
              <w:jc w:val="center"/>
              <w:rPr>
                <w:rFonts w:cs="Arial"/>
                <w:color w:val="000000"/>
              </w:rPr>
            </w:pPr>
            <w:r w:rsidRPr="00F2629C">
              <w:rPr>
                <w:rFonts w:cs="Arial"/>
                <w:color w:val="000000"/>
              </w:rPr>
              <w:t>02</w:t>
            </w:r>
          </w:p>
        </w:tc>
        <w:tc>
          <w:tcPr>
            <w:tcW w:w="1109" w:type="dxa"/>
            <w:vAlign w:val="bottom"/>
          </w:tcPr>
          <w:p w14:paraId="362F2E37" w14:textId="77777777" w:rsidR="00E16877" w:rsidRPr="00F2629C" w:rsidRDefault="00E16877" w:rsidP="00E16877">
            <w:pPr>
              <w:jc w:val="center"/>
              <w:rPr>
                <w:rFonts w:cs="Arial"/>
                <w:b/>
                <w:color w:val="000000"/>
              </w:rPr>
            </w:pPr>
            <w:r w:rsidRPr="00F2629C">
              <w:rPr>
                <w:rFonts w:cs="Arial"/>
                <w:b/>
                <w:color w:val="000000"/>
              </w:rPr>
              <w:t>Creditor Days</w:t>
            </w:r>
          </w:p>
        </w:tc>
        <w:tc>
          <w:tcPr>
            <w:tcW w:w="1638" w:type="dxa"/>
            <w:vAlign w:val="bottom"/>
          </w:tcPr>
          <w:p w14:paraId="4B0CCDAB" w14:textId="77777777" w:rsidR="00E16877" w:rsidRPr="00BE3BBE" w:rsidRDefault="00E16877" w:rsidP="00E16877">
            <w:pPr>
              <w:jc w:val="center"/>
              <w:rPr>
                <w:rFonts w:cs="Arial"/>
                <w:color w:val="000000"/>
              </w:rPr>
            </w:pPr>
            <w:r w:rsidRPr="00BE3BBE">
              <w:rPr>
                <w:rFonts w:cs="Arial"/>
                <w:color w:val="000000"/>
              </w:rPr>
              <w:t>Creditors*365/Credit Purchase</w:t>
            </w:r>
          </w:p>
        </w:tc>
        <w:tc>
          <w:tcPr>
            <w:tcW w:w="2070" w:type="dxa"/>
            <w:vAlign w:val="bottom"/>
          </w:tcPr>
          <w:p w14:paraId="453B0338" w14:textId="77777777" w:rsidR="00E16877" w:rsidRPr="00BE3BBE" w:rsidRDefault="00E16877" w:rsidP="00E16877">
            <w:pPr>
              <w:spacing w:after="0" w:line="240" w:lineRule="auto"/>
              <w:jc w:val="center"/>
              <w:rPr>
                <w:rFonts w:eastAsia="Times New Roman" w:cs="Arial"/>
                <w:color w:val="000000"/>
                <w:szCs w:val="24"/>
              </w:rPr>
            </w:pPr>
            <w:proofErr w:type="gramStart"/>
            <w:r>
              <w:rPr>
                <w:rFonts w:eastAsia="Times New Roman" w:cs="Arial"/>
                <w:color w:val="000000"/>
                <w:szCs w:val="24"/>
              </w:rPr>
              <w:t>=(</w:t>
            </w:r>
            <w:proofErr w:type="gramEnd"/>
            <w:r>
              <w:rPr>
                <w:rFonts w:eastAsia="Times New Roman" w:cs="Arial"/>
                <w:color w:val="000000"/>
                <w:szCs w:val="24"/>
              </w:rPr>
              <w:t>224,000</w:t>
            </w:r>
            <w:r w:rsidRPr="00BE3BBE">
              <w:rPr>
                <w:rFonts w:cs="Arial"/>
              </w:rPr>
              <w:t>x</w:t>
            </w:r>
            <w:r w:rsidRPr="00BE3BBE">
              <w:rPr>
                <w:rFonts w:eastAsia="Times New Roman" w:cs="Arial"/>
                <w:color w:val="000000"/>
                <w:szCs w:val="24"/>
              </w:rPr>
              <w:t xml:space="preserve"> 365) /</w:t>
            </w:r>
            <w:r>
              <w:rPr>
                <w:rFonts w:eastAsia="Times New Roman" w:cs="Arial"/>
                <w:color w:val="000000"/>
                <w:szCs w:val="24"/>
              </w:rPr>
              <w:t>3,724,000</w:t>
            </w:r>
          </w:p>
          <w:p w14:paraId="03F75CFB" w14:textId="77777777" w:rsidR="00E16877" w:rsidRPr="00652DA8" w:rsidRDefault="00E16877" w:rsidP="00E16877">
            <w:pPr>
              <w:spacing w:after="0" w:line="240"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21.95 Days</w:t>
            </w:r>
          </w:p>
        </w:tc>
        <w:tc>
          <w:tcPr>
            <w:tcW w:w="2160" w:type="dxa"/>
            <w:vAlign w:val="bottom"/>
          </w:tcPr>
          <w:p w14:paraId="43B6B04C" w14:textId="77777777" w:rsidR="00E16877" w:rsidRPr="00BE3BBE" w:rsidRDefault="00E16877" w:rsidP="00E16877">
            <w:pPr>
              <w:spacing w:after="0" w:line="240" w:lineRule="auto"/>
              <w:jc w:val="center"/>
              <w:rPr>
                <w:rFonts w:eastAsia="Times New Roman" w:cs="Arial"/>
                <w:color w:val="000000"/>
                <w:szCs w:val="24"/>
              </w:rPr>
            </w:pPr>
            <w:proofErr w:type="gramStart"/>
            <w:r w:rsidRPr="00BE3BBE">
              <w:rPr>
                <w:rFonts w:eastAsia="Times New Roman" w:cs="Arial"/>
                <w:color w:val="000000"/>
                <w:szCs w:val="24"/>
              </w:rPr>
              <w:t>=(</w:t>
            </w:r>
            <w:proofErr w:type="gramEnd"/>
            <w:r>
              <w:rPr>
                <w:rFonts w:eastAsia="Times New Roman" w:cs="Arial"/>
                <w:color w:val="000000"/>
                <w:szCs w:val="24"/>
              </w:rPr>
              <w:t>303,000</w:t>
            </w:r>
            <w:r w:rsidRPr="00BE3BBE">
              <w:rPr>
                <w:rFonts w:eastAsia="Times New Roman" w:cs="Arial"/>
                <w:color w:val="000000"/>
                <w:szCs w:val="24"/>
              </w:rPr>
              <w:t xml:space="preserve"> </w:t>
            </w:r>
            <w:r w:rsidRPr="00BE3BBE">
              <w:rPr>
                <w:rFonts w:cs="Arial"/>
              </w:rPr>
              <w:t>x</w:t>
            </w:r>
            <w:r w:rsidRPr="00BE3BBE">
              <w:rPr>
                <w:rFonts w:eastAsia="Times New Roman" w:cs="Arial"/>
                <w:color w:val="000000"/>
                <w:szCs w:val="24"/>
              </w:rPr>
              <w:t xml:space="preserve"> 365) /</w:t>
            </w:r>
            <w:r>
              <w:rPr>
                <w:rFonts w:eastAsia="Times New Roman" w:cs="Arial"/>
                <w:color w:val="000000"/>
                <w:szCs w:val="24"/>
              </w:rPr>
              <w:t>7,017</w:t>
            </w:r>
            <w:r>
              <w:rPr>
                <w:rFonts w:cs="Arial"/>
              </w:rPr>
              <w:t>,000</w:t>
            </w:r>
          </w:p>
          <w:p w14:paraId="52962668" w14:textId="77777777" w:rsidR="00E16877" w:rsidRPr="00652DA8" w:rsidRDefault="00E16877" w:rsidP="00E16877">
            <w:pPr>
              <w:spacing w:after="0" w:line="240"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15.76 Days</w:t>
            </w:r>
          </w:p>
        </w:tc>
        <w:tc>
          <w:tcPr>
            <w:tcW w:w="1170" w:type="dxa"/>
            <w:shd w:val="clear" w:color="auto" w:fill="auto"/>
            <w:noWrap/>
            <w:vAlign w:val="center"/>
            <w:hideMark/>
          </w:tcPr>
          <w:p w14:paraId="654C329B" w14:textId="77777777" w:rsidR="00E16877" w:rsidRPr="00E16877" w:rsidRDefault="00E16877" w:rsidP="00E16877">
            <w:pPr>
              <w:jc w:val="center"/>
              <w:rPr>
                <w:rFonts w:cs="Times New Roman"/>
                <w:color w:val="000000"/>
              </w:rPr>
            </w:pPr>
            <w:r w:rsidRPr="00E16877">
              <w:rPr>
                <w:rFonts w:cs="Times New Roman"/>
                <w:color w:val="000000"/>
              </w:rPr>
              <w:t>-39.30%</w:t>
            </w:r>
          </w:p>
        </w:tc>
      </w:tr>
    </w:tbl>
    <w:p w14:paraId="6A6183C9" w14:textId="77777777" w:rsidR="00326911" w:rsidRPr="00BE3BBE" w:rsidRDefault="00326911" w:rsidP="00326911">
      <w:pPr>
        <w:jc w:val="center"/>
        <w:rPr>
          <w:rFonts w:cs="Arial"/>
        </w:rPr>
      </w:pPr>
      <w:r w:rsidRPr="00BE3BBE">
        <w:rPr>
          <w:rFonts w:cs="Arial"/>
        </w:rPr>
        <w:t>Table 04: Debtor and Creditor Days Ratio</w:t>
      </w:r>
    </w:p>
    <w:p w14:paraId="3A0999E6" w14:textId="77777777" w:rsidR="00326911" w:rsidRDefault="00326911" w:rsidP="00326911">
      <w:pPr>
        <w:jc w:val="center"/>
        <w:rPr>
          <w:rFonts w:cs="Arial"/>
        </w:rPr>
      </w:pPr>
      <w:r w:rsidRPr="00BE3BBE">
        <w:rPr>
          <w:rFonts w:cs="Arial"/>
        </w:rPr>
        <w:lastRenderedPageBreak/>
        <w:t xml:space="preserve">Source: </w:t>
      </w:r>
      <w:r>
        <w:rPr>
          <w:rFonts w:cs="Arial"/>
        </w:rPr>
        <w:t>Own</w:t>
      </w:r>
      <w:r w:rsidRPr="00BE3BBE">
        <w:rPr>
          <w:rFonts w:cs="Arial"/>
        </w:rPr>
        <w:t xml:space="preserve"> Calculation</w:t>
      </w:r>
    </w:p>
    <w:p w14:paraId="1D61EB44" w14:textId="77777777" w:rsidR="00402CC9" w:rsidRPr="00BE3BBE" w:rsidRDefault="00402CC9" w:rsidP="00402CC9">
      <w:r>
        <w:t xml:space="preserve">Hilton pays debt well within the threshold period and very quickly. But they are not efficient enough while collecting </w:t>
      </w:r>
      <w:r w:rsidR="00F002CD">
        <w:t xml:space="preserve">the </w:t>
      </w:r>
      <w:r>
        <w:t>amount from debtors. This ratio is greater than the threshold of 30-35 days, they need to collect it more frequently.</w:t>
      </w:r>
    </w:p>
    <w:p w14:paraId="508B59F5" w14:textId="77777777" w:rsidR="00CC3557" w:rsidRDefault="00CC3557" w:rsidP="00CC3557">
      <w:pPr>
        <w:pStyle w:val="Heading2"/>
      </w:pPr>
      <w:bookmarkStart w:id="7" w:name="_Toc103888192"/>
      <w:r>
        <w:t>Gearing Ratios</w:t>
      </w:r>
      <w:bookmarkEnd w:id="7"/>
    </w:p>
    <w:p w14:paraId="0D06E612" w14:textId="77777777" w:rsidR="00B36256" w:rsidRPr="00B36256" w:rsidRDefault="00B36256" w:rsidP="00B36256">
      <w:r>
        <w:t xml:space="preserve">Also known as leverage ratios, these ratios show the amount of debt a company possesses against its assets. It also discloses their ability to cope with financial risks. </w:t>
      </w:r>
      <w:r w:rsidR="00F002CD">
        <w:t>The m</w:t>
      </w:r>
      <w:r>
        <w:t xml:space="preserve">ost relevant leverage ratio for </w:t>
      </w:r>
      <w:r w:rsidR="00F002CD">
        <w:t xml:space="preserve">the </w:t>
      </w:r>
      <w:r>
        <w:t xml:space="preserve">hospitality industry are </w:t>
      </w:r>
      <w:r w:rsidR="00F002CD">
        <w:t xml:space="preserve">the </w:t>
      </w:r>
      <w:r>
        <w:t>following ratios whose calculations are shown here:</w:t>
      </w:r>
    </w:p>
    <w:tbl>
      <w:tblPr>
        <w:tblW w:w="8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1310"/>
        <w:gridCol w:w="1980"/>
        <w:gridCol w:w="1800"/>
        <w:gridCol w:w="1953"/>
        <w:gridCol w:w="1287"/>
      </w:tblGrid>
      <w:tr w:rsidR="00B112DB" w:rsidRPr="00BE3BBE" w14:paraId="719DB6E4" w14:textId="77777777" w:rsidTr="00E53A38">
        <w:trPr>
          <w:trHeight w:val="863"/>
          <w:jc w:val="center"/>
        </w:trPr>
        <w:tc>
          <w:tcPr>
            <w:tcW w:w="575" w:type="dxa"/>
            <w:shd w:val="clear" w:color="auto" w:fill="538135" w:themeFill="accent6" w:themeFillShade="BF"/>
            <w:noWrap/>
            <w:vAlign w:val="bottom"/>
            <w:hideMark/>
          </w:tcPr>
          <w:p w14:paraId="5CB500C0" w14:textId="77777777" w:rsidR="00B112DB" w:rsidRPr="008B095A" w:rsidRDefault="00B112DB" w:rsidP="00B112DB">
            <w:pPr>
              <w:spacing w:line="259" w:lineRule="auto"/>
              <w:jc w:val="center"/>
              <w:rPr>
                <w:rFonts w:cs="Times New Roman"/>
                <w:b/>
                <w:color w:val="FFFFFF" w:themeColor="background1"/>
              </w:rPr>
            </w:pPr>
            <w:r w:rsidRPr="008B095A">
              <w:rPr>
                <w:rFonts w:cs="Times New Roman"/>
                <w:b/>
                <w:color w:val="FFFFFF" w:themeColor="background1"/>
              </w:rPr>
              <w:t>No</w:t>
            </w:r>
          </w:p>
        </w:tc>
        <w:tc>
          <w:tcPr>
            <w:tcW w:w="1310" w:type="dxa"/>
            <w:shd w:val="clear" w:color="auto" w:fill="538135" w:themeFill="accent6" w:themeFillShade="BF"/>
            <w:vAlign w:val="bottom"/>
          </w:tcPr>
          <w:p w14:paraId="26EAB924" w14:textId="77777777" w:rsidR="00B112DB" w:rsidRPr="008B095A" w:rsidRDefault="00B112DB" w:rsidP="00B112DB">
            <w:pPr>
              <w:spacing w:line="259" w:lineRule="auto"/>
              <w:jc w:val="center"/>
              <w:rPr>
                <w:rFonts w:cs="Times New Roman"/>
                <w:b/>
                <w:color w:val="FFFFFF" w:themeColor="background1"/>
              </w:rPr>
            </w:pPr>
            <w:r w:rsidRPr="008B095A">
              <w:rPr>
                <w:rFonts w:cs="Times New Roman"/>
                <w:b/>
                <w:color w:val="FFFFFF" w:themeColor="background1"/>
              </w:rPr>
              <w:t>Name</w:t>
            </w:r>
          </w:p>
        </w:tc>
        <w:tc>
          <w:tcPr>
            <w:tcW w:w="1980" w:type="dxa"/>
            <w:shd w:val="clear" w:color="auto" w:fill="538135" w:themeFill="accent6" w:themeFillShade="BF"/>
            <w:vAlign w:val="bottom"/>
          </w:tcPr>
          <w:p w14:paraId="15CD696E" w14:textId="77777777" w:rsidR="00B112DB" w:rsidRPr="008B095A" w:rsidRDefault="00B112DB" w:rsidP="00B112DB">
            <w:pPr>
              <w:spacing w:line="259" w:lineRule="auto"/>
              <w:jc w:val="center"/>
              <w:rPr>
                <w:rFonts w:cs="Times New Roman"/>
                <w:b/>
                <w:color w:val="FFFFFF" w:themeColor="background1"/>
              </w:rPr>
            </w:pPr>
            <w:r w:rsidRPr="008B095A">
              <w:rPr>
                <w:rFonts w:cs="Times New Roman"/>
                <w:b/>
                <w:color w:val="FFFFFF" w:themeColor="background1"/>
              </w:rPr>
              <w:t>Formula</w:t>
            </w:r>
          </w:p>
        </w:tc>
        <w:tc>
          <w:tcPr>
            <w:tcW w:w="1800" w:type="dxa"/>
            <w:shd w:val="clear" w:color="auto" w:fill="538135" w:themeFill="accent6" w:themeFillShade="BF"/>
            <w:noWrap/>
            <w:vAlign w:val="bottom"/>
            <w:hideMark/>
          </w:tcPr>
          <w:p w14:paraId="04526227" w14:textId="77777777" w:rsidR="00B112DB" w:rsidRPr="008B095A" w:rsidRDefault="00B112DB" w:rsidP="00B112DB">
            <w:pPr>
              <w:spacing w:line="259" w:lineRule="auto"/>
              <w:jc w:val="center"/>
              <w:rPr>
                <w:rFonts w:cs="Times New Roman"/>
                <w:b/>
                <w:color w:val="FFFFFF" w:themeColor="background1"/>
              </w:rPr>
            </w:pPr>
            <w:r w:rsidRPr="008B095A">
              <w:rPr>
                <w:rFonts w:cs="Times New Roman"/>
                <w:b/>
                <w:color w:val="FFFFFF" w:themeColor="background1"/>
              </w:rPr>
              <w:t>Calculation for 2020</w:t>
            </w:r>
          </w:p>
        </w:tc>
        <w:tc>
          <w:tcPr>
            <w:tcW w:w="1953" w:type="dxa"/>
            <w:shd w:val="clear" w:color="auto" w:fill="538135" w:themeFill="accent6" w:themeFillShade="BF"/>
            <w:vAlign w:val="bottom"/>
          </w:tcPr>
          <w:p w14:paraId="678C26B1" w14:textId="77777777" w:rsidR="00B112DB" w:rsidRPr="008B095A" w:rsidRDefault="00B112DB" w:rsidP="00B112DB">
            <w:pPr>
              <w:spacing w:line="259" w:lineRule="auto"/>
              <w:jc w:val="center"/>
              <w:rPr>
                <w:rFonts w:cs="Times New Roman"/>
                <w:b/>
                <w:color w:val="FFFFFF" w:themeColor="background1"/>
              </w:rPr>
            </w:pPr>
            <w:r w:rsidRPr="008B095A">
              <w:rPr>
                <w:rFonts w:cs="Times New Roman"/>
                <w:b/>
                <w:color w:val="FFFFFF" w:themeColor="background1"/>
              </w:rPr>
              <w:t>Calculation for 2019</w:t>
            </w:r>
          </w:p>
        </w:tc>
        <w:tc>
          <w:tcPr>
            <w:tcW w:w="1287" w:type="dxa"/>
            <w:shd w:val="clear" w:color="auto" w:fill="538135" w:themeFill="accent6" w:themeFillShade="BF"/>
            <w:noWrap/>
            <w:hideMark/>
          </w:tcPr>
          <w:p w14:paraId="06B53ACE" w14:textId="77777777" w:rsidR="00B112DB" w:rsidRPr="008B095A" w:rsidRDefault="00B112DB" w:rsidP="00B112DB">
            <w:pPr>
              <w:spacing w:line="259" w:lineRule="auto"/>
              <w:jc w:val="center"/>
              <w:rPr>
                <w:rFonts w:cs="Times New Roman"/>
                <w:b/>
                <w:color w:val="FFFFFF" w:themeColor="background1"/>
              </w:rPr>
            </w:pPr>
            <w:r w:rsidRPr="008B095A">
              <w:rPr>
                <w:rFonts w:cs="Times New Roman"/>
                <w:b/>
                <w:color w:val="FFFFFF" w:themeColor="background1"/>
              </w:rPr>
              <w:t>% Change</w:t>
            </w:r>
          </w:p>
        </w:tc>
      </w:tr>
      <w:tr w:rsidR="00B112DB" w:rsidRPr="00BE3BBE" w14:paraId="28CDB9EB" w14:textId="77777777" w:rsidTr="00E53A38">
        <w:trPr>
          <w:trHeight w:val="1070"/>
          <w:jc w:val="center"/>
        </w:trPr>
        <w:tc>
          <w:tcPr>
            <w:tcW w:w="575" w:type="dxa"/>
            <w:shd w:val="clear" w:color="auto" w:fill="auto"/>
            <w:noWrap/>
            <w:vAlign w:val="bottom"/>
            <w:hideMark/>
          </w:tcPr>
          <w:p w14:paraId="4A7E42A9" w14:textId="77777777" w:rsidR="00B112DB" w:rsidRPr="00CC3557" w:rsidRDefault="00B112DB" w:rsidP="00B112DB">
            <w:pPr>
              <w:spacing w:line="276" w:lineRule="auto"/>
              <w:jc w:val="center"/>
              <w:rPr>
                <w:rFonts w:cs="Arial"/>
                <w:color w:val="000000"/>
              </w:rPr>
            </w:pPr>
            <w:r w:rsidRPr="00CC3557">
              <w:rPr>
                <w:rFonts w:cs="Arial"/>
                <w:color w:val="000000"/>
              </w:rPr>
              <w:t>01</w:t>
            </w:r>
          </w:p>
        </w:tc>
        <w:tc>
          <w:tcPr>
            <w:tcW w:w="1310" w:type="dxa"/>
            <w:vAlign w:val="bottom"/>
          </w:tcPr>
          <w:p w14:paraId="68D034B8" w14:textId="77777777" w:rsidR="00B112DB" w:rsidRPr="00B112DB" w:rsidRDefault="00B112DB" w:rsidP="00B112DB">
            <w:pPr>
              <w:spacing w:line="276" w:lineRule="auto"/>
              <w:jc w:val="center"/>
              <w:rPr>
                <w:rFonts w:cs="Arial"/>
                <w:b/>
                <w:color w:val="000000"/>
              </w:rPr>
            </w:pPr>
            <w:r w:rsidRPr="00B112DB">
              <w:rPr>
                <w:rFonts w:cs="Arial"/>
                <w:b/>
                <w:color w:val="000000"/>
              </w:rPr>
              <w:t>Debt Ratio</w:t>
            </w:r>
          </w:p>
        </w:tc>
        <w:tc>
          <w:tcPr>
            <w:tcW w:w="1980" w:type="dxa"/>
            <w:vAlign w:val="bottom"/>
          </w:tcPr>
          <w:p w14:paraId="16836331" w14:textId="77777777" w:rsidR="00B112DB" w:rsidRPr="00BE3BBE" w:rsidRDefault="00B112DB" w:rsidP="00B112DB">
            <w:pPr>
              <w:spacing w:line="276" w:lineRule="auto"/>
              <w:jc w:val="center"/>
              <w:rPr>
                <w:rFonts w:cs="Arial"/>
                <w:color w:val="000000"/>
              </w:rPr>
            </w:pPr>
            <w:r w:rsidRPr="00BE3BBE">
              <w:rPr>
                <w:rFonts w:cs="Arial"/>
                <w:color w:val="000000"/>
              </w:rPr>
              <w:t>Total Debt/Total Assets</w:t>
            </w:r>
          </w:p>
        </w:tc>
        <w:tc>
          <w:tcPr>
            <w:tcW w:w="1800" w:type="dxa"/>
            <w:shd w:val="clear" w:color="auto" w:fill="auto"/>
            <w:noWrap/>
            <w:vAlign w:val="bottom"/>
            <w:hideMark/>
          </w:tcPr>
          <w:p w14:paraId="49811B4D" w14:textId="77777777" w:rsidR="00B112DB" w:rsidRDefault="00B112DB" w:rsidP="00B112DB">
            <w:pPr>
              <w:spacing w:after="0" w:line="276"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10,235,000</w:t>
            </w:r>
            <w:r w:rsidRPr="00BE3BBE">
              <w:rPr>
                <w:rFonts w:eastAsia="Times New Roman" w:cs="Arial"/>
                <w:color w:val="000000"/>
                <w:szCs w:val="24"/>
              </w:rPr>
              <w:t>/</w:t>
            </w:r>
          </w:p>
          <w:p w14:paraId="79014444" w14:textId="77777777" w:rsidR="00B112DB" w:rsidRPr="00BE3BBE" w:rsidRDefault="00B112DB" w:rsidP="00B112DB">
            <w:pPr>
              <w:spacing w:after="0" w:line="276" w:lineRule="auto"/>
              <w:jc w:val="center"/>
              <w:rPr>
                <w:rFonts w:eastAsia="Times New Roman" w:cs="Arial"/>
                <w:color w:val="000000"/>
                <w:szCs w:val="24"/>
              </w:rPr>
            </w:pPr>
            <w:r>
              <w:rPr>
                <w:rFonts w:eastAsia="Times New Roman" w:cs="Arial"/>
                <w:color w:val="000000"/>
                <w:szCs w:val="24"/>
              </w:rPr>
              <w:t>16,755,000</w:t>
            </w:r>
          </w:p>
          <w:p w14:paraId="40A4E91A" w14:textId="77777777" w:rsidR="00B112DB" w:rsidRPr="00652DA8" w:rsidRDefault="00B112DB" w:rsidP="00B112DB">
            <w:pPr>
              <w:spacing w:after="0" w:line="276"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61.09</w:t>
            </w:r>
            <w:r w:rsidRPr="00BE3BBE">
              <w:rPr>
                <w:rFonts w:eastAsia="Times New Roman" w:cs="Arial"/>
                <w:color w:val="000000"/>
                <w:szCs w:val="24"/>
              </w:rPr>
              <w:t>%</w:t>
            </w:r>
          </w:p>
        </w:tc>
        <w:tc>
          <w:tcPr>
            <w:tcW w:w="1953" w:type="dxa"/>
            <w:vAlign w:val="bottom"/>
          </w:tcPr>
          <w:p w14:paraId="118F62CA" w14:textId="77777777" w:rsidR="003A17A3" w:rsidRDefault="003A17A3" w:rsidP="003A17A3">
            <w:pPr>
              <w:spacing w:after="0" w:line="240"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7,748,000</w:t>
            </w:r>
            <w:r w:rsidRPr="00BE3BBE">
              <w:rPr>
                <w:rFonts w:eastAsia="Times New Roman" w:cs="Arial"/>
                <w:color w:val="000000"/>
                <w:szCs w:val="24"/>
              </w:rPr>
              <w:t>/</w:t>
            </w:r>
          </w:p>
          <w:p w14:paraId="44CD98C7" w14:textId="77777777" w:rsidR="003A17A3" w:rsidRPr="00BE3BBE" w:rsidRDefault="003A17A3" w:rsidP="003A17A3">
            <w:pPr>
              <w:spacing w:after="0" w:line="240" w:lineRule="auto"/>
              <w:jc w:val="center"/>
              <w:rPr>
                <w:rFonts w:eastAsia="Times New Roman" w:cs="Arial"/>
                <w:color w:val="000000"/>
                <w:szCs w:val="24"/>
              </w:rPr>
            </w:pPr>
            <w:r>
              <w:rPr>
                <w:rFonts w:eastAsia="Times New Roman" w:cs="Arial"/>
                <w:color w:val="000000"/>
                <w:szCs w:val="24"/>
              </w:rPr>
              <w:t>14,957,000</w:t>
            </w:r>
          </w:p>
          <w:p w14:paraId="1E6AE961" w14:textId="77777777" w:rsidR="00B112DB" w:rsidRPr="00652DA8" w:rsidRDefault="003A17A3" w:rsidP="003A17A3">
            <w:pPr>
              <w:spacing w:after="0" w:line="276"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51.80</w:t>
            </w:r>
            <w:r w:rsidRPr="00BE3BBE">
              <w:rPr>
                <w:rFonts w:eastAsia="Times New Roman" w:cs="Arial"/>
                <w:color w:val="000000"/>
                <w:szCs w:val="24"/>
              </w:rPr>
              <w:t>%</w:t>
            </w:r>
          </w:p>
        </w:tc>
        <w:tc>
          <w:tcPr>
            <w:tcW w:w="1287" w:type="dxa"/>
            <w:shd w:val="clear" w:color="auto" w:fill="auto"/>
            <w:noWrap/>
            <w:vAlign w:val="center"/>
            <w:hideMark/>
          </w:tcPr>
          <w:p w14:paraId="0687F4F9" w14:textId="77777777" w:rsidR="00B112DB" w:rsidRPr="00B112DB" w:rsidRDefault="00B112DB" w:rsidP="00B112DB">
            <w:pPr>
              <w:spacing w:line="240" w:lineRule="auto"/>
              <w:jc w:val="center"/>
              <w:rPr>
                <w:rFonts w:cs="Times New Roman"/>
                <w:color w:val="000000"/>
              </w:rPr>
            </w:pPr>
            <w:r w:rsidRPr="00B112DB">
              <w:rPr>
                <w:rFonts w:cs="Times New Roman"/>
                <w:color w:val="000000"/>
              </w:rPr>
              <w:t>17.92%</w:t>
            </w:r>
          </w:p>
        </w:tc>
      </w:tr>
      <w:tr w:rsidR="00B112DB" w:rsidRPr="00BE3BBE" w14:paraId="4711441D" w14:textId="77777777" w:rsidTr="00E53A38">
        <w:trPr>
          <w:trHeight w:val="1421"/>
          <w:jc w:val="center"/>
        </w:trPr>
        <w:tc>
          <w:tcPr>
            <w:tcW w:w="575" w:type="dxa"/>
            <w:shd w:val="clear" w:color="auto" w:fill="auto"/>
            <w:noWrap/>
            <w:vAlign w:val="bottom"/>
          </w:tcPr>
          <w:p w14:paraId="77622E74" w14:textId="77777777" w:rsidR="00B112DB" w:rsidRPr="00CC3557" w:rsidRDefault="00B112DB" w:rsidP="00B112DB">
            <w:pPr>
              <w:spacing w:line="276" w:lineRule="auto"/>
              <w:jc w:val="center"/>
              <w:rPr>
                <w:rFonts w:cs="Arial"/>
                <w:color w:val="000000"/>
              </w:rPr>
            </w:pPr>
            <w:r w:rsidRPr="00CC3557">
              <w:rPr>
                <w:rFonts w:cs="Arial"/>
                <w:color w:val="000000"/>
              </w:rPr>
              <w:t>02</w:t>
            </w:r>
          </w:p>
        </w:tc>
        <w:tc>
          <w:tcPr>
            <w:tcW w:w="1310" w:type="dxa"/>
            <w:vAlign w:val="bottom"/>
          </w:tcPr>
          <w:p w14:paraId="0C9D204A" w14:textId="77777777" w:rsidR="00B112DB" w:rsidRPr="00B112DB" w:rsidRDefault="00B112DB" w:rsidP="00B112DB">
            <w:pPr>
              <w:spacing w:line="276" w:lineRule="auto"/>
              <w:jc w:val="center"/>
              <w:rPr>
                <w:rFonts w:cs="Arial"/>
                <w:b/>
                <w:color w:val="000000"/>
              </w:rPr>
            </w:pPr>
            <w:r w:rsidRPr="00B112DB">
              <w:rPr>
                <w:rFonts w:cs="Arial"/>
                <w:b/>
                <w:color w:val="000000"/>
              </w:rPr>
              <w:t>Interest Cover</w:t>
            </w:r>
          </w:p>
        </w:tc>
        <w:tc>
          <w:tcPr>
            <w:tcW w:w="1980" w:type="dxa"/>
            <w:vAlign w:val="bottom"/>
          </w:tcPr>
          <w:p w14:paraId="02EC6C03" w14:textId="77777777" w:rsidR="00B112DB" w:rsidRPr="00BE3BBE" w:rsidRDefault="00B112DB" w:rsidP="00B112DB">
            <w:pPr>
              <w:spacing w:line="276" w:lineRule="auto"/>
              <w:jc w:val="center"/>
              <w:rPr>
                <w:rFonts w:cs="Arial"/>
                <w:color w:val="000000"/>
              </w:rPr>
            </w:pPr>
            <w:r w:rsidRPr="00BE3BBE">
              <w:rPr>
                <w:rFonts w:cs="Arial"/>
                <w:color w:val="000000"/>
              </w:rPr>
              <w:t>Profit Before Interest &amp; Tax/Periodic Interest Charges</w:t>
            </w:r>
          </w:p>
        </w:tc>
        <w:tc>
          <w:tcPr>
            <w:tcW w:w="1800" w:type="dxa"/>
            <w:shd w:val="clear" w:color="auto" w:fill="auto"/>
            <w:noWrap/>
            <w:vAlign w:val="bottom"/>
          </w:tcPr>
          <w:p w14:paraId="42F85A40" w14:textId="77777777" w:rsidR="00B112DB" w:rsidRDefault="00B112DB" w:rsidP="00B112DB">
            <w:pPr>
              <w:spacing w:after="0" w:line="276" w:lineRule="auto"/>
              <w:jc w:val="center"/>
              <w:rPr>
                <w:rFonts w:eastAsia="Times New Roman" w:cs="Arial"/>
                <w:color w:val="000000"/>
                <w:szCs w:val="24"/>
              </w:rPr>
            </w:pPr>
            <w:r>
              <w:rPr>
                <w:rFonts w:eastAsia="Times New Roman" w:cs="Arial"/>
                <w:color w:val="000000"/>
                <w:szCs w:val="24"/>
              </w:rPr>
              <w:t>=-495,000</w:t>
            </w:r>
            <w:r w:rsidRPr="00BE3BBE">
              <w:rPr>
                <w:rFonts w:eastAsia="Times New Roman" w:cs="Arial"/>
                <w:color w:val="000000"/>
                <w:szCs w:val="24"/>
              </w:rPr>
              <w:t>/</w:t>
            </w:r>
          </w:p>
          <w:p w14:paraId="4CAB14B4" w14:textId="77777777" w:rsidR="00B112DB" w:rsidRPr="00BE3BBE" w:rsidRDefault="00B112DB" w:rsidP="00B112DB">
            <w:pPr>
              <w:spacing w:after="0" w:line="276" w:lineRule="auto"/>
              <w:jc w:val="center"/>
              <w:rPr>
                <w:rFonts w:eastAsia="Times New Roman" w:cs="Arial"/>
                <w:color w:val="000000"/>
                <w:szCs w:val="24"/>
              </w:rPr>
            </w:pPr>
            <w:r>
              <w:rPr>
                <w:rFonts w:eastAsia="Times New Roman" w:cs="Arial"/>
                <w:color w:val="000000"/>
                <w:szCs w:val="24"/>
              </w:rPr>
              <w:t>429,000</w:t>
            </w:r>
          </w:p>
          <w:p w14:paraId="5A462ADC" w14:textId="77777777" w:rsidR="00B112DB" w:rsidRPr="00652DA8" w:rsidRDefault="00B112DB" w:rsidP="00B112DB">
            <w:pPr>
              <w:spacing w:after="0" w:line="276" w:lineRule="auto"/>
              <w:jc w:val="center"/>
              <w:rPr>
                <w:rFonts w:eastAsia="Times New Roman" w:cs="Arial"/>
                <w:color w:val="000000"/>
                <w:szCs w:val="24"/>
              </w:rPr>
            </w:pPr>
            <w:r>
              <w:rPr>
                <w:rFonts w:eastAsia="Times New Roman" w:cs="Arial"/>
                <w:color w:val="000000"/>
                <w:szCs w:val="24"/>
              </w:rPr>
              <w:t>=-1.15</w:t>
            </w:r>
          </w:p>
        </w:tc>
        <w:tc>
          <w:tcPr>
            <w:tcW w:w="1953" w:type="dxa"/>
            <w:vAlign w:val="bottom"/>
          </w:tcPr>
          <w:p w14:paraId="50E72239" w14:textId="77777777" w:rsidR="003A17A3" w:rsidRDefault="003A17A3" w:rsidP="003A17A3">
            <w:pPr>
              <w:spacing w:after="0" w:line="240" w:lineRule="auto"/>
              <w:jc w:val="center"/>
              <w:rPr>
                <w:rFonts w:eastAsia="Times New Roman" w:cs="Arial"/>
                <w:color w:val="000000"/>
                <w:szCs w:val="24"/>
              </w:rPr>
            </w:pPr>
            <w:r w:rsidRPr="00BE3BBE">
              <w:rPr>
                <w:rFonts w:eastAsia="Times New Roman" w:cs="Arial"/>
                <w:color w:val="000000"/>
                <w:szCs w:val="24"/>
              </w:rPr>
              <w:t>=</w:t>
            </w:r>
            <w:r>
              <w:rPr>
                <w:rFonts w:eastAsia="Times New Roman" w:cs="Arial"/>
                <w:color w:val="000000"/>
                <w:szCs w:val="24"/>
              </w:rPr>
              <w:t>1658,000</w:t>
            </w:r>
            <w:r w:rsidRPr="00BE3BBE">
              <w:rPr>
                <w:rFonts w:eastAsia="Times New Roman" w:cs="Arial"/>
                <w:color w:val="000000"/>
                <w:szCs w:val="24"/>
              </w:rPr>
              <w:t>/</w:t>
            </w:r>
          </w:p>
          <w:p w14:paraId="4E18B88D" w14:textId="77777777" w:rsidR="003A17A3" w:rsidRPr="00BE3BBE" w:rsidRDefault="003A17A3" w:rsidP="003A17A3">
            <w:pPr>
              <w:spacing w:after="0" w:line="240" w:lineRule="auto"/>
              <w:jc w:val="center"/>
              <w:rPr>
                <w:rFonts w:eastAsia="Times New Roman" w:cs="Arial"/>
                <w:color w:val="000000"/>
                <w:szCs w:val="24"/>
              </w:rPr>
            </w:pPr>
            <w:r>
              <w:rPr>
                <w:rFonts w:eastAsia="Times New Roman" w:cs="Arial"/>
                <w:color w:val="000000"/>
                <w:szCs w:val="24"/>
              </w:rPr>
              <w:t>414,000</w:t>
            </w:r>
          </w:p>
          <w:p w14:paraId="256CDCE1" w14:textId="77777777" w:rsidR="00B112DB" w:rsidRPr="00652DA8" w:rsidRDefault="003A17A3" w:rsidP="003A17A3">
            <w:pPr>
              <w:spacing w:after="0" w:line="276" w:lineRule="auto"/>
              <w:jc w:val="center"/>
              <w:rPr>
                <w:rFonts w:eastAsia="Times New Roman" w:cs="Arial"/>
                <w:color w:val="000000"/>
                <w:szCs w:val="24"/>
              </w:rPr>
            </w:pPr>
            <w:r>
              <w:rPr>
                <w:rFonts w:eastAsia="Times New Roman" w:cs="Arial"/>
                <w:color w:val="000000"/>
                <w:szCs w:val="24"/>
              </w:rPr>
              <w:t>=4.00</w:t>
            </w:r>
          </w:p>
        </w:tc>
        <w:tc>
          <w:tcPr>
            <w:tcW w:w="1287" w:type="dxa"/>
            <w:shd w:val="clear" w:color="auto" w:fill="auto"/>
            <w:noWrap/>
            <w:vAlign w:val="center"/>
          </w:tcPr>
          <w:p w14:paraId="5C626D8B" w14:textId="77777777" w:rsidR="00B112DB" w:rsidRPr="00B112DB" w:rsidRDefault="00B112DB" w:rsidP="00B112DB">
            <w:pPr>
              <w:jc w:val="center"/>
              <w:rPr>
                <w:rFonts w:cs="Times New Roman"/>
                <w:color w:val="000000"/>
              </w:rPr>
            </w:pPr>
            <w:r w:rsidRPr="00B112DB">
              <w:rPr>
                <w:rFonts w:cs="Times New Roman"/>
                <w:color w:val="000000"/>
              </w:rPr>
              <w:t>-128.81%</w:t>
            </w:r>
          </w:p>
        </w:tc>
      </w:tr>
    </w:tbl>
    <w:p w14:paraId="7C6EE579" w14:textId="77777777" w:rsidR="00C2556F" w:rsidRPr="00BE3BBE" w:rsidRDefault="00C2556F" w:rsidP="00C2556F">
      <w:pPr>
        <w:jc w:val="center"/>
        <w:rPr>
          <w:rFonts w:cs="Arial"/>
        </w:rPr>
      </w:pPr>
      <w:r w:rsidRPr="00BE3BBE">
        <w:rPr>
          <w:rFonts w:cs="Arial"/>
        </w:rPr>
        <w:t xml:space="preserve">Table 05: </w:t>
      </w:r>
      <w:r w:rsidR="00501FE3">
        <w:rPr>
          <w:rFonts w:cs="Arial"/>
        </w:rPr>
        <w:t>Gearing</w:t>
      </w:r>
      <w:r>
        <w:rPr>
          <w:rFonts w:cs="Arial"/>
        </w:rPr>
        <w:t xml:space="preserve"> </w:t>
      </w:r>
      <w:r w:rsidRPr="00BE3BBE">
        <w:rPr>
          <w:rFonts w:cs="Arial"/>
        </w:rPr>
        <w:t>Ratio</w:t>
      </w:r>
    </w:p>
    <w:p w14:paraId="45664419" w14:textId="77777777" w:rsidR="00C2556F" w:rsidRDefault="00C2556F" w:rsidP="00C2556F">
      <w:pPr>
        <w:jc w:val="center"/>
        <w:rPr>
          <w:rFonts w:cs="Arial"/>
        </w:rPr>
      </w:pPr>
      <w:r w:rsidRPr="00BE3BBE">
        <w:rPr>
          <w:rFonts w:cs="Arial"/>
        </w:rPr>
        <w:t xml:space="preserve">Source: </w:t>
      </w:r>
      <w:r>
        <w:rPr>
          <w:rFonts w:cs="Arial"/>
        </w:rPr>
        <w:t>Own</w:t>
      </w:r>
      <w:r w:rsidRPr="00BE3BBE">
        <w:rPr>
          <w:rFonts w:cs="Arial"/>
        </w:rPr>
        <w:t xml:space="preserve"> Calculation</w:t>
      </w:r>
    </w:p>
    <w:p w14:paraId="7F4F57B5" w14:textId="77777777" w:rsidR="009E4827" w:rsidRDefault="009E4827" w:rsidP="009E4827">
      <w:r>
        <w:t>The performance of Hilton is disappointing as both of these r</w:t>
      </w:r>
      <w:r w:rsidR="00E72027">
        <w:t>a</w:t>
      </w:r>
      <w:r>
        <w:t xml:space="preserve">tios are way below the threshold. Moreover, in 2020, the company has invested more </w:t>
      </w:r>
      <w:r w:rsidR="00F002CD">
        <w:t>i</w:t>
      </w:r>
      <w:r>
        <w:t xml:space="preserve">n taking debt, rather than paying them. As the profit level is low, they might face difficulties in paying interest. </w:t>
      </w:r>
    </w:p>
    <w:p w14:paraId="21E4B8C9" w14:textId="77777777" w:rsidR="00E4729F" w:rsidRDefault="00E4729F" w:rsidP="009E4827"/>
    <w:p w14:paraId="5E91BE93" w14:textId="77777777" w:rsidR="00E4729F" w:rsidRDefault="00E4729F" w:rsidP="009E4827"/>
    <w:p w14:paraId="1848F927" w14:textId="77777777" w:rsidR="00E61B48" w:rsidRDefault="00E61B48" w:rsidP="009E4827"/>
    <w:p w14:paraId="428B0849" w14:textId="77777777" w:rsidR="00E61B48" w:rsidRDefault="00E61B48" w:rsidP="009E4827"/>
    <w:p w14:paraId="6AC9BE6B" w14:textId="77777777" w:rsidR="00E4729F" w:rsidRDefault="00E4729F" w:rsidP="009E4827"/>
    <w:p w14:paraId="589B1045" w14:textId="77777777" w:rsidR="001C2170" w:rsidRDefault="001C2170" w:rsidP="001C2170">
      <w:pPr>
        <w:pStyle w:val="Heading1"/>
      </w:pPr>
      <w:bookmarkStart w:id="8" w:name="_Toc103888193"/>
      <w:r>
        <w:lastRenderedPageBreak/>
        <w:t>Trend Analysis</w:t>
      </w:r>
      <w:bookmarkEnd w:id="8"/>
    </w:p>
    <w:p w14:paraId="4FCC1B94" w14:textId="77777777" w:rsidR="00983A98" w:rsidRPr="00983A98" w:rsidRDefault="00983A98" w:rsidP="00983A98">
      <w:r>
        <w:t xml:space="preserve">Trends will be discussed here based on the calculations done before. Summary tables have been prepared for better closure </w:t>
      </w:r>
      <w:r w:rsidR="00F002CD">
        <w:t>for</w:t>
      </w:r>
      <w:r w:rsidR="009A5EC1">
        <w:t xml:space="preserve"> this purpose</w:t>
      </w:r>
      <w:r>
        <w:t xml:space="preserve">.  </w:t>
      </w:r>
    </w:p>
    <w:p w14:paraId="644AE7E9" w14:textId="77777777" w:rsidR="00E4729F" w:rsidRPr="00E4729F" w:rsidRDefault="00253E90" w:rsidP="002508B6">
      <w:pPr>
        <w:pStyle w:val="Heading2"/>
      </w:pPr>
      <w:bookmarkStart w:id="9" w:name="_Toc103888194"/>
      <w:r>
        <w:t>Profitability</w:t>
      </w:r>
      <w:bookmarkEnd w:id="9"/>
    </w:p>
    <w:p w14:paraId="28AFCC1C" w14:textId="77777777" w:rsidR="00253E90" w:rsidRDefault="00275CFD" w:rsidP="00275CFD">
      <w:pPr>
        <w:jc w:val="center"/>
      </w:pPr>
      <w:r w:rsidRPr="00275CFD">
        <w:rPr>
          <w:noProof/>
        </w:rPr>
        <w:drawing>
          <wp:inline distT="0" distB="0" distL="0" distR="0" wp14:anchorId="789AC6A9" wp14:editId="64C427AB">
            <wp:extent cx="5858510" cy="1382395"/>
            <wp:effectExtent l="0" t="0" r="889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1382395"/>
                    </a:xfrm>
                    <a:prstGeom prst="rect">
                      <a:avLst/>
                    </a:prstGeom>
                    <a:noFill/>
                    <a:ln>
                      <a:noFill/>
                    </a:ln>
                  </pic:spPr>
                </pic:pic>
              </a:graphicData>
            </a:graphic>
          </wp:inline>
        </w:drawing>
      </w:r>
    </w:p>
    <w:p w14:paraId="7B360850" w14:textId="77777777" w:rsidR="00314913" w:rsidRPr="00BE3BBE" w:rsidRDefault="00314913" w:rsidP="00314913">
      <w:pPr>
        <w:jc w:val="center"/>
        <w:rPr>
          <w:rFonts w:cs="Arial"/>
        </w:rPr>
      </w:pPr>
      <w:r w:rsidRPr="00BE3BBE">
        <w:rPr>
          <w:rFonts w:cs="Arial"/>
        </w:rPr>
        <w:t>Table 0</w:t>
      </w:r>
      <w:r>
        <w:rPr>
          <w:rFonts w:cs="Arial"/>
        </w:rPr>
        <w:t>6</w:t>
      </w:r>
      <w:r w:rsidRPr="00BE3BBE">
        <w:rPr>
          <w:rFonts w:cs="Arial"/>
        </w:rPr>
        <w:t xml:space="preserve">: </w:t>
      </w:r>
      <w:r>
        <w:rPr>
          <w:rFonts w:cs="Arial"/>
        </w:rPr>
        <w:t>Horizontal Analysis (</w:t>
      </w:r>
      <w:r w:rsidR="008F760E">
        <w:rPr>
          <w:rFonts w:cs="Arial"/>
        </w:rPr>
        <w:t>Profitability</w:t>
      </w:r>
      <w:r>
        <w:rPr>
          <w:rFonts w:cs="Arial"/>
        </w:rPr>
        <w:t>)</w:t>
      </w:r>
    </w:p>
    <w:p w14:paraId="62E9E377" w14:textId="77777777" w:rsidR="00314913" w:rsidRDefault="00314913" w:rsidP="00314913">
      <w:pPr>
        <w:jc w:val="center"/>
        <w:rPr>
          <w:rFonts w:cs="Arial"/>
        </w:rPr>
      </w:pPr>
      <w:r w:rsidRPr="00BE3BBE">
        <w:rPr>
          <w:rFonts w:cs="Arial"/>
        </w:rPr>
        <w:t xml:space="preserve">Source: </w:t>
      </w:r>
      <w:r>
        <w:rPr>
          <w:rFonts w:cs="Arial"/>
        </w:rPr>
        <w:t>Own</w:t>
      </w:r>
      <w:r w:rsidRPr="00BE3BBE">
        <w:rPr>
          <w:rFonts w:cs="Arial"/>
        </w:rPr>
        <w:t xml:space="preserve"> Calculation</w:t>
      </w:r>
    </w:p>
    <w:p w14:paraId="41C8368E" w14:textId="77777777" w:rsidR="00314913" w:rsidRDefault="00275CFD" w:rsidP="00253E90">
      <w:r>
        <w:t xml:space="preserve">In 2020, the company’s profit took a sharp lower turn, which reduced the profit margin by 47%. In terms of net profit and ROCE, they were more alarming as the net profit amount was negative there. This might be a result of </w:t>
      </w:r>
      <w:r w:rsidR="00F002CD">
        <w:t xml:space="preserve">a </w:t>
      </w:r>
      <w:r>
        <w:t xml:space="preserve">reduction in sales due to covid-19, which reduced by 278% and 125% respectively. </w:t>
      </w:r>
    </w:p>
    <w:p w14:paraId="38E1B5C3" w14:textId="77777777" w:rsidR="00314913" w:rsidRDefault="00314913" w:rsidP="00314913">
      <w:pPr>
        <w:pStyle w:val="Heading2"/>
      </w:pPr>
      <w:bookmarkStart w:id="10" w:name="_Toc103888195"/>
      <w:r>
        <w:t>Asset Turnover</w:t>
      </w:r>
      <w:bookmarkEnd w:id="10"/>
    </w:p>
    <w:p w14:paraId="4606BAF4" w14:textId="77777777" w:rsidR="00314913" w:rsidRDefault="009D3B12" w:rsidP="00617000">
      <w:pPr>
        <w:jc w:val="center"/>
      </w:pPr>
      <w:r w:rsidRPr="009D3B12">
        <w:rPr>
          <w:noProof/>
        </w:rPr>
        <w:drawing>
          <wp:inline distT="0" distB="0" distL="0" distR="0" wp14:anchorId="5432C913" wp14:editId="3B58C4B4">
            <wp:extent cx="5762625" cy="1765300"/>
            <wp:effectExtent l="0" t="0" r="952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2625" cy="1765300"/>
                    </a:xfrm>
                    <a:prstGeom prst="rect">
                      <a:avLst/>
                    </a:prstGeom>
                    <a:noFill/>
                    <a:ln>
                      <a:noFill/>
                    </a:ln>
                  </pic:spPr>
                </pic:pic>
              </a:graphicData>
            </a:graphic>
          </wp:inline>
        </w:drawing>
      </w:r>
    </w:p>
    <w:p w14:paraId="0B3EF690" w14:textId="77777777" w:rsidR="00617000" w:rsidRPr="00BE3BBE" w:rsidRDefault="00617000" w:rsidP="00617000">
      <w:pPr>
        <w:jc w:val="center"/>
        <w:rPr>
          <w:rFonts w:cs="Arial"/>
        </w:rPr>
      </w:pPr>
      <w:r w:rsidRPr="00BE3BBE">
        <w:rPr>
          <w:rFonts w:cs="Arial"/>
        </w:rPr>
        <w:t>Table 0</w:t>
      </w:r>
      <w:r>
        <w:rPr>
          <w:rFonts w:cs="Arial"/>
        </w:rPr>
        <w:t>7</w:t>
      </w:r>
      <w:r w:rsidRPr="00BE3BBE">
        <w:rPr>
          <w:rFonts w:cs="Arial"/>
        </w:rPr>
        <w:t xml:space="preserve">: </w:t>
      </w:r>
      <w:r>
        <w:rPr>
          <w:rFonts w:cs="Arial"/>
        </w:rPr>
        <w:t>Horizontal Analysis (Asset Turnover)</w:t>
      </w:r>
    </w:p>
    <w:p w14:paraId="0985B693" w14:textId="77777777" w:rsidR="00617000" w:rsidRDefault="00617000" w:rsidP="00617000">
      <w:pPr>
        <w:jc w:val="center"/>
        <w:rPr>
          <w:rFonts w:cs="Arial"/>
        </w:rPr>
      </w:pPr>
      <w:r w:rsidRPr="00BE3BBE">
        <w:rPr>
          <w:rFonts w:cs="Arial"/>
        </w:rPr>
        <w:t xml:space="preserve">Source: </w:t>
      </w:r>
      <w:r>
        <w:rPr>
          <w:rFonts w:cs="Arial"/>
        </w:rPr>
        <w:t>Own</w:t>
      </w:r>
      <w:r w:rsidRPr="00BE3BBE">
        <w:rPr>
          <w:rFonts w:cs="Arial"/>
        </w:rPr>
        <w:t xml:space="preserve"> Calculation</w:t>
      </w:r>
    </w:p>
    <w:p w14:paraId="69B9EB15" w14:textId="77777777" w:rsidR="00617000" w:rsidRDefault="009D3B12" w:rsidP="00AA399F">
      <w:r>
        <w:t xml:space="preserve">As seen before, due to lower gross and net profit, the total asset and fixed asset turnover ratios are not good. In 2020, total asset turnover was 61% and fixed asset turnover was 64% lower than </w:t>
      </w:r>
      <w:r w:rsidR="00F002CD">
        <w:t xml:space="preserve">in </w:t>
      </w:r>
      <w:r>
        <w:lastRenderedPageBreak/>
        <w:t xml:space="preserve">2019, showing great concern. But, in terms of working capital, </w:t>
      </w:r>
      <w:r w:rsidR="0019667E">
        <w:t>it performed well. The reason behind that is still alarming though as the probable better working capital is due to a reduction of curre</w:t>
      </w:r>
      <w:r w:rsidR="00AA399F">
        <w:t>n</w:t>
      </w:r>
      <w:r w:rsidR="0019667E">
        <w:t xml:space="preserve">t assets. </w:t>
      </w:r>
    </w:p>
    <w:p w14:paraId="1C7C81FD" w14:textId="77777777" w:rsidR="00AA399F" w:rsidRDefault="00314913" w:rsidP="00AA399F">
      <w:pPr>
        <w:pStyle w:val="Heading2"/>
      </w:pPr>
      <w:bookmarkStart w:id="11" w:name="_Toc103888196"/>
      <w:r>
        <w:t>Liquidity</w:t>
      </w:r>
      <w:bookmarkEnd w:id="11"/>
    </w:p>
    <w:p w14:paraId="6F9375F6" w14:textId="77777777" w:rsidR="00776625" w:rsidRDefault="00EB1077" w:rsidP="00BC6EE0">
      <w:pPr>
        <w:jc w:val="center"/>
        <w:rPr>
          <w:rFonts w:cs="Times New Roman"/>
        </w:rPr>
      </w:pPr>
      <w:r w:rsidRPr="00EB1077">
        <w:rPr>
          <w:noProof/>
        </w:rPr>
        <w:drawing>
          <wp:inline distT="0" distB="0" distL="0" distR="0" wp14:anchorId="577F0F52" wp14:editId="407BA623">
            <wp:extent cx="5404535" cy="1903228"/>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9218" cy="1904877"/>
                    </a:xfrm>
                    <a:prstGeom prst="rect">
                      <a:avLst/>
                    </a:prstGeom>
                    <a:noFill/>
                    <a:ln>
                      <a:noFill/>
                    </a:ln>
                  </pic:spPr>
                </pic:pic>
              </a:graphicData>
            </a:graphic>
          </wp:inline>
        </w:drawing>
      </w:r>
    </w:p>
    <w:p w14:paraId="07216145" w14:textId="77777777" w:rsidR="00314913" w:rsidRPr="00BE3BBE" w:rsidRDefault="00314913" w:rsidP="00314913">
      <w:pPr>
        <w:jc w:val="center"/>
        <w:rPr>
          <w:rFonts w:cs="Arial"/>
        </w:rPr>
      </w:pPr>
      <w:r w:rsidRPr="00BE3BBE">
        <w:rPr>
          <w:rFonts w:cs="Arial"/>
        </w:rPr>
        <w:t>Table 0</w:t>
      </w:r>
      <w:r>
        <w:rPr>
          <w:rFonts w:cs="Arial"/>
        </w:rPr>
        <w:t>8</w:t>
      </w:r>
      <w:r w:rsidRPr="00BE3BBE">
        <w:rPr>
          <w:rFonts w:cs="Arial"/>
        </w:rPr>
        <w:t xml:space="preserve">: </w:t>
      </w:r>
      <w:r>
        <w:rPr>
          <w:rFonts w:cs="Arial"/>
        </w:rPr>
        <w:t>Horizontal Analysis (Liquidity)</w:t>
      </w:r>
    </w:p>
    <w:p w14:paraId="269D5422" w14:textId="77777777" w:rsidR="00314913" w:rsidRDefault="00314913" w:rsidP="00314913">
      <w:pPr>
        <w:jc w:val="center"/>
        <w:rPr>
          <w:rFonts w:cs="Arial"/>
        </w:rPr>
      </w:pPr>
      <w:r w:rsidRPr="00BE3BBE">
        <w:rPr>
          <w:rFonts w:cs="Arial"/>
        </w:rPr>
        <w:t xml:space="preserve">Source: </w:t>
      </w:r>
      <w:r>
        <w:rPr>
          <w:rFonts w:cs="Arial"/>
        </w:rPr>
        <w:t>Own</w:t>
      </w:r>
      <w:r w:rsidRPr="00BE3BBE">
        <w:rPr>
          <w:rFonts w:cs="Arial"/>
        </w:rPr>
        <w:t xml:space="preserve"> Calculation</w:t>
      </w:r>
    </w:p>
    <w:p w14:paraId="7CB15B70" w14:textId="77777777" w:rsidR="00AA399F" w:rsidRDefault="00AA399F" w:rsidP="00AA399F">
      <w:r>
        <w:t>The capability of paying short-term debts ha</w:t>
      </w:r>
      <w:r w:rsidR="00F002CD">
        <w:t>s</w:t>
      </w:r>
      <w:r>
        <w:t xml:space="preserve"> been improved in 2020, as the ratio is almost close to the industry benchmark. Also, the current and quick ratio ha</w:t>
      </w:r>
      <w:r w:rsidR="00F002CD">
        <w:t>s</w:t>
      </w:r>
      <w:r>
        <w:t xml:space="preserve"> improved by around 150%, which shows </w:t>
      </w:r>
      <w:r w:rsidR="00F002CD">
        <w:t xml:space="preserve">a </w:t>
      </w:r>
      <w:r>
        <w:t>positive upward trend for the future. So, it can be said that they are maintaining enough liquidity.</w:t>
      </w:r>
    </w:p>
    <w:p w14:paraId="3B0DD5A5" w14:textId="77777777" w:rsidR="00EB1077" w:rsidRPr="00BE3BBE" w:rsidRDefault="00EB1077" w:rsidP="00AA399F">
      <w:r>
        <w:t>Additi</w:t>
      </w:r>
      <w:r w:rsidR="006D5C63">
        <w:t>o</w:t>
      </w:r>
      <w:r w:rsidR="0029049F">
        <w:t xml:space="preserve">nally, </w:t>
      </w:r>
      <w:r w:rsidR="00F002CD">
        <w:t xml:space="preserve">the </w:t>
      </w:r>
      <w:r w:rsidR="0029049F">
        <w:t xml:space="preserve">debtor and creditor </w:t>
      </w:r>
      <w:r>
        <w:t xml:space="preserve">ratio </w:t>
      </w:r>
      <w:proofErr w:type="gramStart"/>
      <w:r>
        <w:t>shows</w:t>
      </w:r>
      <w:proofErr w:type="gramEnd"/>
      <w:r>
        <w:t xml:space="preserve"> a good ratio, which is within the benchmark. </w:t>
      </w:r>
      <w:proofErr w:type="gramStart"/>
      <w:r>
        <w:t>But,</w:t>
      </w:r>
      <w:proofErr w:type="gramEnd"/>
      <w:r>
        <w:t xml:space="preserve"> Hilton needs to pay attention to the increase of debtor days ratios, which is not supposed to increase. The debtor days </w:t>
      </w:r>
      <w:r w:rsidR="00F002CD">
        <w:t>are</w:t>
      </w:r>
      <w:r>
        <w:t xml:space="preserve"> more alarming in this respect that, Hilton might have </w:t>
      </w:r>
      <w:r w:rsidR="00F002CD">
        <w:t xml:space="preserve">a </w:t>
      </w:r>
      <w:r>
        <w:t xml:space="preserve">shortage of cash when needed due to </w:t>
      </w:r>
      <w:r w:rsidR="00F002CD">
        <w:t xml:space="preserve">the </w:t>
      </w:r>
      <w:r>
        <w:t xml:space="preserve">high debtor days ratio. Meanwhile, the creditor days </w:t>
      </w:r>
      <w:r w:rsidR="00F002CD">
        <w:t>are</w:t>
      </w:r>
      <w:r>
        <w:t xml:space="preserve"> good but a frequent payment to lenders may also lower liquid assets.</w:t>
      </w:r>
    </w:p>
    <w:p w14:paraId="1CC9DB75" w14:textId="77777777" w:rsidR="00314913" w:rsidRPr="00314913" w:rsidRDefault="00314913" w:rsidP="00314913"/>
    <w:p w14:paraId="06F4DA0B" w14:textId="77777777" w:rsidR="005C6F83" w:rsidRDefault="00314913" w:rsidP="00314913">
      <w:pPr>
        <w:pStyle w:val="Heading2"/>
      </w:pPr>
      <w:bookmarkStart w:id="12" w:name="_Toc103888197"/>
      <w:r>
        <w:lastRenderedPageBreak/>
        <w:t>Gearing (Leverage)</w:t>
      </w:r>
      <w:bookmarkEnd w:id="12"/>
    </w:p>
    <w:p w14:paraId="7A5D96DC" w14:textId="77777777" w:rsidR="00314913" w:rsidRDefault="002150FB" w:rsidP="00314913">
      <w:pPr>
        <w:jc w:val="center"/>
      </w:pPr>
      <w:r w:rsidRPr="002150FB">
        <w:rPr>
          <w:noProof/>
        </w:rPr>
        <w:drawing>
          <wp:inline distT="0" distB="0" distL="0" distR="0" wp14:anchorId="62A17563" wp14:editId="67214DA6">
            <wp:extent cx="5316220" cy="15100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6220" cy="1510030"/>
                    </a:xfrm>
                    <a:prstGeom prst="rect">
                      <a:avLst/>
                    </a:prstGeom>
                    <a:noFill/>
                    <a:ln>
                      <a:noFill/>
                    </a:ln>
                  </pic:spPr>
                </pic:pic>
              </a:graphicData>
            </a:graphic>
          </wp:inline>
        </w:drawing>
      </w:r>
    </w:p>
    <w:p w14:paraId="73715EF8" w14:textId="77777777" w:rsidR="00314913" w:rsidRPr="00BE3BBE" w:rsidRDefault="00314913" w:rsidP="00314913">
      <w:pPr>
        <w:jc w:val="center"/>
        <w:rPr>
          <w:rFonts w:cs="Arial"/>
        </w:rPr>
      </w:pPr>
      <w:r w:rsidRPr="00BE3BBE">
        <w:rPr>
          <w:rFonts w:cs="Arial"/>
        </w:rPr>
        <w:t>Table 0</w:t>
      </w:r>
      <w:r w:rsidR="00B34224">
        <w:rPr>
          <w:rFonts w:cs="Arial"/>
        </w:rPr>
        <w:t>9</w:t>
      </w:r>
      <w:r w:rsidRPr="00BE3BBE">
        <w:rPr>
          <w:rFonts w:cs="Arial"/>
        </w:rPr>
        <w:t xml:space="preserve">: </w:t>
      </w:r>
      <w:r>
        <w:rPr>
          <w:rFonts w:cs="Arial"/>
        </w:rPr>
        <w:t>Horizontal Analysis (Leverage)</w:t>
      </w:r>
    </w:p>
    <w:p w14:paraId="5F554368" w14:textId="77777777" w:rsidR="00314913" w:rsidRDefault="00314913" w:rsidP="00314913">
      <w:pPr>
        <w:jc w:val="center"/>
        <w:rPr>
          <w:rFonts w:cs="Arial"/>
        </w:rPr>
      </w:pPr>
      <w:r w:rsidRPr="00BE3BBE">
        <w:rPr>
          <w:rFonts w:cs="Arial"/>
        </w:rPr>
        <w:t xml:space="preserve">Source: </w:t>
      </w:r>
      <w:r>
        <w:rPr>
          <w:rFonts w:cs="Arial"/>
        </w:rPr>
        <w:t>Own</w:t>
      </w:r>
      <w:r w:rsidRPr="00BE3BBE">
        <w:rPr>
          <w:rFonts w:cs="Arial"/>
        </w:rPr>
        <w:t xml:space="preserve"> Calculation</w:t>
      </w:r>
    </w:p>
    <w:p w14:paraId="6507DB99" w14:textId="77777777" w:rsidR="0029049F" w:rsidRDefault="0029049F" w:rsidP="0029049F">
      <w:r>
        <w:t xml:space="preserve">In 2020, Hilton took more debts than before, as a result, they may find </w:t>
      </w:r>
      <w:r w:rsidR="00F002CD">
        <w:t xml:space="preserve">a </w:t>
      </w:r>
      <w:r>
        <w:t xml:space="preserve">shortage of assets, if they keep a lot of them as collateral. Also, it must be kept in mind that, their </w:t>
      </w:r>
      <w:r w:rsidR="00FA5DAE">
        <w:t>profitability is low now, which may generate lower cash</w:t>
      </w:r>
      <w:r w:rsidR="0058513E">
        <w:t xml:space="preserve"> </w:t>
      </w:r>
      <w:r w:rsidR="00FA5DAE">
        <w:t xml:space="preserve">flows, which in effect may hinder the payment of debts as well as interest </w:t>
      </w:r>
      <w:r w:rsidR="00F002CD">
        <w:t>shortly</w:t>
      </w:r>
      <w:r w:rsidR="00FA5DAE">
        <w:t>. So, they need to be cautio</w:t>
      </w:r>
      <w:r w:rsidR="0058513E">
        <w:t>u</w:t>
      </w:r>
      <w:r w:rsidR="00FA5DAE">
        <w:t>s in this respect.</w:t>
      </w:r>
    </w:p>
    <w:p w14:paraId="79806F38" w14:textId="77777777" w:rsidR="005A149A" w:rsidRDefault="005A149A" w:rsidP="0029049F"/>
    <w:p w14:paraId="4F37B419" w14:textId="77777777" w:rsidR="005A149A" w:rsidRDefault="005A149A">
      <w:pPr>
        <w:spacing w:line="259" w:lineRule="auto"/>
        <w:jc w:val="left"/>
      </w:pPr>
      <w:r>
        <w:br w:type="page"/>
      </w:r>
    </w:p>
    <w:p w14:paraId="27050D8F" w14:textId="77777777" w:rsidR="005A149A" w:rsidRDefault="005A149A" w:rsidP="005A149A">
      <w:pPr>
        <w:pStyle w:val="Heading1"/>
      </w:pPr>
      <w:bookmarkStart w:id="13" w:name="_Toc103888198"/>
      <w:r>
        <w:lastRenderedPageBreak/>
        <w:t xml:space="preserve">Impact of Ratio Analysis </w:t>
      </w:r>
      <w:r w:rsidR="00F002CD">
        <w:t>on</w:t>
      </w:r>
      <w:r>
        <w:t xml:space="preserve"> Decision Making</w:t>
      </w:r>
      <w:bookmarkEnd w:id="13"/>
    </w:p>
    <w:p w14:paraId="07E5DEB3" w14:textId="77777777" w:rsidR="005A149A" w:rsidRDefault="0044329D" w:rsidP="005A149A">
      <w:r>
        <w:t xml:space="preserve">Being a major performer in </w:t>
      </w:r>
      <w:r w:rsidR="00F002CD">
        <w:t xml:space="preserve">a </w:t>
      </w:r>
      <w:r>
        <w:t xml:space="preserve">cyclical industry, </w:t>
      </w:r>
      <w:r w:rsidR="00F002CD">
        <w:t xml:space="preserve">the </w:t>
      </w:r>
      <w:r>
        <w:t>hospitality industry is prone to several factors such as, change</w:t>
      </w:r>
      <w:r w:rsidR="00F002CD">
        <w:t>s</w:t>
      </w:r>
      <w:r>
        <w:t xml:space="preserve"> in </w:t>
      </w:r>
      <w:r w:rsidR="00F002CD">
        <w:t xml:space="preserve">the </w:t>
      </w:r>
      <w:r>
        <w:t xml:space="preserve">economy, social </w:t>
      </w:r>
      <w:r w:rsidR="00973D9B">
        <w:t xml:space="preserve">situation, behavioral aspects of customers etc. So, companies performing </w:t>
      </w:r>
      <w:r w:rsidR="00F002CD">
        <w:t>in</w:t>
      </w:r>
      <w:r w:rsidR="00973D9B">
        <w:t xml:space="preserve"> th</w:t>
      </w:r>
      <w:r w:rsidR="00F002CD">
        <w:t>ese</w:t>
      </w:r>
      <w:r w:rsidR="00973D9B">
        <w:t xml:space="preserve"> industries need to have a clear picture in mind </w:t>
      </w:r>
      <w:r w:rsidR="00F002CD">
        <w:t>of</w:t>
      </w:r>
      <w:r w:rsidR="00973D9B">
        <w:t xml:space="preserve"> where the industry might go </w:t>
      </w:r>
      <w:r w:rsidR="00F002CD">
        <w:t>soon</w:t>
      </w:r>
      <w:r w:rsidR="00FB547D">
        <w:t xml:space="preserve"> (</w:t>
      </w:r>
      <w:proofErr w:type="spellStart"/>
      <w:r w:rsidR="00FB547D">
        <w:t>Vasilev</w:t>
      </w:r>
      <w:proofErr w:type="spellEnd"/>
      <w:r w:rsidR="00FB547D">
        <w:t xml:space="preserve"> et al., 2019)</w:t>
      </w:r>
      <w:r w:rsidR="00973D9B">
        <w:t xml:space="preserve">. Ratio analysis provides a logical and trustworthy look at the trend of the performance with historical data collected from the financial </w:t>
      </w:r>
      <w:r w:rsidR="009322BE">
        <w:t>statements. Following are the basic benefits of ratio analysis:</w:t>
      </w:r>
    </w:p>
    <w:p w14:paraId="189D31E7" w14:textId="77777777" w:rsidR="009322BE" w:rsidRDefault="00155897" w:rsidP="00155897">
      <w:pPr>
        <w:pStyle w:val="ListParagraph"/>
        <w:numPr>
          <w:ilvl w:val="0"/>
          <w:numId w:val="1"/>
        </w:numPr>
      </w:pPr>
      <w:r w:rsidRPr="000204E3">
        <w:rPr>
          <w:b/>
        </w:rPr>
        <w:t>Operational &amp; Financial Planning-</w:t>
      </w:r>
      <w:r>
        <w:t xml:space="preserve"> Horizontal ratio analysis show the increase or decrease of revenues, costs, liabilities and assets. Moreover, it shows the funding needs and level of leverage for periods, which helps managers to </w:t>
      </w:r>
      <w:r w:rsidR="00F002CD">
        <w:t>m</w:t>
      </w:r>
      <w:r>
        <w:t xml:space="preserve">ake decisions based on </w:t>
      </w:r>
      <w:r w:rsidR="00F002CD">
        <w:t xml:space="preserve">the </w:t>
      </w:r>
      <w:r>
        <w:t>chang</w:t>
      </w:r>
      <w:r w:rsidR="00F002CD">
        <w:t>ing</w:t>
      </w:r>
      <w:r>
        <w:t xml:space="preserve"> environment.</w:t>
      </w:r>
    </w:p>
    <w:p w14:paraId="61901939" w14:textId="77777777" w:rsidR="00D83962" w:rsidRDefault="00D83962" w:rsidP="00155897">
      <w:pPr>
        <w:pStyle w:val="ListParagraph"/>
        <w:numPr>
          <w:ilvl w:val="0"/>
          <w:numId w:val="1"/>
        </w:numPr>
      </w:pPr>
      <w:r w:rsidRPr="000204E3">
        <w:rPr>
          <w:b/>
        </w:rPr>
        <w:t xml:space="preserve">Getting an Overview of </w:t>
      </w:r>
      <w:r w:rsidR="000204E3">
        <w:rPr>
          <w:b/>
        </w:rPr>
        <w:t xml:space="preserve">the </w:t>
      </w:r>
      <w:r w:rsidRPr="000204E3">
        <w:rPr>
          <w:b/>
        </w:rPr>
        <w:t>Hotel-</w:t>
      </w:r>
      <w:r>
        <w:t xml:space="preserve"> </w:t>
      </w:r>
      <w:r w:rsidR="00190754">
        <w:t xml:space="preserve">Ratio analysis not only </w:t>
      </w:r>
      <w:r w:rsidR="001A437E">
        <w:t>detect</w:t>
      </w:r>
      <w:r w:rsidR="00F002CD">
        <w:t>s</w:t>
      </w:r>
      <w:r w:rsidR="001A437E">
        <w:t xml:space="preserve"> the profitability but also the capability of paying short and long</w:t>
      </w:r>
      <w:r w:rsidR="00F002CD">
        <w:t>-</w:t>
      </w:r>
      <w:r w:rsidR="001A437E">
        <w:t xml:space="preserve">term liabilities and </w:t>
      </w:r>
      <w:r w:rsidR="00F002CD">
        <w:t xml:space="preserve">the </w:t>
      </w:r>
      <w:r w:rsidR="001A437E">
        <w:t xml:space="preserve">ability to generate cash flow, </w:t>
      </w:r>
      <w:r w:rsidR="00420C15">
        <w:t>it gives an overview of the hotel’s performance</w:t>
      </w:r>
      <w:r w:rsidR="00C90295">
        <w:t xml:space="preserve"> (Park &amp; Min, 2020)</w:t>
      </w:r>
      <w:r w:rsidR="001A437E">
        <w:t>.</w:t>
      </w:r>
    </w:p>
    <w:p w14:paraId="70248349" w14:textId="77777777" w:rsidR="001A437E" w:rsidRDefault="006E33D0" w:rsidP="00155897">
      <w:pPr>
        <w:pStyle w:val="ListParagraph"/>
        <w:numPr>
          <w:ilvl w:val="0"/>
          <w:numId w:val="1"/>
        </w:numPr>
      </w:pPr>
      <w:r w:rsidRPr="000204E3">
        <w:rPr>
          <w:b/>
        </w:rPr>
        <w:t xml:space="preserve">Data </w:t>
      </w:r>
      <w:proofErr w:type="spellStart"/>
      <w:r w:rsidRPr="000204E3">
        <w:rPr>
          <w:b/>
        </w:rPr>
        <w:t>Visualisation</w:t>
      </w:r>
      <w:proofErr w:type="spellEnd"/>
      <w:r>
        <w:t>- Ratio analysis is done every year, which shows a clear, constant follow</w:t>
      </w:r>
      <w:r w:rsidR="00F002CD">
        <w:t>-</w:t>
      </w:r>
      <w:r>
        <w:t xml:space="preserve">up of the company performance for the years used. Trend charts, graphs etc. help to </w:t>
      </w:r>
      <w:proofErr w:type="spellStart"/>
      <w:r>
        <w:t>visualise</w:t>
      </w:r>
      <w:proofErr w:type="spellEnd"/>
      <w:r>
        <w:t xml:space="preserve"> data.</w:t>
      </w:r>
    </w:p>
    <w:p w14:paraId="43CD70B8" w14:textId="77777777" w:rsidR="006E33D0" w:rsidRDefault="006E33D0" w:rsidP="00155897">
      <w:pPr>
        <w:pStyle w:val="ListParagraph"/>
        <w:numPr>
          <w:ilvl w:val="0"/>
          <w:numId w:val="1"/>
        </w:numPr>
      </w:pPr>
      <w:r w:rsidRPr="000204E3">
        <w:rPr>
          <w:b/>
        </w:rPr>
        <w:t>Budgeting regularly-</w:t>
      </w:r>
      <w:r>
        <w:t xml:space="preserve"> The capability of the company for effectively generating money (revenue) is identified by these analys</w:t>
      </w:r>
      <w:r w:rsidR="00F002CD">
        <w:t>e</w:t>
      </w:r>
      <w:r>
        <w:t xml:space="preserve">s, if the profitability analysis shows that, it </w:t>
      </w:r>
      <w:r w:rsidR="00F002CD">
        <w:t>i</w:t>
      </w:r>
      <w:r>
        <w:t xml:space="preserve">s lowered than before, </w:t>
      </w:r>
      <w:r w:rsidR="00F002CD">
        <w:t xml:space="preserve">the </w:t>
      </w:r>
      <w:r>
        <w:t xml:space="preserve">company can have time to change </w:t>
      </w:r>
      <w:r w:rsidR="00F002CD">
        <w:t>its</w:t>
      </w:r>
      <w:r>
        <w:t xml:space="preserve"> business strategy.</w:t>
      </w:r>
    </w:p>
    <w:p w14:paraId="3B6A1D95" w14:textId="77777777" w:rsidR="006E33D0" w:rsidRDefault="00CE67FF" w:rsidP="00155897">
      <w:pPr>
        <w:pStyle w:val="ListParagraph"/>
        <w:numPr>
          <w:ilvl w:val="0"/>
          <w:numId w:val="1"/>
        </w:numPr>
      </w:pPr>
      <w:r w:rsidRPr="000204E3">
        <w:rPr>
          <w:b/>
        </w:rPr>
        <w:t>Comparing among Firms-</w:t>
      </w:r>
      <w:r>
        <w:t xml:space="preserve"> getting updated about the rivals is one of the major tasks of the company. Horizontal ratio analysis gives the scope to compare and contrast based on industry threshold and peer data.</w:t>
      </w:r>
    </w:p>
    <w:p w14:paraId="70FDB5B1" w14:textId="77777777" w:rsidR="000204E3" w:rsidRDefault="000204E3" w:rsidP="000204E3">
      <w:r>
        <w:t>These are the main importance of ratio analysis.</w:t>
      </w:r>
    </w:p>
    <w:p w14:paraId="50303BF7" w14:textId="77777777" w:rsidR="00035B5C" w:rsidRDefault="00035B5C" w:rsidP="000204E3"/>
    <w:p w14:paraId="65794586" w14:textId="77777777" w:rsidR="00035B5C" w:rsidRDefault="00035B5C">
      <w:pPr>
        <w:spacing w:line="259" w:lineRule="auto"/>
        <w:jc w:val="left"/>
      </w:pPr>
      <w:r>
        <w:br w:type="page"/>
      </w:r>
    </w:p>
    <w:p w14:paraId="786D1ADD" w14:textId="77777777" w:rsidR="00035B5C" w:rsidRDefault="00035B5C" w:rsidP="00035B5C">
      <w:pPr>
        <w:pStyle w:val="Heading1"/>
      </w:pPr>
      <w:bookmarkStart w:id="14" w:name="_Toc103888199"/>
      <w:r>
        <w:lastRenderedPageBreak/>
        <w:t>Limitations of Ratio Analysis</w:t>
      </w:r>
      <w:bookmarkEnd w:id="14"/>
    </w:p>
    <w:p w14:paraId="0CAC93CA" w14:textId="77777777" w:rsidR="00035B5C" w:rsidRDefault="009F7643" w:rsidP="00035B5C">
      <w:r>
        <w:t xml:space="preserve">It is undeniably true that, ratio analysis possesses significant value in </w:t>
      </w:r>
      <w:proofErr w:type="spellStart"/>
      <w:r w:rsidR="00533265">
        <w:t>analysing</w:t>
      </w:r>
      <w:proofErr w:type="spellEnd"/>
      <w:r w:rsidR="00533265">
        <w:t xml:space="preserve"> the performance of a company, nonetheless</w:t>
      </w:r>
      <w:r w:rsidR="00F002CD">
        <w:t>,</w:t>
      </w:r>
      <w:r w:rsidR="00533265">
        <w:t xml:space="preserve"> it is not free from some limitations which are:</w:t>
      </w:r>
    </w:p>
    <w:p w14:paraId="53AE5777" w14:textId="77777777" w:rsidR="00AD4938" w:rsidRDefault="00AD4938" w:rsidP="00AD4938">
      <w:pPr>
        <w:pStyle w:val="ListParagraph"/>
        <w:numPr>
          <w:ilvl w:val="0"/>
          <w:numId w:val="2"/>
        </w:numPr>
      </w:pPr>
      <w:r>
        <w:t xml:space="preserve">As the analysis </w:t>
      </w:r>
      <w:r w:rsidR="00F002CD">
        <w:t>is</w:t>
      </w:r>
      <w:r>
        <w:t xml:space="preserve"> based on historical data, it </w:t>
      </w:r>
      <w:proofErr w:type="spellStart"/>
      <w:r>
        <w:t>can not</w:t>
      </w:r>
      <w:proofErr w:type="spellEnd"/>
      <w:r>
        <w:t xml:space="preserve"> be guaranteed that it will fully predict the occurrence in </w:t>
      </w:r>
      <w:r w:rsidR="00F002CD">
        <w:t xml:space="preserve">the </w:t>
      </w:r>
      <w:r>
        <w:t>near future</w:t>
      </w:r>
    </w:p>
    <w:p w14:paraId="625E5B14" w14:textId="77777777" w:rsidR="00AD4938" w:rsidRDefault="00AD4938" w:rsidP="00AD4938">
      <w:pPr>
        <w:pStyle w:val="ListParagraph"/>
        <w:numPr>
          <w:ilvl w:val="0"/>
          <w:numId w:val="2"/>
        </w:numPr>
      </w:pPr>
      <w:r>
        <w:t>Human mistakes during calculations are not always unavoidable. It can bring significant changes in results and forecasts</w:t>
      </w:r>
      <w:r w:rsidR="00B45FA6">
        <w:t xml:space="preserve"> (Motta &amp; Sharma, 2020)</w:t>
      </w:r>
      <w:r>
        <w:t>.</w:t>
      </w:r>
    </w:p>
    <w:p w14:paraId="58D8E8DA" w14:textId="77777777" w:rsidR="00AD4938" w:rsidRDefault="00AD4938" w:rsidP="00AD4938">
      <w:pPr>
        <w:pStyle w:val="ListParagraph"/>
        <w:numPr>
          <w:ilvl w:val="0"/>
          <w:numId w:val="2"/>
        </w:numPr>
      </w:pPr>
      <w:r>
        <w:t>From company to company, accounting practices may differ. So, comparing with each other might be misleading to some extent as data must be interpreted keeping the practices in mind.</w:t>
      </w:r>
    </w:p>
    <w:p w14:paraId="1469E431" w14:textId="77777777" w:rsidR="00AD4938" w:rsidRDefault="00AD4938" w:rsidP="00AD4938">
      <w:pPr>
        <w:pStyle w:val="ListParagraph"/>
        <w:numPr>
          <w:ilvl w:val="0"/>
          <w:numId w:val="2"/>
        </w:numPr>
      </w:pPr>
      <w:r>
        <w:t>The data from income statements and balance sheets are not always free from manipulations. These misrepresentations may lead to wrong forecasting.</w:t>
      </w:r>
    </w:p>
    <w:p w14:paraId="3D63DBFB" w14:textId="77777777" w:rsidR="00AD4938" w:rsidRDefault="00AD4938" w:rsidP="00AD4938">
      <w:pPr>
        <w:pStyle w:val="ListParagraph"/>
        <w:numPr>
          <w:ilvl w:val="0"/>
          <w:numId w:val="2"/>
        </w:numPr>
      </w:pPr>
      <w:r>
        <w:t xml:space="preserve">Ratio analysis is </w:t>
      </w:r>
      <w:r w:rsidR="00F002CD">
        <w:t xml:space="preserve">a </w:t>
      </w:r>
      <w:r>
        <w:t>fully quantitative analysis, so any problem during data collection might become a problem later.</w:t>
      </w:r>
    </w:p>
    <w:p w14:paraId="3AFAFE28" w14:textId="77777777" w:rsidR="00AD4938" w:rsidRDefault="00AD4938" w:rsidP="00AD4938">
      <w:r>
        <w:t>The above</w:t>
      </w:r>
      <w:r w:rsidR="00F002CD">
        <w:t>-</w:t>
      </w:r>
      <w:r>
        <w:t>mentioned points are the most important limitations.</w:t>
      </w:r>
    </w:p>
    <w:p w14:paraId="49F5136E" w14:textId="77777777" w:rsidR="005B241C" w:rsidRDefault="005B241C" w:rsidP="005B241C">
      <w:pPr>
        <w:pStyle w:val="Heading1"/>
      </w:pPr>
      <w:bookmarkStart w:id="15" w:name="_Toc103888200"/>
      <w:r>
        <w:t>Importance of Understanding Ratios and their Fluctuations</w:t>
      </w:r>
      <w:bookmarkEnd w:id="15"/>
    </w:p>
    <w:p w14:paraId="59F74710" w14:textId="77777777" w:rsidR="002508B6" w:rsidRDefault="00CF45D9" w:rsidP="005B241C">
      <w:r>
        <w:t>Ratio analysis a</w:t>
      </w:r>
      <w:r w:rsidR="00F7505E">
        <w:t>nal</w:t>
      </w:r>
      <w:r>
        <w:t>yses the company</w:t>
      </w:r>
      <w:r w:rsidR="00F002CD">
        <w:t>'s</w:t>
      </w:r>
      <w:r>
        <w:t xml:space="preserve"> performance and</w:t>
      </w:r>
      <w:r w:rsidR="008F5DBF">
        <w:t xml:space="preserve"> </w:t>
      </w:r>
      <w:r>
        <w:t xml:space="preserve">through graphs and charts show the future trend that probably might happen in </w:t>
      </w:r>
      <w:r w:rsidR="00F002CD">
        <w:t xml:space="preserve">the </w:t>
      </w:r>
      <w:r>
        <w:t>future. The data from cash flow statement</w:t>
      </w:r>
      <w:r w:rsidR="00F002CD">
        <w:t>s</w:t>
      </w:r>
      <w:r>
        <w:t xml:space="preserve">, balance sheets etc. </w:t>
      </w:r>
      <w:proofErr w:type="spellStart"/>
      <w:r>
        <w:t>can not</w:t>
      </w:r>
      <w:proofErr w:type="spellEnd"/>
      <w:r>
        <w:t xml:space="preserve"> always show the true picture of the company as they are not </w:t>
      </w:r>
      <w:r w:rsidR="00B61C26">
        <w:t>precisely gathered, while ratio analysis paves the way to visualize data and make it more meaningful</w:t>
      </w:r>
      <w:r w:rsidR="00B45FA6">
        <w:t xml:space="preserve"> </w:t>
      </w:r>
      <w:r w:rsidR="00226CF5">
        <w:t>(</w:t>
      </w:r>
      <w:proofErr w:type="spellStart"/>
      <w:r w:rsidR="00B45FA6">
        <w:t>Fahlevi</w:t>
      </w:r>
      <w:proofErr w:type="spellEnd"/>
      <w:r w:rsidR="00B45FA6">
        <w:t xml:space="preserve"> &amp; </w:t>
      </w:r>
      <w:proofErr w:type="spellStart"/>
      <w:r w:rsidR="00B45FA6">
        <w:rPr>
          <w:rFonts w:eastAsia="Times New Roman" w:cs="Arial"/>
          <w:szCs w:val="24"/>
        </w:rPr>
        <w:t>Mukhibad</w:t>
      </w:r>
      <w:proofErr w:type="spellEnd"/>
      <w:r w:rsidR="00B45FA6" w:rsidRPr="0054451C">
        <w:rPr>
          <w:rFonts w:eastAsia="Times New Roman" w:cs="Arial"/>
          <w:szCs w:val="24"/>
        </w:rPr>
        <w:t>, 2018</w:t>
      </w:r>
      <w:r w:rsidR="00B45FA6">
        <w:rPr>
          <w:rFonts w:eastAsia="Times New Roman" w:cs="Arial"/>
          <w:szCs w:val="24"/>
        </w:rPr>
        <w:t>)</w:t>
      </w:r>
      <w:r w:rsidR="00B61C26">
        <w:t xml:space="preserve">. </w:t>
      </w:r>
    </w:p>
    <w:p w14:paraId="7E6E246C" w14:textId="77777777" w:rsidR="00D978E3" w:rsidRDefault="00D978E3" w:rsidP="005B241C">
      <w:r>
        <w:t xml:space="preserve">It gives </w:t>
      </w:r>
      <w:r w:rsidR="00F002CD">
        <w:t xml:space="preserve">a </w:t>
      </w:r>
      <w:r>
        <w:t xml:space="preserve">clearer idea about the debt level. Hotel industries are prone to </w:t>
      </w:r>
      <w:r w:rsidR="00C95659">
        <w:t xml:space="preserve">the need of buying assets, which sometimes need lots of debt. But too much leverage is always harmful as it may take the company on the verge of being </w:t>
      </w:r>
      <w:r w:rsidR="00EB3393">
        <w:t xml:space="preserve">bankrupt. </w:t>
      </w:r>
      <w:r w:rsidR="007850EB">
        <w:t xml:space="preserve">For example, Hilton has increased </w:t>
      </w:r>
      <w:r w:rsidR="00F002CD">
        <w:t xml:space="preserve">its </w:t>
      </w:r>
      <w:r w:rsidR="007850EB">
        <w:t>debt lev</w:t>
      </w:r>
      <w:r w:rsidR="00D82AD8">
        <w:t>el in 2020, which gives a cl</w:t>
      </w:r>
      <w:r w:rsidR="007850EB">
        <w:t xml:space="preserve">ear warning that </w:t>
      </w:r>
      <w:r w:rsidR="00F002CD">
        <w:t>it</w:t>
      </w:r>
      <w:r w:rsidR="007850EB">
        <w:t xml:space="preserve"> might need to lower </w:t>
      </w:r>
      <w:r w:rsidR="00F002CD">
        <w:t xml:space="preserve">its </w:t>
      </w:r>
      <w:r w:rsidR="007850EB">
        <w:t>debt level.</w:t>
      </w:r>
    </w:p>
    <w:p w14:paraId="62784DDA" w14:textId="77777777" w:rsidR="00422E9A" w:rsidRDefault="006F3F24" w:rsidP="005B241C">
      <w:r>
        <w:t xml:space="preserve">The preparation of budgets, strategies, </w:t>
      </w:r>
      <w:r w:rsidR="00F002CD">
        <w:t xml:space="preserve">and </w:t>
      </w:r>
      <w:r>
        <w:t xml:space="preserve">long and short-term goal setting </w:t>
      </w:r>
      <w:r w:rsidR="00F002CD">
        <w:t>are</w:t>
      </w:r>
      <w:r>
        <w:t xml:space="preserve"> much important </w:t>
      </w:r>
      <w:r w:rsidR="005A4BE2">
        <w:t>for the company and ratio analysis helps in that respect</w:t>
      </w:r>
      <w:r w:rsidR="00420C15">
        <w:t xml:space="preserve"> (Park &amp; Min, 2020)</w:t>
      </w:r>
      <w:r w:rsidR="005A4BE2">
        <w:t xml:space="preserve">. </w:t>
      </w:r>
      <w:r w:rsidR="00422E9A">
        <w:t xml:space="preserve">The solvency and </w:t>
      </w:r>
      <w:r w:rsidR="00FE596D">
        <w:t>effi</w:t>
      </w:r>
      <w:r w:rsidR="00422E9A">
        <w:t xml:space="preserve">ciency ratios provide knowledge </w:t>
      </w:r>
      <w:r w:rsidR="00F002CD">
        <w:t xml:space="preserve">of </w:t>
      </w:r>
      <w:r w:rsidR="00422E9A">
        <w:t>whether the management is doi</w:t>
      </w:r>
      <w:r w:rsidR="00FE596D">
        <w:t>n</w:t>
      </w:r>
      <w:r w:rsidR="00422E9A">
        <w:t xml:space="preserve">g well in keeping assets </w:t>
      </w:r>
      <w:r w:rsidR="00422E9A">
        <w:lastRenderedPageBreak/>
        <w:t>and leverage amount</w:t>
      </w:r>
      <w:r w:rsidR="00F002CD">
        <w:t>s</w:t>
      </w:r>
      <w:r w:rsidR="00FE596D">
        <w:t xml:space="preserve"> in check</w:t>
      </w:r>
      <w:r w:rsidR="00422E9A">
        <w:t>.</w:t>
      </w:r>
      <w:r w:rsidR="00FE596D">
        <w:t xml:space="preserve"> This analysis also checks why there is</w:t>
      </w:r>
      <w:r w:rsidR="00AD27F8">
        <w:t xml:space="preserve"> a significant change in the pe</w:t>
      </w:r>
      <w:r w:rsidR="00FE596D">
        <w:t>r</w:t>
      </w:r>
      <w:r w:rsidR="00AD27F8">
        <w:t>f</w:t>
      </w:r>
      <w:r w:rsidR="00FE596D">
        <w:t>o</w:t>
      </w:r>
      <w:r w:rsidR="00B92582">
        <w:t>r</w:t>
      </w:r>
      <w:r w:rsidR="00FE596D">
        <w:t>mance and helps to identify and mitigate it.</w:t>
      </w:r>
      <w:r w:rsidR="00AD27F8">
        <w:t xml:space="preserve"> These aforementioned points denote why this analysis should be done regularly.</w:t>
      </w:r>
    </w:p>
    <w:p w14:paraId="3C4F7F89" w14:textId="77777777" w:rsidR="00907A8B" w:rsidRDefault="00907A8B" w:rsidP="005B241C"/>
    <w:p w14:paraId="50DC6E5B" w14:textId="77777777" w:rsidR="00907A8B" w:rsidRDefault="00907A8B">
      <w:pPr>
        <w:spacing w:line="259" w:lineRule="auto"/>
        <w:jc w:val="left"/>
      </w:pPr>
      <w:r>
        <w:br w:type="page"/>
      </w:r>
    </w:p>
    <w:p w14:paraId="33826CC1" w14:textId="77777777" w:rsidR="00907A8B" w:rsidRDefault="00907A8B" w:rsidP="00907A8B">
      <w:pPr>
        <w:pStyle w:val="Heading1"/>
      </w:pPr>
      <w:bookmarkStart w:id="16" w:name="_Toc103888201"/>
      <w:r>
        <w:lastRenderedPageBreak/>
        <w:t>Conclusion</w:t>
      </w:r>
      <w:bookmarkEnd w:id="16"/>
    </w:p>
    <w:p w14:paraId="2D92FDD5" w14:textId="77777777" w:rsidR="00907A8B" w:rsidRPr="00907A8B" w:rsidRDefault="00907A8B" w:rsidP="00907A8B">
      <w:r>
        <w:t xml:space="preserve">The motive of this study was to calculate </w:t>
      </w:r>
      <w:r w:rsidR="00F002CD">
        <w:t xml:space="preserve">the </w:t>
      </w:r>
      <w:r>
        <w:t xml:space="preserve">financial ratios (profitability, gearing and liquidity ratios) of Hilton Worldwide Inc. for two consecutive years (2020 and 2019). It also prepared </w:t>
      </w:r>
      <w:r w:rsidR="00F002CD">
        <w:t xml:space="preserve">a </w:t>
      </w:r>
      <w:r w:rsidR="00A87C6A">
        <w:t xml:space="preserve">trend analysis to show </w:t>
      </w:r>
      <w:r w:rsidR="00F002CD">
        <w:t xml:space="preserve">the </w:t>
      </w:r>
      <w:r w:rsidR="00625BB1">
        <w:t>year</w:t>
      </w:r>
      <w:r w:rsidR="00F002CD">
        <w:t>-</w:t>
      </w:r>
      <w:r w:rsidR="00625BB1">
        <w:t>wise</w:t>
      </w:r>
      <w:r w:rsidR="00A87C6A">
        <w:t xml:space="preserve"> change in performance. Additionally, the impact, limitations and importance of using and </w:t>
      </w:r>
      <w:r w:rsidR="00625BB1">
        <w:t>understanding</w:t>
      </w:r>
      <w:r w:rsidR="00A87C6A">
        <w:t xml:space="preserve"> ratio analysis have also been shown. So, </w:t>
      </w:r>
      <w:r w:rsidR="00625BB1">
        <w:t>it can be concluded that</w:t>
      </w:r>
      <w:r w:rsidR="00A87C6A">
        <w:t xml:space="preserve">, Hilton is in serious issues regarding its profitability and leverage. Its profitability as became negative in 2020 </w:t>
      </w:r>
      <w:r w:rsidR="00F002CD">
        <w:t>concerning</w:t>
      </w:r>
      <w:r w:rsidR="00A87C6A">
        <w:t xml:space="preserve"> assets. Also, it has increased the debt level before which is 18% higher than </w:t>
      </w:r>
      <w:r w:rsidR="00F002CD">
        <w:t xml:space="preserve">in </w:t>
      </w:r>
      <w:r w:rsidR="00A87C6A">
        <w:t xml:space="preserve">2019. This may possess significant issues </w:t>
      </w:r>
      <w:r w:rsidR="00F002CD">
        <w:t>soon</w:t>
      </w:r>
      <w:r w:rsidR="00A87C6A">
        <w:t xml:space="preserve"> as this company is not generating enough profit and the current asset level is at </w:t>
      </w:r>
      <w:r w:rsidR="00F002CD">
        <w:t xml:space="preserve">a </w:t>
      </w:r>
      <w:r w:rsidR="00A87C6A">
        <w:t xml:space="preserve">marginal point of the industry threshold. </w:t>
      </w:r>
      <w:r w:rsidR="00625BB1">
        <w:t>Despite all,</w:t>
      </w:r>
      <w:r w:rsidR="00A87C6A">
        <w:t xml:space="preserve"> it is doing well w</w:t>
      </w:r>
      <w:r w:rsidR="00216667">
        <w:t xml:space="preserve">hile paying the creditors and </w:t>
      </w:r>
      <w:r w:rsidR="00197716">
        <w:t xml:space="preserve">getting money from </w:t>
      </w:r>
      <w:r w:rsidR="00186B1C">
        <w:t xml:space="preserve">debtors, which can be a source of cash flows. </w:t>
      </w:r>
      <w:r w:rsidR="00A87C6A">
        <w:t>All these reduction</w:t>
      </w:r>
      <w:r w:rsidR="00F002CD">
        <w:t>s</w:t>
      </w:r>
      <w:r w:rsidR="00A87C6A">
        <w:t xml:space="preserve"> in performance might be a result of </w:t>
      </w:r>
      <w:r w:rsidR="00F002CD">
        <w:t xml:space="preserve">the </w:t>
      </w:r>
      <w:r w:rsidR="00A87C6A">
        <w:t xml:space="preserve">covid-19 pandemic that has hit the industry hard. </w:t>
      </w:r>
      <w:r w:rsidR="00145EB9">
        <w:t xml:space="preserve">The impact of it is much lower now, so if they become able to develop proper </w:t>
      </w:r>
      <w:r w:rsidR="00E61B48">
        <w:t>strategies</w:t>
      </w:r>
      <w:r w:rsidR="00145EB9">
        <w:t xml:space="preserve">, the situation may improve. </w:t>
      </w:r>
    </w:p>
    <w:p w14:paraId="7B20A66C" w14:textId="77777777" w:rsidR="00354452" w:rsidRPr="00314913" w:rsidRDefault="005A149A" w:rsidP="002D0536">
      <w:pPr>
        <w:spacing w:line="259" w:lineRule="auto"/>
        <w:jc w:val="left"/>
      </w:pPr>
      <w:r>
        <w:br w:type="page"/>
      </w:r>
    </w:p>
    <w:p w14:paraId="2E9D7978" w14:textId="77777777" w:rsidR="005C6F83" w:rsidRDefault="005C6F83" w:rsidP="005C6F83">
      <w:pPr>
        <w:pStyle w:val="Heading1"/>
      </w:pPr>
      <w:bookmarkStart w:id="17" w:name="_Toc103888202"/>
      <w:r>
        <w:lastRenderedPageBreak/>
        <w:t>References</w:t>
      </w:r>
      <w:bookmarkEnd w:id="17"/>
    </w:p>
    <w:p w14:paraId="6A49AA5C" w14:textId="77777777" w:rsidR="002D0536" w:rsidRDefault="002D0536" w:rsidP="002D0536">
      <w:pPr>
        <w:spacing w:after="120"/>
        <w:rPr>
          <w:rFonts w:eastAsia="Times New Roman" w:cs="Arial"/>
          <w:szCs w:val="24"/>
        </w:rPr>
      </w:pPr>
      <w:proofErr w:type="spellStart"/>
      <w:r w:rsidRPr="0054451C">
        <w:rPr>
          <w:rFonts w:eastAsia="Times New Roman" w:cs="Arial"/>
          <w:szCs w:val="24"/>
        </w:rPr>
        <w:t>Fahlevi</w:t>
      </w:r>
      <w:proofErr w:type="spellEnd"/>
      <w:r w:rsidRPr="0054451C">
        <w:rPr>
          <w:rFonts w:eastAsia="Times New Roman" w:cs="Arial"/>
          <w:szCs w:val="24"/>
        </w:rPr>
        <w:t xml:space="preserve">, E.D. and </w:t>
      </w:r>
      <w:proofErr w:type="spellStart"/>
      <w:r w:rsidRPr="0054451C">
        <w:rPr>
          <w:rFonts w:eastAsia="Times New Roman" w:cs="Arial"/>
          <w:szCs w:val="24"/>
        </w:rPr>
        <w:t>Mukhibad</w:t>
      </w:r>
      <w:proofErr w:type="spellEnd"/>
      <w:r w:rsidRPr="0054451C">
        <w:rPr>
          <w:rFonts w:eastAsia="Times New Roman" w:cs="Arial"/>
          <w:szCs w:val="24"/>
        </w:rPr>
        <w:t xml:space="preserve">, H., 2018. Use Of Financial Ratios </w:t>
      </w:r>
      <w:proofErr w:type="gramStart"/>
      <w:r w:rsidRPr="0054451C">
        <w:rPr>
          <w:rFonts w:eastAsia="Times New Roman" w:cs="Arial"/>
          <w:szCs w:val="24"/>
        </w:rPr>
        <w:t>And</w:t>
      </w:r>
      <w:proofErr w:type="gramEnd"/>
      <w:r w:rsidRPr="0054451C">
        <w:rPr>
          <w:rFonts w:eastAsia="Times New Roman" w:cs="Arial"/>
          <w:szCs w:val="24"/>
        </w:rPr>
        <w:t xml:space="preserve"> Good Corporate Governance To Predict Financial Distress. </w:t>
      </w:r>
      <w:proofErr w:type="spellStart"/>
      <w:r w:rsidRPr="0054451C">
        <w:rPr>
          <w:rFonts w:eastAsia="Times New Roman" w:cs="Arial"/>
          <w:i/>
          <w:iCs/>
          <w:szCs w:val="24"/>
        </w:rPr>
        <w:t>Jurnal</w:t>
      </w:r>
      <w:proofErr w:type="spellEnd"/>
      <w:r w:rsidRPr="0054451C">
        <w:rPr>
          <w:rFonts w:eastAsia="Times New Roman" w:cs="Arial"/>
          <w:i/>
          <w:iCs/>
          <w:szCs w:val="24"/>
        </w:rPr>
        <w:t xml:space="preserve"> </w:t>
      </w:r>
      <w:proofErr w:type="spellStart"/>
      <w:r w:rsidRPr="0054451C">
        <w:rPr>
          <w:rFonts w:eastAsia="Times New Roman" w:cs="Arial"/>
          <w:i/>
          <w:iCs/>
          <w:szCs w:val="24"/>
        </w:rPr>
        <w:t>Reviu</w:t>
      </w:r>
      <w:proofErr w:type="spellEnd"/>
      <w:r w:rsidRPr="0054451C">
        <w:rPr>
          <w:rFonts w:eastAsia="Times New Roman" w:cs="Arial"/>
          <w:i/>
          <w:iCs/>
          <w:szCs w:val="24"/>
        </w:rPr>
        <w:t xml:space="preserve"> </w:t>
      </w:r>
      <w:proofErr w:type="spellStart"/>
      <w:r w:rsidRPr="0054451C">
        <w:rPr>
          <w:rFonts w:eastAsia="Times New Roman" w:cs="Arial"/>
          <w:i/>
          <w:iCs/>
          <w:szCs w:val="24"/>
        </w:rPr>
        <w:t>Akuntansi</w:t>
      </w:r>
      <w:proofErr w:type="spellEnd"/>
      <w:r w:rsidRPr="0054451C">
        <w:rPr>
          <w:rFonts w:eastAsia="Times New Roman" w:cs="Arial"/>
          <w:i/>
          <w:iCs/>
          <w:szCs w:val="24"/>
        </w:rPr>
        <w:t xml:space="preserve"> dan </w:t>
      </w:r>
      <w:proofErr w:type="spellStart"/>
      <w:r w:rsidRPr="0054451C">
        <w:rPr>
          <w:rFonts w:eastAsia="Times New Roman" w:cs="Arial"/>
          <w:i/>
          <w:iCs/>
          <w:szCs w:val="24"/>
        </w:rPr>
        <w:t>Keuangan</w:t>
      </w:r>
      <w:proofErr w:type="spellEnd"/>
      <w:r w:rsidRPr="0054451C">
        <w:rPr>
          <w:rFonts w:eastAsia="Times New Roman" w:cs="Arial"/>
          <w:szCs w:val="24"/>
        </w:rPr>
        <w:t xml:space="preserve">, </w:t>
      </w:r>
      <w:r w:rsidRPr="0054451C">
        <w:rPr>
          <w:rFonts w:eastAsia="Times New Roman" w:cs="Arial"/>
          <w:i/>
          <w:iCs/>
          <w:szCs w:val="24"/>
        </w:rPr>
        <w:t>8</w:t>
      </w:r>
      <w:r w:rsidRPr="0054451C">
        <w:rPr>
          <w:rFonts w:eastAsia="Times New Roman" w:cs="Arial"/>
          <w:szCs w:val="24"/>
        </w:rPr>
        <w:t>(2), pp.147-158.</w:t>
      </w:r>
    </w:p>
    <w:p w14:paraId="27198D59" w14:textId="77777777" w:rsidR="002D0536" w:rsidRDefault="002D0536" w:rsidP="002D0536">
      <w:pPr>
        <w:spacing w:after="120"/>
        <w:rPr>
          <w:rFonts w:eastAsia="Times New Roman" w:cs="Arial"/>
          <w:szCs w:val="24"/>
        </w:rPr>
      </w:pPr>
      <w:proofErr w:type="spellStart"/>
      <w:r>
        <w:rPr>
          <w:rFonts w:eastAsia="Times New Roman" w:cs="Arial"/>
          <w:szCs w:val="24"/>
        </w:rPr>
        <w:t>Hasanaj</w:t>
      </w:r>
      <w:proofErr w:type="spellEnd"/>
      <w:r>
        <w:rPr>
          <w:rFonts w:eastAsia="Times New Roman" w:cs="Arial"/>
          <w:szCs w:val="24"/>
        </w:rPr>
        <w:t xml:space="preserve">, P. and </w:t>
      </w:r>
      <w:proofErr w:type="spellStart"/>
      <w:r>
        <w:rPr>
          <w:rFonts w:eastAsia="Times New Roman" w:cs="Arial"/>
          <w:szCs w:val="24"/>
        </w:rPr>
        <w:t>Kuqi</w:t>
      </w:r>
      <w:proofErr w:type="spellEnd"/>
      <w:r>
        <w:rPr>
          <w:rFonts w:eastAsia="Times New Roman" w:cs="Arial"/>
          <w:szCs w:val="24"/>
        </w:rPr>
        <w:t>, B</w:t>
      </w:r>
      <w:r w:rsidRPr="000613CD">
        <w:rPr>
          <w:rFonts w:eastAsia="Times New Roman" w:cs="Arial"/>
          <w:szCs w:val="24"/>
        </w:rPr>
        <w:t xml:space="preserve"> 2019. Analysis of financial statements. </w:t>
      </w:r>
      <w:r w:rsidRPr="000613CD">
        <w:rPr>
          <w:rFonts w:eastAsia="Times New Roman" w:cs="Arial"/>
          <w:i/>
          <w:iCs/>
          <w:szCs w:val="24"/>
        </w:rPr>
        <w:t>Humanities and Social Science Research</w:t>
      </w:r>
      <w:r w:rsidRPr="000613CD">
        <w:rPr>
          <w:rFonts w:eastAsia="Times New Roman" w:cs="Arial"/>
          <w:szCs w:val="24"/>
        </w:rPr>
        <w:t xml:space="preserve">, </w:t>
      </w:r>
      <w:r w:rsidRPr="000613CD">
        <w:rPr>
          <w:rFonts w:eastAsia="Times New Roman" w:cs="Arial"/>
          <w:i/>
          <w:iCs/>
          <w:szCs w:val="24"/>
        </w:rPr>
        <w:t>2</w:t>
      </w:r>
      <w:r w:rsidRPr="000613CD">
        <w:rPr>
          <w:rFonts w:eastAsia="Times New Roman" w:cs="Arial"/>
          <w:szCs w:val="24"/>
        </w:rPr>
        <w:t xml:space="preserve">(2), </w:t>
      </w:r>
      <w:proofErr w:type="gramStart"/>
      <w:r w:rsidRPr="000613CD">
        <w:rPr>
          <w:rFonts w:eastAsia="Times New Roman" w:cs="Arial"/>
          <w:szCs w:val="24"/>
        </w:rPr>
        <w:t>pp.p</w:t>
      </w:r>
      <w:proofErr w:type="gramEnd"/>
      <w:r w:rsidRPr="000613CD">
        <w:rPr>
          <w:rFonts w:eastAsia="Times New Roman" w:cs="Arial"/>
          <w:szCs w:val="24"/>
        </w:rPr>
        <w:t>17-p17.</w:t>
      </w:r>
    </w:p>
    <w:p w14:paraId="1A5067D3" w14:textId="77777777" w:rsidR="002D0536" w:rsidRPr="003B3127" w:rsidRDefault="002D0536" w:rsidP="002D0536">
      <w:pPr>
        <w:spacing w:after="120"/>
        <w:rPr>
          <w:rFonts w:cs="Arial"/>
        </w:rPr>
      </w:pPr>
      <w:r w:rsidRPr="003B3127">
        <w:rPr>
          <w:rFonts w:cs="Arial"/>
        </w:rPr>
        <w:t xml:space="preserve">Hilton.com 2022 </w:t>
      </w:r>
      <w:r w:rsidRPr="003B3127">
        <w:rPr>
          <w:rFonts w:cs="Arial"/>
          <w:i/>
        </w:rPr>
        <w:t xml:space="preserve">Our Brands. </w:t>
      </w:r>
      <w:r w:rsidRPr="003B3127">
        <w:rPr>
          <w:rFonts w:cs="Arial"/>
        </w:rPr>
        <w:t xml:space="preserve">[online] </w:t>
      </w:r>
      <w:proofErr w:type="spellStart"/>
      <w:r w:rsidRPr="003B3127">
        <w:rPr>
          <w:rFonts w:cs="Arial"/>
        </w:rPr>
        <w:t>Availabe</w:t>
      </w:r>
      <w:proofErr w:type="spellEnd"/>
      <w:r w:rsidRPr="003B3127">
        <w:rPr>
          <w:rFonts w:cs="Arial"/>
        </w:rPr>
        <w:t xml:space="preserve"> at: https://www.hilton.com/en/corporate/ Accessed: 15 May 2022.</w:t>
      </w:r>
    </w:p>
    <w:p w14:paraId="19ABD0FD" w14:textId="77777777" w:rsidR="002D0536" w:rsidRDefault="002D0536" w:rsidP="002D0536">
      <w:pPr>
        <w:spacing w:after="120"/>
        <w:rPr>
          <w:rFonts w:eastAsia="Times New Roman" w:cs="Arial"/>
          <w:szCs w:val="24"/>
        </w:rPr>
      </w:pPr>
      <w:proofErr w:type="spellStart"/>
      <w:r w:rsidRPr="003B3127">
        <w:rPr>
          <w:rFonts w:eastAsia="Times New Roman" w:cs="Arial"/>
          <w:szCs w:val="24"/>
        </w:rPr>
        <w:t>Hosaka</w:t>
      </w:r>
      <w:proofErr w:type="spellEnd"/>
      <w:r w:rsidRPr="003B3127">
        <w:rPr>
          <w:rFonts w:eastAsia="Times New Roman" w:cs="Arial"/>
          <w:szCs w:val="24"/>
        </w:rPr>
        <w:t xml:space="preserve">, T 2019. Bankruptcy prediction using imaged financial ratios and convolutional neural networks. </w:t>
      </w:r>
      <w:r w:rsidRPr="003B3127">
        <w:rPr>
          <w:rFonts w:eastAsia="Times New Roman" w:cs="Arial"/>
          <w:i/>
          <w:iCs/>
          <w:szCs w:val="24"/>
        </w:rPr>
        <w:t>Expert systems with applications</w:t>
      </w:r>
      <w:r w:rsidRPr="003B3127">
        <w:rPr>
          <w:rFonts w:eastAsia="Times New Roman" w:cs="Arial"/>
          <w:szCs w:val="24"/>
        </w:rPr>
        <w:t xml:space="preserve">, </w:t>
      </w:r>
      <w:r w:rsidRPr="003B3127">
        <w:rPr>
          <w:rFonts w:eastAsia="Times New Roman" w:cs="Arial"/>
          <w:i/>
          <w:iCs/>
          <w:szCs w:val="24"/>
        </w:rPr>
        <w:t>117</w:t>
      </w:r>
      <w:r w:rsidRPr="003B3127">
        <w:rPr>
          <w:rFonts w:eastAsia="Times New Roman" w:cs="Arial"/>
          <w:szCs w:val="24"/>
        </w:rPr>
        <w:t>, pp.287-299.</w:t>
      </w:r>
    </w:p>
    <w:p w14:paraId="6F7D2A63" w14:textId="77777777" w:rsidR="002D0536" w:rsidRDefault="002D0536" w:rsidP="002D0536">
      <w:pPr>
        <w:spacing w:after="120"/>
        <w:rPr>
          <w:rFonts w:cs="Arial"/>
        </w:rPr>
      </w:pPr>
      <w:proofErr w:type="spellStart"/>
      <w:r w:rsidRPr="002B43BF">
        <w:rPr>
          <w:rFonts w:cs="Arial"/>
        </w:rPr>
        <w:t>Kadim</w:t>
      </w:r>
      <w:proofErr w:type="spellEnd"/>
      <w:r w:rsidRPr="002B43BF">
        <w:rPr>
          <w:rFonts w:cs="Arial"/>
        </w:rPr>
        <w:t xml:space="preserve">, A., </w:t>
      </w:r>
      <w:proofErr w:type="spellStart"/>
      <w:r w:rsidRPr="002B43BF">
        <w:rPr>
          <w:rFonts w:cs="Arial"/>
        </w:rPr>
        <w:t>Sunardi</w:t>
      </w:r>
      <w:proofErr w:type="spellEnd"/>
      <w:r w:rsidRPr="002B43BF">
        <w:rPr>
          <w:rFonts w:cs="Arial"/>
        </w:rPr>
        <w:t xml:space="preserve">, N. and Husain, T., 2020. The modeling firm's value based on financial ratios, intellectual capital and dividend policy. </w:t>
      </w:r>
      <w:r w:rsidRPr="002B43BF">
        <w:rPr>
          <w:rFonts w:cs="Arial"/>
          <w:i/>
          <w:iCs/>
        </w:rPr>
        <w:t>Accounting</w:t>
      </w:r>
      <w:r w:rsidRPr="002B43BF">
        <w:rPr>
          <w:rFonts w:cs="Arial"/>
        </w:rPr>
        <w:t xml:space="preserve">, </w:t>
      </w:r>
      <w:r w:rsidRPr="002B43BF">
        <w:rPr>
          <w:rFonts w:cs="Arial"/>
          <w:i/>
          <w:iCs/>
        </w:rPr>
        <w:t>6</w:t>
      </w:r>
      <w:r w:rsidRPr="002B43BF">
        <w:rPr>
          <w:rFonts w:cs="Arial"/>
        </w:rPr>
        <w:t>(5), pp.859-870.</w:t>
      </w:r>
    </w:p>
    <w:p w14:paraId="2FD005D0" w14:textId="77777777" w:rsidR="002D0536" w:rsidRPr="00D16C63" w:rsidRDefault="002D0536" w:rsidP="002D0536">
      <w:pPr>
        <w:spacing w:after="120"/>
        <w:rPr>
          <w:rFonts w:eastAsia="Times New Roman" w:cs="Arial"/>
          <w:szCs w:val="24"/>
        </w:rPr>
      </w:pPr>
      <w:r>
        <w:rPr>
          <w:rFonts w:eastAsia="Times New Roman" w:cs="Arial"/>
          <w:szCs w:val="24"/>
        </w:rPr>
        <w:t xml:space="preserve">Marsha, N. and </w:t>
      </w:r>
      <w:proofErr w:type="spellStart"/>
      <w:r>
        <w:rPr>
          <w:rFonts w:eastAsia="Times New Roman" w:cs="Arial"/>
          <w:szCs w:val="24"/>
        </w:rPr>
        <w:t>Murtaqi</w:t>
      </w:r>
      <w:proofErr w:type="spellEnd"/>
      <w:r>
        <w:rPr>
          <w:rFonts w:eastAsia="Times New Roman" w:cs="Arial"/>
          <w:szCs w:val="24"/>
        </w:rPr>
        <w:t>, I</w:t>
      </w:r>
      <w:r w:rsidRPr="00D16C63">
        <w:rPr>
          <w:rFonts w:eastAsia="Times New Roman" w:cs="Arial"/>
          <w:szCs w:val="24"/>
        </w:rPr>
        <w:t xml:space="preserve"> 2017. The effect of financial ratios on firm value in the food and beverage sector of the IDX. </w:t>
      </w:r>
      <w:r w:rsidRPr="00D16C63">
        <w:rPr>
          <w:rFonts w:eastAsia="Times New Roman" w:cs="Arial"/>
          <w:i/>
          <w:iCs/>
          <w:szCs w:val="24"/>
        </w:rPr>
        <w:t>Journal of Business and Management</w:t>
      </w:r>
      <w:r w:rsidRPr="00D16C63">
        <w:rPr>
          <w:rFonts w:eastAsia="Times New Roman" w:cs="Arial"/>
          <w:szCs w:val="24"/>
        </w:rPr>
        <w:t xml:space="preserve">, </w:t>
      </w:r>
      <w:r w:rsidRPr="00D16C63">
        <w:rPr>
          <w:rFonts w:eastAsia="Times New Roman" w:cs="Arial"/>
          <w:i/>
          <w:iCs/>
          <w:szCs w:val="24"/>
        </w:rPr>
        <w:t>6</w:t>
      </w:r>
      <w:r w:rsidRPr="00D16C63">
        <w:rPr>
          <w:rFonts w:eastAsia="Times New Roman" w:cs="Arial"/>
          <w:szCs w:val="24"/>
        </w:rPr>
        <w:t>(2), pp.214-226.</w:t>
      </w:r>
    </w:p>
    <w:p w14:paraId="5A7BBB20" w14:textId="77777777" w:rsidR="002D0536" w:rsidRPr="009B71AD" w:rsidRDefault="002D0536" w:rsidP="002D0536">
      <w:pPr>
        <w:spacing w:after="120"/>
        <w:rPr>
          <w:rFonts w:eastAsia="Times New Roman" w:cs="Arial"/>
          <w:szCs w:val="24"/>
        </w:rPr>
      </w:pPr>
      <w:r w:rsidRPr="009B71AD">
        <w:rPr>
          <w:rFonts w:eastAsia="Times New Roman" w:cs="Arial"/>
          <w:szCs w:val="24"/>
        </w:rPr>
        <w:t xml:space="preserve">Motta, V. and Sharma, A., 2020. Lending technologies and access to finance for SMEs in the hospitality industry. </w:t>
      </w:r>
      <w:r w:rsidRPr="009B71AD">
        <w:rPr>
          <w:rFonts w:eastAsia="Times New Roman" w:cs="Arial"/>
          <w:i/>
          <w:iCs/>
          <w:szCs w:val="24"/>
        </w:rPr>
        <w:t>International Journal of Hospitality Management</w:t>
      </w:r>
      <w:r w:rsidRPr="009B71AD">
        <w:rPr>
          <w:rFonts w:eastAsia="Times New Roman" w:cs="Arial"/>
          <w:szCs w:val="24"/>
        </w:rPr>
        <w:t xml:space="preserve">, </w:t>
      </w:r>
      <w:r w:rsidRPr="009B71AD">
        <w:rPr>
          <w:rFonts w:eastAsia="Times New Roman" w:cs="Arial"/>
          <w:i/>
          <w:iCs/>
          <w:szCs w:val="24"/>
        </w:rPr>
        <w:t>86</w:t>
      </w:r>
      <w:r w:rsidRPr="009B71AD">
        <w:rPr>
          <w:rFonts w:eastAsia="Times New Roman" w:cs="Arial"/>
          <w:szCs w:val="24"/>
        </w:rPr>
        <w:t>, p.102371.</w:t>
      </w:r>
    </w:p>
    <w:p w14:paraId="57C6AE2A" w14:textId="77777777" w:rsidR="002D0536" w:rsidRDefault="002D0536" w:rsidP="002D0536">
      <w:pPr>
        <w:spacing w:after="120"/>
        <w:rPr>
          <w:rStyle w:val="selectable"/>
          <w:rFonts w:cs="Arial"/>
          <w:color w:val="000000"/>
        </w:rPr>
      </w:pPr>
      <w:r>
        <w:rPr>
          <w:rStyle w:val="selectable"/>
          <w:rFonts w:cs="Arial"/>
          <w:color w:val="000000"/>
        </w:rPr>
        <w:t>Park, J. and Min, H</w:t>
      </w:r>
      <w:r w:rsidRPr="0054451C">
        <w:rPr>
          <w:rStyle w:val="selectable"/>
          <w:rFonts w:cs="Arial"/>
          <w:color w:val="000000"/>
        </w:rPr>
        <w:t xml:space="preserve"> 2020. Turnover intention in the hospitality industry: A meta-analysis. </w:t>
      </w:r>
      <w:r w:rsidRPr="0054451C">
        <w:rPr>
          <w:rStyle w:val="selectable"/>
          <w:rFonts w:cs="Arial"/>
          <w:i/>
          <w:iCs/>
          <w:color w:val="000000"/>
        </w:rPr>
        <w:t>International Journal of Hospitality Management</w:t>
      </w:r>
      <w:r w:rsidRPr="0054451C">
        <w:rPr>
          <w:rStyle w:val="selectable"/>
          <w:rFonts w:cs="Arial"/>
          <w:color w:val="000000"/>
        </w:rPr>
        <w:t>, 90, p.102599.</w:t>
      </w:r>
    </w:p>
    <w:p w14:paraId="7C145E8A" w14:textId="77777777" w:rsidR="002D0536" w:rsidRDefault="002D0536" w:rsidP="002D0536">
      <w:pPr>
        <w:spacing w:after="120"/>
      </w:pPr>
      <w:r w:rsidRPr="005C6F83">
        <w:t xml:space="preserve">Rashid, C.A 2018. Efficiency of financial ratios analysis for evaluating companies’ liquidity. </w:t>
      </w:r>
      <w:r w:rsidRPr="005C6F83">
        <w:rPr>
          <w:i/>
          <w:iCs/>
        </w:rPr>
        <w:t>International Journal of Social Sciences &amp; Educational Studies</w:t>
      </w:r>
      <w:r w:rsidRPr="005C6F83">
        <w:t xml:space="preserve">, </w:t>
      </w:r>
      <w:r w:rsidRPr="005C6F83">
        <w:rPr>
          <w:i/>
          <w:iCs/>
        </w:rPr>
        <w:t>4</w:t>
      </w:r>
      <w:r w:rsidRPr="005C6F83">
        <w:t>(4), p.110.</w:t>
      </w:r>
    </w:p>
    <w:p w14:paraId="347BD9CE" w14:textId="77777777" w:rsidR="002D0536" w:rsidRPr="003B3127" w:rsidRDefault="002D0536" w:rsidP="002D0536">
      <w:pPr>
        <w:spacing w:after="120"/>
        <w:rPr>
          <w:rFonts w:eastAsia="Times New Roman" w:cs="Arial"/>
          <w:szCs w:val="24"/>
        </w:rPr>
      </w:pPr>
      <w:proofErr w:type="spellStart"/>
      <w:r w:rsidRPr="003B3127">
        <w:rPr>
          <w:rFonts w:eastAsia="Times New Roman" w:cs="Arial"/>
          <w:szCs w:val="24"/>
        </w:rPr>
        <w:t>Sagala</w:t>
      </w:r>
      <w:proofErr w:type="spellEnd"/>
      <w:r w:rsidRPr="003B3127">
        <w:rPr>
          <w:rFonts w:eastAsia="Times New Roman" w:cs="Arial"/>
          <w:szCs w:val="24"/>
        </w:rPr>
        <w:t xml:space="preserve">, D.A.P.H 2019, October. Effect of Current Ratio, Debt </w:t>
      </w:r>
      <w:proofErr w:type="gramStart"/>
      <w:r w:rsidRPr="003B3127">
        <w:rPr>
          <w:rFonts w:eastAsia="Times New Roman" w:cs="Arial"/>
          <w:szCs w:val="24"/>
        </w:rPr>
        <w:t>To</w:t>
      </w:r>
      <w:proofErr w:type="gramEnd"/>
      <w:r w:rsidRPr="003B3127">
        <w:rPr>
          <w:rFonts w:eastAsia="Times New Roman" w:cs="Arial"/>
          <w:szCs w:val="24"/>
        </w:rPr>
        <w:t xml:space="preserve"> Equity Ratio, Net Profit Margin, and Total Asset Turnover on Earning Per Share. In </w:t>
      </w:r>
      <w:r w:rsidRPr="003B3127">
        <w:rPr>
          <w:rFonts w:eastAsia="Times New Roman" w:cs="Arial"/>
          <w:i/>
          <w:iCs/>
          <w:szCs w:val="24"/>
        </w:rPr>
        <w:t>International Conference on Global Education</w:t>
      </w:r>
      <w:r w:rsidRPr="003B3127">
        <w:rPr>
          <w:rFonts w:eastAsia="Times New Roman" w:cs="Arial"/>
          <w:szCs w:val="24"/>
        </w:rPr>
        <w:t xml:space="preserve"> (pp. 1507-1521).</w:t>
      </w:r>
    </w:p>
    <w:p w14:paraId="0E5F8F7A" w14:textId="77777777" w:rsidR="002D0536" w:rsidRDefault="002D0536" w:rsidP="002D0536">
      <w:pPr>
        <w:spacing w:after="120"/>
        <w:rPr>
          <w:rFonts w:eastAsia="Times New Roman" w:cs="Arial"/>
          <w:szCs w:val="24"/>
        </w:rPr>
      </w:pPr>
      <w:proofErr w:type="spellStart"/>
      <w:r w:rsidRPr="003B3127">
        <w:rPr>
          <w:rFonts w:eastAsia="Times New Roman" w:cs="Arial"/>
          <w:szCs w:val="24"/>
        </w:rPr>
        <w:t>Sudharto</w:t>
      </w:r>
      <w:proofErr w:type="spellEnd"/>
      <w:r w:rsidRPr="003B3127">
        <w:rPr>
          <w:rFonts w:eastAsia="Times New Roman" w:cs="Arial"/>
          <w:szCs w:val="24"/>
        </w:rPr>
        <w:t xml:space="preserve">, S.V. and Salim, S., 2021. </w:t>
      </w:r>
      <w:proofErr w:type="spellStart"/>
      <w:r w:rsidRPr="003B3127">
        <w:rPr>
          <w:rFonts w:eastAsia="Times New Roman" w:cs="Arial"/>
          <w:szCs w:val="24"/>
        </w:rPr>
        <w:t>Efek</w:t>
      </w:r>
      <w:proofErr w:type="spellEnd"/>
      <w:r w:rsidRPr="003B3127">
        <w:rPr>
          <w:rFonts w:eastAsia="Times New Roman" w:cs="Arial"/>
          <w:szCs w:val="24"/>
        </w:rPr>
        <w:t xml:space="preserve"> Firm Size, Profitability, Gearing Ratio, Dan Public Ownership </w:t>
      </w:r>
      <w:proofErr w:type="spellStart"/>
      <w:r w:rsidRPr="003B3127">
        <w:rPr>
          <w:rFonts w:eastAsia="Times New Roman" w:cs="Arial"/>
          <w:szCs w:val="24"/>
        </w:rPr>
        <w:t>Terhadap</w:t>
      </w:r>
      <w:proofErr w:type="spellEnd"/>
      <w:r w:rsidRPr="003B3127">
        <w:rPr>
          <w:rFonts w:eastAsia="Times New Roman" w:cs="Arial"/>
          <w:szCs w:val="24"/>
        </w:rPr>
        <w:t xml:space="preserve"> Risk Disclosure. </w:t>
      </w:r>
      <w:proofErr w:type="spellStart"/>
      <w:r w:rsidRPr="003B3127">
        <w:rPr>
          <w:rFonts w:eastAsia="Times New Roman" w:cs="Arial"/>
          <w:i/>
          <w:iCs/>
          <w:szCs w:val="24"/>
        </w:rPr>
        <w:t>Jurnal</w:t>
      </w:r>
      <w:proofErr w:type="spellEnd"/>
      <w:r w:rsidRPr="003B3127">
        <w:rPr>
          <w:rFonts w:eastAsia="Times New Roman" w:cs="Arial"/>
          <w:i/>
          <w:iCs/>
          <w:szCs w:val="24"/>
        </w:rPr>
        <w:t xml:space="preserve"> Ekonomi</w:t>
      </w:r>
      <w:r w:rsidRPr="003B3127">
        <w:rPr>
          <w:rFonts w:eastAsia="Times New Roman" w:cs="Arial"/>
          <w:szCs w:val="24"/>
        </w:rPr>
        <w:t>, pp.125-143.</w:t>
      </w:r>
    </w:p>
    <w:p w14:paraId="030FF46B" w14:textId="77777777" w:rsidR="002D0536" w:rsidRDefault="002D0536" w:rsidP="002D0536">
      <w:pPr>
        <w:spacing w:after="120"/>
        <w:rPr>
          <w:rFonts w:eastAsia="Times New Roman" w:cs="Arial"/>
          <w:szCs w:val="24"/>
        </w:rPr>
      </w:pPr>
      <w:r>
        <w:rPr>
          <w:rFonts w:eastAsia="Times New Roman" w:cs="Arial"/>
          <w:szCs w:val="24"/>
        </w:rPr>
        <w:t>Tian, S. and Yu, Y</w:t>
      </w:r>
      <w:r w:rsidRPr="0054451C">
        <w:rPr>
          <w:rFonts w:eastAsia="Times New Roman" w:cs="Arial"/>
          <w:szCs w:val="24"/>
        </w:rPr>
        <w:t xml:space="preserve"> 2017. Financial ratios and bankruptcy predictions: An international evidence. </w:t>
      </w:r>
      <w:r w:rsidRPr="0054451C">
        <w:rPr>
          <w:rFonts w:eastAsia="Times New Roman" w:cs="Arial"/>
          <w:i/>
          <w:iCs/>
          <w:szCs w:val="24"/>
        </w:rPr>
        <w:t>International Review of Economics &amp; Finance</w:t>
      </w:r>
      <w:r w:rsidRPr="0054451C">
        <w:rPr>
          <w:rFonts w:eastAsia="Times New Roman" w:cs="Arial"/>
          <w:szCs w:val="24"/>
        </w:rPr>
        <w:t xml:space="preserve">, </w:t>
      </w:r>
      <w:r w:rsidRPr="0054451C">
        <w:rPr>
          <w:rFonts w:eastAsia="Times New Roman" w:cs="Arial"/>
          <w:i/>
          <w:iCs/>
          <w:szCs w:val="24"/>
        </w:rPr>
        <w:t>51</w:t>
      </w:r>
      <w:r w:rsidRPr="0054451C">
        <w:rPr>
          <w:rFonts w:eastAsia="Times New Roman" w:cs="Arial"/>
          <w:szCs w:val="24"/>
        </w:rPr>
        <w:t>, pp.510-526.</w:t>
      </w:r>
    </w:p>
    <w:p w14:paraId="16207016" w14:textId="77777777" w:rsidR="002D0536" w:rsidRDefault="002D0536" w:rsidP="002D0536">
      <w:pPr>
        <w:spacing w:after="120"/>
        <w:rPr>
          <w:rFonts w:eastAsia="Times New Roman" w:cs="Arial"/>
          <w:szCs w:val="24"/>
        </w:rPr>
      </w:pPr>
      <w:proofErr w:type="spellStart"/>
      <w:r w:rsidRPr="000A7783">
        <w:rPr>
          <w:rFonts w:eastAsia="Times New Roman" w:cs="Arial"/>
          <w:szCs w:val="24"/>
        </w:rPr>
        <w:lastRenderedPageBreak/>
        <w:t>Vasilev</w:t>
      </w:r>
      <w:proofErr w:type="spellEnd"/>
      <w:r w:rsidRPr="000A7783">
        <w:rPr>
          <w:rFonts w:eastAsia="Times New Roman" w:cs="Arial"/>
          <w:szCs w:val="24"/>
        </w:rPr>
        <w:t xml:space="preserve">, D., </w:t>
      </w:r>
      <w:proofErr w:type="spellStart"/>
      <w:r w:rsidRPr="000A7783">
        <w:rPr>
          <w:rFonts w:eastAsia="Times New Roman" w:cs="Arial"/>
          <w:szCs w:val="24"/>
        </w:rPr>
        <w:t>Cvetković</w:t>
      </w:r>
      <w:proofErr w:type="spellEnd"/>
      <w:r w:rsidRPr="000A7783">
        <w:rPr>
          <w:rFonts w:eastAsia="Times New Roman" w:cs="Arial"/>
          <w:szCs w:val="24"/>
        </w:rPr>
        <w:t xml:space="preserve">, D. and </w:t>
      </w:r>
      <w:proofErr w:type="spellStart"/>
      <w:r w:rsidRPr="000A7783">
        <w:rPr>
          <w:rFonts w:eastAsia="Times New Roman" w:cs="Arial"/>
          <w:szCs w:val="24"/>
        </w:rPr>
        <w:t>Grgur</w:t>
      </w:r>
      <w:proofErr w:type="spellEnd"/>
      <w:r w:rsidRPr="000A7783">
        <w:rPr>
          <w:rFonts w:eastAsia="Times New Roman" w:cs="Arial"/>
          <w:szCs w:val="24"/>
        </w:rPr>
        <w:t xml:space="preserve">, A., 2019. Detection of fraudulent actions in the financial statements with particular emphasis on hotel companies. </w:t>
      </w:r>
      <w:proofErr w:type="spellStart"/>
      <w:r w:rsidRPr="000A7783">
        <w:rPr>
          <w:rFonts w:eastAsia="Times New Roman" w:cs="Arial"/>
          <w:i/>
          <w:iCs/>
          <w:szCs w:val="24"/>
        </w:rPr>
        <w:t>Менаџмент</w:t>
      </w:r>
      <w:proofErr w:type="spellEnd"/>
      <w:r w:rsidRPr="000A7783">
        <w:rPr>
          <w:rFonts w:eastAsia="Times New Roman" w:cs="Arial"/>
          <w:i/>
          <w:iCs/>
          <w:szCs w:val="24"/>
        </w:rPr>
        <w:t xml:space="preserve"> у </w:t>
      </w:r>
      <w:proofErr w:type="spellStart"/>
      <w:r w:rsidRPr="000A7783">
        <w:rPr>
          <w:rFonts w:eastAsia="Times New Roman" w:cs="Arial"/>
          <w:i/>
          <w:iCs/>
          <w:szCs w:val="24"/>
        </w:rPr>
        <w:t>хотелијерству</w:t>
      </w:r>
      <w:proofErr w:type="spellEnd"/>
      <w:r w:rsidRPr="000A7783">
        <w:rPr>
          <w:rFonts w:eastAsia="Times New Roman" w:cs="Arial"/>
          <w:i/>
          <w:iCs/>
          <w:szCs w:val="24"/>
        </w:rPr>
        <w:t xml:space="preserve"> и </w:t>
      </w:r>
      <w:proofErr w:type="spellStart"/>
      <w:r w:rsidRPr="000A7783">
        <w:rPr>
          <w:rFonts w:eastAsia="Times New Roman" w:cs="Arial"/>
          <w:i/>
          <w:iCs/>
          <w:szCs w:val="24"/>
        </w:rPr>
        <w:t>туризму</w:t>
      </w:r>
      <w:proofErr w:type="spellEnd"/>
      <w:r w:rsidRPr="000A7783">
        <w:rPr>
          <w:rFonts w:eastAsia="Times New Roman" w:cs="Arial"/>
          <w:szCs w:val="24"/>
        </w:rPr>
        <w:t xml:space="preserve">, </w:t>
      </w:r>
      <w:r w:rsidRPr="000A7783">
        <w:rPr>
          <w:rFonts w:eastAsia="Times New Roman" w:cs="Arial"/>
          <w:i/>
          <w:iCs/>
          <w:szCs w:val="24"/>
        </w:rPr>
        <w:t>7</w:t>
      </w:r>
      <w:r w:rsidRPr="000A7783">
        <w:rPr>
          <w:rFonts w:eastAsia="Times New Roman" w:cs="Arial"/>
          <w:szCs w:val="24"/>
        </w:rPr>
        <w:t>(1), pp.115-125.</w:t>
      </w:r>
    </w:p>
    <w:p w14:paraId="7578ACD8" w14:textId="77777777" w:rsidR="00C90295" w:rsidRPr="0054451C" w:rsidRDefault="00C90295" w:rsidP="00C90295">
      <w:pPr>
        <w:rPr>
          <w:rStyle w:val="selectable"/>
          <w:rFonts w:cs="Arial"/>
          <w:color w:val="000000"/>
        </w:rPr>
      </w:pPr>
    </w:p>
    <w:p w14:paraId="318BDBCC" w14:textId="77777777" w:rsidR="00C90295" w:rsidRPr="0054451C" w:rsidRDefault="00C90295" w:rsidP="00B45FA6">
      <w:pPr>
        <w:spacing w:after="0"/>
        <w:rPr>
          <w:rFonts w:eastAsia="Times New Roman" w:cs="Arial"/>
          <w:szCs w:val="24"/>
        </w:rPr>
      </w:pPr>
    </w:p>
    <w:p w14:paraId="5D7BE85D" w14:textId="77777777" w:rsidR="00B45FA6" w:rsidRPr="000A7783" w:rsidRDefault="00B45FA6" w:rsidP="00FB547D">
      <w:pPr>
        <w:spacing w:after="120"/>
        <w:rPr>
          <w:rFonts w:eastAsia="Times New Roman" w:cs="Arial"/>
          <w:szCs w:val="24"/>
        </w:rPr>
      </w:pPr>
    </w:p>
    <w:p w14:paraId="758E2E05" w14:textId="77777777" w:rsidR="00834659" w:rsidRPr="003B3127" w:rsidRDefault="00834659" w:rsidP="00834659">
      <w:pPr>
        <w:spacing w:after="120"/>
        <w:ind w:left="720" w:hanging="720"/>
        <w:rPr>
          <w:rFonts w:eastAsia="Times New Roman" w:cs="Arial"/>
          <w:szCs w:val="24"/>
        </w:rPr>
      </w:pPr>
    </w:p>
    <w:p w14:paraId="6A8867C8" w14:textId="77777777" w:rsidR="00834659" w:rsidRPr="002B43BF" w:rsidRDefault="00834659" w:rsidP="00834659">
      <w:pPr>
        <w:spacing w:after="120"/>
        <w:rPr>
          <w:rFonts w:cs="Arial"/>
        </w:rPr>
      </w:pPr>
    </w:p>
    <w:p w14:paraId="0E024823" w14:textId="77777777" w:rsidR="00834659" w:rsidRPr="003B3127" w:rsidRDefault="00834659" w:rsidP="00834659">
      <w:pPr>
        <w:spacing w:after="120"/>
        <w:ind w:left="720" w:hanging="720"/>
        <w:rPr>
          <w:rFonts w:eastAsia="Times New Roman" w:cs="Arial"/>
          <w:szCs w:val="24"/>
        </w:rPr>
      </w:pPr>
    </w:p>
    <w:p w14:paraId="08963073" w14:textId="77777777" w:rsidR="00834659" w:rsidRPr="0054451C" w:rsidRDefault="00834659" w:rsidP="00834659">
      <w:pPr>
        <w:spacing w:after="0"/>
        <w:rPr>
          <w:rFonts w:eastAsia="Times New Roman" w:cs="Arial"/>
          <w:szCs w:val="24"/>
        </w:rPr>
      </w:pPr>
    </w:p>
    <w:p w14:paraId="04CD5511" w14:textId="77777777" w:rsidR="00834659" w:rsidRPr="005C6F83" w:rsidRDefault="00834659" w:rsidP="005C6F83"/>
    <w:p w14:paraId="544523DF" w14:textId="77777777" w:rsidR="005C6F83" w:rsidRPr="005C6F83" w:rsidRDefault="005C6F83" w:rsidP="005C6F83"/>
    <w:sectPr w:rsidR="005C6F83" w:rsidRPr="005C6F83" w:rsidSect="00C7020B">
      <w:headerReference w:type="default" r:id="rId15"/>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20D5C" w14:textId="77777777" w:rsidR="00F20ABC" w:rsidRDefault="00F20ABC" w:rsidP="00BC6EE0">
      <w:pPr>
        <w:spacing w:after="0" w:line="240" w:lineRule="auto"/>
      </w:pPr>
      <w:r>
        <w:separator/>
      </w:r>
    </w:p>
  </w:endnote>
  <w:endnote w:type="continuationSeparator" w:id="0">
    <w:p w14:paraId="418B6D72" w14:textId="77777777" w:rsidR="00F20ABC" w:rsidRDefault="00F20ABC" w:rsidP="00BC6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811268"/>
      <w:docPartObj>
        <w:docPartGallery w:val="Page Numbers (Bottom of Page)"/>
        <w:docPartUnique/>
      </w:docPartObj>
    </w:sdtPr>
    <w:sdtEndPr>
      <w:rPr>
        <w:noProof/>
      </w:rPr>
    </w:sdtEndPr>
    <w:sdtContent>
      <w:p w14:paraId="40824C7F" w14:textId="77777777" w:rsidR="00BC6EE0" w:rsidRDefault="00BC6EE0">
        <w:pPr>
          <w:pStyle w:val="Footer"/>
          <w:jc w:val="right"/>
        </w:pPr>
        <w:r>
          <w:fldChar w:fldCharType="begin"/>
        </w:r>
        <w:r>
          <w:instrText xml:space="preserve"> PAGE   \* MERGEFORMAT </w:instrText>
        </w:r>
        <w:r>
          <w:fldChar w:fldCharType="separate"/>
        </w:r>
        <w:r w:rsidR="00410D66">
          <w:rPr>
            <w:noProof/>
          </w:rPr>
          <w:t>3</w:t>
        </w:r>
        <w:r>
          <w:rPr>
            <w:noProof/>
          </w:rPr>
          <w:fldChar w:fldCharType="end"/>
        </w:r>
      </w:p>
    </w:sdtContent>
  </w:sdt>
  <w:p w14:paraId="61BD8C0F" w14:textId="77777777" w:rsidR="00BC6EE0" w:rsidRDefault="00BC6E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19C53" w14:textId="77777777" w:rsidR="00F20ABC" w:rsidRDefault="00F20ABC" w:rsidP="00BC6EE0">
      <w:pPr>
        <w:spacing w:after="0" w:line="240" w:lineRule="auto"/>
      </w:pPr>
      <w:r>
        <w:separator/>
      </w:r>
    </w:p>
  </w:footnote>
  <w:footnote w:type="continuationSeparator" w:id="0">
    <w:p w14:paraId="209AF8E1" w14:textId="77777777" w:rsidR="00F20ABC" w:rsidRDefault="00F20ABC" w:rsidP="00BC6E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1AAB0" w14:textId="7E16C157" w:rsidR="00DD0A72" w:rsidRDefault="00DD0A72">
    <w:pPr>
      <w:pStyle w:val="Header"/>
    </w:pPr>
    <w:r>
      <w:t>2260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A1254"/>
    <w:multiLevelType w:val="hybridMultilevel"/>
    <w:tmpl w:val="9F0655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3E764F"/>
    <w:multiLevelType w:val="hybridMultilevel"/>
    <w:tmpl w:val="022E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5349048">
    <w:abstractNumId w:val="0"/>
  </w:num>
  <w:num w:numId="2" w16cid:durableId="1437824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xMbO0MDMzMTQyMTBU0lEKTi0uzszPAykwrAUAeG3qTiwAAAA="/>
  </w:docVars>
  <w:rsids>
    <w:rsidRoot w:val="000631A3"/>
    <w:rsid w:val="000204E3"/>
    <w:rsid w:val="00035B5C"/>
    <w:rsid w:val="000406F4"/>
    <w:rsid w:val="00041ADE"/>
    <w:rsid w:val="000631A3"/>
    <w:rsid w:val="00081CB4"/>
    <w:rsid w:val="00093846"/>
    <w:rsid w:val="00095C6A"/>
    <w:rsid w:val="000B1BF0"/>
    <w:rsid w:val="00145EB9"/>
    <w:rsid w:val="00155897"/>
    <w:rsid w:val="00186B1C"/>
    <w:rsid w:val="00190754"/>
    <w:rsid w:val="0019667E"/>
    <w:rsid w:val="00197716"/>
    <w:rsid w:val="001A437E"/>
    <w:rsid w:val="001A782D"/>
    <w:rsid w:val="001C2170"/>
    <w:rsid w:val="002150FB"/>
    <w:rsid w:val="00216667"/>
    <w:rsid w:val="00226CF5"/>
    <w:rsid w:val="00235BF1"/>
    <w:rsid w:val="00237596"/>
    <w:rsid w:val="002508B6"/>
    <w:rsid w:val="00253E90"/>
    <w:rsid w:val="00275CFD"/>
    <w:rsid w:val="0029049F"/>
    <w:rsid w:val="002A30DC"/>
    <w:rsid w:val="002D0536"/>
    <w:rsid w:val="002E24FE"/>
    <w:rsid w:val="002F1561"/>
    <w:rsid w:val="00313634"/>
    <w:rsid w:val="00314913"/>
    <w:rsid w:val="00322B35"/>
    <w:rsid w:val="00326911"/>
    <w:rsid w:val="003407D7"/>
    <w:rsid w:val="00354452"/>
    <w:rsid w:val="003548DF"/>
    <w:rsid w:val="003A17A3"/>
    <w:rsid w:val="00402CC9"/>
    <w:rsid w:val="00410D66"/>
    <w:rsid w:val="00420C15"/>
    <w:rsid w:val="00422E9A"/>
    <w:rsid w:val="0044329D"/>
    <w:rsid w:val="00497A05"/>
    <w:rsid w:val="004A2E15"/>
    <w:rsid w:val="004A4D27"/>
    <w:rsid w:val="004F0D23"/>
    <w:rsid w:val="00501FE3"/>
    <w:rsid w:val="00503163"/>
    <w:rsid w:val="00507A3D"/>
    <w:rsid w:val="00533265"/>
    <w:rsid w:val="005539F8"/>
    <w:rsid w:val="00574732"/>
    <w:rsid w:val="005811BC"/>
    <w:rsid w:val="00582698"/>
    <w:rsid w:val="0058513E"/>
    <w:rsid w:val="005A149A"/>
    <w:rsid w:val="005A16F8"/>
    <w:rsid w:val="005A4BE2"/>
    <w:rsid w:val="005B1F65"/>
    <w:rsid w:val="005B241C"/>
    <w:rsid w:val="005C6F83"/>
    <w:rsid w:val="005F60FC"/>
    <w:rsid w:val="00617000"/>
    <w:rsid w:val="00625BB1"/>
    <w:rsid w:val="006815C1"/>
    <w:rsid w:val="006D5C63"/>
    <w:rsid w:val="006E33D0"/>
    <w:rsid w:val="006F3F24"/>
    <w:rsid w:val="00726167"/>
    <w:rsid w:val="00776625"/>
    <w:rsid w:val="007850EB"/>
    <w:rsid w:val="00787984"/>
    <w:rsid w:val="008215CB"/>
    <w:rsid w:val="00834659"/>
    <w:rsid w:val="00885205"/>
    <w:rsid w:val="008B095A"/>
    <w:rsid w:val="008F5DBF"/>
    <w:rsid w:val="008F760E"/>
    <w:rsid w:val="00907A8B"/>
    <w:rsid w:val="009322BE"/>
    <w:rsid w:val="009711B8"/>
    <w:rsid w:val="00973D9B"/>
    <w:rsid w:val="00983A98"/>
    <w:rsid w:val="00995E69"/>
    <w:rsid w:val="009A5EC1"/>
    <w:rsid w:val="009D3B12"/>
    <w:rsid w:val="009E4827"/>
    <w:rsid w:val="009F7643"/>
    <w:rsid w:val="00A37DB5"/>
    <w:rsid w:val="00A56B2F"/>
    <w:rsid w:val="00A87C6A"/>
    <w:rsid w:val="00AA399F"/>
    <w:rsid w:val="00AC624B"/>
    <w:rsid w:val="00AD27F8"/>
    <w:rsid w:val="00AD4938"/>
    <w:rsid w:val="00B112DB"/>
    <w:rsid w:val="00B34224"/>
    <w:rsid w:val="00B36256"/>
    <w:rsid w:val="00B40E25"/>
    <w:rsid w:val="00B45FA6"/>
    <w:rsid w:val="00B61C26"/>
    <w:rsid w:val="00B64A85"/>
    <w:rsid w:val="00B92582"/>
    <w:rsid w:val="00B9791C"/>
    <w:rsid w:val="00BC6EE0"/>
    <w:rsid w:val="00BE2EB4"/>
    <w:rsid w:val="00C14AEE"/>
    <w:rsid w:val="00C2556F"/>
    <w:rsid w:val="00C5250E"/>
    <w:rsid w:val="00C65180"/>
    <w:rsid w:val="00C7020B"/>
    <w:rsid w:val="00C801D5"/>
    <w:rsid w:val="00C90295"/>
    <w:rsid w:val="00C94873"/>
    <w:rsid w:val="00C95659"/>
    <w:rsid w:val="00CC3557"/>
    <w:rsid w:val="00CC355F"/>
    <w:rsid w:val="00CD3BC7"/>
    <w:rsid w:val="00CE67FF"/>
    <w:rsid w:val="00CF2E3C"/>
    <w:rsid w:val="00CF45D9"/>
    <w:rsid w:val="00D06521"/>
    <w:rsid w:val="00D542D7"/>
    <w:rsid w:val="00D82AD8"/>
    <w:rsid w:val="00D83962"/>
    <w:rsid w:val="00D978E3"/>
    <w:rsid w:val="00DB7F72"/>
    <w:rsid w:val="00DC55ED"/>
    <w:rsid w:val="00DD0A72"/>
    <w:rsid w:val="00DE4DC6"/>
    <w:rsid w:val="00DF51B8"/>
    <w:rsid w:val="00E025FF"/>
    <w:rsid w:val="00E15E53"/>
    <w:rsid w:val="00E16877"/>
    <w:rsid w:val="00E4729F"/>
    <w:rsid w:val="00E53A38"/>
    <w:rsid w:val="00E61B48"/>
    <w:rsid w:val="00E62E62"/>
    <w:rsid w:val="00E66994"/>
    <w:rsid w:val="00E72027"/>
    <w:rsid w:val="00EA0416"/>
    <w:rsid w:val="00EB1077"/>
    <w:rsid w:val="00EB3393"/>
    <w:rsid w:val="00EC03F4"/>
    <w:rsid w:val="00EF48AA"/>
    <w:rsid w:val="00F002CD"/>
    <w:rsid w:val="00F20ABC"/>
    <w:rsid w:val="00F2629C"/>
    <w:rsid w:val="00F44040"/>
    <w:rsid w:val="00F7505E"/>
    <w:rsid w:val="00FA5DAE"/>
    <w:rsid w:val="00FB547D"/>
    <w:rsid w:val="00FB5D15"/>
    <w:rsid w:val="00FC1EFE"/>
    <w:rsid w:val="00FD2DDC"/>
    <w:rsid w:val="00FD3849"/>
    <w:rsid w:val="00FD692A"/>
    <w:rsid w:val="00FE5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91806"/>
  <w15:chartTrackingRefBased/>
  <w15:docId w15:val="{3B921B9E-CB05-462F-9135-DACCBE3D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1A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631A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711B8"/>
    <w:pPr>
      <w:keepNext/>
      <w:keepLines/>
      <w:spacing w:before="40" w:after="0"/>
      <w:outlineLvl w:val="1"/>
    </w:pPr>
    <w:rPr>
      <w:rFonts w:eastAsiaTheme="majorEastAsia" w:cstheme="majorBidi"/>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1A3"/>
    <w:rPr>
      <w:rFonts w:ascii="Times New Roman" w:eastAsiaTheme="majorEastAsia" w:hAnsi="Times New Roman" w:cstheme="majorBidi"/>
      <w:b/>
      <w:sz w:val="32"/>
      <w:szCs w:val="32"/>
    </w:rPr>
  </w:style>
  <w:style w:type="paragraph" w:styleId="NoSpacing">
    <w:name w:val="No Spacing"/>
    <w:link w:val="NoSpacingChar"/>
    <w:uiPriority w:val="1"/>
    <w:qFormat/>
    <w:rsid w:val="00C7020B"/>
    <w:pPr>
      <w:spacing w:after="0" w:line="240" w:lineRule="auto"/>
    </w:pPr>
    <w:rPr>
      <w:rFonts w:eastAsiaTheme="minorEastAsia"/>
    </w:rPr>
  </w:style>
  <w:style w:type="character" w:customStyle="1" w:styleId="NoSpacingChar">
    <w:name w:val="No Spacing Char"/>
    <w:basedOn w:val="DefaultParagraphFont"/>
    <w:link w:val="NoSpacing"/>
    <w:uiPriority w:val="1"/>
    <w:rsid w:val="00C7020B"/>
    <w:rPr>
      <w:rFonts w:eastAsiaTheme="minorEastAsia"/>
    </w:rPr>
  </w:style>
  <w:style w:type="character" w:customStyle="1" w:styleId="Heading2Char">
    <w:name w:val="Heading 2 Char"/>
    <w:basedOn w:val="DefaultParagraphFont"/>
    <w:link w:val="Heading2"/>
    <w:uiPriority w:val="9"/>
    <w:rsid w:val="009711B8"/>
    <w:rPr>
      <w:rFonts w:ascii="Times New Roman" w:eastAsiaTheme="majorEastAsia" w:hAnsi="Times New Roman" w:cstheme="majorBidi"/>
      <w:color w:val="002060"/>
      <w:sz w:val="28"/>
      <w:szCs w:val="26"/>
    </w:rPr>
  </w:style>
  <w:style w:type="paragraph" w:styleId="ListParagraph">
    <w:name w:val="List Paragraph"/>
    <w:basedOn w:val="Normal"/>
    <w:uiPriority w:val="34"/>
    <w:qFormat/>
    <w:rsid w:val="00155897"/>
    <w:pPr>
      <w:ind w:left="720"/>
      <w:contextualSpacing/>
    </w:pPr>
  </w:style>
  <w:style w:type="character" w:customStyle="1" w:styleId="selectable">
    <w:name w:val="selectable"/>
    <w:basedOn w:val="DefaultParagraphFont"/>
    <w:rsid w:val="00C90295"/>
  </w:style>
  <w:style w:type="paragraph" w:styleId="Header">
    <w:name w:val="header"/>
    <w:basedOn w:val="Normal"/>
    <w:link w:val="HeaderChar"/>
    <w:uiPriority w:val="99"/>
    <w:unhideWhenUsed/>
    <w:rsid w:val="00BC6E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EE0"/>
    <w:rPr>
      <w:rFonts w:ascii="Times New Roman" w:hAnsi="Times New Roman"/>
      <w:sz w:val="24"/>
    </w:rPr>
  </w:style>
  <w:style w:type="paragraph" w:styleId="Footer">
    <w:name w:val="footer"/>
    <w:basedOn w:val="Normal"/>
    <w:link w:val="FooterChar"/>
    <w:uiPriority w:val="99"/>
    <w:unhideWhenUsed/>
    <w:rsid w:val="00BC6E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EE0"/>
    <w:rPr>
      <w:rFonts w:ascii="Times New Roman" w:hAnsi="Times New Roman"/>
      <w:sz w:val="24"/>
    </w:rPr>
  </w:style>
  <w:style w:type="paragraph" w:styleId="TOCHeading">
    <w:name w:val="TOC Heading"/>
    <w:basedOn w:val="Heading1"/>
    <w:next w:val="Normal"/>
    <w:uiPriority w:val="39"/>
    <w:unhideWhenUsed/>
    <w:qFormat/>
    <w:rsid w:val="00BC6EE0"/>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C6EE0"/>
    <w:pPr>
      <w:spacing w:after="100"/>
    </w:pPr>
  </w:style>
  <w:style w:type="paragraph" w:styleId="TOC2">
    <w:name w:val="toc 2"/>
    <w:basedOn w:val="Normal"/>
    <w:next w:val="Normal"/>
    <w:autoRedefine/>
    <w:uiPriority w:val="39"/>
    <w:unhideWhenUsed/>
    <w:rsid w:val="00BC6EE0"/>
    <w:pPr>
      <w:spacing w:after="100"/>
      <w:ind w:left="240"/>
    </w:pPr>
  </w:style>
  <w:style w:type="character" w:styleId="Hyperlink">
    <w:name w:val="Hyperlink"/>
    <w:basedOn w:val="DefaultParagraphFont"/>
    <w:uiPriority w:val="99"/>
    <w:unhideWhenUsed/>
    <w:rsid w:val="00BC6E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49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E40F7-EEAC-44A7-96E0-C2A580F3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2716</Words>
  <Characters>15487</Characters>
  <Application>Microsoft Office Word</Application>
  <DocSecurity>0</DocSecurity>
  <Lines>129</Lines>
  <Paragraphs>36</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ASSIGNMENT 1: HILTON HOTEL</vt:lpstr>
      <vt:lpstr>Executive Summary</vt:lpstr>
      <vt:lpstr>Introduction</vt:lpstr>
      <vt:lpstr>Calculations of Horizontal Ratios of Hilton Hotel</vt:lpstr>
      <vt:lpstr>    Profitability Ratios</vt:lpstr>
      <vt:lpstr>    Asset Turnover Ratio</vt:lpstr>
      <vt:lpstr>    Liquidity Ratios (Current &amp; Quick Ratios)</vt:lpstr>
      <vt:lpstr>    Debtor Days &amp; Creditor Days</vt:lpstr>
      <vt:lpstr>    Gearing Ratios</vt:lpstr>
      <vt:lpstr>Trend Analysis</vt:lpstr>
      <vt:lpstr>    Profitability</vt:lpstr>
      <vt:lpstr>    Asset Turnover</vt:lpstr>
      <vt:lpstr>    Liquidity</vt:lpstr>
      <vt:lpstr>    Gearing (Leverage)</vt:lpstr>
      <vt:lpstr>Impact of Ratio Analysis on Decision Making</vt:lpstr>
      <vt:lpstr>Limitations of Ratio Analysis</vt:lpstr>
      <vt:lpstr>Importance of Understanding Ratios and their Fluctuations</vt:lpstr>
      <vt:lpstr>Conclusion</vt:lpstr>
      <vt:lpstr>References</vt:lpstr>
    </vt:vector>
  </TitlesOfParts>
  <Company/>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HILTON HOTEL</dc:title>
  <dc:subject>Horizontal Ratio Analysis</dc:subject>
  <dc:creator>HP</dc:creator>
  <cp:keywords/>
  <dc:description/>
  <cp:lastModifiedBy>khadijah</cp:lastModifiedBy>
  <cp:revision>2</cp:revision>
  <dcterms:created xsi:type="dcterms:W3CDTF">2022-05-30T00:12:00Z</dcterms:created>
  <dcterms:modified xsi:type="dcterms:W3CDTF">2022-05-30T00:12:00Z</dcterms:modified>
</cp:coreProperties>
</file>