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1C6843" wp14:paraId="6B8DD72C" wp14:textId="14F27755">
      <w:pPr>
        <w:pStyle w:val="Heading2"/>
        <w:keepNext w:val="1"/>
        <w:keepLines w:val="1"/>
        <w:spacing w:before="160" w:after="80"/>
        <w:jc w:val="center"/>
        <w:rPr>
          <w:rFonts w:ascii="Arial" w:hAnsi="Arial" w:eastAsia="Arial" w:cs="Arial"/>
          <w:b w:val="1"/>
          <w:bCs w:val="1"/>
          <w:noProof w:val="0"/>
          <w:color w:val="auto"/>
          <w:sz w:val="32"/>
          <w:szCs w:val="32"/>
          <w:lang w:val="en-US"/>
        </w:rPr>
      </w:pPr>
      <w:r w:rsidRPr="011C6843" w:rsidR="0D1F322A">
        <w:rPr>
          <w:rFonts w:ascii="Arial" w:hAnsi="Arial" w:eastAsia="Arial" w:cs="Arial"/>
          <w:b w:val="1"/>
          <w:bCs w:val="1"/>
          <w:noProof w:val="0"/>
          <w:color w:val="auto"/>
          <w:sz w:val="32"/>
          <w:szCs w:val="32"/>
          <w:lang w:val="en-US"/>
        </w:rPr>
        <w:t>Module</w:t>
      </w:r>
      <w:r w:rsidRPr="011C6843" w:rsidR="5F97EAC1">
        <w:rPr>
          <w:rFonts w:ascii="Arial" w:hAnsi="Arial" w:eastAsia="Arial" w:cs="Arial"/>
          <w:b w:val="1"/>
          <w:bCs w:val="1"/>
          <w:noProof w:val="0"/>
          <w:color w:val="auto"/>
          <w:sz w:val="32"/>
          <w:szCs w:val="32"/>
          <w:lang w:val="en-US"/>
        </w:rPr>
        <w:t xml:space="preserve"> title</w:t>
      </w:r>
      <w:r w:rsidRPr="011C6843" w:rsidR="6F9DFE1C">
        <w:rPr>
          <w:rFonts w:ascii="Arial" w:hAnsi="Arial" w:eastAsia="Arial" w:cs="Arial"/>
          <w:b w:val="1"/>
          <w:bCs w:val="1"/>
          <w:noProof w:val="0"/>
          <w:color w:val="auto"/>
          <w:sz w:val="32"/>
          <w:szCs w:val="32"/>
          <w:lang w:val="en-US"/>
        </w:rPr>
        <w:t>:</w:t>
      </w:r>
      <w:r w:rsidRPr="011C6843" w:rsidR="7E4C4E85">
        <w:rPr>
          <w:rFonts w:ascii="Arial" w:hAnsi="Arial" w:eastAsia="Arial" w:cs="Arial"/>
          <w:b w:val="1"/>
          <w:bCs w:val="1"/>
          <w:noProof w:val="0"/>
          <w:color w:val="auto"/>
          <w:sz w:val="32"/>
          <w:szCs w:val="32"/>
          <w:lang w:val="en-US"/>
        </w:rPr>
        <w:t xml:space="preserve"> </w:t>
      </w:r>
      <w:r w:rsidRPr="011C6843" w:rsidR="6490409F">
        <w:rPr>
          <w:rFonts w:ascii="Arial" w:hAnsi="Arial" w:eastAsia="Arial" w:cs="Arial"/>
          <w:b w:val="1"/>
          <w:bCs w:val="1"/>
          <w:noProof w:val="0"/>
          <w:color w:val="auto"/>
          <w:sz w:val="32"/>
          <w:szCs w:val="32"/>
          <w:lang w:val="en-US"/>
        </w:rPr>
        <w:t>Principles of Health and Social Care Practice</w:t>
      </w:r>
    </w:p>
    <w:p xmlns:wp14="http://schemas.microsoft.com/office/word/2010/wordml" w:rsidP="011C6843" wp14:paraId="2BE7497E" wp14:textId="20777EFB">
      <w:pPr>
        <w:pStyle w:val="Heading2"/>
        <w:keepNext w:val="1"/>
        <w:keepLines w:val="1"/>
        <w:spacing w:before="160" w:after="80"/>
        <w:jc w:val="center"/>
        <w:rPr>
          <w:rFonts w:ascii="Arial" w:hAnsi="Arial" w:eastAsia="Arial" w:cs="Arial"/>
          <w:b w:val="1"/>
          <w:bCs w:val="1"/>
          <w:noProof w:val="0"/>
          <w:color w:val="auto"/>
          <w:sz w:val="32"/>
          <w:szCs w:val="32"/>
          <w:lang w:val="en-US"/>
        </w:rPr>
      </w:pPr>
      <w:r>
        <w:br/>
      </w:r>
      <w:r w:rsidRPr="011C6843" w:rsidR="5F97EAC1">
        <w:rPr>
          <w:rFonts w:ascii="Arial" w:hAnsi="Arial" w:eastAsia="Arial" w:cs="Arial"/>
          <w:b w:val="1"/>
          <w:bCs w:val="1"/>
          <w:noProof w:val="0"/>
          <w:color w:val="auto"/>
          <w:sz w:val="32"/>
          <w:szCs w:val="32"/>
          <w:lang w:val="en-US"/>
        </w:rPr>
        <w:t>Student name and number</w:t>
      </w:r>
      <w:r w:rsidRPr="011C6843" w:rsidR="5EA72FD8">
        <w:rPr>
          <w:rFonts w:ascii="Arial" w:hAnsi="Arial" w:eastAsia="Arial" w:cs="Arial"/>
          <w:b w:val="1"/>
          <w:bCs w:val="1"/>
          <w:noProof w:val="0"/>
          <w:color w:val="auto"/>
          <w:sz w:val="32"/>
          <w:szCs w:val="32"/>
          <w:lang w:val="en-US"/>
        </w:rPr>
        <w:t xml:space="preserve"> (</w:t>
      </w:r>
      <w:r w:rsidRPr="011C6843" w:rsidR="2A775E68">
        <w:rPr>
          <w:rFonts w:ascii="Arial" w:hAnsi="Arial" w:eastAsia="Arial" w:cs="Arial"/>
          <w:b w:val="1"/>
          <w:bCs w:val="1"/>
          <w:noProof w:val="0"/>
          <w:color w:val="auto"/>
          <w:sz w:val="32"/>
          <w:szCs w:val="32"/>
          <w:lang w:val="en-US"/>
        </w:rPr>
        <w:t>Ruby begum 2422428</w:t>
      </w:r>
      <w:r w:rsidRPr="011C6843" w:rsidR="5EA72FD8">
        <w:rPr>
          <w:rFonts w:ascii="Arial" w:hAnsi="Arial" w:eastAsia="Arial" w:cs="Arial"/>
          <w:b w:val="1"/>
          <w:bCs w:val="1"/>
          <w:noProof w:val="0"/>
          <w:color w:val="auto"/>
          <w:sz w:val="32"/>
          <w:szCs w:val="32"/>
          <w:lang w:val="en-US"/>
        </w:rPr>
        <w:t>)</w:t>
      </w:r>
    </w:p>
    <w:p xmlns:wp14="http://schemas.microsoft.com/office/word/2010/wordml" w:rsidP="011C6843" wp14:paraId="0578121A" wp14:textId="6E6FC510">
      <w:pPr>
        <w:pStyle w:val="Heading2"/>
        <w:keepNext w:val="1"/>
        <w:keepLines w:val="1"/>
        <w:spacing w:before="160" w:after="80"/>
        <w:jc w:val="center"/>
        <w:rPr>
          <w:rFonts w:ascii="Arial" w:hAnsi="Arial" w:eastAsia="Arial" w:cs="Arial"/>
          <w:b w:val="1"/>
          <w:bCs w:val="1"/>
          <w:noProof w:val="0"/>
          <w:color w:val="auto"/>
          <w:sz w:val="32"/>
          <w:szCs w:val="32"/>
          <w:lang w:val="en-US"/>
        </w:rPr>
      </w:pPr>
      <w:r w:rsidRPr="011C6843" w:rsidR="5F97EAC1">
        <w:rPr>
          <w:rFonts w:ascii="Arial" w:hAnsi="Arial" w:eastAsia="Arial" w:cs="Arial"/>
          <w:b w:val="1"/>
          <w:bCs w:val="1"/>
          <w:noProof w:val="0"/>
          <w:color w:val="auto"/>
          <w:sz w:val="32"/>
          <w:szCs w:val="32"/>
          <w:lang w:val="en-US"/>
        </w:rPr>
        <w:t xml:space="preserve"> </w:t>
      </w:r>
      <w:r>
        <w:br/>
      </w:r>
      <w:r w:rsidRPr="011C6843" w:rsidR="5F97EAC1">
        <w:rPr>
          <w:rFonts w:ascii="Arial" w:hAnsi="Arial" w:eastAsia="Arial" w:cs="Arial"/>
          <w:b w:val="1"/>
          <w:bCs w:val="1"/>
          <w:noProof w:val="0"/>
          <w:color w:val="auto"/>
          <w:sz w:val="32"/>
          <w:szCs w:val="32"/>
          <w:lang w:val="en-US"/>
        </w:rPr>
        <w:t xml:space="preserve">Module code (BMHP5016) </w:t>
      </w:r>
    </w:p>
    <w:p xmlns:wp14="http://schemas.microsoft.com/office/word/2010/wordml" w:rsidP="011C6843" wp14:paraId="666C31E6" wp14:textId="1625A5EC">
      <w:pPr>
        <w:pStyle w:val="Heading2"/>
        <w:keepNext w:val="1"/>
        <w:keepLines w:val="1"/>
        <w:spacing w:before="160" w:after="80"/>
        <w:jc w:val="center"/>
        <w:rPr>
          <w:rFonts w:ascii="Arial" w:hAnsi="Arial" w:eastAsia="Arial" w:cs="Arial"/>
          <w:b w:val="1"/>
          <w:bCs w:val="1"/>
          <w:noProof w:val="0"/>
          <w:color w:val="auto"/>
          <w:sz w:val="32"/>
          <w:szCs w:val="32"/>
          <w:lang w:val="en-US"/>
        </w:rPr>
      </w:pPr>
      <w:r>
        <w:br/>
      </w:r>
      <w:r w:rsidRPr="011C6843" w:rsidR="5F97EAC1">
        <w:rPr>
          <w:rFonts w:ascii="Arial" w:hAnsi="Arial" w:eastAsia="Arial" w:cs="Arial"/>
          <w:b w:val="1"/>
          <w:bCs w:val="1"/>
          <w:noProof w:val="0"/>
          <w:color w:val="auto"/>
          <w:sz w:val="32"/>
          <w:szCs w:val="32"/>
          <w:lang w:val="en-US"/>
        </w:rPr>
        <w:t xml:space="preserve">Assignment title (Component </w:t>
      </w:r>
      <w:r w:rsidRPr="011C6843" w:rsidR="5E835808">
        <w:rPr>
          <w:rFonts w:ascii="Arial" w:hAnsi="Arial" w:eastAsia="Arial" w:cs="Arial"/>
          <w:b w:val="1"/>
          <w:bCs w:val="1"/>
          <w:noProof w:val="0"/>
          <w:color w:val="auto"/>
          <w:sz w:val="32"/>
          <w:szCs w:val="32"/>
          <w:lang w:val="en-US"/>
        </w:rPr>
        <w:t>2</w:t>
      </w:r>
      <w:r w:rsidRPr="011C6843" w:rsidR="4802D2CD">
        <w:rPr>
          <w:rFonts w:ascii="Arial" w:hAnsi="Arial" w:eastAsia="Arial" w:cs="Arial"/>
          <w:b w:val="1"/>
          <w:bCs w:val="1"/>
          <w:noProof w:val="0"/>
          <w:color w:val="auto"/>
          <w:sz w:val="32"/>
          <w:szCs w:val="32"/>
          <w:lang w:val="en-US"/>
        </w:rPr>
        <w:t>: Report</w:t>
      </w:r>
      <w:r w:rsidRPr="011C6843" w:rsidR="5F97EAC1">
        <w:rPr>
          <w:rFonts w:ascii="Arial" w:hAnsi="Arial" w:eastAsia="Arial" w:cs="Arial"/>
          <w:b w:val="1"/>
          <w:bCs w:val="1"/>
          <w:noProof w:val="0"/>
          <w:color w:val="auto"/>
          <w:sz w:val="32"/>
          <w:szCs w:val="32"/>
          <w:lang w:val="en-US"/>
        </w:rPr>
        <w:t>)</w:t>
      </w:r>
    </w:p>
    <w:p xmlns:wp14="http://schemas.microsoft.com/office/word/2010/wordml" w:rsidP="011C6843" wp14:paraId="6700273E" wp14:textId="22452B6B">
      <w:pPr>
        <w:pStyle w:val="Normal"/>
        <w:keepNext w:val="1"/>
        <w:keepLines w:val="1"/>
        <w:rPr>
          <w:noProof w:val="0"/>
          <w:lang w:val="en-US"/>
        </w:rPr>
      </w:pPr>
    </w:p>
    <w:p xmlns:wp14="http://schemas.microsoft.com/office/word/2010/wordml" w:rsidP="011C6843" wp14:paraId="15E302E3" wp14:textId="64F7C617">
      <w:pPr>
        <w:pStyle w:val="Normal"/>
        <w:keepNext w:val="1"/>
        <w:keepLines w:val="1"/>
        <w:rPr>
          <w:noProof w:val="0"/>
          <w:lang w:val="en-US"/>
        </w:rPr>
      </w:pPr>
    </w:p>
    <w:p xmlns:wp14="http://schemas.microsoft.com/office/word/2010/wordml" w:rsidP="011C6843" wp14:paraId="6D407928" wp14:textId="40CA6A6A">
      <w:pPr>
        <w:pStyle w:val="Normal"/>
        <w:keepNext w:val="1"/>
        <w:keepLines w:val="1"/>
        <w:rPr>
          <w:noProof w:val="0"/>
          <w:lang w:val="en-US"/>
        </w:rPr>
      </w:pPr>
    </w:p>
    <w:p xmlns:wp14="http://schemas.microsoft.com/office/word/2010/wordml" w:rsidP="011C6843" wp14:paraId="0BE0534A" wp14:textId="75655535">
      <w:pPr>
        <w:pStyle w:val="Normal"/>
        <w:keepNext w:val="1"/>
        <w:keepLines w:val="1"/>
        <w:rPr>
          <w:noProof w:val="0"/>
          <w:lang w:val="en-US"/>
        </w:rPr>
      </w:pPr>
    </w:p>
    <w:p xmlns:wp14="http://schemas.microsoft.com/office/word/2010/wordml" w:rsidP="011C6843" wp14:paraId="10B1C8B0" wp14:textId="4561370D">
      <w:pPr>
        <w:pStyle w:val="Normal"/>
        <w:keepNext w:val="1"/>
        <w:keepLines w:val="1"/>
        <w:rPr>
          <w:noProof w:val="0"/>
          <w:lang w:val="en-US"/>
        </w:rPr>
      </w:pPr>
    </w:p>
    <w:p xmlns:wp14="http://schemas.microsoft.com/office/word/2010/wordml" w:rsidP="011C6843" wp14:paraId="2E04F0B2" wp14:textId="0CF5061E">
      <w:pPr>
        <w:pStyle w:val="Normal"/>
        <w:keepNext w:val="1"/>
        <w:keepLines w:val="1"/>
        <w:rPr>
          <w:noProof w:val="0"/>
          <w:lang w:val="en-US"/>
        </w:rPr>
      </w:pPr>
    </w:p>
    <w:p xmlns:wp14="http://schemas.microsoft.com/office/word/2010/wordml" w:rsidP="011C6843" wp14:paraId="6BD4909E" wp14:textId="72F6899B">
      <w:pPr>
        <w:pStyle w:val="Normal"/>
        <w:keepNext w:val="1"/>
        <w:keepLines w:val="1"/>
        <w:rPr>
          <w:noProof w:val="0"/>
          <w:lang w:val="en-US"/>
        </w:rPr>
      </w:pPr>
    </w:p>
    <w:p xmlns:wp14="http://schemas.microsoft.com/office/word/2010/wordml" w:rsidP="011C6843" wp14:paraId="78D5CF9B" wp14:textId="3966C6CE">
      <w:pPr>
        <w:pStyle w:val="Normal"/>
        <w:keepNext w:val="1"/>
        <w:keepLines w:val="1"/>
        <w:rPr>
          <w:noProof w:val="0"/>
          <w:lang w:val="en-US"/>
        </w:rPr>
      </w:pPr>
    </w:p>
    <w:p xmlns:wp14="http://schemas.microsoft.com/office/word/2010/wordml" w:rsidP="011C6843" wp14:paraId="4C5A7FB6" wp14:textId="58F83DE3">
      <w:pPr>
        <w:pStyle w:val="Normal"/>
        <w:keepNext w:val="1"/>
        <w:keepLines w:val="1"/>
        <w:rPr>
          <w:noProof w:val="0"/>
          <w:lang w:val="en-US"/>
        </w:rPr>
      </w:pPr>
    </w:p>
    <w:p xmlns:wp14="http://schemas.microsoft.com/office/word/2010/wordml" w:rsidP="011C6843" wp14:paraId="55EF9001" wp14:textId="5B5527C8">
      <w:pPr>
        <w:pStyle w:val="Normal"/>
        <w:keepNext w:val="1"/>
        <w:keepLines w:val="1"/>
        <w:rPr>
          <w:noProof w:val="0"/>
          <w:lang w:val="en-US"/>
        </w:rPr>
      </w:pPr>
    </w:p>
    <w:p xmlns:wp14="http://schemas.microsoft.com/office/word/2010/wordml" w:rsidP="011C6843" wp14:paraId="77A5F6D3" wp14:textId="3CBAC320">
      <w:pPr>
        <w:pStyle w:val="Normal"/>
        <w:keepNext w:val="1"/>
        <w:keepLines w:val="1"/>
        <w:rPr>
          <w:noProof w:val="0"/>
          <w:lang w:val="en-US"/>
        </w:rPr>
      </w:pPr>
    </w:p>
    <w:p xmlns:wp14="http://schemas.microsoft.com/office/word/2010/wordml" w:rsidP="011C6843" wp14:paraId="14216B7E" wp14:textId="1AE8132E">
      <w:pPr>
        <w:pStyle w:val="Normal"/>
        <w:keepNext w:val="1"/>
        <w:keepLines w:val="1"/>
        <w:rPr>
          <w:noProof w:val="0"/>
          <w:lang w:val="en-US"/>
        </w:rPr>
      </w:pPr>
    </w:p>
    <w:p xmlns:wp14="http://schemas.microsoft.com/office/word/2010/wordml" w:rsidP="011C6843" wp14:paraId="0F987C77" wp14:textId="539BBA63">
      <w:pPr>
        <w:pStyle w:val="Normal"/>
        <w:keepNext w:val="1"/>
        <w:keepLines w:val="1"/>
        <w:rPr>
          <w:noProof w:val="0"/>
          <w:lang w:val="en-US"/>
        </w:rPr>
      </w:pPr>
    </w:p>
    <w:p xmlns:wp14="http://schemas.microsoft.com/office/word/2010/wordml" w:rsidP="011C6843" wp14:paraId="5EDBF237" wp14:textId="53426C2A">
      <w:pPr>
        <w:pStyle w:val="Normal"/>
        <w:keepNext w:val="1"/>
        <w:keepLines w:val="1"/>
        <w:rPr>
          <w:noProof w:val="0"/>
          <w:lang w:val="en-US"/>
        </w:rPr>
      </w:pPr>
    </w:p>
    <w:p xmlns:wp14="http://schemas.microsoft.com/office/word/2010/wordml" w:rsidP="011C6843" wp14:paraId="182FE1BC" wp14:textId="1A371D9C">
      <w:pPr>
        <w:pStyle w:val="Normal"/>
        <w:keepNext w:val="1"/>
        <w:keepLines w:val="1"/>
        <w:rPr>
          <w:noProof w:val="0"/>
          <w:lang w:val="en-US"/>
        </w:rPr>
      </w:pPr>
    </w:p>
    <w:p xmlns:wp14="http://schemas.microsoft.com/office/word/2010/wordml" w:rsidP="011C6843" wp14:paraId="47A40AB6" wp14:textId="6CD7A18C">
      <w:pPr>
        <w:pStyle w:val="Normal"/>
        <w:keepNext w:val="1"/>
        <w:keepLines w:val="1"/>
        <w:rPr>
          <w:noProof w:val="0"/>
          <w:lang w:val="en-US"/>
        </w:rPr>
      </w:pPr>
    </w:p>
    <w:p xmlns:wp14="http://schemas.microsoft.com/office/word/2010/wordml" w:rsidP="011C6843" wp14:paraId="311917CC" wp14:textId="5D86FAD2">
      <w:pPr>
        <w:pStyle w:val="Normal"/>
        <w:keepNext w:val="1"/>
        <w:keepLines w:val="1"/>
        <w:rPr>
          <w:noProof w:val="0"/>
          <w:lang w:val="en-US"/>
        </w:rPr>
      </w:pPr>
    </w:p>
    <w:p xmlns:wp14="http://schemas.microsoft.com/office/word/2010/wordml" w:rsidP="011C6843" wp14:paraId="35167499" wp14:textId="78328A6D">
      <w:pPr>
        <w:pStyle w:val="Heading2"/>
        <w:keepNext w:val="1"/>
        <w:keepLines w:val="1"/>
        <w:rPr>
          <w:rFonts w:ascii="Arial" w:hAnsi="Arial" w:eastAsia="Arial" w:cs="Arial"/>
          <w:b w:val="1"/>
          <w:bCs w:val="1"/>
          <w:noProof w:val="0"/>
          <w:color w:val="FF0000"/>
          <w:sz w:val="24"/>
          <w:szCs w:val="24"/>
          <w:lang w:val="en-US"/>
        </w:rPr>
      </w:pPr>
    </w:p>
    <w:p w:rsidR="7740431A" w:rsidP="7740431A" w:rsidRDefault="7740431A" w14:paraId="7692B321" w14:textId="6F62A4AB">
      <w:pPr>
        <w:pStyle w:val="Heading2"/>
        <w:keepNext w:val="1"/>
        <w:keepLines w:val="1"/>
        <w:rPr>
          <w:rFonts w:ascii="Arial" w:hAnsi="Arial" w:eastAsia="Arial" w:cs="Arial"/>
          <w:b w:val="1"/>
          <w:bCs w:val="1"/>
          <w:noProof w:val="0"/>
          <w:color w:val="FF0000"/>
          <w:sz w:val="24"/>
          <w:szCs w:val="24"/>
          <w:lang w:val="en-US"/>
        </w:rPr>
      </w:pPr>
    </w:p>
    <w:p w:rsidR="7740431A" w:rsidP="7740431A" w:rsidRDefault="7740431A" w14:paraId="4013C2F3" w14:textId="599588A7">
      <w:pPr>
        <w:pStyle w:val="Heading2"/>
        <w:keepNext w:val="1"/>
        <w:keepLines w:val="1"/>
        <w:rPr>
          <w:rFonts w:ascii="Arial" w:hAnsi="Arial" w:eastAsia="Arial" w:cs="Arial"/>
          <w:b w:val="1"/>
          <w:bCs w:val="1"/>
          <w:noProof w:val="0"/>
          <w:color w:val="FF0000"/>
          <w:sz w:val="24"/>
          <w:szCs w:val="24"/>
          <w:lang w:val="en-US"/>
        </w:rPr>
      </w:pPr>
    </w:p>
    <w:p w:rsidR="7740431A" w:rsidP="7740431A" w:rsidRDefault="7740431A" w14:paraId="00E1289C" w14:textId="7EA147E5">
      <w:pPr>
        <w:pStyle w:val="Heading2"/>
        <w:keepNext w:val="1"/>
        <w:keepLines w:val="1"/>
        <w:rPr>
          <w:rFonts w:ascii="Arial" w:hAnsi="Arial" w:eastAsia="Arial" w:cs="Arial"/>
          <w:b w:val="1"/>
          <w:bCs w:val="1"/>
          <w:noProof w:val="0"/>
          <w:color w:val="FF0000"/>
          <w:sz w:val="24"/>
          <w:szCs w:val="24"/>
          <w:lang w:val="en-US"/>
        </w:rPr>
      </w:pPr>
    </w:p>
    <w:p xmlns:wp14="http://schemas.microsoft.com/office/word/2010/wordml" w:rsidP="011C6843" wp14:paraId="663156D4" wp14:textId="5D0BD1B3">
      <w:pPr>
        <w:pStyle w:val="Heading2"/>
        <w:keepNext w:val="1"/>
        <w:keepLines w:val="1"/>
      </w:pPr>
      <w:r w:rsidRPr="7740431A" w:rsidR="01E2B303">
        <w:rPr>
          <w:rFonts w:ascii="Arial" w:hAnsi="Arial" w:eastAsia="Arial" w:cs="Arial"/>
          <w:b w:val="1"/>
          <w:bCs w:val="1"/>
          <w:noProof w:val="0"/>
          <w:color w:val="FF0000"/>
          <w:sz w:val="24"/>
          <w:szCs w:val="24"/>
          <w:lang w:val="en-US"/>
        </w:rPr>
        <w:t>Content list:</w:t>
      </w:r>
    </w:p>
    <w:p xmlns:wp14="http://schemas.microsoft.com/office/word/2010/wordml" w:rsidP="7740431A" wp14:paraId="09B2C386" wp14:textId="5956576A">
      <w:pPr>
        <w:pStyle w:val="Normal"/>
        <w:keepNext w:val="1"/>
        <w:keepLines w:val="1"/>
        <w:rPr>
          <w:noProof w:val="0"/>
          <w:lang w:val="en-US"/>
        </w:rPr>
      </w:pPr>
    </w:p>
    <w:p xmlns:wp14="http://schemas.microsoft.com/office/word/2010/wordml" w:rsidP="7740431A" wp14:paraId="39F27D4C" wp14:textId="67EF63B2">
      <w:pPr>
        <w:pStyle w:val="Normal"/>
        <w:keepNext w:val="1"/>
        <w:keepLines w:val="1"/>
        <w:rPr>
          <w:noProof w:val="0"/>
          <w:lang w:val="en-US"/>
        </w:rPr>
      </w:pPr>
    </w:p>
    <w:p xmlns:wp14="http://schemas.microsoft.com/office/word/2010/wordml" w:rsidP="7740431A" wp14:paraId="380A15CA" wp14:textId="40C1AE1F">
      <w:pPr>
        <w:pStyle w:val="Normal"/>
        <w:keepNext w:val="1"/>
        <w:keepLines w:val="1"/>
        <w:rPr>
          <w:noProof w:val="0"/>
          <w:lang w:val="en-US"/>
        </w:rPr>
      </w:pPr>
    </w:p>
    <w:p xmlns:wp14="http://schemas.microsoft.com/office/word/2010/wordml" w:rsidP="7740431A" wp14:paraId="53A171A7" wp14:textId="3F69CF0B">
      <w:pPr>
        <w:pStyle w:val="Normal"/>
        <w:keepNext w:val="1"/>
        <w:keepLines w:val="1"/>
        <w:rPr>
          <w:noProof w:val="0"/>
          <w:lang w:val="en-US"/>
        </w:rPr>
      </w:pPr>
    </w:p>
    <w:p xmlns:wp14="http://schemas.microsoft.com/office/word/2010/wordml" w:rsidP="7740431A" wp14:paraId="0DDF9C6F" wp14:textId="24A4EC7F">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Executive Summary</w:t>
      </w:r>
      <w:r w:rsidRPr="7740431A" w:rsidR="3D00BC8D">
        <w:rPr>
          <w:noProof w:val="0"/>
          <w:lang w:val="en-US"/>
        </w:rPr>
        <w:t xml:space="preserve"> </w:t>
      </w:r>
    </w:p>
    <w:p xmlns:wp14="http://schemas.microsoft.com/office/word/2010/wordml" w:rsidP="7740431A" wp14:paraId="5A6C7541" wp14:textId="7DACE7BD">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Introduction</w:t>
      </w:r>
      <w:r w:rsidRPr="7740431A" w:rsidR="3D00BC8D">
        <w:rPr>
          <w:noProof w:val="0"/>
          <w:lang w:val="en-US"/>
        </w:rPr>
        <w:t xml:space="preserve"> </w:t>
      </w:r>
    </w:p>
    <w:p xmlns:wp14="http://schemas.microsoft.com/office/word/2010/wordml" w:rsidP="7740431A" wp14:paraId="03194431" wp14:textId="3F7E3D2F">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An Overview of Person-Centred Care: Principles, Benefits and Limitations</w:t>
      </w:r>
      <w:r w:rsidRPr="7740431A" w:rsidR="3D00BC8D">
        <w:rPr>
          <w:noProof w:val="0"/>
          <w:lang w:val="en-US"/>
        </w:rPr>
        <w:t xml:space="preserve"> </w:t>
      </w:r>
    </w:p>
    <w:p xmlns:wp14="http://schemas.microsoft.com/office/word/2010/wordml" w:rsidP="7740431A" wp14:paraId="71CD8878" wp14:textId="38780A1F">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The Relevance of Rogers' Person-Centred Theory in Mental Health Care</w:t>
      </w:r>
      <w:r w:rsidRPr="7740431A" w:rsidR="3D00BC8D">
        <w:rPr>
          <w:noProof w:val="0"/>
          <w:lang w:val="en-US"/>
        </w:rPr>
        <w:t xml:space="preserve"> </w:t>
      </w:r>
    </w:p>
    <w:p xmlns:wp14="http://schemas.microsoft.com/office/word/2010/wordml" w:rsidP="7740431A" wp14:paraId="4824A1B5" wp14:textId="1DFDEF96">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Ethical Foundations of Health and Social Care Practice</w:t>
      </w:r>
      <w:r w:rsidRPr="7740431A" w:rsidR="3D00BC8D">
        <w:rPr>
          <w:noProof w:val="0"/>
          <w:lang w:val="en-US"/>
        </w:rPr>
        <w:t xml:space="preserve"> </w:t>
      </w:r>
    </w:p>
    <w:p xmlns:wp14="http://schemas.microsoft.com/office/word/2010/wordml" w:rsidP="7740431A" wp14:paraId="0EEBF6BD" wp14:textId="23E11503">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Critical Evaluation of Partnership Working within Health and Social Care</w:t>
      </w:r>
      <w:r w:rsidRPr="7740431A" w:rsidR="3D00BC8D">
        <w:rPr>
          <w:noProof w:val="0"/>
          <w:lang w:val="en-US"/>
        </w:rPr>
        <w:t xml:space="preserve"> </w:t>
      </w:r>
    </w:p>
    <w:p xmlns:wp14="http://schemas.microsoft.com/office/word/2010/wordml" w:rsidP="7740431A" wp14:paraId="21AAC266" wp14:textId="2A58B30C">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The Role of Policy and Legislation in Supporting Person-Centred and Collaborative Care</w:t>
      </w:r>
      <w:r w:rsidRPr="7740431A" w:rsidR="3D00BC8D">
        <w:rPr>
          <w:noProof w:val="0"/>
          <w:lang w:val="en-US"/>
        </w:rPr>
        <w:t xml:space="preserve"> </w:t>
      </w:r>
    </w:p>
    <w:p xmlns:wp14="http://schemas.microsoft.com/office/word/2010/wordml" w:rsidP="7740431A" wp14:paraId="527F074C" wp14:textId="76496E6E">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Recommendations for Enhancing Future Health and Social Care Practice</w:t>
      </w:r>
      <w:r w:rsidRPr="7740431A" w:rsidR="3D00BC8D">
        <w:rPr>
          <w:noProof w:val="0"/>
          <w:lang w:val="en-US"/>
        </w:rPr>
        <w:t xml:space="preserve"> </w:t>
      </w:r>
    </w:p>
    <w:p xmlns:wp14="http://schemas.microsoft.com/office/word/2010/wordml" w:rsidP="7740431A" wp14:paraId="65B74358" wp14:textId="1D0F867E">
      <w:pPr>
        <w:pStyle w:val="ListParagraph"/>
        <w:keepNext w:val="1"/>
        <w:keepLines w:val="1"/>
        <w:numPr>
          <w:ilvl w:val="0"/>
          <w:numId w:val="1"/>
        </w:numPr>
        <w:spacing w:before="0" w:beforeAutospacing="off" w:after="0" w:afterAutospacing="off" w:line="360" w:lineRule="auto"/>
        <w:rPr>
          <w:noProof w:val="0"/>
          <w:lang w:val="en-US"/>
        </w:rPr>
      </w:pPr>
      <w:r w:rsidRPr="7740431A" w:rsidR="3D00BC8D">
        <w:rPr>
          <w:b w:val="1"/>
          <w:bCs w:val="1"/>
          <w:noProof w:val="0"/>
          <w:lang w:val="en-US"/>
        </w:rPr>
        <w:t>Conclusion</w:t>
      </w:r>
      <w:r w:rsidRPr="7740431A" w:rsidR="3D00BC8D">
        <w:rPr>
          <w:noProof w:val="0"/>
          <w:lang w:val="en-US"/>
        </w:rPr>
        <w:t xml:space="preserve"> </w:t>
      </w:r>
    </w:p>
    <w:p xmlns:wp14="http://schemas.microsoft.com/office/word/2010/wordml" w:rsidP="7740431A" wp14:paraId="01452043" wp14:textId="6F50D9CB">
      <w:pPr>
        <w:pStyle w:val="ListParagraph"/>
        <w:keepNext w:val="1"/>
        <w:keepLines w:val="1"/>
        <w:numPr>
          <w:ilvl w:val="0"/>
          <w:numId w:val="1"/>
        </w:numPr>
        <w:spacing w:before="0" w:beforeAutospacing="off" w:after="0" w:afterAutospacing="off" w:line="360" w:lineRule="auto"/>
        <w:rPr>
          <w:b w:val="1"/>
          <w:bCs w:val="1"/>
          <w:noProof w:val="0"/>
          <w:lang w:val="en-US"/>
        </w:rPr>
      </w:pPr>
      <w:r w:rsidRPr="7740431A" w:rsidR="3D00BC8D">
        <w:rPr>
          <w:b w:val="1"/>
          <w:bCs w:val="1"/>
          <w:noProof w:val="0"/>
          <w:lang w:val="en-US"/>
        </w:rPr>
        <w:t>References</w:t>
      </w:r>
    </w:p>
    <w:p xmlns:wp14="http://schemas.microsoft.com/office/word/2010/wordml" w:rsidP="011C6843" wp14:paraId="55E44E92" wp14:textId="0951A61A">
      <w:pPr>
        <w:pStyle w:val="Normal"/>
        <w:keepNext w:val="1"/>
        <w:keepLines w:val="1"/>
        <w:rPr>
          <w:noProof w:val="0"/>
          <w:lang w:val="en-US"/>
        </w:rPr>
      </w:pPr>
    </w:p>
    <w:p xmlns:wp14="http://schemas.microsoft.com/office/word/2010/wordml" w:rsidP="011C6843" wp14:paraId="1C481888" wp14:textId="5F634447">
      <w:pPr>
        <w:pStyle w:val="Normal"/>
        <w:keepNext w:val="1"/>
        <w:keepLines w:val="1"/>
        <w:rPr>
          <w:noProof w:val="0"/>
          <w:lang w:val="en-US"/>
        </w:rPr>
      </w:pPr>
    </w:p>
    <w:p xmlns:wp14="http://schemas.microsoft.com/office/word/2010/wordml" w:rsidP="011C6843" wp14:paraId="32EBA385" wp14:textId="5C3474EE">
      <w:pPr>
        <w:pStyle w:val="Normal"/>
        <w:keepNext w:val="1"/>
        <w:keepLines w:val="1"/>
        <w:rPr>
          <w:noProof w:val="0"/>
          <w:lang w:val="en-US"/>
        </w:rPr>
      </w:pPr>
    </w:p>
    <w:p xmlns:wp14="http://schemas.microsoft.com/office/word/2010/wordml" w:rsidP="011C6843" wp14:paraId="1AC7A112" wp14:textId="288352D1">
      <w:pPr>
        <w:pStyle w:val="Normal"/>
        <w:keepNext w:val="1"/>
        <w:keepLines w:val="1"/>
        <w:rPr>
          <w:noProof w:val="0"/>
          <w:lang w:val="en-US"/>
        </w:rPr>
      </w:pPr>
    </w:p>
    <w:p xmlns:wp14="http://schemas.microsoft.com/office/word/2010/wordml" w:rsidP="011C6843" wp14:paraId="3E4D8A54" wp14:textId="3D82D1F0">
      <w:pPr>
        <w:pStyle w:val="Normal"/>
        <w:keepNext w:val="1"/>
        <w:keepLines w:val="1"/>
        <w:rPr>
          <w:noProof w:val="0"/>
          <w:lang w:val="en-US"/>
        </w:rPr>
      </w:pPr>
    </w:p>
    <w:p xmlns:wp14="http://schemas.microsoft.com/office/word/2010/wordml" w:rsidP="011C6843" wp14:paraId="655F09F2" wp14:textId="068F4B71">
      <w:pPr>
        <w:pStyle w:val="Normal"/>
        <w:keepNext w:val="1"/>
        <w:keepLines w:val="1"/>
        <w:rPr>
          <w:noProof w:val="0"/>
          <w:lang w:val="en-US"/>
        </w:rPr>
      </w:pPr>
    </w:p>
    <w:p w:rsidR="7740431A" w:rsidP="7740431A" w:rsidRDefault="7740431A" w14:paraId="31D5DCF3" w14:textId="31915446">
      <w:pPr>
        <w:pStyle w:val="Heading2"/>
        <w:keepNext w:val="1"/>
        <w:keepLines w:val="1"/>
        <w:rPr>
          <w:rFonts w:ascii="Arial" w:hAnsi="Arial" w:eastAsia="Arial" w:cs="Arial"/>
          <w:b w:val="1"/>
          <w:bCs w:val="1"/>
          <w:noProof w:val="0"/>
          <w:sz w:val="22"/>
          <w:szCs w:val="22"/>
          <w:lang w:val="en-US"/>
        </w:rPr>
      </w:pPr>
    </w:p>
    <w:p xmlns:wp14="http://schemas.microsoft.com/office/word/2010/wordml" w:rsidP="7740431A" wp14:paraId="5DEAD441" wp14:textId="15257ED8">
      <w:pPr>
        <w:pStyle w:val="Heading2"/>
        <w:keepNext w:val="1"/>
        <w:keepLines w:val="1"/>
        <w:spacing w:before="160" w:after="80"/>
        <w:rPr>
          <w:rFonts w:ascii="Arial" w:hAnsi="Arial" w:eastAsia="Arial" w:cs="Arial"/>
          <w:b w:val="0"/>
          <w:bCs w:val="0"/>
          <w:i w:val="0"/>
          <w:iCs w:val="0"/>
          <w:caps w:val="0"/>
          <w:smallCaps w:val="0"/>
          <w:noProof w:val="0"/>
          <w:color w:val="0F4761" w:themeColor="accent1" w:themeTint="FF" w:themeShade="BF"/>
          <w:sz w:val="22"/>
          <w:szCs w:val="22"/>
          <w:lang w:val="en-US"/>
        </w:rPr>
      </w:pPr>
      <w:r w:rsidRPr="7740431A" w:rsidR="5F97EAC1">
        <w:rPr>
          <w:rFonts w:ascii="Arial" w:hAnsi="Arial" w:eastAsia="Arial" w:cs="Arial"/>
          <w:b w:val="1"/>
          <w:bCs w:val="1"/>
          <w:noProof w:val="0"/>
          <w:sz w:val="22"/>
          <w:szCs w:val="22"/>
          <w:lang w:val="en-US"/>
        </w:rPr>
        <w:t>Ev</w:t>
      </w:r>
      <w:r w:rsidRPr="7740431A" w:rsidR="4E33FD69">
        <w:rPr>
          <w:rFonts w:ascii="Arial" w:hAnsi="Arial" w:eastAsia="Arial" w:cs="Arial"/>
          <w:b w:val="1"/>
          <w:bCs w:val="1"/>
          <w:i w:val="0"/>
          <w:iCs w:val="0"/>
          <w:caps w:val="0"/>
          <w:smallCaps w:val="0"/>
          <w:noProof w:val="0"/>
          <w:color w:val="0E2740"/>
          <w:sz w:val="22"/>
          <w:szCs w:val="22"/>
          <w:lang w:val="en-US"/>
        </w:rPr>
        <w:t>aluating Person-</w:t>
      </w:r>
      <w:r w:rsidRPr="7740431A" w:rsidR="4E33FD69">
        <w:rPr>
          <w:rFonts w:ascii="Arial" w:hAnsi="Arial" w:eastAsia="Arial" w:cs="Arial"/>
          <w:b w:val="1"/>
          <w:bCs w:val="1"/>
          <w:i w:val="0"/>
          <w:iCs w:val="0"/>
          <w:caps w:val="0"/>
          <w:smallCaps w:val="0"/>
          <w:noProof w:val="0"/>
          <w:color w:val="0E2740"/>
          <w:sz w:val="22"/>
          <w:szCs w:val="22"/>
          <w:lang w:val="en-US"/>
        </w:rPr>
        <w:t>Centred</w:t>
      </w:r>
      <w:r w:rsidRPr="7740431A" w:rsidR="4E33FD69">
        <w:rPr>
          <w:rFonts w:ascii="Arial" w:hAnsi="Arial" w:eastAsia="Arial" w:cs="Arial"/>
          <w:b w:val="1"/>
          <w:bCs w:val="1"/>
          <w:i w:val="0"/>
          <w:iCs w:val="0"/>
          <w:caps w:val="0"/>
          <w:smallCaps w:val="0"/>
          <w:noProof w:val="0"/>
          <w:color w:val="0E2740"/>
          <w:sz w:val="22"/>
          <w:szCs w:val="22"/>
          <w:lang w:val="en-US"/>
        </w:rPr>
        <w:t xml:space="preserve"> Care and Partnership Working in Health and Social Care Practice</w:t>
      </w:r>
      <w:r w:rsidRPr="7740431A" w:rsidR="4E33FD69">
        <w:rPr>
          <w:rFonts w:ascii="Arial" w:hAnsi="Arial" w:eastAsia="Arial" w:cs="Arial"/>
          <w:b w:val="1"/>
          <w:bCs w:val="1"/>
          <w:i w:val="0"/>
          <w:iCs w:val="0"/>
          <w:caps w:val="0"/>
          <w:smallCaps w:val="0"/>
          <w:noProof w:val="0"/>
          <w:color w:val="0F4761" w:themeColor="accent1" w:themeTint="FF" w:themeShade="BF"/>
          <w:sz w:val="22"/>
          <w:szCs w:val="22"/>
          <w:lang w:val="en-US"/>
        </w:rPr>
        <w:t xml:space="preserve"> </w:t>
      </w:r>
    </w:p>
    <w:p w:rsidR="7740431A" w:rsidP="7740431A" w:rsidRDefault="7740431A" w14:paraId="6EABA14D" w14:textId="74497FD3">
      <w:pPr>
        <w:pStyle w:val="Normal"/>
        <w:keepNext w:val="1"/>
        <w:keepLines w:val="1"/>
        <w:jc w:val="both"/>
        <w:rPr>
          <w:rFonts w:ascii="Arial" w:hAnsi="Arial" w:eastAsia="Arial" w:cs="Arial"/>
          <w:noProof w:val="0"/>
          <w:sz w:val="22"/>
          <w:szCs w:val="22"/>
          <w:lang w:val="en-US"/>
        </w:rPr>
      </w:pPr>
    </w:p>
    <w:p w:rsidR="37100D9B" w:rsidP="7740431A" w:rsidRDefault="37100D9B" w14:paraId="79891CD9" w14:textId="222C2A49">
      <w:pPr>
        <w:pStyle w:val="Heading2"/>
        <w:keepNext w:val="1"/>
        <w:keepLines w:val="1"/>
        <w:spacing w:before="160" w:after="80"/>
        <w:rPr>
          <w:rFonts w:ascii="Arial" w:hAnsi="Arial" w:eastAsia="Arial" w:cs="Arial"/>
          <w:b w:val="0"/>
          <w:bCs w:val="0"/>
          <w:i w:val="0"/>
          <w:iCs w:val="0"/>
          <w:caps w:val="0"/>
          <w:smallCaps w:val="0"/>
          <w:noProof w:val="0"/>
          <w:color w:val="auto"/>
          <w:sz w:val="22"/>
          <w:szCs w:val="22"/>
          <w:lang w:val="en-US"/>
        </w:rPr>
      </w:pPr>
      <w:r w:rsidRPr="7740431A" w:rsidR="37100D9B">
        <w:rPr>
          <w:rFonts w:ascii="Arial" w:hAnsi="Arial" w:eastAsia="Arial" w:cs="Arial"/>
          <w:b w:val="1"/>
          <w:bCs w:val="1"/>
          <w:i w:val="0"/>
          <w:iCs w:val="0"/>
          <w:caps w:val="0"/>
          <w:smallCaps w:val="0"/>
          <w:noProof w:val="0"/>
          <w:color w:val="auto"/>
          <w:sz w:val="22"/>
          <w:szCs w:val="22"/>
          <w:lang w:val="en-US"/>
        </w:rPr>
        <w:t>Executive Summary</w:t>
      </w:r>
    </w:p>
    <w:p w:rsidR="37100D9B" w:rsidP="3FB0DBFA" w:rsidRDefault="37100D9B" w14:paraId="1F1E30DB" w14:textId="0250B89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This report examines the importance of Person-Centred Care (PCC) and Partnership Working (PW) within UK mental health services. PCC focuses on placing service users at the centre of care by recognising their individual needs, preferences, and values. The report explores Rogers’ Person-Centred Theory, highlighting the role of empathy, genuineness, and unconditional positive regard in promoting recovery and therapeutic relationships.</w:t>
      </w:r>
    </w:p>
    <w:p w:rsidR="37100D9B" w:rsidP="3FB0DBFA" w:rsidRDefault="37100D9B" w14:paraId="384D23EC" w14:textId="0ADB01E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The report also evaluates partnership working as a collaborative approach involving healthcare professionals, social care providers, service users, carers, and community organisations. Effective </w:t>
      </w:r>
      <w:bookmarkStart w:name="_Int_JSCVmXyC" w:id="150550105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partnership working</w:t>
      </w:r>
      <w:bookmarkEnd w:id="150550105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supports integrated care, improves communication, and enhances service-user outcomes. Key ethical principles, including autonomy, beneficence, non-maleficence, and justice, are discussed in relation to person-centred and collaborative practice.</w:t>
      </w:r>
    </w:p>
    <w:p w:rsidR="42F49020" w:rsidP="7740431A" w:rsidRDefault="42F49020" w14:paraId="296C695B" w14:textId="05E9E6A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The findings </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indicate</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that PCC and PW contribute to improved service-user satisfaction, better mental health outcomes, and more coordinated care. However, challenges such as workforce shortages, communication barriers, resource limitations, and </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organisational</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differences can affect implementation. The report recommends increased use of digital technology, enhanced staff training, stronger inter-agency collaboration, ongoing research, and supportive policy development. These measures can strengthen person-</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centred</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and integrated approaches, helping mental health services deliver high-quality, recovery-focused care.</w:t>
      </w:r>
    </w:p>
    <w:p w:rsidR="42F49020" w:rsidP="3FB0DBFA" w:rsidRDefault="42F49020" w14:paraId="3E88AC09" w14:textId="32E4FEE2">
      <w:pPr>
        <w:spacing w:line="360" w:lineRule="auto"/>
        <w:rPr>
          <w:rFonts w:ascii="Arial" w:hAnsi="Arial" w:eastAsia="Arial" w:cs="Arial"/>
          <w:b w:val="0"/>
          <w:bCs w:val="0"/>
          <w:i w:val="0"/>
          <w:iCs w:val="0"/>
          <w:caps w:val="0"/>
          <w:smallCaps w:val="0"/>
          <w:noProof w:val="0"/>
          <w:color w:val="FF0000"/>
          <w:sz w:val="22"/>
          <w:szCs w:val="22"/>
          <w:lang w:val="en-US"/>
        </w:rPr>
      </w:pPr>
    </w:p>
    <w:p w:rsidR="37100D9B" w:rsidP="7740431A" w:rsidRDefault="37100D9B" w14:paraId="23ADE56C" w14:textId="2001EBE4">
      <w:pPr>
        <w:pStyle w:val="Heading2"/>
        <w:keepNext w:val="1"/>
        <w:keepLines w:val="1"/>
        <w:spacing w:before="160" w:after="80" w:line="360" w:lineRule="auto"/>
        <w:rPr>
          <w:rFonts w:ascii="Arial" w:hAnsi="Arial" w:eastAsia="Arial" w:cs="Arial"/>
          <w:b w:val="0"/>
          <w:bCs w:val="0"/>
          <w:i w:val="0"/>
          <w:iCs w:val="0"/>
          <w:caps w:val="0"/>
          <w:smallCaps w:val="0"/>
          <w:noProof w:val="0"/>
          <w:color w:val="auto"/>
          <w:sz w:val="22"/>
          <w:szCs w:val="22"/>
          <w:lang w:val="en-US"/>
        </w:rPr>
      </w:pPr>
      <w:r w:rsidRPr="7740431A" w:rsidR="367152F1">
        <w:rPr>
          <w:rFonts w:ascii="Arial" w:hAnsi="Arial" w:eastAsia="Arial" w:cs="Arial"/>
          <w:b w:val="1"/>
          <w:bCs w:val="1"/>
          <w:i w:val="0"/>
          <w:iCs w:val="0"/>
          <w:caps w:val="0"/>
          <w:smallCaps w:val="0"/>
          <w:noProof w:val="0"/>
          <w:color w:val="auto"/>
          <w:sz w:val="22"/>
          <w:szCs w:val="22"/>
          <w:lang w:val="en-US"/>
        </w:rPr>
        <w:t>Introduction</w:t>
      </w:r>
    </w:p>
    <w:p w:rsidR="37100D9B" w:rsidP="3FB0DBFA" w:rsidRDefault="37100D9B" w14:paraId="2BC195A2" w14:textId="1BA7033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Person-Centred Care (PCC) and Partnership Working (PW) are fundamental principles within modern health and social care practice, promoting high-quality, coordinated, and individualised support for service users. PCC focuses on recognising and respecting the unique needs, preferences, and values of individuals, ensuring they remain actively involved in decisions about their care. Partnership working complements this approach by encouraging collaboration between health professionals, social care providers, service users, carers, and other agencies to achieve positive outcomes.</w:t>
      </w:r>
    </w:p>
    <w:p w:rsidR="37100D9B" w:rsidP="3FB0DBFA" w:rsidRDefault="37100D9B" w14:paraId="55980606" w14:textId="18BD9CD7">
      <w:pPr>
        <w:spacing w:line="360" w:lineRule="auto"/>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This report evaluates the importance of PCC and PW within health and social care services. It begins by defining person-centred care and examining its key benefits and limitations. The report then critically analyses Kitwood’s Person-Centred Care Model as a theoretical framework underpinning PCC. Ethical principles that guide professional practice, including autonomy, beneficence, non-maleficence, and justice, are also explored. Furthermore, the report evaluates the role of partnership working and examines its application within mental health services, which serve as the practical health and social care setting discussed throughout the report. Finally, relevant legislation and policy are considered, followed by recommendations for strengthening person-centred and collaborative approaches in the future.</w:t>
      </w:r>
    </w:p>
    <w:p w:rsidR="235ADAB4" w:rsidP="7740431A" w:rsidRDefault="235ADAB4" w14:paraId="3B052C7A" w14:textId="124EE428">
      <w:pPr>
        <w:pStyle w:val="Normal"/>
        <w:spacing w:before="0" w:beforeAutospacing="off" w:after="0" w:afterAutospacing="off"/>
        <w:ind w:left="0"/>
        <w:rPr>
          <w:noProof w:val="0"/>
          <w:lang w:val="en-US"/>
        </w:rPr>
      </w:pPr>
      <w:r w:rsidRPr="7740431A" w:rsidR="235ADAB4">
        <w:rPr>
          <w:b w:val="1"/>
          <w:bCs w:val="1"/>
          <w:noProof w:val="0"/>
          <w:lang w:val="en-US"/>
        </w:rPr>
        <w:t>An Overview of Person-Centred Care: Principles, Benefits and Limitations</w:t>
      </w:r>
    </w:p>
    <w:p w:rsidR="7740431A" w:rsidP="7740431A" w:rsidRDefault="7740431A" w14:paraId="0892DE14" w14:textId="6195A13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7100D9B" w:rsidP="3FB0DBFA" w:rsidRDefault="37100D9B" w14:paraId="49622CCA" w14:textId="24A4651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Person-Centred Care (PCC) is an approach that places individuals at the centre of decisions about their care and treatment. It focuses on a person's unique needs, values, and preferences rather than solely on their illness. McCormack and McCance (2017) describe PCC as the development of respectful and collaborative relationships between professionals and service users. Similarly, the Health Foundation (2016) highlights the importance of involving individuals in decisions about their care to promote dignity, choice, and independence.</w:t>
      </w:r>
    </w:p>
    <w:p w:rsidR="37100D9B" w:rsidP="3FB0DBFA" w:rsidRDefault="37100D9B" w14:paraId="5792D7D7" w14:textId="26D6148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A key benefit of PCC is improving patient satisfaction. When individuals are involved in care planning, they are more likely to feel respected and understood (Coulter, 2017). PCC can also improve health outcomes by encouraging active participation in treatment and self-management, particularly for long-term conditions (NHS England, 2023). In addition, it strengthens communication and trust between service users and healthcare professionals.</w:t>
      </w:r>
    </w:p>
    <w:p w:rsidR="37100D9B" w:rsidP="3FB0DBFA" w:rsidRDefault="37100D9B" w14:paraId="48792423" w14:textId="09387F9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However, PCC can be challenging to implement. Delivering personalised care requires adequate time, resources, and staff training, which may be difficult in services experiencing workforce shortages and financial pressures (The King's Fund, 2018). Resistance to organisational change and balancing individual preferences with professional judgement can also create challenges.</w:t>
      </w:r>
    </w:p>
    <w:p w:rsidR="37100D9B" w:rsidP="3FB0DBFA" w:rsidRDefault="37100D9B" w14:paraId="0F8C14BD" w14:textId="11B8272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In mental health services, PCC is particularly important because care must reflect each person's experiences, needs, and recovery goals. By involving service users in decisions about treatment and support, professionals can promote recovery and wellbeing. However, increasing demand for mental health services can make consistent delivery of person-centred care more difficult.</w:t>
      </w:r>
    </w:p>
    <w:p w:rsidR="2DA0950A" w:rsidP="7740431A" w:rsidRDefault="2DA0950A" w14:paraId="2D5BE429" w14:textId="49E89708">
      <w:pPr>
        <w:pStyle w:val="Normal"/>
        <w:spacing w:before="0" w:beforeAutospacing="off" w:after="0" w:afterAutospacing="off"/>
        <w:ind w:left="0"/>
        <w:rPr>
          <w:noProof w:val="0"/>
          <w:lang w:val="en-US"/>
        </w:rPr>
      </w:pPr>
      <w:r w:rsidRPr="7740431A" w:rsidR="2DA0950A">
        <w:rPr>
          <w:b w:val="1"/>
          <w:bCs w:val="1"/>
          <w:noProof w:val="0"/>
          <w:lang w:val="en-US"/>
        </w:rPr>
        <w:t>The Relevance of Rogers' Person-Centred Theory in Mental Health Care</w:t>
      </w:r>
    </w:p>
    <w:p w:rsidR="7740431A" w:rsidP="7740431A" w:rsidRDefault="7740431A" w14:paraId="72BDD615" w14:textId="4BB26436">
      <w:pPr>
        <w:pStyle w:val="Normal"/>
        <w:keepNext w:val="1"/>
        <w:keepLines w:val="1"/>
        <w:rPr>
          <w:noProof w:val="0"/>
          <w:lang w:val="en-US"/>
        </w:rPr>
      </w:pPr>
    </w:p>
    <w:p w:rsidR="37100D9B" w:rsidP="3FB0DBFA" w:rsidRDefault="37100D9B" w14:paraId="7442AC64" w14:textId="5B6193B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Carl Rogers' Person-Centred Theory is one of the most influential theories underpinning Person-Centred Care (PCC). Rogers (1951) argued that individuals have an innate capacity for growth, self-awareness, and self-direction when supported in a positive environment. His theory is based on three key conditions: empathy, congruence, and unconditional positive regard.</w:t>
      </w:r>
    </w:p>
    <w:p w:rsidR="37100D9B" w:rsidP="3FB0DBFA" w:rsidRDefault="37100D9B" w14:paraId="1EB55FCB" w14:textId="0B54A82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These principles support the core values of PCC by promoting dignity, respect, individuality, and active participation in care. Empathy enables professionals to understand a person's experiences from their perspective, while congruence encourages honesty and authenticity. Unconditional positive regard involves accepting individuals without judgement, helping them feel valued and respected (Rogers, 1951).</w:t>
      </w:r>
    </w:p>
    <w:p w:rsidR="37100D9B" w:rsidP="3FB0DBFA" w:rsidRDefault="37100D9B" w14:paraId="14F4D748" w14:textId="5D3634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Rogers' theory supports PCC by shifting the focus from the illness to the individual. It encourages healthcare professionals to understand service users' experiences, preferences, and goals rather than concentrating solely on their diagnosis. This aligns with McCormack and McCance's (2017) view that effective person-centred care depends on therapeutic relationships and shared decision-making.</w:t>
      </w:r>
    </w:p>
    <w:p w:rsidR="37100D9B" w:rsidP="3FB0DBFA" w:rsidRDefault="37100D9B" w14:paraId="0990D912" w14:textId="6C5F2BD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The theory is particularly relevant in mental health services. Mental health professionals use empathy, active listening, and collaborative care planning to build trust and support recovery. Involving service users in setting treatment goals can improve engagement, satisfaction, and long-term outcomes (Coulter, 2017).</w:t>
      </w:r>
    </w:p>
    <w:p w:rsidR="37100D9B" w:rsidP="3FB0DBFA" w:rsidRDefault="37100D9B" w14:paraId="0072B7C7" w14:textId="1CA3ED3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However, implementing Rogers' approach can be challenging. High caseloads, staff shortages, and limited resources may reduce opportunities to develop strong therapeutic relationships (The King's Fund, 2018). In addition, some individuals experiencing severe mental health crises may be unable to participate fully in decision-making.</w:t>
      </w:r>
    </w:p>
    <w:p w:rsidR="42F49020" w:rsidP="7740431A" w:rsidRDefault="42F49020" w14:paraId="6A667DBC" w14:textId="17B6831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Despite these challenges, Rogers' theory </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remains</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highly relevant to mental health practice. Its emphasis on empathy, respect, and collaboration continues to support recovery-focused and person-</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centred</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care.</w:t>
      </w:r>
    </w:p>
    <w:p w:rsidR="06B997AB" w:rsidP="7740431A" w:rsidRDefault="06B997AB" w14:paraId="4E35A2EE" w14:textId="7D3BF94D">
      <w:pPr>
        <w:pStyle w:val="Normal"/>
        <w:spacing w:before="0" w:beforeAutospacing="off" w:after="0" w:afterAutospacing="off"/>
        <w:ind w:left="0"/>
        <w:rPr>
          <w:noProof w:val="0"/>
          <w:lang w:val="en-US"/>
        </w:rPr>
      </w:pPr>
      <w:r w:rsidRPr="7740431A" w:rsidR="06B997AB">
        <w:rPr>
          <w:b w:val="1"/>
          <w:bCs w:val="1"/>
          <w:noProof w:val="0"/>
          <w:lang w:val="en-US"/>
        </w:rPr>
        <w:t>Ethical Foundations of Health and Social Care Practice</w:t>
      </w:r>
    </w:p>
    <w:p w:rsidR="7740431A" w:rsidP="7740431A" w:rsidRDefault="7740431A" w14:paraId="3B420EE2" w14:textId="61541AC9">
      <w:pPr>
        <w:pStyle w:val="Normal"/>
        <w:keepNext w:val="1"/>
        <w:keepLines w:val="1"/>
        <w:rPr>
          <w:noProof w:val="0"/>
          <w:lang w:val="en-US"/>
        </w:rPr>
      </w:pPr>
    </w:p>
    <w:p w:rsidR="37100D9B" w:rsidP="3FB0DBFA" w:rsidRDefault="37100D9B" w14:paraId="64CFB4BF" w14:textId="3717476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Ethical principles guide professional practice and support decision-making in health and social care. The four main principles are autonomy, beneficence, non-maleficence, and justice (Beauchamp and Childress, 2019). These principles underpin both Person-Centred Care (PCC) and Partnership Working (PW).</w:t>
      </w:r>
    </w:p>
    <w:p w:rsidR="37100D9B" w:rsidP="3FB0DBFA" w:rsidRDefault="37100D9B" w14:paraId="08576799" w14:textId="3ABF86E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Autonomy</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refers to an individual's right to make informed decisions about their care. In mental health services, service users should be involved in decisions about treatment and recovery plans. Partnership working supports autonomy by ensuring professionals provide the information needed for informed choices.</w:t>
      </w:r>
    </w:p>
    <w:p w:rsidR="37100D9B" w:rsidP="3FB0DBFA" w:rsidRDefault="37100D9B" w14:paraId="5C3115C5" w14:textId="7DA79F9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Beneficence</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requires professionals to act in the best interests of service users and promote wellbeing. In mental health settings, psychiatrists, nurses, psychologists, and social workers work together to develop personalised care plans that support recovery and improve quality of life.</w:t>
      </w:r>
    </w:p>
    <w:p w:rsidR="37100D9B" w:rsidP="3FB0DBFA" w:rsidRDefault="37100D9B" w14:paraId="371795DA" w14:textId="64C708D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Non-maleficence</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means avoiding harm and protecting individuals from unnecessary risks. Mental health professionals must carefully assess treatment options to ensure interventions are safe and effective. Collaborative </w:t>
      </w:r>
      <w:bookmarkStart w:name="_Int_AusYBi5p" w:id="36299735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working</w:t>
      </w:r>
      <w:bookmarkEnd w:id="36299735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helps reduce errors and improve patient safety.</w:t>
      </w:r>
    </w:p>
    <w:p w:rsidR="37100D9B" w:rsidP="3FB0DBFA" w:rsidRDefault="37100D9B" w14:paraId="631DE0DA" w14:textId="2E5EBFF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Justice</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focuses on fairness and equal access to services. Mental health care should be available to all individuals regardless of age, ethnicity, gender, disability, or socioeconomic status. PCC promotes respect for individual needs, while partnership working helps coordinate resources fairly.</w:t>
      </w:r>
    </w:p>
    <w:p w:rsidR="37100D9B" w:rsidP="3FB0DBFA" w:rsidRDefault="37100D9B" w14:paraId="18510D43" w14:textId="2CCF59E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Ethical dilemmas can arise when these principles conflict. For example, a person experiencing severe psychosis may refuse treatment despite posing a risk to themselves or others. While autonomy supports respecting their wishes, beneficence and non-maleficence may justify intervention to prevent harm. Mental health professionals must balance these competing responsibilities.</w:t>
      </w:r>
    </w:p>
    <w:p w:rsidR="37100D9B" w:rsidP="3FB0DBFA" w:rsidRDefault="37100D9B" w14:paraId="59CA49E8" w14:textId="6CE7382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Overall, ethical principles support PCC and PW by promoting safe, fair, and respectful care. In mental health services, they help professionals address complex situations while ensuring service users </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remain</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central to decision-making.</w:t>
      </w:r>
    </w:p>
    <w:p w:rsidR="42F49020" w:rsidP="3FB0DBFA" w:rsidRDefault="42F49020" w14:paraId="2E756AE7" w14:textId="0C5EE2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7740431A" w:rsidRDefault="42F49020" w14:paraId="58FA961A" w14:textId="1553385E">
      <w:pPr>
        <w:pStyle w:val="Normal"/>
        <w:keepNext w:val="1"/>
        <w:keepLines w:val="1"/>
        <w:spacing w:before="0" w:beforeAutospacing="off" w:after="0" w:afterAutospacing="off" w:line="360" w:lineRule="auto"/>
        <w:ind w:left="0"/>
        <w:rPr>
          <w:noProof w:val="0"/>
          <w:lang w:val="en-US"/>
        </w:rPr>
      </w:pPr>
      <w:r w:rsidRPr="7740431A" w:rsidR="2945D485">
        <w:rPr>
          <w:b w:val="1"/>
          <w:bCs w:val="1"/>
          <w:noProof w:val="0"/>
          <w:lang w:val="en-US"/>
        </w:rPr>
        <w:t>Critical Evaluation of Partnership Working within Health and Social Care</w:t>
      </w:r>
    </w:p>
    <w:p w:rsidR="42F49020" w:rsidP="7740431A" w:rsidRDefault="42F49020" w14:paraId="7122FB91" w14:textId="5FCA1A0E">
      <w:pPr>
        <w:pStyle w:val="Normal"/>
        <w:keepNext w:val="1"/>
        <w:keepLines w:val="1"/>
        <w:rPr>
          <w:noProof w:val="0"/>
          <w:lang w:val="en-US"/>
        </w:rPr>
      </w:pPr>
    </w:p>
    <w:p w:rsidR="37100D9B" w:rsidP="3FB0DBFA" w:rsidRDefault="37100D9B" w14:paraId="5A9CF086" w14:textId="49CDE37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Partnership Working (PW) refers to the collaboration between health and social care professionals, organisations, service users, carers, and other stakeholders to achieve shared goals and improve care outcomes (Glasby and Dickinson, 2021). It involves sharing information, resources, and responsibilities to provide coordinated and effective services.</w:t>
      </w:r>
    </w:p>
    <w:p w:rsidR="37100D9B" w:rsidP="3FB0DBFA" w:rsidRDefault="37100D9B" w14:paraId="41753B31" w14:textId="28FFDC8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The importance of partnership working has increased with the introduction of Integrated Care Systems (ICSs</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under the Health and Care Act 2022. ICSs aim to improve collaboration between NHS services, local authorities, and community organisations to deliver more integrated and person-centred care (UK Government, 2022).</w:t>
      </w:r>
    </w:p>
    <w:p w:rsidR="37100D9B" w:rsidP="3FB0DBFA" w:rsidRDefault="37100D9B" w14:paraId="2DE2AF8D" w14:textId="71EC7DD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One major benefit of partnership </w:t>
      </w:r>
      <w:bookmarkStart w:name="_Int_LesAUvlf" w:id="1921331711"/>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working</w:t>
      </w:r>
      <w:bookmarkEnd w:id="1921331711"/>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is improved service delivery. By working together, professionals can provide holistic support that addresses an individual's physical, psychological, and social needs. In mental health services, collaboration between psychiatrists, mental health nurses, psychologists, social workers, and community teams helps ensure comprehensive care.</w:t>
      </w:r>
    </w:p>
    <w:p w:rsidR="37100D9B" w:rsidP="3FB0DBFA" w:rsidRDefault="37100D9B" w14:paraId="053F454A" w14:textId="4E029F2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Partnership working can also improve patient outcomes. Effective communication and coordinated interventions can enhance recovery, reduce hospital admissions, and provide continuity of care. For example, a person with severe depression may receive support from both mental health professionals and community services, helping them maintain independence and wellbeing (NHS England, 2019).</w:t>
      </w:r>
    </w:p>
    <w:p w:rsidR="37100D9B" w:rsidP="3FB0DBFA" w:rsidRDefault="37100D9B" w14:paraId="709C0B50" w14:textId="78B6A3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Despite these benefits, partnership </w:t>
      </w:r>
      <w:bookmarkStart w:name="_Int_SMEABi2C" w:id="629623548"/>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working</w:t>
      </w:r>
      <w:bookmarkEnd w:id="629623548"/>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can present challenges. Communication barriers, differing organisational priorities, and separate funding arrangements may hinder effective collaboration (Glasby and Dickinson, 2021). In mental health services, poor communication between agencies can lead to delays in treatment or gaps in support.</w:t>
      </w:r>
    </w:p>
    <w:p w:rsidR="37100D9B" w:rsidP="3FB0DBFA" w:rsidRDefault="37100D9B" w14:paraId="5A2AEEC8" w14:textId="2D26AC4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Another challenge is coordinating multiple professionals and organisations. Differences in professional cultures and responsibilities may sometimes create disagreements regarding care decisions, potentially affecting service delivery.</w:t>
      </w:r>
    </w:p>
    <w:p w:rsidR="37100D9B" w:rsidP="3FB0DBFA" w:rsidRDefault="37100D9B" w14:paraId="2B437B47" w14:textId="2F16725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Overall, partnership </w:t>
      </w:r>
      <w:bookmarkStart w:name="_Int_qchbEcie" w:id="1791322402"/>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working</w:t>
      </w:r>
      <w:bookmarkEnd w:id="1791322402"/>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has a positive impact on health and social care services. It promotes integrated care, improves service-user experiences, and supports better health outcomes. Within mental health services, effective partnership </w:t>
      </w:r>
      <w:bookmarkStart w:name="_Int_g2G8u7Vp" w:id="2013993885"/>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working</w:t>
      </w:r>
      <w:bookmarkEnd w:id="2013993885"/>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is essential for delivering coordinated, recovery-focused, and person-centred care. Although challenges remain, collaboration continues to play a vital role in improving the quality and effectiveness of mental health support.</w:t>
      </w:r>
    </w:p>
    <w:p w:rsidR="42F49020" w:rsidP="7740431A" w:rsidRDefault="42F49020" w14:paraId="09FB9CED" w14:textId="12676A8F">
      <w:pPr>
        <w:pStyle w:val="Normal"/>
        <w:keepNext w:val="1"/>
        <w:keepLines w:val="1"/>
        <w:spacing w:before="0" w:beforeAutospacing="off" w:after="0" w:afterAutospacing="off" w:line="360" w:lineRule="auto"/>
        <w:ind w:left="0"/>
        <w:rPr>
          <w:noProof w:val="0"/>
          <w:lang w:val="en-US"/>
        </w:rPr>
      </w:pPr>
      <w:r w:rsidRPr="7740431A" w:rsidR="1EB514A7">
        <w:rPr>
          <w:b w:val="1"/>
          <w:bCs w:val="1"/>
          <w:noProof w:val="0"/>
          <w:lang w:val="en-US"/>
        </w:rPr>
        <w:t>The Role of Policy and Legislation in Supporting Person-Centred and Collaborative Care</w:t>
      </w:r>
    </w:p>
    <w:p w:rsidR="42F49020" w:rsidP="7740431A" w:rsidRDefault="42F49020" w14:paraId="0F2C7ED7" w14:textId="47044BCF">
      <w:pPr>
        <w:pStyle w:val="Normal"/>
        <w:keepNext w:val="1"/>
        <w:keepLines w:val="1"/>
        <w:rPr>
          <w:noProof w:val="0"/>
          <w:lang w:val="en-US"/>
        </w:rPr>
      </w:pPr>
    </w:p>
    <w:p w:rsidR="37100D9B" w:rsidP="3FB0DBFA" w:rsidRDefault="37100D9B" w14:paraId="6BD2412A" w14:textId="1DFB67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Several policies and laws support Person-Centred Care (PCC) and Partnership Working (PW) within mental health services.</w:t>
      </w:r>
    </w:p>
    <w:p w:rsidR="37100D9B" w:rsidP="3FB0DBFA" w:rsidRDefault="37100D9B" w14:paraId="234E99A9" w14:textId="6FA4D18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Health and Care Act 2022</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promote collaboration through Integrated Care Systems (ICSs), helping NHS </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local authorities, and community services work together to provide coordinated care (UK Government, 2022). Similarly, the </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Health and Social Care Act 2012</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encourages</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service-user involvement in healthcare decisions, supporting person-</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centred</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approaches (UK Government, 2012). For example, a person discharged from a psychiatric hospital may receive coordinated support from community mental health teams, housing services, and social workers to aid recovery (UK Government, 2022).</w:t>
      </w:r>
    </w:p>
    <w:p w:rsidR="37100D9B" w:rsidP="3FB0DBFA" w:rsidRDefault="37100D9B" w14:paraId="5303C5E9" w14:textId="6749838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Care Act 2014</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places individual wellbeing at the centre of care and requires organisations to cooperate when meeting people's needs. In mental health services, this supports joint working between healthcare professionals, social workers, and community services (UK Government, 2014). For example, a social worker and mental health nurse may work together to arrange community support and safeguarding measures for a vulnerable adult with severe mental illness (UK Government, 2014).</w:t>
      </w:r>
    </w:p>
    <w:p w:rsidR="37100D9B" w:rsidP="3FB0DBFA" w:rsidRDefault="37100D9B" w14:paraId="2A56C7B0" w14:textId="59991A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Human Rights Act 1998</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protects rights such as dignity, privacy, and respect, while the </w:t>
      </w:r>
      <w:r w:rsidRPr="3FB0DBFA" w:rsidR="367152F1">
        <w:rPr>
          <w:rFonts w:ascii="Arial" w:hAnsi="Arial" w:eastAsia="Arial" w:cs="Arial"/>
          <w:b w:val="1"/>
          <w:bCs w:val="1"/>
          <w:i w:val="0"/>
          <w:iCs w:val="0"/>
          <w:caps w:val="0"/>
          <w:smallCaps w:val="0"/>
          <w:noProof w:val="0"/>
          <w:color w:val="000000" w:themeColor="text1" w:themeTint="FF" w:themeShade="FF"/>
          <w:sz w:val="22"/>
          <w:szCs w:val="22"/>
          <w:lang w:val="en-US"/>
        </w:rPr>
        <w:t>Equality Act 2010</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promotes equal access to services and protects individuals from discrimination (UK Government, 1998; UK Government, 2010). For example, interpreters may be provided for service users whose first language is not English, ensuring they can fully participate in assessments and treatment decisions (UK Government, 2010).</w:t>
      </w:r>
    </w:p>
    <w:p w:rsidR="42F49020" w:rsidP="7740431A" w:rsidRDefault="42F49020" w14:paraId="7E847129" w14:textId="5A00804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Overall, these policies support service-user involvement, equality, and integrated care within mental health services. However, challenges such as limited resources, workforce shortages, and </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organisational</w:t>
      </w:r>
      <w:r w:rsidRPr="7740431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differences can affect their effective implementation.</w:t>
      </w:r>
    </w:p>
    <w:p w:rsidR="45B7068D" w:rsidP="7740431A" w:rsidRDefault="45B7068D" w14:paraId="03DB60A5" w14:textId="15089B56">
      <w:pPr>
        <w:pStyle w:val="Normal"/>
        <w:spacing w:before="0" w:beforeAutospacing="off" w:after="0" w:afterAutospacing="off"/>
        <w:ind w:left="0"/>
        <w:rPr>
          <w:noProof w:val="0"/>
          <w:lang w:val="en-US"/>
        </w:rPr>
      </w:pPr>
      <w:r w:rsidRPr="7740431A" w:rsidR="45B7068D">
        <w:rPr>
          <w:b w:val="1"/>
          <w:bCs w:val="1"/>
          <w:noProof w:val="0"/>
          <w:lang w:val="en-US"/>
        </w:rPr>
        <w:t>Recommendations for Enhancing Future Health and Social Care Practice</w:t>
      </w:r>
    </w:p>
    <w:p w:rsidR="7740431A" w:rsidP="7740431A" w:rsidRDefault="7740431A" w14:paraId="3DD157D3" w14:textId="25E02197">
      <w:pPr>
        <w:pStyle w:val="Normal"/>
        <w:keepNext w:val="1"/>
        <w:keepLines w:val="1"/>
        <w:rPr>
          <w:noProof w:val="0"/>
          <w:lang w:val="en-US"/>
        </w:rPr>
      </w:pPr>
    </w:p>
    <w:p w:rsidR="37100D9B" w:rsidP="3FB0DBFA" w:rsidRDefault="37100D9B" w14:paraId="1512B549" w14:textId="74242E2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Although Person-Centred Care (PCC) and Partnership Working (PW) have improved mental health services, several gaps remain. Workforce shortages, limited resources, and communication difficulties can affect the consistent delivery of personalised and coordinated care.</w:t>
      </w:r>
    </w:p>
    <w:p w:rsidR="37100D9B" w:rsidP="3FB0DBFA" w:rsidRDefault="37100D9B" w14:paraId="411ECBB0" w14:textId="7D984AC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Greater use of digital technology, such as shared electronic health records, could improve communication between mental health professionals and partner agencies, supporting more integrated care (NHS England, 2023). However, financial costs and data protection concerns may limit implementation.</w:t>
      </w:r>
    </w:p>
    <w:p w:rsidR="37100D9B" w:rsidP="3FB0DBFA" w:rsidRDefault="37100D9B" w14:paraId="5F0279FD" w14:textId="114DAFE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Enhanced staff training in communication, shared decision-making, and person-centred practice is also needed. Rogers (1951) </w:t>
      </w:r>
      <w:bookmarkStart w:name="_Int_SpeHhND8" w:id="32046968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emphasis</w:t>
      </w:r>
      <w:bookmarkEnd w:id="320469684"/>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 xml:space="preserve"> on empathy and understanding highlights the importance of these skills in mental health care. Nevertheless, staffing pressures may reduce opportunities for professional development.</w:t>
      </w:r>
    </w:p>
    <w:p w:rsidR="37100D9B" w:rsidP="3FB0DBFA" w:rsidRDefault="37100D9B" w14:paraId="2CE0DAD2" w14:textId="2192384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Stronger partnerships between mental health services, social care providers, and voluntary organisations would further support recovery-focused care. Future research and policy development should continue to identify effective ways of improving service-user involvement and integrated care. Despite potential barriers such as funding constraints and organisational differences, these developments could strengthen PCC and PW across UK mental health services.</w:t>
      </w:r>
    </w:p>
    <w:p w:rsidR="42F49020" w:rsidP="7740431A" w:rsidRDefault="42F49020" w14:paraId="333285B9" w14:textId="1B4F091E">
      <w:pPr>
        <w:spacing w:line="360" w:lineRule="auto"/>
        <w:rPr>
          <w:rFonts w:ascii="Arial" w:hAnsi="Arial" w:eastAsia="Arial" w:cs="Arial"/>
          <w:b w:val="0"/>
          <w:bCs w:val="0"/>
          <w:i w:val="0"/>
          <w:iCs w:val="0"/>
          <w:caps w:val="0"/>
          <w:smallCaps w:val="0"/>
          <w:noProof w:val="0"/>
          <w:color w:val="auto" w:themeColor="text1" w:themeTint="FF" w:themeShade="FF"/>
          <w:sz w:val="22"/>
          <w:szCs w:val="22"/>
          <w:lang w:val="en-US"/>
        </w:rPr>
      </w:pPr>
    </w:p>
    <w:p w:rsidR="37100D9B" w:rsidP="7740431A" w:rsidRDefault="37100D9B" w14:paraId="04F82785" w14:textId="5C720BCF">
      <w:pPr>
        <w:pStyle w:val="Heading2"/>
        <w:keepNext w:val="1"/>
        <w:keepLines w:val="1"/>
        <w:spacing w:before="160" w:after="80" w:line="360" w:lineRule="auto"/>
        <w:rPr>
          <w:rFonts w:ascii="Arial" w:hAnsi="Arial" w:eastAsia="Arial" w:cs="Arial"/>
          <w:b w:val="0"/>
          <w:bCs w:val="0"/>
          <w:i w:val="0"/>
          <w:iCs w:val="0"/>
          <w:caps w:val="0"/>
          <w:smallCaps w:val="0"/>
          <w:noProof w:val="0"/>
          <w:color w:val="auto"/>
          <w:sz w:val="22"/>
          <w:szCs w:val="22"/>
          <w:lang w:val="en-US"/>
        </w:rPr>
      </w:pPr>
      <w:r w:rsidRPr="7740431A" w:rsidR="367152F1">
        <w:rPr>
          <w:rFonts w:ascii="Arial" w:hAnsi="Arial" w:eastAsia="Arial" w:cs="Arial"/>
          <w:b w:val="1"/>
          <w:bCs w:val="1"/>
          <w:i w:val="0"/>
          <w:iCs w:val="0"/>
          <w:caps w:val="0"/>
          <w:smallCaps w:val="0"/>
          <w:noProof w:val="0"/>
          <w:color w:val="auto"/>
          <w:sz w:val="22"/>
          <w:szCs w:val="22"/>
          <w:lang w:val="en-US"/>
        </w:rPr>
        <w:t>Conclusion</w:t>
      </w:r>
    </w:p>
    <w:p w:rsidR="37100D9B" w:rsidP="3FB0DBFA" w:rsidRDefault="37100D9B" w14:paraId="634D7B08" w14:textId="7BC12E0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This report examined the significance of Person-Centred Care (PCC) and Partnership Working (PW) within mental health services. It explored the key principles of Rogers’ Person-Centred Theory, including empathy, congruence, and unconditional positive regard, and considered how these principles support recovery-focused and individualised care. The report also reviewed ethical principles, partnership working approaches, and the policies that promote collaborative and person-centred practice in mental health settings.</w:t>
      </w:r>
    </w:p>
    <w:p w:rsidR="37100D9B" w:rsidP="3FB0DBFA" w:rsidRDefault="37100D9B" w14:paraId="1EAE488A" w14:textId="1EAA14B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The findings demonstrated that PCC and PW contribute positively to service-user experiences, improve recovery outcomes, enhance communication, and support effective care coordination across multidisciplinary teams and agencies. These approaches help ensure that individuals are actively involved in decisions about their care and treatment.</w:t>
      </w:r>
    </w:p>
    <w:p w:rsidR="37100D9B" w:rsidP="3FB0DBFA" w:rsidRDefault="37100D9B" w14:paraId="5A4AC12F" w14:textId="74EF682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Despite these benefits, challenges such as limited resources, workforce shortages, communication difficulties, and increasing service demands continue to affect implementation. Overall, PCC and PW remain fundamental to effective mental health care. Continued investment in staff training, technology, inter-agency collaboration, and supportive policies is essential to maint</w:t>
      </w:r>
      <w:r w:rsidRPr="3FB0DBFA" w:rsidR="367152F1">
        <w:rPr>
          <w:rFonts w:ascii="Arial" w:hAnsi="Arial" w:eastAsia="Arial" w:cs="Arial"/>
          <w:b w:val="0"/>
          <w:bCs w:val="0"/>
          <w:i w:val="0"/>
          <w:iCs w:val="0"/>
          <w:caps w:val="0"/>
          <w:smallCaps w:val="0"/>
          <w:noProof w:val="0"/>
          <w:color w:val="000000" w:themeColor="text1" w:themeTint="FF" w:themeShade="FF"/>
          <w:sz w:val="22"/>
          <w:szCs w:val="22"/>
          <w:lang w:val="en-US"/>
        </w:rPr>
        <w:t>ain high-quality, responsive, and person-centred services.</w:t>
      </w:r>
    </w:p>
    <w:p w:rsidR="42F49020" w:rsidP="3FB0DBFA" w:rsidRDefault="42F49020" w14:paraId="55CE6EBB" w14:textId="6DD11A1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3FB0DBFA" w:rsidRDefault="42F49020" w14:paraId="4A9ECDB2" w14:textId="2EC749C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07B57715" w14:textId="48C8A02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5B55C343" w14:textId="49294DF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70A1E563" w14:textId="2F7EF98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025B7FD9" w14:textId="324BE85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7FD1FBCF" w14:textId="50F3016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549CBA47" w14:textId="1BACA9C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295A57EF" w14:textId="3B57115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6F38CFA3" w14:textId="73E11EF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42D69713" w14:textId="7957AF6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F49020" w:rsidP="42F49020" w:rsidRDefault="42F49020" w14:paraId="41073C59" w14:textId="21E9DE9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7740431A" wp14:paraId="2C078E63" wp14:textId="2FF7EDFC">
      <w:pPr>
        <w:spacing w:line="360" w:lineRule="auto"/>
        <w:jc w:val="both"/>
        <w:rPr>
          <w:rFonts w:ascii="Arial" w:hAnsi="Arial" w:eastAsia="Arial" w:cs="Arial"/>
          <w:b w:val="1"/>
          <w:bCs w:val="1"/>
          <w:i w:val="0"/>
          <w:iCs w:val="0"/>
          <w:caps w:val="0"/>
          <w:smallCaps w:val="0"/>
          <w:noProof w:val="0"/>
          <w:color w:val="auto"/>
          <w:sz w:val="22"/>
          <w:szCs w:val="22"/>
          <w:lang w:val="en-US"/>
        </w:rPr>
      </w:pPr>
      <w:r w:rsidRPr="7740431A" w:rsidR="1FF2556C">
        <w:rPr>
          <w:rFonts w:ascii="Arial" w:hAnsi="Arial" w:eastAsia="Arial" w:cs="Arial"/>
          <w:b w:val="1"/>
          <w:bCs w:val="1"/>
          <w:i w:val="0"/>
          <w:iCs w:val="0"/>
          <w:caps w:val="0"/>
          <w:smallCaps w:val="0"/>
          <w:noProof w:val="0"/>
          <w:color w:val="auto"/>
          <w:sz w:val="22"/>
          <w:szCs w:val="22"/>
          <w:lang w:val="en-US"/>
        </w:rPr>
        <w:t>References</w:t>
      </w:r>
    </w:p>
    <w:p w:rsidR="732DBBAB" w:rsidP="47E5DA4B" w:rsidRDefault="732DBBAB" w14:paraId="1115A695" w14:textId="5B857E45">
      <w:pPr>
        <w:spacing w:before="240" w:beforeAutospacing="off" w:after="240" w:afterAutospacing="off"/>
        <w:jc w:val="both"/>
      </w:pPr>
      <w:r w:rsidRPr="47E5DA4B" w:rsidR="732DBBAB">
        <w:rPr>
          <w:rFonts w:ascii="Arial" w:hAnsi="Arial" w:eastAsia="Arial" w:cs="Arial"/>
          <w:noProof w:val="0"/>
          <w:sz w:val="22"/>
          <w:szCs w:val="22"/>
          <w:lang w:val="en-US"/>
        </w:rPr>
        <w:t xml:space="preserve">Beauchamp, T.L. and Childress, J.F. (2019) </w:t>
      </w:r>
      <w:r w:rsidRPr="47E5DA4B" w:rsidR="732DBBAB">
        <w:rPr>
          <w:rFonts w:ascii="Arial" w:hAnsi="Arial" w:eastAsia="Arial" w:cs="Arial"/>
          <w:i w:val="1"/>
          <w:iCs w:val="1"/>
          <w:noProof w:val="0"/>
          <w:sz w:val="22"/>
          <w:szCs w:val="22"/>
          <w:lang w:val="en-US"/>
        </w:rPr>
        <w:t>Principles of Biomedical Ethics</w:t>
      </w:r>
      <w:r w:rsidRPr="47E5DA4B" w:rsidR="732DBBAB">
        <w:rPr>
          <w:rFonts w:ascii="Arial" w:hAnsi="Arial" w:eastAsia="Arial" w:cs="Arial"/>
          <w:noProof w:val="0"/>
          <w:sz w:val="22"/>
          <w:szCs w:val="22"/>
          <w:lang w:val="en-US"/>
        </w:rPr>
        <w:t>. 8th edn. New York: Oxford University Press.</w:t>
      </w:r>
    </w:p>
    <w:p w:rsidR="732DBBAB" w:rsidP="47E5DA4B" w:rsidRDefault="732DBBAB" w14:paraId="0E4A4275" w14:textId="5663E12E">
      <w:pPr>
        <w:spacing w:before="240" w:beforeAutospacing="off" w:after="240" w:afterAutospacing="off"/>
        <w:jc w:val="both"/>
      </w:pPr>
      <w:r w:rsidRPr="47E5DA4B" w:rsidR="732DBBAB">
        <w:rPr>
          <w:rFonts w:ascii="Arial" w:hAnsi="Arial" w:eastAsia="Arial" w:cs="Arial"/>
          <w:noProof w:val="0"/>
          <w:sz w:val="22"/>
          <w:szCs w:val="22"/>
          <w:lang w:val="en-US"/>
        </w:rPr>
        <w:t xml:space="preserve">Care Quality Commission (2022) </w:t>
      </w:r>
      <w:r w:rsidRPr="47E5DA4B" w:rsidR="732DBBAB">
        <w:rPr>
          <w:rFonts w:ascii="Arial" w:hAnsi="Arial" w:eastAsia="Arial" w:cs="Arial"/>
          <w:i w:val="1"/>
          <w:iCs w:val="1"/>
          <w:noProof w:val="0"/>
          <w:sz w:val="22"/>
          <w:szCs w:val="22"/>
          <w:lang w:val="en-US"/>
        </w:rPr>
        <w:t>The state of health care and adult social care in England 2021/22</w:t>
      </w:r>
      <w:r w:rsidRPr="47E5DA4B" w:rsidR="732DBBAB">
        <w:rPr>
          <w:rFonts w:ascii="Arial" w:hAnsi="Arial" w:eastAsia="Arial" w:cs="Arial"/>
          <w:noProof w:val="0"/>
          <w:sz w:val="22"/>
          <w:szCs w:val="22"/>
          <w:lang w:val="en-US"/>
        </w:rPr>
        <w:t>. Newcastle upon Tyne: CQC.</w:t>
      </w:r>
    </w:p>
    <w:p w:rsidR="732DBBAB" w:rsidP="47E5DA4B" w:rsidRDefault="732DBBAB" w14:paraId="057DBF15" w14:textId="67C8BB43">
      <w:pPr>
        <w:spacing w:before="240" w:beforeAutospacing="off" w:after="240" w:afterAutospacing="off"/>
        <w:jc w:val="both"/>
      </w:pPr>
      <w:r w:rsidRPr="47E5DA4B" w:rsidR="732DBBAB">
        <w:rPr>
          <w:rFonts w:ascii="Arial" w:hAnsi="Arial" w:eastAsia="Arial" w:cs="Arial"/>
          <w:noProof w:val="0"/>
          <w:sz w:val="22"/>
          <w:szCs w:val="22"/>
          <w:lang w:val="en-US"/>
        </w:rPr>
        <w:t xml:space="preserve">Coulter, A. (2017) </w:t>
      </w:r>
      <w:r w:rsidRPr="47E5DA4B" w:rsidR="732DBBAB">
        <w:rPr>
          <w:rFonts w:ascii="Arial" w:hAnsi="Arial" w:eastAsia="Arial" w:cs="Arial"/>
          <w:i w:val="1"/>
          <w:iCs w:val="1"/>
          <w:noProof w:val="0"/>
          <w:sz w:val="22"/>
          <w:szCs w:val="22"/>
          <w:lang w:val="en-US"/>
        </w:rPr>
        <w:t>Delivering better services for people with long-term conditions: Building the house of care</w:t>
      </w:r>
      <w:r w:rsidRPr="47E5DA4B" w:rsidR="732DBBAB">
        <w:rPr>
          <w:rFonts w:ascii="Arial" w:hAnsi="Arial" w:eastAsia="Arial" w:cs="Arial"/>
          <w:noProof w:val="0"/>
          <w:sz w:val="22"/>
          <w:szCs w:val="22"/>
          <w:lang w:val="en-US"/>
        </w:rPr>
        <w:t>. London: The King's Fund.</w:t>
      </w:r>
    </w:p>
    <w:p w:rsidR="732DBBAB" w:rsidP="47E5DA4B" w:rsidRDefault="732DBBAB" w14:paraId="597C7D60" w14:textId="038E174C">
      <w:pPr>
        <w:spacing w:before="240" w:beforeAutospacing="off" w:after="240" w:afterAutospacing="off"/>
        <w:jc w:val="both"/>
      </w:pPr>
      <w:r w:rsidRPr="47E5DA4B" w:rsidR="732DBBAB">
        <w:rPr>
          <w:rFonts w:ascii="Arial" w:hAnsi="Arial" w:eastAsia="Arial" w:cs="Arial"/>
          <w:noProof w:val="0"/>
          <w:sz w:val="22"/>
          <w:szCs w:val="22"/>
          <w:lang w:val="en-US"/>
        </w:rPr>
        <w:t xml:space="preserve">Department of Health (2012) </w:t>
      </w:r>
      <w:r w:rsidRPr="47E5DA4B" w:rsidR="732DBBAB">
        <w:rPr>
          <w:rFonts w:ascii="Arial" w:hAnsi="Arial" w:eastAsia="Arial" w:cs="Arial"/>
          <w:i w:val="1"/>
          <w:iCs w:val="1"/>
          <w:noProof w:val="0"/>
          <w:sz w:val="22"/>
          <w:szCs w:val="22"/>
          <w:lang w:val="en-US"/>
        </w:rPr>
        <w:t>Compassion in Practice: Nursing, Midwifery and Care Staff – Our Vision and Strategy</w:t>
      </w:r>
      <w:r w:rsidRPr="47E5DA4B" w:rsidR="732DBBAB">
        <w:rPr>
          <w:rFonts w:ascii="Arial" w:hAnsi="Arial" w:eastAsia="Arial" w:cs="Arial"/>
          <w:noProof w:val="0"/>
          <w:sz w:val="22"/>
          <w:szCs w:val="22"/>
          <w:lang w:val="en-US"/>
        </w:rPr>
        <w:t>. London: Department of Health.</w:t>
      </w:r>
    </w:p>
    <w:p w:rsidR="732DBBAB" w:rsidP="47E5DA4B" w:rsidRDefault="732DBBAB" w14:paraId="6F3F4422" w14:textId="207E075E">
      <w:pPr>
        <w:spacing w:before="240" w:beforeAutospacing="off" w:after="240" w:afterAutospacing="off"/>
        <w:jc w:val="both"/>
      </w:pPr>
      <w:r w:rsidRPr="47E5DA4B" w:rsidR="732DBBAB">
        <w:rPr>
          <w:rFonts w:ascii="Arial" w:hAnsi="Arial" w:eastAsia="Arial" w:cs="Arial"/>
          <w:noProof w:val="0"/>
          <w:sz w:val="22"/>
          <w:szCs w:val="22"/>
          <w:lang w:val="en-US"/>
        </w:rPr>
        <w:t xml:space="preserve">Glasby, J. and Dickinson, H. (2021) </w:t>
      </w:r>
      <w:r w:rsidRPr="47E5DA4B" w:rsidR="732DBBAB">
        <w:rPr>
          <w:rFonts w:ascii="Arial" w:hAnsi="Arial" w:eastAsia="Arial" w:cs="Arial"/>
          <w:i w:val="1"/>
          <w:iCs w:val="1"/>
          <w:noProof w:val="0"/>
          <w:sz w:val="22"/>
          <w:szCs w:val="22"/>
          <w:lang w:val="en-US"/>
        </w:rPr>
        <w:t>Partnership Working in Health and Social Care</w:t>
      </w:r>
      <w:r w:rsidRPr="47E5DA4B" w:rsidR="732DBBAB">
        <w:rPr>
          <w:rFonts w:ascii="Arial" w:hAnsi="Arial" w:eastAsia="Arial" w:cs="Arial"/>
          <w:noProof w:val="0"/>
          <w:sz w:val="22"/>
          <w:szCs w:val="22"/>
          <w:lang w:val="en-US"/>
        </w:rPr>
        <w:t>. 3rd edn. Bristol: Policy Press.</w:t>
      </w:r>
    </w:p>
    <w:p w:rsidR="732DBBAB" w:rsidP="47E5DA4B" w:rsidRDefault="732DBBAB" w14:paraId="479F0C42" w14:textId="550344FD">
      <w:pPr>
        <w:spacing w:before="240" w:beforeAutospacing="off" w:after="240" w:afterAutospacing="off"/>
        <w:jc w:val="both"/>
      </w:pPr>
      <w:r w:rsidRPr="47E5DA4B" w:rsidR="732DBBAB">
        <w:rPr>
          <w:rFonts w:ascii="Arial" w:hAnsi="Arial" w:eastAsia="Arial" w:cs="Arial"/>
          <w:noProof w:val="0"/>
          <w:sz w:val="22"/>
          <w:szCs w:val="22"/>
          <w:lang w:val="en-US"/>
        </w:rPr>
        <w:t xml:space="preserve">Health Foundation (2014) </w:t>
      </w:r>
      <w:r w:rsidRPr="47E5DA4B" w:rsidR="732DBBAB">
        <w:rPr>
          <w:rFonts w:ascii="Arial" w:hAnsi="Arial" w:eastAsia="Arial" w:cs="Arial"/>
          <w:i w:val="1"/>
          <w:iCs w:val="1"/>
          <w:noProof w:val="0"/>
          <w:sz w:val="22"/>
          <w:szCs w:val="22"/>
          <w:lang w:val="en-US"/>
        </w:rPr>
        <w:t>Helping Measure Person-Centred Care</w:t>
      </w:r>
      <w:r w:rsidRPr="47E5DA4B" w:rsidR="732DBBAB">
        <w:rPr>
          <w:rFonts w:ascii="Arial" w:hAnsi="Arial" w:eastAsia="Arial" w:cs="Arial"/>
          <w:noProof w:val="0"/>
          <w:sz w:val="22"/>
          <w:szCs w:val="22"/>
          <w:lang w:val="en-US"/>
        </w:rPr>
        <w:t>. London: The Health Foundation.</w:t>
      </w:r>
    </w:p>
    <w:p w:rsidR="732DBBAB" w:rsidP="47E5DA4B" w:rsidRDefault="732DBBAB" w14:paraId="1E9301CF" w14:textId="49B29989">
      <w:pPr>
        <w:spacing w:before="240" w:beforeAutospacing="off" w:after="240" w:afterAutospacing="off"/>
        <w:jc w:val="both"/>
      </w:pPr>
      <w:r w:rsidRPr="47E5DA4B" w:rsidR="732DBBAB">
        <w:rPr>
          <w:rFonts w:ascii="Arial" w:hAnsi="Arial" w:eastAsia="Arial" w:cs="Arial"/>
          <w:noProof w:val="0"/>
          <w:sz w:val="22"/>
          <w:szCs w:val="22"/>
          <w:lang w:val="en-US"/>
        </w:rPr>
        <w:t xml:space="preserve">Health Foundation (2016) </w:t>
      </w:r>
      <w:r w:rsidRPr="47E5DA4B" w:rsidR="732DBBAB">
        <w:rPr>
          <w:rFonts w:ascii="Arial" w:hAnsi="Arial" w:eastAsia="Arial" w:cs="Arial"/>
          <w:i w:val="1"/>
          <w:iCs w:val="1"/>
          <w:noProof w:val="0"/>
          <w:sz w:val="22"/>
          <w:szCs w:val="22"/>
          <w:lang w:val="en-US"/>
        </w:rPr>
        <w:t>Person-Centred Care Made Simple</w:t>
      </w:r>
      <w:r w:rsidRPr="47E5DA4B" w:rsidR="732DBBAB">
        <w:rPr>
          <w:rFonts w:ascii="Arial" w:hAnsi="Arial" w:eastAsia="Arial" w:cs="Arial"/>
          <w:noProof w:val="0"/>
          <w:sz w:val="22"/>
          <w:szCs w:val="22"/>
          <w:lang w:val="en-US"/>
        </w:rPr>
        <w:t>. London: The Health Foundation.</w:t>
      </w:r>
    </w:p>
    <w:p w:rsidR="732DBBAB" w:rsidP="47E5DA4B" w:rsidRDefault="732DBBAB" w14:paraId="72F4733C" w14:textId="0343BA0A">
      <w:pPr>
        <w:spacing w:before="240" w:beforeAutospacing="off" w:after="240" w:afterAutospacing="off"/>
        <w:jc w:val="both"/>
      </w:pPr>
      <w:r w:rsidRPr="47E5DA4B" w:rsidR="732DBBAB">
        <w:rPr>
          <w:rFonts w:ascii="Arial" w:hAnsi="Arial" w:eastAsia="Arial" w:cs="Arial"/>
          <w:noProof w:val="0"/>
          <w:sz w:val="22"/>
          <w:szCs w:val="22"/>
          <w:lang w:val="en-US"/>
        </w:rPr>
        <w:t xml:space="preserve">Kitwood, T. (1997) </w:t>
      </w:r>
      <w:r w:rsidRPr="47E5DA4B" w:rsidR="732DBBAB">
        <w:rPr>
          <w:rFonts w:ascii="Arial" w:hAnsi="Arial" w:eastAsia="Arial" w:cs="Arial"/>
          <w:i w:val="1"/>
          <w:iCs w:val="1"/>
          <w:noProof w:val="0"/>
          <w:sz w:val="22"/>
          <w:szCs w:val="22"/>
          <w:lang w:val="en-US"/>
        </w:rPr>
        <w:t>Dementia Reconsidered: The Person Comes First</w:t>
      </w:r>
      <w:r w:rsidRPr="47E5DA4B" w:rsidR="732DBBAB">
        <w:rPr>
          <w:rFonts w:ascii="Arial" w:hAnsi="Arial" w:eastAsia="Arial" w:cs="Arial"/>
          <w:noProof w:val="0"/>
          <w:sz w:val="22"/>
          <w:szCs w:val="22"/>
          <w:lang w:val="en-US"/>
        </w:rPr>
        <w:t>. Buckingham: Open University Press.</w:t>
      </w:r>
    </w:p>
    <w:p w:rsidR="732DBBAB" w:rsidP="47E5DA4B" w:rsidRDefault="732DBBAB" w14:paraId="78212670" w14:textId="42E1BA59">
      <w:pPr>
        <w:spacing w:before="240" w:beforeAutospacing="off" w:after="240" w:afterAutospacing="off"/>
        <w:jc w:val="both"/>
      </w:pPr>
      <w:r w:rsidRPr="47E5DA4B" w:rsidR="732DBBAB">
        <w:rPr>
          <w:rFonts w:ascii="Arial" w:hAnsi="Arial" w:eastAsia="Arial" w:cs="Arial"/>
          <w:noProof w:val="0"/>
          <w:sz w:val="22"/>
          <w:szCs w:val="22"/>
          <w:lang w:val="en-US"/>
        </w:rPr>
        <w:t xml:space="preserve">McCormack, B. and McCance, T. (2017) </w:t>
      </w:r>
      <w:r w:rsidRPr="47E5DA4B" w:rsidR="732DBBAB">
        <w:rPr>
          <w:rFonts w:ascii="Arial" w:hAnsi="Arial" w:eastAsia="Arial" w:cs="Arial"/>
          <w:i w:val="1"/>
          <w:iCs w:val="1"/>
          <w:noProof w:val="0"/>
          <w:sz w:val="22"/>
          <w:szCs w:val="22"/>
          <w:lang w:val="en-US"/>
        </w:rPr>
        <w:t>Person-Centred Practice in Nursing and Health Care: Theory and Practice</w:t>
      </w:r>
      <w:r w:rsidRPr="47E5DA4B" w:rsidR="732DBBAB">
        <w:rPr>
          <w:rFonts w:ascii="Arial" w:hAnsi="Arial" w:eastAsia="Arial" w:cs="Arial"/>
          <w:noProof w:val="0"/>
          <w:sz w:val="22"/>
          <w:szCs w:val="22"/>
          <w:lang w:val="en-US"/>
        </w:rPr>
        <w:t>. 2nd edn. Chichester: Wiley-Blackwell.</w:t>
      </w:r>
    </w:p>
    <w:p w:rsidR="732DBBAB" w:rsidP="47E5DA4B" w:rsidRDefault="732DBBAB" w14:paraId="12191FC0" w14:textId="03212EAB">
      <w:pPr>
        <w:spacing w:before="240" w:beforeAutospacing="off" w:after="240" w:afterAutospacing="off"/>
        <w:jc w:val="both"/>
      </w:pPr>
      <w:r w:rsidRPr="47E5DA4B" w:rsidR="732DBBAB">
        <w:rPr>
          <w:rFonts w:ascii="Arial" w:hAnsi="Arial" w:eastAsia="Arial" w:cs="Arial"/>
          <w:noProof w:val="0"/>
          <w:sz w:val="22"/>
          <w:szCs w:val="22"/>
          <w:lang w:val="en-US"/>
        </w:rPr>
        <w:t xml:space="preserve">Mental Health Foundation (2022) </w:t>
      </w:r>
      <w:r w:rsidRPr="47E5DA4B" w:rsidR="732DBBAB">
        <w:rPr>
          <w:rFonts w:ascii="Arial" w:hAnsi="Arial" w:eastAsia="Arial" w:cs="Arial"/>
          <w:i w:val="1"/>
          <w:iCs w:val="1"/>
          <w:noProof w:val="0"/>
          <w:sz w:val="22"/>
          <w:szCs w:val="22"/>
          <w:lang w:val="en-US"/>
        </w:rPr>
        <w:t>Fundamental Facts About Mental Health</w:t>
      </w:r>
      <w:r w:rsidRPr="47E5DA4B" w:rsidR="732DBBAB">
        <w:rPr>
          <w:rFonts w:ascii="Arial" w:hAnsi="Arial" w:eastAsia="Arial" w:cs="Arial"/>
          <w:noProof w:val="0"/>
          <w:sz w:val="22"/>
          <w:szCs w:val="22"/>
          <w:lang w:val="en-US"/>
        </w:rPr>
        <w:t>. London: Mental Health Foundation.</w:t>
      </w:r>
    </w:p>
    <w:p w:rsidR="732DBBAB" w:rsidP="47E5DA4B" w:rsidRDefault="732DBBAB" w14:paraId="51AAD79D" w14:textId="118EB547">
      <w:pPr>
        <w:spacing w:before="240" w:beforeAutospacing="off" w:after="240" w:afterAutospacing="off"/>
        <w:jc w:val="both"/>
      </w:pPr>
      <w:r w:rsidRPr="47E5DA4B" w:rsidR="732DBBAB">
        <w:rPr>
          <w:rFonts w:ascii="Arial" w:hAnsi="Arial" w:eastAsia="Arial" w:cs="Arial"/>
          <w:noProof w:val="0"/>
          <w:sz w:val="22"/>
          <w:szCs w:val="22"/>
          <w:lang w:val="en-US"/>
        </w:rPr>
        <w:t xml:space="preserve">NHS England (2019) </w:t>
      </w:r>
      <w:r w:rsidRPr="47E5DA4B" w:rsidR="732DBBAB">
        <w:rPr>
          <w:rFonts w:ascii="Arial" w:hAnsi="Arial" w:eastAsia="Arial" w:cs="Arial"/>
          <w:i w:val="1"/>
          <w:iCs w:val="1"/>
          <w:noProof w:val="0"/>
          <w:sz w:val="22"/>
          <w:szCs w:val="22"/>
          <w:lang w:val="en-US"/>
        </w:rPr>
        <w:t>The NHS Long Term Plan</w:t>
      </w:r>
      <w:r w:rsidRPr="47E5DA4B" w:rsidR="732DBBAB">
        <w:rPr>
          <w:rFonts w:ascii="Arial" w:hAnsi="Arial" w:eastAsia="Arial" w:cs="Arial"/>
          <w:noProof w:val="0"/>
          <w:sz w:val="22"/>
          <w:szCs w:val="22"/>
          <w:lang w:val="en-US"/>
        </w:rPr>
        <w:t>. London: NHS England.</w:t>
      </w:r>
    </w:p>
    <w:p w:rsidR="732DBBAB" w:rsidP="47E5DA4B" w:rsidRDefault="732DBBAB" w14:paraId="2DDC8D9A" w14:textId="12C70EEE">
      <w:pPr>
        <w:spacing w:before="240" w:beforeAutospacing="off" w:after="240" w:afterAutospacing="off"/>
        <w:jc w:val="both"/>
      </w:pPr>
      <w:r w:rsidRPr="47E5DA4B" w:rsidR="732DBBAB">
        <w:rPr>
          <w:rFonts w:ascii="Arial" w:hAnsi="Arial" w:eastAsia="Arial" w:cs="Arial"/>
          <w:noProof w:val="0"/>
          <w:sz w:val="22"/>
          <w:szCs w:val="22"/>
          <w:lang w:val="en-US"/>
        </w:rPr>
        <w:t xml:space="preserve">NHS England (2023) </w:t>
      </w:r>
      <w:r w:rsidRPr="47E5DA4B" w:rsidR="732DBBAB">
        <w:rPr>
          <w:rFonts w:ascii="Arial" w:hAnsi="Arial" w:eastAsia="Arial" w:cs="Arial"/>
          <w:i w:val="1"/>
          <w:iCs w:val="1"/>
          <w:noProof w:val="0"/>
          <w:sz w:val="22"/>
          <w:szCs w:val="22"/>
          <w:lang w:val="en-US"/>
        </w:rPr>
        <w:t>Comprehensive Model for Personalised Care</w:t>
      </w:r>
      <w:r w:rsidRPr="47E5DA4B" w:rsidR="732DBBAB">
        <w:rPr>
          <w:rFonts w:ascii="Arial" w:hAnsi="Arial" w:eastAsia="Arial" w:cs="Arial"/>
          <w:noProof w:val="0"/>
          <w:sz w:val="22"/>
          <w:szCs w:val="22"/>
          <w:lang w:val="en-US"/>
        </w:rPr>
        <w:t>. London: NHS England.</w:t>
      </w:r>
    </w:p>
    <w:p w:rsidR="732DBBAB" w:rsidP="47E5DA4B" w:rsidRDefault="732DBBAB" w14:paraId="4CD60E3D" w14:textId="518975FD">
      <w:pPr>
        <w:spacing w:before="240" w:beforeAutospacing="off" w:after="240" w:afterAutospacing="off"/>
        <w:jc w:val="both"/>
      </w:pPr>
      <w:r w:rsidRPr="47E5DA4B" w:rsidR="732DBBAB">
        <w:rPr>
          <w:rFonts w:ascii="Arial" w:hAnsi="Arial" w:eastAsia="Arial" w:cs="Arial"/>
          <w:noProof w:val="0"/>
          <w:sz w:val="22"/>
          <w:szCs w:val="22"/>
          <w:lang w:val="en-US"/>
        </w:rPr>
        <w:t xml:space="preserve">Nursing and Midwifery Council (2018) </w:t>
      </w:r>
      <w:r w:rsidRPr="47E5DA4B" w:rsidR="732DBBAB">
        <w:rPr>
          <w:rFonts w:ascii="Arial" w:hAnsi="Arial" w:eastAsia="Arial" w:cs="Arial"/>
          <w:i w:val="1"/>
          <w:iCs w:val="1"/>
          <w:noProof w:val="0"/>
          <w:sz w:val="22"/>
          <w:szCs w:val="22"/>
          <w:lang w:val="en-US"/>
        </w:rPr>
        <w:t>The Code: Professional Standards of Practice and Behaviour for Nurses, Midwives and Nursing Associates</w:t>
      </w:r>
      <w:r w:rsidRPr="47E5DA4B" w:rsidR="732DBBAB">
        <w:rPr>
          <w:rFonts w:ascii="Arial" w:hAnsi="Arial" w:eastAsia="Arial" w:cs="Arial"/>
          <w:noProof w:val="0"/>
          <w:sz w:val="22"/>
          <w:szCs w:val="22"/>
          <w:lang w:val="en-US"/>
        </w:rPr>
        <w:t>. London: NMC.</w:t>
      </w:r>
    </w:p>
    <w:p w:rsidR="732DBBAB" w:rsidP="47E5DA4B" w:rsidRDefault="732DBBAB" w14:paraId="1FE4D7E8" w14:textId="43022ED1">
      <w:pPr>
        <w:spacing w:before="240" w:beforeAutospacing="off" w:after="240" w:afterAutospacing="off"/>
        <w:jc w:val="both"/>
      </w:pPr>
      <w:r w:rsidRPr="47E5DA4B" w:rsidR="732DBBAB">
        <w:rPr>
          <w:rFonts w:ascii="Arial" w:hAnsi="Arial" w:eastAsia="Arial" w:cs="Arial"/>
          <w:noProof w:val="0"/>
          <w:sz w:val="22"/>
          <w:szCs w:val="22"/>
          <w:lang w:val="en-US"/>
        </w:rPr>
        <w:t xml:space="preserve">Rogers, C.R. (1951) </w:t>
      </w:r>
      <w:r w:rsidRPr="47E5DA4B" w:rsidR="732DBBAB">
        <w:rPr>
          <w:rFonts w:ascii="Arial" w:hAnsi="Arial" w:eastAsia="Arial" w:cs="Arial"/>
          <w:i w:val="1"/>
          <w:iCs w:val="1"/>
          <w:noProof w:val="0"/>
          <w:sz w:val="22"/>
          <w:szCs w:val="22"/>
          <w:lang w:val="en-US"/>
        </w:rPr>
        <w:t>Client-Centered Therapy: Its Current Practice, Implications and Theory</w:t>
      </w:r>
      <w:r w:rsidRPr="47E5DA4B" w:rsidR="732DBBAB">
        <w:rPr>
          <w:rFonts w:ascii="Arial" w:hAnsi="Arial" w:eastAsia="Arial" w:cs="Arial"/>
          <w:noProof w:val="0"/>
          <w:sz w:val="22"/>
          <w:szCs w:val="22"/>
          <w:lang w:val="en-US"/>
        </w:rPr>
        <w:t>. Boston: Houghton Mifflin.</w:t>
      </w:r>
    </w:p>
    <w:p w:rsidR="732DBBAB" w:rsidP="47E5DA4B" w:rsidRDefault="732DBBAB" w14:paraId="74FB0D7C" w14:textId="74E7D109">
      <w:pPr>
        <w:spacing w:before="240" w:beforeAutospacing="off" w:after="240" w:afterAutospacing="off"/>
        <w:jc w:val="both"/>
      </w:pPr>
      <w:r w:rsidRPr="47E5DA4B" w:rsidR="732DBBAB">
        <w:rPr>
          <w:rFonts w:ascii="Arial" w:hAnsi="Arial" w:eastAsia="Arial" w:cs="Arial"/>
          <w:noProof w:val="0"/>
          <w:sz w:val="22"/>
          <w:szCs w:val="22"/>
          <w:lang w:val="en-US"/>
        </w:rPr>
        <w:t xml:space="preserve">The King's Fund (2018) </w:t>
      </w:r>
      <w:r w:rsidRPr="47E5DA4B" w:rsidR="732DBBAB">
        <w:rPr>
          <w:rFonts w:ascii="Arial" w:hAnsi="Arial" w:eastAsia="Arial" w:cs="Arial"/>
          <w:i w:val="1"/>
          <w:iCs w:val="1"/>
          <w:noProof w:val="0"/>
          <w:sz w:val="22"/>
          <w:szCs w:val="22"/>
          <w:lang w:val="en-US"/>
        </w:rPr>
        <w:t>Person-Centred Care Made Simple: What Everyone Should Know About Person-Centred Care</w:t>
      </w:r>
      <w:r w:rsidRPr="47E5DA4B" w:rsidR="732DBBAB">
        <w:rPr>
          <w:rFonts w:ascii="Arial" w:hAnsi="Arial" w:eastAsia="Arial" w:cs="Arial"/>
          <w:noProof w:val="0"/>
          <w:sz w:val="22"/>
          <w:szCs w:val="22"/>
          <w:lang w:val="en-US"/>
        </w:rPr>
        <w:t>. London: The King's Fund.</w:t>
      </w:r>
    </w:p>
    <w:p w:rsidR="732DBBAB" w:rsidP="47E5DA4B" w:rsidRDefault="732DBBAB" w14:paraId="79C6B7AC" w14:textId="0D7D3C06">
      <w:pPr>
        <w:spacing w:before="240" w:beforeAutospacing="off" w:after="240" w:afterAutospacing="off"/>
        <w:jc w:val="both"/>
      </w:pPr>
      <w:r w:rsidRPr="47E5DA4B" w:rsidR="732DBBAB">
        <w:rPr>
          <w:rFonts w:ascii="Arial" w:hAnsi="Arial" w:eastAsia="Arial" w:cs="Arial"/>
          <w:noProof w:val="0"/>
          <w:sz w:val="22"/>
          <w:szCs w:val="22"/>
          <w:lang w:val="en-US"/>
        </w:rPr>
        <w:t xml:space="preserve">UK Government (1998) </w:t>
      </w:r>
      <w:r w:rsidRPr="47E5DA4B" w:rsidR="732DBBAB">
        <w:rPr>
          <w:rFonts w:ascii="Arial" w:hAnsi="Arial" w:eastAsia="Arial" w:cs="Arial"/>
          <w:i w:val="1"/>
          <w:iCs w:val="1"/>
          <w:noProof w:val="0"/>
          <w:sz w:val="22"/>
          <w:szCs w:val="22"/>
          <w:lang w:val="en-US"/>
        </w:rPr>
        <w:t>Human Rights Act 1998</w:t>
      </w:r>
      <w:r w:rsidRPr="47E5DA4B" w:rsidR="732DBBAB">
        <w:rPr>
          <w:rFonts w:ascii="Arial" w:hAnsi="Arial" w:eastAsia="Arial" w:cs="Arial"/>
          <w:noProof w:val="0"/>
          <w:sz w:val="22"/>
          <w:szCs w:val="22"/>
          <w:lang w:val="en-US"/>
        </w:rPr>
        <w:t>. London: The Stationery Office.</w:t>
      </w:r>
    </w:p>
    <w:p w:rsidR="732DBBAB" w:rsidP="47E5DA4B" w:rsidRDefault="732DBBAB" w14:paraId="0F309AF1" w14:textId="5693870A">
      <w:pPr>
        <w:spacing w:before="240" w:beforeAutospacing="off" w:after="240" w:afterAutospacing="off"/>
        <w:jc w:val="both"/>
      </w:pPr>
      <w:r w:rsidRPr="47E5DA4B" w:rsidR="732DBBAB">
        <w:rPr>
          <w:rFonts w:ascii="Arial" w:hAnsi="Arial" w:eastAsia="Arial" w:cs="Arial"/>
          <w:noProof w:val="0"/>
          <w:sz w:val="22"/>
          <w:szCs w:val="22"/>
          <w:lang w:val="en-US"/>
        </w:rPr>
        <w:t xml:space="preserve">UK Government (2010) </w:t>
      </w:r>
      <w:r w:rsidRPr="47E5DA4B" w:rsidR="732DBBAB">
        <w:rPr>
          <w:rFonts w:ascii="Arial" w:hAnsi="Arial" w:eastAsia="Arial" w:cs="Arial"/>
          <w:i w:val="1"/>
          <w:iCs w:val="1"/>
          <w:noProof w:val="0"/>
          <w:sz w:val="22"/>
          <w:szCs w:val="22"/>
          <w:lang w:val="en-US"/>
        </w:rPr>
        <w:t>Equality Act 2010</w:t>
      </w:r>
      <w:r w:rsidRPr="47E5DA4B" w:rsidR="732DBBAB">
        <w:rPr>
          <w:rFonts w:ascii="Arial" w:hAnsi="Arial" w:eastAsia="Arial" w:cs="Arial"/>
          <w:noProof w:val="0"/>
          <w:sz w:val="22"/>
          <w:szCs w:val="22"/>
          <w:lang w:val="en-US"/>
        </w:rPr>
        <w:t>. London: The Stationery Office.</w:t>
      </w:r>
    </w:p>
    <w:p w:rsidR="732DBBAB" w:rsidP="47E5DA4B" w:rsidRDefault="732DBBAB" w14:paraId="775923E1" w14:textId="6B57F65C">
      <w:pPr>
        <w:spacing w:before="240" w:beforeAutospacing="off" w:after="240" w:afterAutospacing="off"/>
        <w:jc w:val="both"/>
      </w:pPr>
      <w:r w:rsidRPr="47E5DA4B" w:rsidR="732DBBAB">
        <w:rPr>
          <w:rFonts w:ascii="Arial" w:hAnsi="Arial" w:eastAsia="Arial" w:cs="Arial"/>
          <w:noProof w:val="0"/>
          <w:sz w:val="22"/>
          <w:szCs w:val="22"/>
          <w:lang w:val="en-US"/>
        </w:rPr>
        <w:t xml:space="preserve">UK Government (2012) </w:t>
      </w:r>
      <w:r w:rsidRPr="47E5DA4B" w:rsidR="732DBBAB">
        <w:rPr>
          <w:rFonts w:ascii="Arial" w:hAnsi="Arial" w:eastAsia="Arial" w:cs="Arial"/>
          <w:i w:val="1"/>
          <w:iCs w:val="1"/>
          <w:noProof w:val="0"/>
          <w:sz w:val="22"/>
          <w:szCs w:val="22"/>
          <w:lang w:val="en-US"/>
        </w:rPr>
        <w:t>Health and Social Care Act 2012</w:t>
      </w:r>
      <w:r w:rsidRPr="47E5DA4B" w:rsidR="732DBBAB">
        <w:rPr>
          <w:rFonts w:ascii="Arial" w:hAnsi="Arial" w:eastAsia="Arial" w:cs="Arial"/>
          <w:noProof w:val="0"/>
          <w:sz w:val="22"/>
          <w:szCs w:val="22"/>
          <w:lang w:val="en-US"/>
        </w:rPr>
        <w:t>. London: The Stationery Office.</w:t>
      </w:r>
    </w:p>
    <w:p w:rsidR="732DBBAB" w:rsidP="47E5DA4B" w:rsidRDefault="732DBBAB" w14:paraId="36F4FCDC" w14:textId="2E2B4FC1">
      <w:pPr>
        <w:spacing w:before="240" w:beforeAutospacing="off" w:after="240" w:afterAutospacing="off"/>
        <w:jc w:val="both"/>
      </w:pPr>
      <w:r w:rsidRPr="47E5DA4B" w:rsidR="732DBBAB">
        <w:rPr>
          <w:rFonts w:ascii="Arial" w:hAnsi="Arial" w:eastAsia="Arial" w:cs="Arial"/>
          <w:noProof w:val="0"/>
          <w:sz w:val="22"/>
          <w:szCs w:val="22"/>
          <w:lang w:val="en-US"/>
        </w:rPr>
        <w:t xml:space="preserve">UK Government (2014) </w:t>
      </w:r>
      <w:r w:rsidRPr="47E5DA4B" w:rsidR="732DBBAB">
        <w:rPr>
          <w:rFonts w:ascii="Arial" w:hAnsi="Arial" w:eastAsia="Arial" w:cs="Arial"/>
          <w:i w:val="1"/>
          <w:iCs w:val="1"/>
          <w:noProof w:val="0"/>
          <w:sz w:val="22"/>
          <w:szCs w:val="22"/>
          <w:lang w:val="en-US"/>
        </w:rPr>
        <w:t>Care Act 2014</w:t>
      </w:r>
      <w:r w:rsidRPr="47E5DA4B" w:rsidR="732DBBAB">
        <w:rPr>
          <w:rFonts w:ascii="Arial" w:hAnsi="Arial" w:eastAsia="Arial" w:cs="Arial"/>
          <w:noProof w:val="0"/>
          <w:sz w:val="22"/>
          <w:szCs w:val="22"/>
          <w:lang w:val="en-US"/>
        </w:rPr>
        <w:t>. London: The Stationery Office.</w:t>
      </w:r>
    </w:p>
    <w:p w:rsidR="732DBBAB" w:rsidP="47E5DA4B" w:rsidRDefault="732DBBAB" w14:paraId="3C30A6AA" w14:textId="66D2FF9E">
      <w:pPr>
        <w:spacing w:before="240" w:beforeAutospacing="off" w:after="240" w:afterAutospacing="off"/>
        <w:jc w:val="both"/>
      </w:pPr>
      <w:r w:rsidRPr="47E5DA4B" w:rsidR="732DBBAB">
        <w:rPr>
          <w:rFonts w:ascii="Arial" w:hAnsi="Arial" w:eastAsia="Arial" w:cs="Arial"/>
          <w:noProof w:val="0"/>
          <w:sz w:val="22"/>
          <w:szCs w:val="22"/>
          <w:lang w:val="en-US"/>
        </w:rPr>
        <w:t xml:space="preserve">UK Government (2022) </w:t>
      </w:r>
      <w:r w:rsidRPr="47E5DA4B" w:rsidR="732DBBAB">
        <w:rPr>
          <w:rFonts w:ascii="Arial" w:hAnsi="Arial" w:eastAsia="Arial" w:cs="Arial"/>
          <w:i w:val="1"/>
          <w:iCs w:val="1"/>
          <w:noProof w:val="0"/>
          <w:sz w:val="22"/>
          <w:szCs w:val="22"/>
          <w:lang w:val="en-US"/>
        </w:rPr>
        <w:t>Health and Care Act 2022</w:t>
      </w:r>
      <w:r w:rsidRPr="47E5DA4B" w:rsidR="732DBBAB">
        <w:rPr>
          <w:rFonts w:ascii="Arial" w:hAnsi="Arial" w:eastAsia="Arial" w:cs="Arial"/>
          <w:noProof w:val="0"/>
          <w:sz w:val="22"/>
          <w:szCs w:val="22"/>
          <w:lang w:val="en-US"/>
        </w:rPr>
        <w:t>. London: The Stationery Office.</w:t>
      </w:r>
    </w:p>
    <w:p w:rsidR="732DBBAB" w:rsidP="47E5DA4B" w:rsidRDefault="732DBBAB" w14:paraId="21DD9ADD" w14:textId="4B6A4DAB">
      <w:pPr>
        <w:spacing w:before="240" w:beforeAutospacing="off" w:after="240" w:afterAutospacing="off"/>
        <w:jc w:val="both"/>
      </w:pPr>
      <w:r w:rsidRPr="47E5DA4B" w:rsidR="732DBBAB">
        <w:rPr>
          <w:rFonts w:ascii="Arial" w:hAnsi="Arial" w:eastAsia="Arial" w:cs="Arial"/>
          <w:noProof w:val="0"/>
          <w:sz w:val="22"/>
          <w:szCs w:val="22"/>
          <w:lang w:val="en-US"/>
        </w:rPr>
        <w:t xml:space="preserve">World Health Organization (2021) </w:t>
      </w:r>
      <w:r w:rsidRPr="47E5DA4B" w:rsidR="732DBBAB">
        <w:rPr>
          <w:rFonts w:ascii="Arial" w:hAnsi="Arial" w:eastAsia="Arial" w:cs="Arial"/>
          <w:i w:val="1"/>
          <w:iCs w:val="1"/>
          <w:noProof w:val="0"/>
          <w:sz w:val="22"/>
          <w:szCs w:val="22"/>
          <w:lang w:val="en-US"/>
        </w:rPr>
        <w:t>Guidance on Community Mental Health Services: Promoting Person-</w:t>
      </w:r>
      <w:r w:rsidRPr="47E5DA4B" w:rsidR="732DBBAB">
        <w:rPr>
          <w:rFonts w:ascii="Arial" w:hAnsi="Arial" w:eastAsia="Arial" w:cs="Arial"/>
          <w:i w:val="1"/>
          <w:iCs w:val="1"/>
          <w:noProof w:val="0"/>
          <w:sz w:val="22"/>
          <w:szCs w:val="22"/>
          <w:lang w:val="en-US"/>
        </w:rPr>
        <w:t>Centred</w:t>
      </w:r>
      <w:r w:rsidRPr="47E5DA4B" w:rsidR="732DBBAB">
        <w:rPr>
          <w:rFonts w:ascii="Arial" w:hAnsi="Arial" w:eastAsia="Arial" w:cs="Arial"/>
          <w:i w:val="1"/>
          <w:iCs w:val="1"/>
          <w:noProof w:val="0"/>
          <w:sz w:val="22"/>
          <w:szCs w:val="22"/>
          <w:lang w:val="en-US"/>
        </w:rPr>
        <w:t xml:space="preserve"> and Rights-Based Approaches</w:t>
      </w:r>
      <w:r w:rsidRPr="47E5DA4B" w:rsidR="732DBBAB">
        <w:rPr>
          <w:rFonts w:ascii="Arial" w:hAnsi="Arial" w:eastAsia="Arial" w:cs="Arial"/>
          <w:noProof w:val="0"/>
          <w:sz w:val="22"/>
          <w:szCs w:val="22"/>
          <w:lang w:val="en-US"/>
        </w:rPr>
        <w:t>. Geneva: WHO.</w:t>
      </w:r>
    </w:p>
    <w:sectPr>
      <w:pgSz w:w="12240" w:h="15840" w:orient="portrait"/>
      <w:pgMar w:top="1440" w:right="1440" w:bottom="1440" w:left="1440" w:header="720" w:footer="720" w:gutter="0"/>
      <w:cols w:space="720"/>
      <w:docGrid w:linePitch="360"/>
      <w:headerReference w:type="default" r:id="R554453a286d748b4"/>
      <w:footerReference w:type="default" r:id="R5cd6fd93a00a4e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E5DA4B" w:rsidTr="47E5DA4B" w14:paraId="3F94217B">
      <w:trPr>
        <w:trHeight w:val="300"/>
      </w:trPr>
      <w:tc>
        <w:tcPr>
          <w:tcW w:w="3120" w:type="dxa"/>
          <w:tcMar/>
        </w:tcPr>
        <w:p w:rsidR="47E5DA4B" w:rsidP="47E5DA4B" w:rsidRDefault="47E5DA4B" w14:paraId="4909CEAD" w14:textId="4972E080">
          <w:pPr>
            <w:pStyle w:val="Header"/>
            <w:bidi w:val="0"/>
            <w:ind w:left="-115"/>
            <w:jc w:val="left"/>
          </w:pPr>
        </w:p>
      </w:tc>
      <w:tc>
        <w:tcPr>
          <w:tcW w:w="3120" w:type="dxa"/>
          <w:tcMar/>
        </w:tcPr>
        <w:p w:rsidR="47E5DA4B" w:rsidP="47E5DA4B" w:rsidRDefault="47E5DA4B" w14:paraId="57758B5C" w14:textId="5CEF7871">
          <w:pPr>
            <w:pStyle w:val="Header"/>
            <w:bidi w:val="0"/>
            <w:jc w:val="center"/>
          </w:pPr>
        </w:p>
      </w:tc>
      <w:tc>
        <w:tcPr>
          <w:tcW w:w="3120" w:type="dxa"/>
          <w:tcMar/>
        </w:tcPr>
        <w:p w:rsidR="47E5DA4B" w:rsidP="47E5DA4B" w:rsidRDefault="47E5DA4B" w14:paraId="22395E5F" w14:textId="1CDB06DF">
          <w:pPr>
            <w:pStyle w:val="Header"/>
            <w:bidi w:val="0"/>
            <w:ind w:right="-115"/>
            <w:jc w:val="right"/>
          </w:pPr>
        </w:p>
      </w:tc>
    </w:tr>
  </w:tbl>
  <w:p w:rsidR="47E5DA4B" w:rsidP="47E5DA4B" w:rsidRDefault="47E5DA4B" w14:paraId="68E641FE" w14:textId="58D71A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E5DA4B" w:rsidTr="47E5DA4B" w14:paraId="7178AA27">
      <w:trPr>
        <w:trHeight w:val="300"/>
      </w:trPr>
      <w:tc>
        <w:tcPr>
          <w:tcW w:w="3120" w:type="dxa"/>
          <w:tcMar/>
        </w:tcPr>
        <w:p w:rsidR="47E5DA4B" w:rsidP="47E5DA4B" w:rsidRDefault="47E5DA4B" w14:paraId="47961287" w14:textId="32EFD686">
          <w:pPr>
            <w:pStyle w:val="Header"/>
            <w:bidi w:val="0"/>
            <w:ind w:left="-115"/>
            <w:jc w:val="left"/>
          </w:pPr>
        </w:p>
      </w:tc>
      <w:tc>
        <w:tcPr>
          <w:tcW w:w="3120" w:type="dxa"/>
          <w:tcMar/>
        </w:tcPr>
        <w:p w:rsidR="47E5DA4B" w:rsidP="47E5DA4B" w:rsidRDefault="47E5DA4B" w14:paraId="5A26F4B5" w14:textId="1F96EFEE">
          <w:pPr>
            <w:pStyle w:val="Header"/>
            <w:bidi w:val="0"/>
            <w:jc w:val="center"/>
          </w:pPr>
        </w:p>
      </w:tc>
      <w:tc>
        <w:tcPr>
          <w:tcW w:w="3120" w:type="dxa"/>
          <w:tcMar/>
        </w:tcPr>
        <w:p w:rsidR="47E5DA4B" w:rsidP="47E5DA4B" w:rsidRDefault="47E5DA4B" w14:paraId="1448E6B0" w14:textId="1B0AD1B9">
          <w:pPr>
            <w:pStyle w:val="Header"/>
            <w:bidi w:val="0"/>
            <w:ind w:right="-115"/>
            <w:jc w:val="right"/>
          </w:pPr>
        </w:p>
      </w:tc>
    </w:tr>
  </w:tbl>
  <w:p w:rsidR="47E5DA4B" w:rsidP="47E5DA4B" w:rsidRDefault="47E5DA4B" w14:paraId="1E34B89D" w14:textId="22426FEF">
    <w:pPr>
      <w:pStyle w:val="Header"/>
      <w:bidi w:val="0"/>
    </w:pPr>
  </w:p>
</w:hdr>
</file>

<file path=word/intelligence2.xml><?xml version="1.0" encoding="utf-8"?>
<int2:intelligence xmlns:int2="http://schemas.microsoft.com/office/intelligence/2020/intelligence">
  <int2:observations>
    <int2:textHash int2:hashCode="gOigg3B4VG+1IR" int2:id="Ylgd5Cw4">
      <int2:state int2:type="spell" int2:value="Rejected"/>
    </int2:textHash>
    <int2:textHash int2:hashCode="T2G5Vcy6DXlZ6V" int2:id="3ZQ8nGUk">
      <int2:state int2:type="spell" int2:value="Rejected"/>
    </int2:textHash>
    <int2:textHash int2:hashCode="31YMmaecpD39sM" int2:id="BSpM68HA">
      <int2:state int2:type="spell" int2:value="Rejected"/>
    </int2:textHash>
    <int2:textHash int2:hashCode="kv4UVae7TQCfC0" int2:id="q2UTB2xL">
      <int2:state int2:type="spell" int2:value="Rejected"/>
    </int2:textHash>
    <int2:textHash int2:hashCode="kByidkXaRxGvMx" int2:id="sK9gJfmc">
      <int2:state int2:type="spell" int2:value="Rejected"/>
    </int2:textHash>
    <int2:textHash int2:hashCode="K9X7Xd4L2h5wl4" int2:id="e7sNiOvj">
      <int2:state int2:type="spell" int2:value="Rejected"/>
    </int2:textHash>
    <int2:textHash int2:hashCode="nRSox3TdiEm2GZ" int2:id="3TOBqbDb">
      <int2:state int2:type="spell" int2:value="Rejected"/>
    </int2:textHash>
    <int2:textHash int2:hashCode="Dji+abMBs/wxDx" int2:id="5yqVk1fl">
      <int2:state int2:type="spell" int2:value="Rejected"/>
    </int2:textHash>
    <int2:bookmark int2:bookmarkName="_Int_JSCVmXyC" int2:invalidationBookmarkName="" int2:hashCode="7wEw9WCTkil1e9" int2:id="LZxJio9k">
      <int2:state int2:type="gram" int2:value="Rejected"/>
    </int2:bookmark>
    <int2:bookmark int2:bookmarkName="_Int_AusYBi5p" int2:invalidationBookmarkName="" int2:hashCode="gXjqIIrBkGaT/o" int2:id="xSgdhvcs">
      <int2:state int2:type="gram" int2:value="Rejected"/>
    </int2:bookmark>
    <int2:bookmark int2:bookmarkName="_Int_LesAUvlf" int2:invalidationBookmarkName="" int2:hashCode="gXjqIIrBkGaT/o" int2:id="oLg6hjlm">
      <int2:state int2:type="gram" int2:value="Rejected"/>
    </int2:bookmark>
    <int2:bookmark int2:bookmarkName="_Int_SMEABi2C" int2:invalidationBookmarkName="" int2:hashCode="gXjqIIrBkGaT/o" int2:id="mrySPQEK">
      <int2:state int2:type="gram" int2:value="Rejected"/>
    </int2:bookmark>
    <int2:bookmark int2:bookmarkName="_Int_qchbEcie" int2:invalidationBookmarkName="" int2:hashCode="gXjqIIrBkGaT/o" int2:id="aeKJ9R1i">
      <int2:state int2:type="gram" int2:value="Rejected"/>
    </int2:bookmark>
    <int2:bookmark int2:bookmarkName="_Int_g2G8u7Vp" int2:invalidationBookmarkName="" int2:hashCode="gXjqIIrBkGaT/o" int2:id="EsQJ9gNU">
      <int2:state int2:type="gram" int2:value="Rejected"/>
    </int2:bookmark>
    <int2:bookmark int2:bookmarkName="_Int_SpeHhND8" int2:invalidationBookmarkName="" int2:hashCode="rOEHQ17RTkVA21" int2:id="wiLJoAF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9fa3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9815A"/>
    <w:rsid w:val="011C6843"/>
    <w:rsid w:val="01E2B303"/>
    <w:rsid w:val="025ED3BF"/>
    <w:rsid w:val="06B997AB"/>
    <w:rsid w:val="08DC80A3"/>
    <w:rsid w:val="0969F641"/>
    <w:rsid w:val="0AF39B74"/>
    <w:rsid w:val="0D1F322A"/>
    <w:rsid w:val="0DCE891C"/>
    <w:rsid w:val="1004B740"/>
    <w:rsid w:val="106516ED"/>
    <w:rsid w:val="10BE0C79"/>
    <w:rsid w:val="112AF4C6"/>
    <w:rsid w:val="1203862F"/>
    <w:rsid w:val="13B4E60E"/>
    <w:rsid w:val="19FC66A7"/>
    <w:rsid w:val="1B1B390F"/>
    <w:rsid w:val="1C35D772"/>
    <w:rsid w:val="1C8CE38A"/>
    <w:rsid w:val="1EB514A7"/>
    <w:rsid w:val="1FF2556C"/>
    <w:rsid w:val="2339FFD1"/>
    <w:rsid w:val="235ADAB4"/>
    <w:rsid w:val="254E7C22"/>
    <w:rsid w:val="27592C14"/>
    <w:rsid w:val="28663836"/>
    <w:rsid w:val="2945D485"/>
    <w:rsid w:val="29497CB9"/>
    <w:rsid w:val="2A775E68"/>
    <w:rsid w:val="2DA0950A"/>
    <w:rsid w:val="2F4F9DC5"/>
    <w:rsid w:val="31AD4FE1"/>
    <w:rsid w:val="33273F4D"/>
    <w:rsid w:val="33D56178"/>
    <w:rsid w:val="367152F1"/>
    <w:rsid w:val="37100D9B"/>
    <w:rsid w:val="3D00BC8D"/>
    <w:rsid w:val="3FB0DBFA"/>
    <w:rsid w:val="4051D6D5"/>
    <w:rsid w:val="4155ACCC"/>
    <w:rsid w:val="416851E7"/>
    <w:rsid w:val="42F49020"/>
    <w:rsid w:val="4583C875"/>
    <w:rsid w:val="45B7068D"/>
    <w:rsid w:val="47E5DA4B"/>
    <w:rsid w:val="4802D2CD"/>
    <w:rsid w:val="498DC334"/>
    <w:rsid w:val="4DFA1589"/>
    <w:rsid w:val="4E33FD69"/>
    <w:rsid w:val="4F819200"/>
    <w:rsid w:val="5075E15C"/>
    <w:rsid w:val="535A1C5C"/>
    <w:rsid w:val="565D7C3C"/>
    <w:rsid w:val="5CF5E748"/>
    <w:rsid w:val="5E835808"/>
    <w:rsid w:val="5EA72FD8"/>
    <w:rsid w:val="5F97EAC1"/>
    <w:rsid w:val="606B3B0E"/>
    <w:rsid w:val="619A4B22"/>
    <w:rsid w:val="61DE0E55"/>
    <w:rsid w:val="6490409F"/>
    <w:rsid w:val="65E585A9"/>
    <w:rsid w:val="66526115"/>
    <w:rsid w:val="68D1D4E3"/>
    <w:rsid w:val="6D9D315E"/>
    <w:rsid w:val="6E104F4A"/>
    <w:rsid w:val="6F9DFE1C"/>
    <w:rsid w:val="732DBBAB"/>
    <w:rsid w:val="7579815A"/>
    <w:rsid w:val="7740431A"/>
    <w:rsid w:val="7E4C4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7D03C"/>
  <w15:chartTrackingRefBased/>
  <w15:docId w15:val="{38187AC4-5C43-4488-B772-C4749B1DD0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11C68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7E5DA4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7E5DA4B"/>
    <w:pPr>
      <w:tabs>
        <w:tab w:val="center" w:leader="none" w:pos="4680"/>
        <w:tab w:val="right" w:leader="none" w:pos="9360"/>
      </w:tabs>
      <w:spacing w:after="0" w:line="240" w:lineRule="auto"/>
    </w:pPr>
  </w:style>
  <w:style w:type="paragraph" w:styleId="Footer">
    <w:uiPriority w:val="99"/>
    <w:name w:val="footer"/>
    <w:basedOn w:val="Normal"/>
    <w:unhideWhenUsed/>
    <w:rsid w:val="47E5DA4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740431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e243c22e637442c" /><Relationship Type="http://schemas.openxmlformats.org/officeDocument/2006/relationships/header" Target="header.xml" Id="R554453a286d748b4" /><Relationship Type="http://schemas.openxmlformats.org/officeDocument/2006/relationships/footer" Target="footer.xml" Id="R5cd6fd93a00a4e0f" /><Relationship Type="http://schemas.openxmlformats.org/officeDocument/2006/relationships/numbering" Target="numbering.xml" Id="R2419f4f7fbbd4e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2026-06-10T14:37:59.1106877Z</dcterms:created>
  <dcterms:modified xsi:type="dcterms:W3CDTF">2026-07-11T10:06:25.1758473Z</dcterms:modified>
  <dc:creator>Ruby Begum (2422428)</dc:creator>
  <lastModifiedBy>Ruby Begum (2422428)</lastModifiedBy>
</coreProperties>
</file>