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8D419" w14:textId="77777777" w:rsidR="002446AE" w:rsidRDefault="002446AE" w:rsidP="00051512">
      <w:pPr>
        <w:spacing w:line="480" w:lineRule="auto"/>
        <w:rPr>
          <w:rFonts w:ascii="Times New Roman" w:hAnsi="Times New Roman" w:cs="Times New Roman"/>
          <w:b/>
          <w:bCs/>
          <w:sz w:val="24"/>
          <w:szCs w:val="24"/>
        </w:rPr>
      </w:pPr>
    </w:p>
    <w:p w14:paraId="790AC33C" w14:textId="7CFC7DAE" w:rsidR="002446AE" w:rsidRDefault="002446AE" w:rsidP="002446AE">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The Law Governing Homicide in England and Wale</w:t>
      </w:r>
      <w:r w:rsidR="00A45A6F">
        <w:rPr>
          <w:rFonts w:ascii="Times New Roman" w:hAnsi="Times New Roman" w:cs="Times New Roman"/>
          <w:b/>
          <w:bCs/>
          <w:sz w:val="24"/>
          <w:szCs w:val="24"/>
        </w:rPr>
        <w:t>s</w:t>
      </w:r>
    </w:p>
    <w:p w14:paraId="5CCE4BBC" w14:textId="1AD68D71" w:rsidR="002446AE" w:rsidRDefault="002D1F47" w:rsidP="002446AE">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Student name: Eugen Florea</w:t>
      </w:r>
    </w:p>
    <w:p w14:paraId="52C973F3" w14:textId="34862F6F" w:rsidR="002D1F47" w:rsidRDefault="002D1F47" w:rsidP="002446AE">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Student number: 2225235</w:t>
      </w:r>
    </w:p>
    <w:p w14:paraId="45757055" w14:textId="33FCF2E8" w:rsidR="002D1F47" w:rsidRDefault="002D1F47" w:rsidP="002446AE">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Lecturer name: Zita Draper</w:t>
      </w:r>
    </w:p>
    <w:p w14:paraId="2AAAE951" w14:textId="3DACE9D3" w:rsidR="002D1F47" w:rsidRDefault="002D1F47" w:rsidP="002446AE">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Module name: Criminal Law</w:t>
      </w:r>
      <w:r w:rsidR="00A45A6F">
        <w:rPr>
          <w:rFonts w:ascii="Times New Roman" w:hAnsi="Times New Roman" w:cs="Times New Roman"/>
          <w:b/>
          <w:bCs/>
          <w:sz w:val="24"/>
          <w:szCs w:val="24"/>
        </w:rPr>
        <w:t xml:space="preserve"> </w:t>
      </w:r>
      <w:r>
        <w:rPr>
          <w:rFonts w:ascii="Times New Roman" w:hAnsi="Times New Roman" w:cs="Times New Roman"/>
          <w:b/>
          <w:bCs/>
          <w:sz w:val="24"/>
          <w:szCs w:val="24"/>
        </w:rPr>
        <w:t>(BMLW4005)</w:t>
      </w:r>
    </w:p>
    <w:p w14:paraId="2B68E71C" w14:textId="51F09053" w:rsidR="002446AE" w:rsidRDefault="002446AE" w:rsidP="002446AE">
      <w:pPr>
        <w:spacing w:line="480" w:lineRule="auto"/>
        <w:jc w:val="center"/>
        <w:rPr>
          <w:rFonts w:ascii="Times New Roman" w:hAnsi="Times New Roman" w:cs="Times New Roman"/>
          <w:b/>
          <w:bCs/>
          <w:sz w:val="24"/>
          <w:szCs w:val="24"/>
        </w:rPr>
      </w:pPr>
    </w:p>
    <w:p w14:paraId="284CAD45" w14:textId="0349F5C4" w:rsidR="002446AE" w:rsidRDefault="002446AE" w:rsidP="002D1F47">
      <w:pPr>
        <w:spacing w:line="480" w:lineRule="auto"/>
        <w:rPr>
          <w:rFonts w:ascii="Times New Roman" w:hAnsi="Times New Roman" w:cs="Times New Roman"/>
          <w:b/>
          <w:bCs/>
          <w:sz w:val="24"/>
          <w:szCs w:val="24"/>
        </w:rPr>
      </w:pPr>
    </w:p>
    <w:p w14:paraId="50DC4019" w14:textId="6929FC8C" w:rsidR="004B0089" w:rsidRDefault="004B0089" w:rsidP="002446AE">
      <w:pPr>
        <w:spacing w:line="480" w:lineRule="auto"/>
        <w:jc w:val="center"/>
        <w:rPr>
          <w:rFonts w:ascii="Times New Roman" w:hAnsi="Times New Roman" w:cs="Times New Roman"/>
          <w:b/>
          <w:bCs/>
          <w:sz w:val="24"/>
          <w:szCs w:val="24"/>
        </w:rPr>
      </w:pPr>
    </w:p>
    <w:p w14:paraId="0ACA67F8" w14:textId="38C8C450" w:rsidR="004B0089" w:rsidRDefault="004B0089" w:rsidP="002446AE">
      <w:pPr>
        <w:spacing w:line="480" w:lineRule="auto"/>
        <w:jc w:val="center"/>
        <w:rPr>
          <w:rFonts w:ascii="Times New Roman" w:hAnsi="Times New Roman" w:cs="Times New Roman"/>
          <w:b/>
          <w:bCs/>
          <w:sz w:val="24"/>
          <w:szCs w:val="24"/>
        </w:rPr>
      </w:pPr>
    </w:p>
    <w:p w14:paraId="09200E0D" w14:textId="567F7FA0" w:rsidR="004B0089" w:rsidRDefault="004B0089" w:rsidP="002446AE">
      <w:pPr>
        <w:spacing w:line="480" w:lineRule="auto"/>
        <w:jc w:val="center"/>
        <w:rPr>
          <w:rFonts w:ascii="Times New Roman" w:hAnsi="Times New Roman" w:cs="Times New Roman"/>
          <w:b/>
          <w:bCs/>
          <w:sz w:val="24"/>
          <w:szCs w:val="24"/>
        </w:rPr>
      </w:pPr>
    </w:p>
    <w:p w14:paraId="744FFC22" w14:textId="3BB3D93D" w:rsidR="004B0089" w:rsidRDefault="004B0089" w:rsidP="002446AE">
      <w:pPr>
        <w:spacing w:line="480" w:lineRule="auto"/>
        <w:jc w:val="center"/>
        <w:rPr>
          <w:rFonts w:ascii="Times New Roman" w:hAnsi="Times New Roman" w:cs="Times New Roman"/>
          <w:b/>
          <w:bCs/>
          <w:sz w:val="24"/>
          <w:szCs w:val="24"/>
        </w:rPr>
      </w:pPr>
    </w:p>
    <w:p w14:paraId="7DA1D851" w14:textId="6A80395C" w:rsidR="004B0089" w:rsidRDefault="004B0089" w:rsidP="002446AE">
      <w:pPr>
        <w:spacing w:line="480" w:lineRule="auto"/>
        <w:jc w:val="center"/>
        <w:rPr>
          <w:rFonts w:ascii="Times New Roman" w:hAnsi="Times New Roman" w:cs="Times New Roman"/>
          <w:b/>
          <w:bCs/>
          <w:sz w:val="24"/>
          <w:szCs w:val="24"/>
        </w:rPr>
      </w:pPr>
    </w:p>
    <w:p w14:paraId="54256526" w14:textId="77777777" w:rsidR="004B0089" w:rsidRDefault="004B0089" w:rsidP="002446AE">
      <w:pPr>
        <w:spacing w:line="480" w:lineRule="auto"/>
        <w:jc w:val="center"/>
        <w:rPr>
          <w:rFonts w:ascii="Times New Roman" w:hAnsi="Times New Roman" w:cs="Times New Roman"/>
          <w:b/>
          <w:bCs/>
          <w:sz w:val="24"/>
          <w:szCs w:val="24"/>
        </w:rPr>
      </w:pPr>
    </w:p>
    <w:p w14:paraId="6B016C0B" w14:textId="2E4DC852" w:rsidR="00177A7A" w:rsidRPr="00051512" w:rsidRDefault="00177A7A" w:rsidP="00051512">
      <w:pPr>
        <w:spacing w:line="480" w:lineRule="auto"/>
        <w:rPr>
          <w:rFonts w:ascii="Times New Roman" w:hAnsi="Times New Roman" w:cs="Times New Roman"/>
          <w:b/>
          <w:bCs/>
          <w:sz w:val="24"/>
          <w:szCs w:val="24"/>
        </w:rPr>
      </w:pPr>
      <w:r w:rsidRPr="00051512">
        <w:rPr>
          <w:rFonts w:ascii="Times New Roman" w:hAnsi="Times New Roman" w:cs="Times New Roman"/>
          <w:b/>
          <w:bCs/>
          <w:sz w:val="24"/>
          <w:szCs w:val="24"/>
        </w:rPr>
        <w:t xml:space="preserve">Introduction </w:t>
      </w:r>
    </w:p>
    <w:p w14:paraId="34E61002" w14:textId="43545EBA" w:rsidR="0054066E" w:rsidRPr="00051512" w:rsidRDefault="00080AB1" w:rsidP="00051512">
      <w:pPr>
        <w:spacing w:line="480" w:lineRule="auto"/>
        <w:ind w:firstLine="720"/>
        <w:rPr>
          <w:rFonts w:ascii="Times New Roman" w:hAnsi="Times New Roman" w:cs="Times New Roman"/>
          <w:sz w:val="24"/>
          <w:szCs w:val="24"/>
        </w:rPr>
      </w:pPr>
      <w:r w:rsidRPr="00051512">
        <w:rPr>
          <w:rFonts w:ascii="Times New Roman" w:hAnsi="Times New Roman" w:cs="Times New Roman"/>
          <w:sz w:val="24"/>
          <w:szCs w:val="24"/>
        </w:rPr>
        <w:t xml:space="preserve">A key element of the legal system in England and Wales is homicide law, which governs the most serious offences involving the wrongful killing of another person. Ongoing discussions regarding the need for reform have been sparked by the complexities and difficulties surrounding this area of law. The Law Commission, a statutory independent agency tasked with examining </w:t>
      </w:r>
      <w:r w:rsidRPr="00051512">
        <w:rPr>
          <w:rFonts w:ascii="Times New Roman" w:hAnsi="Times New Roman" w:cs="Times New Roman"/>
          <w:sz w:val="24"/>
          <w:szCs w:val="24"/>
        </w:rPr>
        <w:lastRenderedPageBreak/>
        <w:t>laws and making recommendations for revisions, made a critical pronouncement about the status of homicide law in 2005</w:t>
      </w:r>
      <w:r w:rsidR="00126E68" w:rsidRPr="00051512">
        <w:rPr>
          <w:rFonts w:ascii="Times New Roman" w:hAnsi="Times New Roman" w:cs="Times New Roman"/>
          <w:sz w:val="24"/>
          <w:szCs w:val="24"/>
        </w:rPr>
        <w:t xml:space="preserve"> (Downes &amp; Newburn 2022)</w:t>
      </w:r>
      <w:r w:rsidRPr="00051512">
        <w:rPr>
          <w:rFonts w:ascii="Times New Roman" w:hAnsi="Times New Roman" w:cs="Times New Roman"/>
          <w:sz w:val="24"/>
          <w:szCs w:val="24"/>
        </w:rPr>
        <w:t xml:space="preserve">. They acknowledged the urgent need for reform by calling it a "rickety structure set upon shaky foundations." The Law Commission's statement highlights persistent problems and out-of-date provisions in the homicide laws that are now in place in England and Wales. Despite accumulating data and societal changes that demand for modification, several laws and precepts have not altered since the seventeenth century. These antiquated laws may have far-reaching effects on legal outcomes, fairness, and public trust in the judicial system. This </w:t>
      </w:r>
      <w:r w:rsidR="005539F1" w:rsidRPr="00051512">
        <w:rPr>
          <w:rFonts w:ascii="Times New Roman" w:hAnsi="Times New Roman" w:cs="Times New Roman"/>
          <w:sz w:val="24"/>
          <w:szCs w:val="24"/>
        </w:rPr>
        <w:t xml:space="preserve">essay </w:t>
      </w:r>
      <w:r w:rsidRPr="00051512">
        <w:rPr>
          <w:rFonts w:ascii="Times New Roman" w:hAnsi="Times New Roman" w:cs="Times New Roman"/>
          <w:sz w:val="24"/>
          <w:szCs w:val="24"/>
        </w:rPr>
        <w:t xml:space="preserve">seeks to determine whether England and Wales' homicide laws require immediate change. </w:t>
      </w:r>
    </w:p>
    <w:p w14:paraId="4171CF4C" w14:textId="229C1F6C" w:rsidR="00080AB1" w:rsidRPr="00051512" w:rsidRDefault="00080AB1" w:rsidP="00051512">
      <w:pPr>
        <w:spacing w:line="480" w:lineRule="auto"/>
        <w:rPr>
          <w:rFonts w:ascii="Times New Roman" w:hAnsi="Times New Roman" w:cs="Times New Roman"/>
          <w:b/>
          <w:bCs/>
          <w:sz w:val="24"/>
          <w:szCs w:val="24"/>
        </w:rPr>
      </w:pPr>
      <w:r w:rsidRPr="00051512">
        <w:rPr>
          <w:rFonts w:ascii="Times New Roman" w:hAnsi="Times New Roman" w:cs="Times New Roman"/>
          <w:b/>
          <w:bCs/>
          <w:sz w:val="24"/>
          <w:szCs w:val="24"/>
        </w:rPr>
        <w:t>Current Law Governing Homicide in England and Wales</w:t>
      </w:r>
    </w:p>
    <w:p w14:paraId="4F925E50" w14:textId="03D27CFE" w:rsidR="00080AB1" w:rsidRPr="00051512" w:rsidRDefault="00080AB1" w:rsidP="002446AE">
      <w:pPr>
        <w:spacing w:line="480" w:lineRule="auto"/>
        <w:ind w:firstLine="720"/>
        <w:rPr>
          <w:rFonts w:ascii="Times New Roman" w:hAnsi="Times New Roman" w:cs="Times New Roman"/>
          <w:sz w:val="24"/>
          <w:szCs w:val="24"/>
        </w:rPr>
      </w:pPr>
      <w:r w:rsidRPr="00051512">
        <w:rPr>
          <w:rFonts w:ascii="Times New Roman" w:hAnsi="Times New Roman" w:cs="Times New Roman"/>
          <w:sz w:val="24"/>
          <w:szCs w:val="24"/>
        </w:rPr>
        <w:t>The common law and laws like the Offences Against the Person Act 1861 serve as the main sources of guidance for the current legal system governing homicide in England and Wales</w:t>
      </w:r>
      <w:r w:rsidR="003E4B75" w:rsidRPr="00051512">
        <w:rPr>
          <w:rFonts w:ascii="Times New Roman" w:hAnsi="Times New Roman" w:cs="Times New Roman"/>
          <w:sz w:val="24"/>
          <w:szCs w:val="24"/>
        </w:rPr>
        <w:t xml:space="preserve"> (Pikes, 2022)</w:t>
      </w:r>
      <w:r w:rsidRPr="00051512">
        <w:rPr>
          <w:rFonts w:ascii="Times New Roman" w:hAnsi="Times New Roman" w:cs="Times New Roman"/>
          <w:sz w:val="24"/>
          <w:szCs w:val="24"/>
        </w:rPr>
        <w:t>. Murder and manslaughter are the two main subcategories of homicide, which includes the most serious offences involving the wrongful killing of another person. The more serious crime of murder entails the willful, illegal death of another person with "malice aforethought."</w:t>
      </w:r>
      <w:r w:rsidR="0078280A" w:rsidRPr="00051512">
        <w:rPr>
          <w:rFonts w:ascii="Times New Roman" w:hAnsi="Times New Roman" w:cs="Times New Roman"/>
          <w:sz w:val="24"/>
          <w:szCs w:val="24"/>
        </w:rPr>
        <w:t xml:space="preserve"> (Downes &amp; Newburn, 2022).</w:t>
      </w:r>
      <w:r w:rsidRPr="00051512">
        <w:rPr>
          <w:rFonts w:ascii="Times New Roman" w:hAnsi="Times New Roman" w:cs="Times New Roman"/>
          <w:sz w:val="24"/>
          <w:szCs w:val="24"/>
        </w:rPr>
        <w:t xml:space="preserve"> The mental state or purpose to cause the victim great harm or death is known as malice aforethought. The actus reus (the physical act of killing) and mens rea (the mental condition or intent) are the essential components of murder. To commit murder, one must have high levels of guilt and the intent to kill or cause great physical injury</w:t>
      </w:r>
      <w:r w:rsidR="003357BA" w:rsidRPr="00051512">
        <w:rPr>
          <w:rFonts w:ascii="Times New Roman" w:hAnsi="Times New Roman" w:cs="Times New Roman"/>
          <w:sz w:val="24"/>
          <w:szCs w:val="24"/>
        </w:rPr>
        <w:t xml:space="preserve"> (Leigh, 2022)</w:t>
      </w:r>
      <w:r w:rsidRPr="00051512">
        <w:rPr>
          <w:rFonts w:ascii="Times New Roman" w:hAnsi="Times New Roman" w:cs="Times New Roman"/>
          <w:sz w:val="24"/>
          <w:szCs w:val="24"/>
        </w:rPr>
        <w:t xml:space="preserve"> On the other hand, manslaughter is the unlawful death of another person without the presence of premeditated malice. Voluntary manslaughter and involuntary manslaughter are the two subtypes of manslaughter. When there is an intent to kill or do serious harm, but there are mitigating factors, such as provocation or decreased guilt, the accusation is reduced from murder </w:t>
      </w:r>
      <w:r w:rsidRPr="00051512">
        <w:rPr>
          <w:rFonts w:ascii="Times New Roman" w:hAnsi="Times New Roman" w:cs="Times New Roman"/>
          <w:sz w:val="24"/>
          <w:szCs w:val="24"/>
        </w:rPr>
        <w:lastRenderedPageBreak/>
        <w:t>to voluntary manslaughter</w:t>
      </w:r>
      <w:r w:rsidR="0078280A" w:rsidRPr="00051512">
        <w:rPr>
          <w:rFonts w:ascii="Times New Roman" w:hAnsi="Times New Roman" w:cs="Times New Roman"/>
          <w:sz w:val="24"/>
          <w:szCs w:val="24"/>
        </w:rPr>
        <w:t xml:space="preserve"> (Bettinson, 2022)</w:t>
      </w:r>
      <w:r w:rsidRPr="00051512">
        <w:rPr>
          <w:rFonts w:ascii="Times New Roman" w:hAnsi="Times New Roman" w:cs="Times New Roman"/>
          <w:sz w:val="24"/>
          <w:szCs w:val="24"/>
        </w:rPr>
        <w:t>. On the other hand, involuntary manslaughter refers to a fatality that occurred accidentally as a result of willful misconduct or a criminally reckless act</w:t>
      </w:r>
      <w:r w:rsidR="00A24809" w:rsidRPr="00051512">
        <w:rPr>
          <w:rFonts w:ascii="Times New Roman" w:hAnsi="Times New Roman" w:cs="Times New Roman"/>
          <w:sz w:val="24"/>
          <w:szCs w:val="24"/>
        </w:rPr>
        <w:t xml:space="preserve"> (Bettinson, 2022)</w:t>
      </w:r>
      <w:r w:rsidRPr="00051512">
        <w:rPr>
          <w:rFonts w:ascii="Times New Roman" w:hAnsi="Times New Roman" w:cs="Times New Roman"/>
          <w:sz w:val="24"/>
          <w:szCs w:val="24"/>
        </w:rPr>
        <w:t>.</w:t>
      </w:r>
    </w:p>
    <w:p w14:paraId="3B6AB4B1" w14:textId="46C81F39" w:rsidR="00080AB1" w:rsidRPr="00051512" w:rsidRDefault="00177A7A" w:rsidP="00051512">
      <w:pPr>
        <w:spacing w:line="480" w:lineRule="auto"/>
        <w:ind w:firstLine="720"/>
        <w:rPr>
          <w:rFonts w:ascii="Times New Roman" w:hAnsi="Times New Roman" w:cs="Times New Roman"/>
          <w:sz w:val="24"/>
          <w:szCs w:val="24"/>
        </w:rPr>
      </w:pPr>
      <w:r w:rsidRPr="00051512">
        <w:rPr>
          <w:rFonts w:ascii="Times New Roman" w:hAnsi="Times New Roman" w:cs="Times New Roman"/>
          <w:sz w:val="24"/>
          <w:szCs w:val="24"/>
        </w:rPr>
        <w:t>Partial permissible defences to murder and intent requirements are just two of the contentious features of the existing law governing homicide in England and Wales</w:t>
      </w:r>
      <w:r w:rsidR="00FA1EB7" w:rsidRPr="00051512">
        <w:rPr>
          <w:rFonts w:ascii="Times New Roman" w:hAnsi="Times New Roman" w:cs="Times New Roman"/>
          <w:sz w:val="24"/>
          <w:szCs w:val="24"/>
        </w:rPr>
        <w:t xml:space="preserve"> (Pike, 2022)</w:t>
      </w:r>
      <w:r w:rsidRPr="00051512">
        <w:rPr>
          <w:rFonts w:ascii="Times New Roman" w:hAnsi="Times New Roman" w:cs="Times New Roman"/>
          <w:sz w:val="24"/>
          <w:szCs w:val="24"/>
        </w:rPr>
        <w:t>. In some cases, a charge of voluntary manslaughter may be brought rather than murder due to partial defences including diminished responsibility and provocation. A defendant may claim diminished responsibility by claiming that their mental condition was compromised, which lessens their blame</w:t>
      </w:r>
      <w:r w:rsidR="003B3C68" w:rsidRPr="00051512">
        <w:rPr>
          <w:rFonts w:ascii="Times New Roman" w:hAnsi="Times New Roman" w:cs="Times New Roman"/>
          <w:sz w:val="24"/>
          <w:szCs w:val="24"/>
        </w:rPr>
        <w:t xml:space="preserve"> (Leigh, 2022)</w:t>
      </w:r>
      <w:r w:rsidRPr="00051512">
        <w:rPr>
          <w:rFonts w:ascii="Times New Roman" w:hAnsi="Times New Roman" w:cs="Times New Roman"/>
          <w:sz w:val="24"/>
          <w:szCs w:val="24"/>
        </w:rPr>
        <w:t>. On the other hand, if it can be demonstrated that the defendant was provoked to lose control, provocation can lower a charge to manslaughter. Regarding their fairness, consistency, and degree to which they truly reflect the offender's culpability, these defences have been the focus of discussions</w:t>
      </w:r>
      <w:r w:rsidR="000A3254" w:rsidRPr="00051512">
        <w:rPr>
          <w:rFonts w:ascii="Times New Roman" w:hAnsi="Times New Roman" w:cs="Times New Roman"/>
          <w:sz w:val="24"/>
          <w:szCs w:val="24"/>
        </w:rPr>
        <w:t xml:space="preserve"> (Downes &amp; Newburn)</w:t>
      </w:r>
      <w:r w:rsidRPr="00051512">
        <w:rPr>
          <w:rFonts w:ascii="Times New Roman" w:hAnsi="Times New Roman" w:cs="Times New Roman"/>
          <w:sz w:val="24"/>
          <w:szCs w:val="24"/>
        </w:rPr>
        <w:t>. The legal standard for murder intent has also been a source of debate. The legal requirement to demonstrate an intent to cause great bodily damage or death can be difficult to establish in some circumstances. Critics contend that in situations where there is obvious guilt but the precise intent cannot be shown beyond a reasonable doubt, the high standard for intent may result in decisions that appear unfair or disproportionate. These contentious elements of the current homicide statute raise significant concerns about its justice, consistency, and capacity to deal with the various degrees of responsibility in various circumstances. In order to ensure that the legal framework for homicide is in line with current societal norms and offers suitable and just outcomes, calls for change have been made.</w:t>
      </w:r>
    </w:p>
    <w:p w14:paraId="008FCCA1" w14:textId="0377A7F6" w:rsidR="00177A7A" w:rsidRPr="00051512" w:rsidRDefault="00177A7A" w:rsidP="00051512">
      <w:pPr>
        <w:spacing w:line="480" w:lineRule="auto"/>
        <w:rPr>
          <w:rFonts w:ascii="Times New Roman" w:hAnsi="Times New Roman" w:cs="Times New Roman"/>
          <w:b/>
          <w:bCs/>
          <w:sz w:val="24"/>
          <w:szCs w:val="24"/>
        </w:rPr>
      </w:pPr>
      <w:r w:rsidRPr="00051512">
        <w:rPr>
          <w:rFonts w:ascii="Times New Roman" w:hAnsi="Times New Roman" w:cs="Times New Roman"/>
          <w:b/>
          <w:bCs/>
          <w:sz w:val="24"/>
          <w:szCs w:val="24"/>
        </w:rPr>
        <w:t>Key Issues and Areas for Reform</w:t>
      </w:r>
    </w:p>
    <w:p w14:paraId="7F89821D" w14:textId="4BA05107" w:rsidR="00177A7A" w:rsidRPr="00051512" w:rsidRDefault="00177A7A" w:rsidP="00051512">
      <w:pPr>
        <w:spacing w:line="480" w:lineRule="auto"/>
        <w:rPr>
          <w:rFonts w:ascii="Times New Roman" w:hAnsi="Times New Roman" w:cs="Times New Roman"/>
          <w:sz w:val="24"/>
          <w:szCs w:val="24"/>
        </w:rPr>
      </w:pPr>
      <w:r w:rsidRPr="00051512">
        <w:rPr>
          <w:rFonts w:ascii="Times New Roman" w:hAnsi="Times New Roman" w:cs="Times New Roman"/>
          <w:sz w:val="24"/>
          <w:szCs w:val="24"/>
        </w:rPr>
        <w:lastRenderedPageBreak/>
        <w:t>Several major issues with the homicide statute in England and Wales have come to light, sparking discussions</w:t>
      </w:r>
      <w:r w:rsidR="00CD21DA">
        <w:rPr>
          <w:rFonts w:ascii="Times New Roman" w:hAnsi="Times New Roman" w:cs="Times New Roman"/>
          <w:sz w:val="24"/>
          <w:szCs w:val="24"/>
        </w:rPr>
        <w:t xml:space="preserve"> about the necessity for reform</w:t>
      </w:r>
      <w:r w:rsidRPr="00051512">
        <w:rPr>
          <w:rFonts w:ascii="Times New Roman" w:hAnsi="Times New Roman" w:cs="Times New Roman"/>
          <w:sz w:val="24"/>
          <w:szCs w:val="24"/>
        </w:rPr>
        <w:t>.</w:t>
      </w:r>
      <w:r w:rsidR="00CD21DA" w:rsidRPr="00CD21DA">
        <w:t xml:space="preserve"> </w:t>
      </w:r>
      <w:r w:rsidR="00CD21DA" w:rsidRPr="00CD21DA">
        <w:rPr>
          <w:rFonts w:ascii="Times New Roman" w:hAnsi="Times New Roman" w:cs="Times New Roman"/>
          <w:sz w:val="24"/>
          <w:szCs w:val="24"/>
        </w:rPr>
        <w:t>These subjects include divisive subjects like manslaughter's scope, the objective prerequisite to murder, and partial murder defenses.</w:t>
      </w:r>
    </w:p>
    <w:p w14:paraId="19CDC810" w14:textId="722C8108" w:rsidR="00177A7A" w:rsidRPr="00051512" w:rsidRDefault="00177A7A" w:rsidP="00051512">
      <w:pPr>
        <w:spacing w:line="480" w:lineRule="auto"/>
        <w:rPr>
          <w:rFonts w:ascii="Times New Roman" w:hAnsi="Times New Roman" w:cs="Times New Roman"/>
          <w:b/>
          <w:bCs/>
          <w:i/>
          <w:iCs/>
          <w:sz w:val="24"/>
          <w:szCs w:val="24"/>
        </w:rPr>
      </w:pPr>
      <w:r w:rsidRPr="00051512">
        <w:rPr>
          <w:rFonts w:ascii="Times New Roman" w:hAnsi="Times New Roman" w:cs="Times New Roman"/>
          <w:b/>
          <w:bCs/>
          <w:i/>
          <w:iCs/>
          <w:sz w:val="24"/>
          <w:szCs w:val="24"/>
        </w:rPr>
        <w:t>Controversies Surrounding Partial Defenses to Murder</w:t>
      </w:r>
    </w:p>
    <w:p w14:paraId="499DD80F" w14:textId="63F27AF0" w:rsidR="00177A7A" w:rsidRPr="00051512" w:rsidRDefault="00CD21DA" w:rsidP="00051512">
      <w:pPr>
        <w:spacing w:line="480" w:lineRule="auto"/>
        <w:ind w:firstLine="720"/>
        <w:rPr>
          <w:rFonts w:ascii="Times New Roman" w:hAnsi="Times New Roman" w:cs="Times New Roman"/>
          <w:sz w:val="24"/>
          <w:szCs w:val="24"/>
        </w:rPr>
      </w:pPr>
      <w:r w:rsidRPr="00CD21DA">
        <w:rPr>
          <w:rFonts w:ascii="Times New Roman" w:hAnsi="Times New Roman" w:cs="Times New Roman"/>
          <w:sz w:val="24"/>
          <w:szCs w:val="24"/>
        </w:rPr>
        <w:t xml:space="preserve">Decreased accountability and provocation have been discussed as possible partial justifications for murder. Defendants are permitted to assert diminished culpability by arguing that their mental state was impaired at the time of the crime, which could potentially reduce the punishment to voluntary manslaughter. </w:t>
      </w:r>
      <w:r>
        <w:rPr>
          <w:rFonts w:ascii="Times New Roman" w:hAnsi="Times New Roman" w:cs="Times New Roman"/>
          <w:sz w:val="24"/>
          <w:szCs w:val="24"/>
        </w:rPr>
        <w:t>Critics contend that this defens</w:t>
      </w:r>
      <w:r w:rsidR="00177A7A" w:rsidRPr="00051512">
        <w:rPr>
          <w:rFonts w:ascii="Times New Roman" w:hAnsi="Times New Roman" w:cs="Times New Roman"/>
          <w:sz w:val="24"/>
          <w:szCs w:val="24"/>
        </w:rPr>
        <w:t>e is frequently applied inconsistently and that its standards for lessened responsibility can be vague, resulting in a range of results</w:t>
      </w:r>
      <w:r w:rsidR="00594195" w:rsidRPr="00051512">
        <w:rPr>
          <w:rFonts w:ascii="Times New Roman" w:hAnsi="Times New Roman" w:cs="Times New Roman"/>
          <w:sz w:val="24"/>
          <w:szCs w:val="24"/>
        </w:rPr>
        <w:t xml:space="preserve"> (Roper, 2022)</w:t>
      </w:r>
      <w:r w:rsidR="00177A7A" w:rsidRPr="00051512">
        <w:rPr>
          <w:rFonts w:ascii="Times New Roman" w:hAnsi="Times New Roman" w:cs="Times New Roman"/>
          <w:sz w:val="24"/>
          <w:szCs w:val="24"/>
        </w:rPr>
        <w:t xml:space="preserve">. Similar to this, if the offender can show they were provoked to lose control, the provocation </w:t>
      </w:r>
      <w:r w:rsidR="00F773F9" w:rsidRPr="00051512">
        <w:rPr>
          <w:rFonts w:ascii="Times New Roman" w:hAnsi="Times New Roman" w:cs="Times New Roman"/>
          <w:sz w:val="24"/>
          <w:szCs w:val="24"/>
        </w:rPr>
        <w:t>defense</w:t>
      </w:r>
      <w:r w:rsidR="00177A7A" w:rsidRPr="00051512">
        <w:rPr>
          <w:rFonts w:ascii="Times New Roman" w:hAnsi="Times New Roman" w:cs="Times New Roman"/>
          <w:sz w:val="24"/>
          <w:szCs w:val="24"/>
        </w:rPr>
        <w:t xml:space="preserve"> allows a charge of manslaughter rather than murder</w:t>
      </w:r>
      <w:r w:rsidR="004A6F90" w:rsidRPr="00051512">
        <w:rPr>
          <w:rFonts w:ascii="Times New Roman" w:hAnsi="Times New Roman" w:cs="Times New Roman"/>
          <w:sz w:val="24"/>
          <w:szCs w:val="24"/>
        </w:rPr>
        <w:t xml:space="preserve"> (Roper, 2022)</w:t>
      </w:r>
      <w:r w:rsidR="00177A7A" w:rsidRPr="00051512">
        <w:rPr>
          <w:rFonts w:ascii="Times New Roman" w:hAnsi="Times New Roman" w:cs="Times New Roman"/>
          <w:sz w:val="24"/>
          <w:szCs w:val="24"/>
        </w:rPr>
        <w:t>. Provocation's subjective nature raises questions about its impartiality and dependability, though, which could lead to light punishments for serious offences.</w:t>
      </w:r>
      <w:r w:rsidR="00971219" w:rsidRPr="00051512">
        <w:rPr>
          <w:rFonts w:ascii="Times New Roman" w:hAnsi="Times New Roman" w:cs="Times New Roman"/>
          <w:sz w:val="24"/>
          <w:szCs w:val="24"/>
        </w:rPr>
        <w:t xml:space="preserve"> To guarantee consistency in their application, the Law Commission has suggested clarifying and redefining the standards for partial defenses, such as decreased responsibility and provocation</w:t>
      </w:r>
      <w:r w:rsidR="0026400F" w:rsidRPr="00051512">
        <w:rPr>
          <w:rFonts w:ascii="Times New Roman" w:hAnsi="Times New Roman" w:cs="Times New Roman"/>
          <w:sz w:val="24"/>
          <w:szCs w:val="24"/>
        </w:rPr>
        <w:t xml:space="preserve"> (Pikes, 2022)</w:t>
      </w:r>
      <w:r w:rsidR="00971219" w:rsidRPr="00051512">
        <w:rPr>
          <w:rFonts w:ascii="Times New Roman" w:hAnsi="Times New Roman" w:cs="Times New Roman"/>
          <w:sz w:val="24"/>
          <w:szCs w:val="24"/>
        </w:rPr>
        <w:t>. This includes adopting a more consistent and objective approach to provocation as well as clearer standards for evaluating the level of decreased responsibility.</w:t>
      </w:r>
    </w:p>
    <w:p w14:paraId="087D555B" w14:textId="37E2D577" w:rsidR="00177A7A" w:rsidRPr="00051512" w:rsidRDefault="00177A7A" w:rsidP="00051512">
      <w:pPr>
        <w:spacing w:line="480" w:lineRule="auto"/>
        <w:rPr>
          <w:rFonts w:ascii="Times New Roman" w:hAnsi="Times New Roman" w:cs="Times New Roman"/>
          <w:b/>
          <w:bCs/>
          <w:i/>
          <w:iCs/>
          <w:sz w:val="24"/>
          <w:szCs w:val="24"/>
        </w:rPr>
      </w:pPr>
      <w:r w:rsidRPr="00051512">
        <w:rPr>
          <w:rFonts w:ascii="Times New Roman" w:hAnsi="Times New Roman" w:cs="Times New Roman"/>
          <w:b/>
          <w:bCs/>
          <w:i/>
          <w:iCs/>
          <w:sz w:val="24"/>
          <w:szCs w:val="24"/>
        </w:rPr>
        <w:t>Intent Requirement for Murder</w:t>
      </w:r>
    </w:p>
    <w:p w14:paraId="4813227E" w14:textId="4517A418" w:rsidR="00177A7A" w:rsidRPr="00051512" w:rsidRDefault="00177A7A" w:rsidP="00051512">
      <w:pPr>
        <w:spacing w:line="480" w:lineRule="auto"/>
        <w:ind w:firstLine="720"/>
        <w:rPr>
          <w:rFonts w:ascii="Times New Roman" w:hAnsi="Times New Roman" w:cs="Times New Roman"/>
          <w:sz w:val="24"/>
          <w:szCs w:val="24"/>
        </w:rPr>
      </w:pPr>
      <w:r w:rsidRPr="00051512">
        <w:rPr>
          <w:rFonts w:ascii="Times New Roman" w:hAnsi="Times New Roman" w:cs="Times New Roman"/>
          <w:sz w:val="24"/>
          <w:szCs w:val="24"/>
        </w:rPr>
        <w:t xml:space="preserve">Controversy has been stirred up by the intent requirement for murder, which demands proof of a desire to cause grievous harm or death. Some contend that this strict standard for showing intent can produce unfair results, particularly when the defendant's acts amply establish guilt but it is difficult to establish specific intent beyond a reasonable doubt. According to critics, </w:t>
      </w:r>
      <w:r w:rsidRPr="00051512">
        <w:rPr>
          <w:rFonts w:ascii="Times New Roman" w:hAnsi="Times New Roman" w:cs="Times New Roman"/>
          <w:sz w:val="24"/>
          <w:szCs w:val="24"/>
        </w:rPr>
        <w:lastRenderedPageBreak/>
        <w:t>this rigid criterion can prevent justifiable convictions in situations where the offender's guilt is obvious, potentially weakening public faith in the legal system</w:t>
      </w:r>
      <w:r w:rsidR="00BC4210" w:rsidRPr="00051512">
        <w:rPr>
          <w:rFonts w:ascii="Times New Roman" w:hAnsi="Times New Roman" w:cs="Times New Roman"/>
          <w:sz w:val="24"/>
          <w:szCs w:val="24"/>
        </w:rPr>
        <w:t xml:space="preserve"> (Rowlands &amp; Cook, 2022)</w:t>
      </w:r>
      <w:r w:rsidRPr="00051512">
        <w:rPr>
          <w:rFonts w:ascii="Times New Roman" w:hAnsi="Times New Roman" w:cs="Times New Roman"/>
          <w:sz w:val="24"/>
          <w:szCs w:val="24"/>
        </w:rPr>
        <w:t>.</w:t>
      </w:r>
      <w:r w:rsidR="00971219" w:rsidRPr="00051512">
        <w:rPr>
          <w:rFonts w:ascii="Times New Roman" w:hAnsi="Times New Roman" w:cs="Times New Roman"/>
          <w:sz w:val="24"/>
          <w:szCs w:val="24"/>
        </w:rPr>
        <w:t xml:space="preserve"> The Law Commission has recommended reexamining the murderous intent standard. They suggest replacing the existing subjective criteria with one that is more objective, maybe adopting a broader definition of recklessness or developing a tiered system of intent that would take into account different levels of guilt.</w:t>
      </w:r>
    </w:p>
    <w:p w14:paraId="7017F40C" w14:textId="1AEEF3D8" w:rsidR="00177A7A" w:rsidRPr="00051512" w:rsidRDefault="00FC7B35" w:rsidP="00051512">
      <w:pPr>
        <w:spacing w:line="480" w:lineRule="auto"/>
        <w:rPr>
          <w:rFonts w:ascii="Times New Roman" w:hAnsi="Times New Roman" w:cs="Times New Roman"/>
          <w:b/>
          <w:bCs/>
          <w:i/>
          <w:iCs/>
          <w:sz w:val="24"/>
          <w:szCs w:val="24"/>
        </w:rPr>
      </w:pPr>
      <w:r w:rsidRPr="00051512">
        <w:rPr>
          <w:rFonts w:ascii="Times New Roman" w:hAnsi="Times New Roman" w:cs="Times New Roman"/>
          <w:b/>
          <w:bCs/>
          <w:i/>
          <w:iCs/>
          <w:sz w:val="24"/>
          <w:szCs w:val="24"/>
        </w:rPr>
        <w:t>The Breadth of Manslaughter</w:t>
      </w:r>
    </w:p>
    <w:p w14:paraId="0B2384DE" w14:textId="728EBF86" w:rsidR="00FC7B35" w:rsidRPr="00051512" w:rsidRDefault="00FC7B35" w:rsidP="00051512">
      <w:pPr>
        <w:spacing w:line="480" w:lineRule="auto"/>
        <w:ind w:firstLine="720"/>
        <w:rPr>
          <w:rFonts w:ascii="Times New Roman" w:hAnsi="Times New Roman" w:cs="Times New Roman"/>
          <w:sz w:val="24"/>
          <w:szCs w:val="24"/>
        </w:rPr>
      </w:pPr>
      <w:r w:rsidRPr="00051512">
        <w:rPr>
          <w:rFonts w:ascii="Times New Roman" w:hAnsi="Times New Roman" w:cs="Times New Roman"/>
          <w:sz w:val="24"/>
          <w:szCs w:val="24"/>
        </w:rPr>
        <w:t>The existing law covers a wide range of circumstances, such as cases of egregious carelessness or an illegal and risky behavior that results in an unintentional homicide</w:t>
      </w:r>
      <w:r w:rsidR="002926A1" w:rsidRPr="00051512">
        <w:rPr>
          <w:rFonts w:ascii="Times New Roman" w:hAnsi="Times New Roman" w:cs="Times New Roman"/>
          <w:sz w:val="24"/>
          <w:szCs w:val="24"/>
        </w:rPr>
        <w:t xml:space="preserve"> (Downes &amp; Newburn, 2022)</w:t>
      </w:r>
      <w:r w:rsidRPr="00051512">
        <w:rPr>
          <w:rFonts w:ascii="Times New Roman" w:hAnsi="Times New Roman" w:cs="Times New Roman"/>
          <w:sz w:val="24"/>
          <w:szCs w:val="24"/>
        </w:rPr>
        <w:t>. Critics claim that this expansive scope could result in inconsistent sentences and damage the public's sense of justice. To guarantee a more consistent and proper use of the law, some argue for limiting the definition of manslaughter, particularly in situations when unacceptable carelessness or reckless activities result in death</w:t>
      </w:r>
      <w:r w:rsidR="00431B7A" w:rsidRPr="00051512">
        <w:rPr>
          <w:rFonts w:ascii="Times New Roman" w:hAnsi="Times New Roman" w:cs="Times New Roman"/>
          <w:sz w:val="24"/>
          <w:szCs w:val="24"/>
        </w:rPr>
        <w:t xml:space="preserve"> (Dejchai, 2022)</w:t>
      </w:r>
      <w:r w:rsidRPr="00051512">
        <w:rPr>
          <w:rFonts w:ascii="Times New Roman" w:hAnsi="Times New Roman" w:cs="Times New Roman"/>
          <w:sz w:val="24"/>
          <w:szCs w:val="24"/>
        </w:rPr>
        <w:t>. Some propose limiting the scope of manslaughter to address these issues. This could entail clarifying standards for separating out various degrees of responsibility and harm, as well as improving the standards and elements necessary for various manslaughter violations. Limiting the scope might improve consistency in sentencing by making sure that the penalty more accurately reflects the seriousness of the crime and the offender's level of guilt.</w:t>
      </w:r>
      <w:r w:rsidR="00971219" w:rsidRPr="00051512">
        <w:rPr>
          <w:rFonts w:ascii="Times New Roman" w:hAnsi="Times New Roman" w:cs="Times New Roman"/>
          <w:sz w:val="24"/>
          <w:szCs w:val="24"/>
        </w:rPr>
        <w:t xml:space="preserve"> The Law Commission has recommended tightening the standards for certain manslaughter charges in order to reduce the scope of manslaughter. This would entail making clearer distinctions between unlawful act manslaughter, gross negligence manslaughter, and other types of unintended killing in order to represent the proper degree of guilt in each instance</w:t>
      </w:r>
      <w:r w:rsidR="00EC7B5D" w:rsidRPr="00051512">
        <w:rPr>
          <w:rFonts w:ascii="Times New Roman" w:hAnsi="Times New Roman" w:cs="Times New Roman"/>
          <w:sz w:val="24"/>
          <w:szCs w:val="24"/>
        </w:rPr>
        <w:t xml:space="preserve"> (Pikes, 2022)</w:t>
      </w:r>
      <w:r w:rsidR="00971219" w:rsidRPr="00051512">
        <w:rPr>
          <w:rFonts w:ascii="Times New Roman" w:hAnsi="Times New Roman" w:cs="Times New Roman"/>
          <w:sz w:val="24"/>
          <w:szCs w:val="24"/>
        </w:rPr>
        <w:t>.</w:t>
      </w:r>
    </w:p>
    <w:p w14:paraId="23992FA8" w14:textId="2DB09E4E" w:rsidR="00971219" w:rsidRPr="00051512" w:rsidRDefault="00971219" w:rsidP="00051512">
      <w:pPr>
        <w:spacing w:line="480" w:lineRule="auto"/>
        <w:rPr>
          <w:rFonts w:ascii="Times New Roman" w:hAnsi="Times New Roman" w:cs="Times New Roman"/>
          <w:b/>
          <w:bCs/>
          <w:sz w:val="24"/>
          <w:szCs w:val="24"/>
        </w:rPr>
      </w:pPr>
      <w:r w:rsidRPr="00051512">
        <w:rPr>
          <w:rFonts w:ascii="Times New Roman" w:hAnsi="Times New Roman" w:cs="Times New Roman"/>
          <w:b/>
          <w:bCs/>
          <w:sz w:val="24"/>
          <w:szCs w:val="24"/>
        </w:rPr>
        <w:lastRenderedPageBreak/>
        <w:t>The Reasons Behind The Acceptance or Rejection of Specific Reform Proposals By The Government.</w:t>
      </w:r>
    </w:p>
    <w:p w14:paraId="07CB2FFC" w14:textId="728571C3" w:rsidR="00971219" w:rsidRPr="00051512" w:rsidRDefault="00971219" w:rsidP="00051512">
      <w:pPr>
        <w:spacing w:line="480" w:lineRule="auto"/>
        <w:ind w:firstLine="720"/>
        <w:rPr>
          <w:rFonts w:ascii="Times New Roman" w:hAnsi="Times New Roman" w:cs="Times New Roman"/>
          <w:sz w:val="24"/>
          <w:szCs w:val="24"/>
        </w:rPr>
      </w:pPr>
      <w:r w:rsidRPr="00051512">
        <w:rPr>
          <w:rFonts w:ascii="Times New Roman" w:hAnsi="Times New Roman" w:cs="Times New Roman"/>
          <w:sz w:val="24"/>
          <w:szCs w:val="24"/>
        </w:rPr>
        <w:t>Different elements, such as political concerns, public opinion, and the possible impact on the criminal justice system, affect the government's acceptance or rejection of particular reform ideas. Some proposals might be approved because they have the potential to resolve lingering problems, make the law more understandable, and increase its overall efficacy. The government may, however, reject some suggestions if it thinks they could have unforeseen repercussions, be difficult to implement, or even threaten the integrity of the law as it currently stands</w:t>
      </w:r>
      <w:r w:rsidR="008F40AF" w:rsidRPr="00051512">
        <w:rPr>
          <w:rFonts w:ascii="Times New Roman" w:hAnsi="Times New Roman" w:cs="Times New Roman"/>
          <w:sz w:val="24"/>
          <w:szCs w:val="24"/>
        </w:rPr>
        <w:t xml:space="preserve"> (Aplin, 2022)</w:t>
      </w:r>
      <w:r w:rsidRPr="00051512">
        <w:rPr>
          <w:rFonts w:ascii="Times New Roman" w:hAnsi="Times New Roman" w:cs="Times New Roman"/>
          <w:sz w:val="24"/>
          <w:szCs w:val="24"/>
        </w:rPr>
        <w:t>. The justifications offered must be used to evaluate the government's reform decisions. It is critical to determine whether their arguments adhere to the ideals of justice, fairness, and the general welfare of society. The justifications must be evaluated in light of the potential advantages and disadvantages of any changes, as well as their effects on the judicial system, victims, defendants, and society at general</w:t>
      </w:r>
      <w:r w:rsidR="00761B09" w:rsidRPr="00051512">
        <w:rPr>
          <w:rFonts w:ascii="Times New Roman" w:hAnsi="Times New Roman" w:cs="Times New Roman"/>
          <w:sz w:val="24"/>
          <w:szCs w:val="24"/>
        </w:rPr>
        <w:t xml:space="preserve"> (Aplin, 2022)</w:t>
      </w:r>
      <w:r w:rsidRPr="00051512">
        <w:rPr>
          <w:rFonts w:ascii="Times New Roman" w:hAnsi="Times New Roman" w:cs="Times New Roman"/>
          <w:sz w:val="24"/>
          <w:szCs w:val="24"/>
        </w:rPr>
        <w:t>.</w:t>
      </w:r>
    </w:p>
    <w:p w14:paraId="484507EB" w14:textId="18FC9650" w:rsidR="00971219" w:rsidRPr="00051512" w:rsidRDefault="00971219" w:rsidP="00051512">
      <w:pPr>
        <w:spacing w:line="480" w:lineRule="auto"/>
        <w:ind w:firstLine="720"/>
        <w:rPr>
          <w:rFonts w:ascii="Times New Roman" w:hAnsi="Times New Roman" w:cs="Times New Roman"/>
          <w:sz w:val="24"/>
          <w:szCs w:val="24"/>
        </w:rPr>
      </w:pPr>
      <w:r w:rsidRPr="00051512">
        <w:rPr>
          <w:rFonts w:ascii="Times New Roman" w:hAnsi="Times New Roman" w:cs="Times New Roman"/>
          <w:sz w:val="24"/>
          <w:szCs w:val="24"/>
        </w:rPr>
        <w:t>It is crucial to take into account the opinions of academics, interest organizations, and legal professionals when examining stakeholder perspectives. These stakeholders could offer insightful criticism and commentary on the suggested modifications. Their opinions can help provide a well-rounded evaluation of the probable effects and appropriateness of particular amendments to the homicide statute. Evaluating these viewpoints can assist in locating potential points of agreement, contrasting views, and highlighting any particular issues or factors that should be taken into account during the reform process.</w:t>
      </w:r>
    </w:p>
    <w:p w14:paraId="33F0B3EE" w14:textId="0443551A" w:rsidR="00971219" w:rsidRPr="00051512" w:rsidRDefault="00971219" w:rsidP="00051512">
      <w:pPr>
        <w:spacing w:line="480" w:lineRule="auto"/>
        <w:rPr>
          <w:rFonts w:ascii="Times New Roman" w:hAnsi="Times New Roman" w:cs="Times New Roman"/>
          <w:b/>
          <w:bCs/>
          <w:sz w:val="24"/>
          <w:szCs w:val="24"/>
        </w:rPr>
      </w:pPr>
      <w:r w:rsidRPr="00051512">
        <w:rPr>
          <w:rFonts w:ascii="Times New Roman" w:hAnsi="Times New Roman" w:cs="Times New Roman"/>
          <w:b/>
          <w:bCs/>
          <w:sz w:val="24"/>
          <w:szCs w:val="24"/>
        </w:rPr>
        <w:t>Arguments Against Reform</w:t>
      </w:r>
    </w:p>
    <w:p w14:paraId="1EF383D6" w14:textId="532355EC" w:rsidR="00FC7B35" w:rsidRPr="00051512" w:rsidRDefault="005539F1" w:rsidP="00051512">
      <w:pPr>
        <w:spacing w:line="480" w:lineRule="auto"/>
        <w:ind w:firstLine="720"/>
        <w:rPr>
          <w:rFonts w:ascii="Times New Roman" w:hAnsi="Times New Roman" w:cs="Times New Roman"/>
          <w:sz w:val="24"/>
          <w:szCs w:val="24"/>
        </w:rPr>
      </w:pPr>
      <w:r w:rsidRPr="00051512">
        <w:rPr>
          <w:rFonts w:ascii="Times New Roman" w:hAnsi="Times New Roman" w:cs="Times New Roman"/>
          <w:sz w:val="24"/>
          <w:szCs w:val="24"/>
        </w:rPr>
        <w:lastRenderedPageBreak/>
        <w:t>The argument that the current legal system in England and Wales is enough and that reform is not required is made by those opposed to changing the legislation controlling homicide there. The preservation of legal tradition is emphasized in one important argument. Those opposed to reform argue that the fact that some elements of homicide law haven't altered since the seventeenth century is proof of their durability and efficacy</w:t>
      </w:r>
      <w:r w:rsidR="00BA5E24" w:rsidRPr="00051512">
        <w:rPr>
          <w:rFonts w:ascii="Times New Roman" w:hAnsi="Times New Roman" w:cs="Times New Roman"/>
          <w:sz w:val="24"/>
          <w:szCs w:val="24"/>
        </w:rPr>
        <w:t xml:space="preserve"> (Jones et al.</w:t>
      </w:r>
      <w:r w:rsidR="006C752D" w:rsidRPr="00051512">
        <w:rPr>
          <w:rFonts w:ascii="Times New Roman" w:hAnsi="Times New Roman" w:cs="Times New Roman"/>
          <w:sz w:val="24"/>
          <w:szCs w:val="24"/>
        </w:rPr>
        <w:t>, 2022)</w:t>
      </w:r>
      <w:r w:rsidRPr="00051512">
        <w:rPr>
          <w:rFonts w:ascii="Times New Roman" w:hAnsi="Times New Roman" w:cs="Times New Roman"/>
          <w:sz w:val="24"/>
          <w:szCs w:val="24"/>
        </w:rPr>
        <w:t>. They caution against rash changes that can upset long-standing legal norms and contend that these enduring principles help to ensure the uniformity and predictability of the legal system</w:t>
      </w:r>
      <w:r w:rsidR="00D85AE6" w:rsidRPr="00051512">
        <w:rPr>
          <w:rFonts w:ascii="Times New Roman" w:hAnsi="Times New Roman" w:cs="Times New Roman"/>
          <w:sz w:val="24"/>
          <w:szCs w:val="24"/>
        </w:rPr>
        <w:t xml:space="preserve">. </w:t>
      </w:r>
      <w:r w:rsidRPr="00051512">
        <w:rPr>
          <w:rFonts w:ascii="Times New Roman" w:hAnsi="Times New Roman" w:cs="Times New Roman"/>
          <w:sz w:val="24"/>
          <w:szCs w:val="24"/>
        </w:rPr>
        <w:t>Upholding the sanctity of life is a different justification for resisting reform. Advocates for the current legal system claim that it already acknowledges and safeguards the immense value of human life</w:t>
      </w:r>
      <w:r w:rsidR="00C734A1" w:rsidRPr="00051512">
        <w:rPr>
          <w:rFonts w:ascii="Times New Roman" w:hAnsi="Times New Roman" w:cs="Times New Roman"/>
          <w:sz w:val="24"/>
          <w:szCs w:val="24"/>
        </w:rPr>
        <w:t xml:space="preserve"> (Downes &amp; Newburn, 2022)</w:t>
      </w:r>
      <w:r w:rsidRPr="00051512">
        <w:rPr>
          <w:rFonts w:ascii="Times New Roman" w:hAnsi="Times New Roman" w:cs="Times New Roman"/>
          <w:sz w:val="24"/>
          <w:szCs w:val="24"/>
        </w:rPr>
        <w:t>. According to them, the severity and seriousness of taking another person's life justifies the current legal system's stringent enforcement. They contend that any changes to the legislation risk undermining this fundamental tenet and creating the impression that society places less importance on human life.</w:t>
      </w:r>
      <w:r w:rsidR="00D85AE6" w:rsidRPr="00051512">
        <w:rPr>
          <w:rFonts w:ascii="Times New Roman" w:hAnsi="Times New Roman" w:cs="Times New Roman"/>
          <w:sz w:val="24"/>
          <w:szCs w:val="24"/>
        </w:rPr>
        <w:t xml:space="preserve"> </w:t>
      </w:r>
      <w:r w:rsidRPr="00051512">
        <w:rPr>
          <w:rFonts w:ascii="Times New Roman" w:hAnsi="Times New Roman" w:cs="Times New Roman"/>
          <w:sz w:val="24"/>
          <w:szCs w:val="24"/>
        </w:rPr>
        <w:t>Reform opponents emphasize the value of consistency and clarity in the legal system. They argue that keeping things as they are gives the public and legal experts predictability and a clear knowledge of legal concepts. According to this viewpoint, any modifications to the law could cause ambiguity and uncertainty, which might result in varying interpretations and outcomes. They contend that the impartial administration of justice depends on predictable and well-established legal rules.</w:t>
      </w:r>
    </w:p>
    <w:p w14:paraId="4762BCBB" w14:textId="2645EE5A" w:rsidR="00D85AE6" w:rsidRPr="00051512" w:rsidRDefault="00D85AE6" w:rsidP="00051512">
      <w:pPr>
        <w:spacing w:line="480" w:lineRule="auto"/>
        <w:rPr>
          <w:rFonts w:ascii="Times New Roman" w:hAnsi="Times New Roman" w:cs="Times New Roman"/>
          <w:b/>
          <w:bCs/>
          <w:sz w:val="24"/>
          <w:szCs w:val="24"/>
        </w:rPr>
      </w:pPr>
      <w:r w:rsidRPr="00051512">
        <w:rPr>
          <w:rFonts w:ascii="Times New Roman" w:hAnsi="Times New Roman" w:cs="Times New Roman"/>
          <w:b/>
          <w:bCs/>
          <w:sz w:val="24"/>
          <w:szCs w:val="24"/>
        </w:rPr>
        <w:t xml:space="preserve">Conclusion </w:t>
      </w:r>
    </w:p>
    <w:p w14:paraId="4AB4E3A5" w14:textId="17AFC7EE" w:rsidR="00051512" w:rsidRPr="00051512" w:rsidRDefault="00D85AE6" w:rsidP="00051512">
      <w:pPr>
        <w:spacing w:line="480" w:lineRule="auto"/>
        <w:ind w:firstLine="720"/>
        <w:rPr>
          <w:rFonts w:ascii="Times New Roman" w:hAnsi="Times New Roman" w:cs="Times New Roman"/>
          <w:b/>
          <w:bCs/>
          <w:sz w:val="24"/>
          <w:szCs w:val="24"/>
        </w:rPr>
      </w:pPr>
      <w:r w:rsidRPr="00051512">
        <w:rPr>
          <w:rFonts w:ascii="Times New Roman" w:hAnsi="Times New Roman" w:cs="Times New Roman"/>
          <w:sz w:val="24"/>
          <w:szCs w:val="24"/>
        </w:rPr>
        <w:t xml:space="preserve">In conclusion, there have been ongoing discussions about the necessity for reform in the laws governing homicide in England and Wales. Opponents emphasize the preservation of legal tradition, the sanctity of life, certainty, and limited resources while proponents emphasize the need for adjustments to rectify flaws and be in line with modern values. It is evident from an </w:t>
      </w:r>
      <w:r w:rsidRPr="00051512">
        <w:rPr>
          <w:rFonts w:ascii="Times New Roman" w:hAnsi="Times New Roman" w:cs="Times New Roman"/>
          <w:sz w:val="24"/>
          <w:szCs w:val="24"/>
        </w:rPr>
        <w:lastRenderedPageBreak/>
        <w:t>evaluation of the proposed changes, government actions, and stakeholder perspectives that reform initiatives must strike a balance between the pursuit of justice, fairness, and consistency. To provide an efficient and fair framework for addressing homicide cases, any change, in the end, should carefully assess the potential implications and uphold the core principles of the legal system</w:t>
      </w:r>
      <w:r w:rsidRPr="00051512">
        <w:rPr>
          <w:rFonts w:ascii="Times New Roman" w:hAnsi="Times New Roman" w:cs="Times New Roman"/>
          <w:b/>
          <w:bCs/>
          <w:sz w:val="24"/>
          <w:szCs w:val="24"/>
        </w:rPr>
        <w:t>.</w:t>
      </w:r>
    </w:p>
    <w:p w14:paraId="7B6C211C" w14:textId="77777777" w:rsidR="00051512" w:rsidRDefault="00051512" w:rsidP="00051512">
      <w:pPr>
        <w:spacing w:line="480" w:lineRule="auto"/>
        <w:rPr>
          <w:rFonts w:ascii="Times New Roman" w:hAnsi="Times New Roman" w:cs="Times New Roman"/>
          <w:b/>
          <w:bCs/>
          <w:sz w:val="24"/>
          <w:szCs w:val="24"/>
        </w:rPr>
      </w:pPr>
    </w:p>
    <w:p w14:paraId="59A1A0B1" w14:textId="77777777" w:rsidR="00051512" w:rsidRDefault="00051512" w:rsidP="00051512">
      <w:pPr>
        <w:spacing w:line="480" w:lineRule="auto"/>
        <w:rPr>
          <w:rFonts w:ascii="Times New Roman" w:hAnsi="Times New Roman" w:cs="Times New Roman"/>
          <w:b/>
          <w:bCs/>
          <w:sz w:val="24"/>
          <w:szCs w:val="24"/>
        </w:rPr>
      </w:pPr>
    </w:p>
    <w:p w14:paraId="655BA317" w14:textId="77777777" w:rsidR="00051512" w:rsidRDefault="00051512" w:rsidP="00051512">
      <w:pPr>
        <w:spacing w:line="480" w:lineRule="auto"/>
        <w:rPr>
          <w:rFonts w:ascii="Times New Roman" w:hAnsi="Times New Roman" w:cs="Times New Roman"/>
          <w:b/>
          <w:bCs/>
          <w:sz w:val="24"/>
          <w:szCs w:val="24"/>
        </w:rPr>
      </w:pPr>
    </w:p>
    <w:p w14:paraId="385D7B20" w14:textId="77777777" w:rsidR="00051512" w:rsidRDefault="00051512" w:rsidP="00051512">
      <w:pPr>
        <w:spacing w:line="480" w:lineRule="auto"/>
        <w:rPr>
          <w:rFonts w:ascii="Times New Roman" w:hAnsi="Times New Roman" w:cs="Times New Roman"/>
          <w:b/>
          <w:bCs/>
          <w:sz w:val="24"/>
          <w:szCs w:val="24"/>
        </w:rPr>
      </w:pPr>
    </w:p>
    <w:p w14:paraId="1762C01D" w14:textId="77777777" w:rsidR="00051512" w:rsidRDefault="00051512" w:rsidP="00051512">
      <w:pPr>
        <w:spacing w:line="480" w:lineRule="auto"/>
        <w:rPr>
          <w:rFonts w:ascii="Times New Roman" w:hAnsi="Times New Roman" w:cs="Times New Roman"/>
          <w:b/>
          <w:bCs/>
          <w:sz w:val="24"/>
          <w:szCs w:val="24"/>
        </w:rPr>
      </w:pPr>
    </w:p>
    <w:p w14:paraId="7FD03869" w14:textId="77777777" w:rsidR="00051512" w:rsidRDefault="00051512" w:rsidP="00051512">
      <w:pPr>
        <w:spacing w:line="480" w:lineRule="auto"/>
        <w:rPr>
          <w:rFonts w:ascii="Times New Roman" w:hAnsi="Times New Roman" w:cs="Times New Roman"/>
          <w:b/>
          <w:bCs/>
          <w:sz w:val="24"/>
          <w:szCs w:val="24"/>
        </w:rPr>
      </w:pPr>
    </w:p>
    <w:p w14:paraId="113E4F00" w14:textId="77777777" w:rsidR="00051512" w:rsidRDefault="00051512" w:rsidP="00051512">
      <w:pPr>
        <w:spacing w:line="480" w:lineRule="auto"/>
        <w:rPr>
          <w:rFonts w:ascii="Times New Roman" w:hAnsi="Times New Roman" w:cs="Times New Roman"/>
          <w:b/>
          <w:bCs/>
          <w:sz w:val="24"/>
          <w:szCs w:val="24"/>
        </w:rPr>
      </w:pPr>
    </w:p>
    <w:p w14:paraId="4D8FDC5A" w14:textId="77777777" w:rsidR="00051512" w:rsidRDefault="00051512" w:rsidP="00051512">
      <w:pPr>
        <w:spacing w:line="480" w:lineRule="auto"/>
        <w:rPr>
          <w:rFonts w:ascii="Times New Roman" w:hAnsi="Times New Roman" w:cs="Times New Roman"/>
          <w:b/>
          <w:bCs/>
          <w:sz w:val="24"/>
          <w:szCs w:val="24"/>
        </w:rPr>
      </w:pPr>
    </w:p>
    <w:p w14:paraId="1DADBE3C" w14:textId="77777777" w:rsidR="00051512" w:rsidRDefault="00051512" w:rsidP="00051512">
      <w:pPr>
        <w:spacing w:line="480" w:lineRule="auto"/>
        <w:rPr>
          <w:rFonts w:ascii="Times New Roman" w:hAnsi="Times New Roman" w:cs="Times New Roman"/>
          <w:b/>
          <w:bCs/>
          <w:sz w:val="24"/>
          <w:szCs w:val="24"/>
        </w:rPr>
      </w:pPr>
    </w:p>
    <w:p w14:paraId="0110F189" w14:textId="77777777" w:rsidR="00051512" w:rsidRDefault="00051512" w:rsidP="00051512">
      <w:pPr>
        <w:spacing w:line="480" w:lineRule="auto"/>
        <w:rPr>
          <w:rFonts w:ascii="Times New Roman" w:hAnsi="Times New Roman" w:cs="Times New Roman"/>
          <w:b/>
          <w:bCs/>
          <w:sz w:val="24"/>
          <w:szCs w:val="24"/>
        </w:rPr>
      </w:pPr>
    </w:p>
    <w:p w14:paraId="09B8067F" w14:textId="77777777" w:rsidR="00051512" w:rsidRDefault="00051512" w:rsidP="00051512">
      <w:pPr>
        <w:spacing w:line="480" w:lineRule="auto"/>
        <w:rPr>
          <w:rFonts w:ascii="Times New Roman" w:hAnsi="Times New Roman" w:cs="Times New Roman"/>
          <w:b/>
          <w:bCs/>
          <w:sz w:val="24"/>
          <w:szCs w:val="24"/>
        </w:rPr>
      </w:pPr>
    </w:p>
    <w:p w14:paraId="262AD631" w14:textId="77777777" w:rsidR="00051512" w:rsidRDefault="00051512" w:rsidP="00051512">
      <w:pPr>
        <w:spacing w:line="480" w:lineRule="auto"/>
        <w:rPr>
          <w:rFonts w:ascii="Times New Roman" w:hAnsi="Times New Roman" w:cs="Times New Roman"/>
          <w:b/>
          <w:bCs/>
          <w:sz w:val="24"/>
          <w:szCs w:val="24"/>
        </w:rPr>
      </w:pPr>
    </w:p>
    <w:p w14:paraId="2D427339" w14:textId="77777777" w:rsidR="00051512" w:rsidRDefault="00051512" w:rsidP="00051512">
      <w:pPr>
        <w:spacing w:line="480" w:lineRule="auto"/>
        <w:rPr>
          <w:rFonts w:ascii="Times New Roman" w:hAnsi="Times New Roman" w:cs="Times New Roman"/>
          <w:b/>
          <w:bCs/>
          <w:sz w:val="24"/>
          <w:szCs w:val="24"/>
        </w:rPr>
      </w:pPr>
    </w:p>
    <w:p w14:paraId="5EEDC0D4" w14:textId="5467CD79" w:rsidR="00051512" w:rsidRPr="00051512" w:rsidRDefault="00051512" w:rsidP="00051512">
      <w:pPr>
        <w:spacing w:line="480" w:lineRule="auto"/>
        <w:ind w:left="720" w:hanging="720"/>
        <w:jc w:val="center"/>
        <w:rPr>
          <w:rFonts w:ascii="Times New Roman" w:hAnsi="Times New Roman" w:cs="Times New Roman"/>
          <w:b/>
          <w:bCs/>
          <w:sz w:val="24"/>
          <w:szCs w:val="24"/>
        </w:rPr>
      </w:pPr>
      <w:r w:rsidRPr="00051512">
        <w:rPr>
          <w:rFonts w:ascii="Times New Roman" w:hAnsi="Times New Roman" w:cs="Times New Roman"/>
          <w:sz w:val="24"/>
          <w:szCs w:val="24"/>
        </w:rPr>
        <w:t>References</w:t>
      </w:r>
    </w:p>
    <w:p w14:paraId="620B6A2B" w14:textId="77777777" w:rsidR="00051512" w:rsidRPr="00051512" w:rsidRDefault="00051512" w:rsidP="00051512">
      <w:pPr>
        <w:spacing w:line="480" w:lineRule="auto"/>
        <w:ind w:left="720" w:hanging="720"/>
        <w:rPr>
          <w:rFonts w:ascii="Times New Roman" w:hAnsi="Times New Roman" w:cs="Times New Roman"/>
          <w:sz w:val="24"/>
          <w:szCs w:val="24"/>
        </w:rPr>
      </w:pPr>
      <w:r w:rsidRPr="00051512">
        <w:rPr>
          <w:rFonts w:ascii="Times New Roman" w:hAnsi="Times New Roman" w:cs="Times New Roman"/>
          <w:sz w:val="24"/>
          <w:szCs w:val="24"/>
        </w:rPr>
        <w:lastRenderedPageBreak/>
        <w:t>Aplin, R., 2022. Police discretion, pragmatism and crime ‘deconstruction’: Police doorstep crime investigations in England and Wales. </w:t>
      </w:r>
      <w:r w:rsidRPr="00051512">
        <w:rPr>
          <w:rFonts w:ascii="Times New Roman" w:hAnsi="Times New Roman" w:cs="Times New Roman"/>
          <w:i/>
          <w:iCs/>
          <w:sz w:val="24"/>
          <w:szCs w:val="24"/>
        </w:rPr>
        <w:t>Policing and Society</w:t>
      </w:r>
      <w:r w:rsidRPr="00051512">
        <w:rPr>
          <w:rFonts w:ascii="Times New Roman" w:hAnsi="Times New Roman" w:cs="Times New Roman"/>
          <w:sz w:val="24"/>
          <w:szCs w:val="24"/>
        </w:rPr>
        <w:t>, </w:t>
      </w:r>
      <w:r w:rsidRPr="00051512">
        <w:rPr>
          <w:rFonts w:ascii="Times New Roman" w:hAnsi="Times New Roman" w:cs="Times New Roman"/>
          <w:i/>
          <w:iCs/>
          <w:sz w:val="24"/>
          <w:szCs w:val="24"/>
        </w:rPr>
        <w:t>32</w:t>
      </w:r>
      <w:r w:rsidRPr="00051512">
        <w:rPr>
          <w:rFonts w:ascii="Times New Roman" w:hAnsi="Times New Roman" w:cs="Times New Roman"/>
          <w:sz w:val="24"/>
          <w:szCs w:val="24"/>
        </w:rPr>
        <w:t>(4), pp.451-471.</w:t>
      </w:r>
    </w:p>
    <w:p w14:paraId="6AF4D5B3" w14:textId="77777777" w:rsidR="00051512" w:rsidRPr="00051512" w:rsidRDefault="00051512" w:rsidP="00051512">
      <w:pPr>
        <w:spacing w:line="480" w:lineRule="auto"/>
        <w:ind w:left="720" w:hanging="720"/>
        <w:rPr>
          <w:rFonts w:ascii="Times New Roman" w:hAnsi="Times New Roman" w:cs="Times New Roman"/>
          <w:sz w:val="24"/>
          <w:szCs w:val="24"/>
        </w:rPr>
      </w:pPr>
      <w:r w:rsidRPr="00051512">
        <w:rPr>
          <w:rFonts w:ascii="Times New Roman" w:hAnsi="Times New Roman" w:cs="Times New Roman"/>
          <w:sz w:val="24"/>
          <w:szCs w:val="24"/>
        </w:rPr>
        <w:t>Bettinson, V., 2022. A comparative analysis of non-fatal strangulation offences: Will the proposed s. 75A Serious Crime Act 2015 work for victims of domestic violence and abuse?. </w:t>
      </w:r>
      <w:r w:rsidRPr="00051512">
        <w:rPr>
          <w:rFonts w:ascii="Times New Roman" w:hAnsi="Times New Roman" w:cs="Times New Roman"/>
          <w:i/>
          <w:iCs/>
          <w:sz w:val="24"/>
          <w:szCs w:val="24"/>
        </w:rPr>
        <w:t>The Journal of Criminal Law</w:t>
      </w:r>
      <w:r w:rsidRPr="00051512">
        <w:rPr>
          <w:rFonts w:ascii="Times New Roman" w:hAnsi="Times New Roman" w:cs="Times New Roman"/>
          <w:sz w:val="24"/>
          <w:szCs w:val="24"/>
        </w:rPr>
        <w:t>, </w:t>
      </w:r>
      <w:r w:rsidRPr="00051512">
        <w:rPr>
          <w:rFonts w:ascii="Times New Roman" w:hAnsi="Times New Roman" w:cs="Times New Roman"/>
          <w:i/>
          <w:iCs/>
          <w:sz w:val="24"/>
          <w:szCs w:val="24"/>
        </w:rPr>
        <w:t>86</w:t>
      </w:r>
      <w:r w:rsidRPr="00051512">
        <w:rPr>
          <w:rFonts w:ascii="Times New Roman" w:hAnsi="Times New Roman" w:cs="Times New Roman"/>
          <w:sz w:val="24"/>
          <w:szCs w:val="24"/>
        </w:rPr>
        <w:t>(2), pp.75-93.</w:t>
      </w:r>
    </w:p>
    <w:p w14:paraId="4DB72B50" w14:textId="77777777" w:rsidR="00051512" w:rsidRPr="00051512" w:rsidRDefault="00051512" w:rsidP="00051512">
      <w:pPr>
        <w:spacing w:line="480" w:lineRule="auto"/>
        <w:ind w:left="720" w:hanging="720"/>
        <w:rPr>
          <w:rFonts w:ascii="Times New Roman" w:hAnsi="Times New Roman" w:cs="Times New Roman"/>
          <w:sz w:val="24"/>
          <w:szCs w:val="24"/>
        </w:rPr>
      </w:pPr>
      <w:r w:rsidRPr="00051512">
        <w:rPr>
          <w:rFonts w:ascii="Times New Roman" w:hAnsi="Times New Roman" w:cs="Times New Roman"/>
          <w:sz w:val="24"/>
          <w:szCs w:val="24"/>
        </w:rPr>
        <w:t>Dejchai, Y., 2022. Problems Regarding the Fitness for Trial in Thailand: A Comparative Study with the Jurisdiction of England and Wales, and the Netherlands. </w:t>
      </w:r>
      <w:r w:rsidRPr="00051512">
        <w:rPr>
          <w:rFonts w:ascii="Times New Roman" w:hAnsi="Times New Roman" w:cs="Times New Roman"/>
          <w:i/>
          <w:iCs/>
          <w:sz w:val="24"/>
          <w:szCs w:val="24"/>
        </w:rPr>
        <w:t>Nitipat NIDA Law Journal</w:t>
      </w:r>
      <w:r w:rsidRPr="00051512">
        <w:rPr>
          <w:rFonts w:ascii="Times New Roman" w:hAnsi="Times New Roman" w:cs="Times New Roman"/>
          <w:sz w:val="24"/>
          <w:szCs w:val="24"/>
        </w:rPr>
        <w:t>, </w:t>
      </w:r>
      <w:r w:rsidRPr="00051512">
        <w:rPr>
          <w:rFonts w:ascii="Times New Roman" w:hAnsi="Times New Roman" w:cs="Times New Roman"/>
          <w:i/>
          <w:iCs/>
          <w:sz w:val="24"/>
          <w:szCs w:val="24"/>
        </w:rPr>
        <w:t>11</w:t>
      </w:r>
      <w:r w:rsidRPr="00051512">
        <w:rPr>
          <w:rFonts w:ascii="Times New Roman" w:hAnsi="Times New Roman" w:cs="Times New Roman"/>
          <w:sz w:val="24"/>
          <w:szCs w:val="24"/>
        </w:rPr>
        <w:t>(1), pp.13-34.</w:t>
      </w:r>
    </w:p>
    <w:p w14:paraId="07057C80" w14:textId="77777777" w:rsidR="00051512" w:rsidRPr="00051512" w:rsidRDefault="00051512" w:rsidP="00051512">
      <w:pPr>
        <w:spacing w:line="480" w:lineRule="auto"/>
        <w:ind w:left="720" w:hanging="720"/>
        <w:rPr>
          <w:rFonts w:ascii="Times New Roman" w:hAnsi="Times New Roman" w:cs="Times New Roman"/>
          <w:sz w:val="24"/>
          <w:szCs w:val="24"/>
        </w:rPr>
      </w:pPr>
      <w:r w:rsidRPr="00051512">
        <w:rPr>
          <w:rFonts w:ascii="Times New Roman" w:hAnsi="Times New Roman" w:cs="Times New Roman"/>
          <w:sz w:val="24"/>
          <w:szCs w:val="24"/>
        </w:rPr>
        <w:t>Downes, D. and Newburn, T., 2022. </w:t>
      </w:r>
      <w:r w:rsidRPr="00051512">
        <w:rPr>
          <w:rFonts w:ascii="Times New Roman" w:hAnsi="Times New Roman" w:cs="Times New Roman"/>
          <w:i/>
          <w:iCs/>
          <w:sz w:val="24"/>
          <w:szCs w:val="24"/>
        </w:rPr>
        <w:t>The Official History of Criminal Justice in England and Wales: Volume IV: The Politics of Law and Order</w:t>
      </w:r>
      <w:r w:rsidRPr="00051512">
        <w:rPr>
          <w:rFonts w:ascii="Times New Roman" w:hAnsi="Times New Roman" w:cs="Times New Roman"/>
          <w:sz w:val="24"/>
          <w:szCs w:val="24"/>
        </w:rPr>
        <w:t>. Taylor &amp; Francis.</w:t>
      </w:r>
    </w:p>
    <w:p w14:paraId="7885E535" w14:textId="77777777" w:rsidR="00051512" w:rsidRPr="00051512" w:rsidRDefault="00051512" w:rsidP="00051512">
      <w:pPr>
        <w:spacing w:line="480" w:lineRule="auto"/>
        <w:ind w:left="720" w:hanging="720"/>
        <w:rPr>
          <w:rFonts w:ascii="Times New Roman" w:hAnsi="Times New Roman" w:cs="Times New Roman"/>
          <w:sz w:val="24"/>
          <w:szCs w:val="24"/>
        </w:rPr>
      </w:pPr>
      <w:r w:rsidRPr="00051512">
        <w:rPr>
          <w:rFonts w:ascii="Times New Roman" w:hAnsi="Times New Roman" w:cs="Times New Roman"/>
          <w:sz w:val="24"/>
          <w:szCs w:val="24"/>
        </w:rPr>
        <w:t>Jones, C., Bracewell, K., Clegg, A., Stanley, N. and Chantler, K., 2022. Domestic homicide review committees’ recommendations and impacts: a systematic review. </w:t>
      </w:r>
      <w:r w:rsidRPr="00051512">
        <w:rPr>
          <w:rFonts w:ascii="Times New Roman" w:hAnsi="Times New Roman" w:cs="Times New Roman"/>
          <w:i/>
          <w:iCs/>
          <w:sz w:val="24"/>
          <w:szCs w:val="24"/>
        </w:rPr>
        <w:t>Homicide studies</w:t>
      </w:r>
      <w:r w:rsidRPr="00051512">
        <w:rPr>
          <w:rFonts w:ascii="Times New Roman" w:hAnsi="Times New Roman" w:cs="Times New Roman"/>
          <w:sz w:val="24"/>
          <w:szCs w:val="24"/>
        </w:rPr>
        <w:t>, DOI:10887679221081788.</w:t>
      </w:r>
    </w:p>
    <w:p w14:paraId="43B710A0" w14:textId="77777777" w:rsidR="00051512" w:rsidRPr="00051512" w:rsidRDefault="00051512" w:rsidP="00051512">
      <w:pPr>
        <w:spacing w:line="480" w:lineRule="auto"/>
        <w:ind w:left="720" w:hanging="720"/>
        <w:rPr>
          <w:rFonts w:ascii="Times New Roman" w:hAnsi="Times New Roman" w:cs="Times New Roman"/>
          <w:sz w:val="24"/>
          <w:szCs w:val="24"/>
        </w:rPr>
      </w:pPr>
      <w:r w:rsidRPr="00051512">
        <w:rPr>
          <w:rFonts w:ascii="Times New Roman" w:hAnsi="Times New Roman" w:cs="Times New Roman"/>
          <w:sz w:val="24"/>
          <w:szCs w:val="24"/>
        </w:rPr>
        <w:t>Leigh, G., 2022. Murderous intent—The attitude of a murderer?. </w:t>
      </w:r>
      <w:r w:rsidRPr="00051512">
        <w:rPr>
          <w:rFonts w:ascii="Times New Roman" w:hAnsi="Times New Roman" w:cs="Times New Roman"/>
          <w:i/>
          <w:iCs/>
          <w:sz w:val="24"/>
          <w:szCs w:val="24"/>
        </w:rPr>
        <w:t>The Journal of Criminal Law</w:t>
      </w:r>
      <w:r w:rsidRPr="00051512">
        <w:rPr>
          <w:rFonts w:ascii="Times New Roman" w:hAnsi="Times New Roman" w:cs="Times New Roman"/>
          <w:sz w:val="24"/>
          <w:szCs w:val="24"/>
        </w:rPr>
        <w:t>, </w:t>
      </w:r>
      <w:r w:rsidRPr="00051512">
        <w:rPr>
          <w:rFonts w:ascii="Times New Roman" w:hAnsi="Times New Roman" w:cs="Times New Roman"/>
          <w:i/>
          <w:iCs/>
          <w:sz w:val="24"/>
          <w:szCs w:val="24"/>
        </w:rPr>
        <w:t>86</w:t>
      </w:r>
      <w:r w:rsidRPr="00051512">
        <w:rPr>
          <w:rFonts w:ascii="Times New Roman" w:hAnsi="Times New Roman" w:cs="Times New Roman"/>
          <w:sz w:val="24"/>
          <w:szCs w:val="24"/>
        </w:rPr>
        <w:t>(1), pp.18-28.</w:t>
      </w:r>
    </w:p>
    <w:p w14:paraId="61059307" w14:textId="77777777" w:rsidR="00051512" w:rsidRPr="00051512" w:rsidRDefault="00051512" w:rsidP="00051512">
      <w:pPr>
        <w:spacing w:line="480" w:lineRule="auto"/>
        <w:ind w:left="720" w:hanging="720"/>
        <w:rPr>
          <w:rFonts w:ascii="Times New Roman" w:hAnsi="Times New Roman" w:cs="Times New Roman"/>
          <w:sz w:val="24"/>
          <w:szCs w:val="24"/>
        </w:rPr>
      </w:pPr>
      <w:r w:rsidRPr="00051512">
        <w:rPr>
          <w:rFonts w:ascii="Times New Roman" w:hAnsi="Times New Roman" w:cs="Times New Roman"/>
          <w:sz w:val="24"/>
          <w:szCs w:val="24"/>
        </w:rPr>
        <w:t>Pike, S., 2022. </w:t>
      </w:r>
      <w:r w:rsidRPr="00051512">
        <w:rPr>
          <w:rFonts w:ascii="Times New Roman" w:hAnsi="Times New Roman" w:cs="Times New Roman"/>
          <w:i/>
          <w:iCs/>
          <w:sz w:val="24"/>
          <w:szCs w:val="24"/>
        </w:rPr>
        <w:t>A recent history of homicide investigation: changes and implications for criminal justice in England and Wales</w:t>
      </w:r>
      <w:r w:rsidRPr="00051512">
        <w:rPr>
          <w:rFonts w:ascii="Times New Roman" w:hAnsi="Times New Roman" w:cs="Times New Roman"/>
          <w:sz w:val="24"/>
          <w:szCs w:val="24"/>
        </w:rPr>
        <w:t>. Taylor &amp; Francis.</w:t>
      </w:r>
    </w:p>
    <w:p w14:paraId="2DE669A2" w14:textId="77777777" w:rsidR="00051512" w:rsidRPr="00051512" w:rsidRDefault="00051512" w:rsidP="00051512">
      <w:pPr>
        <w:spacing w:line="480" w:lineRule="auto"/>
        <w:ind w:left="720" w:hanging="720"/>
        <w:rPr>
          <w:rFonts w:ascii="Times New Roman" w:hAnsi="Times New Roman" w:cs="Times New Roman"/>
          <w:sz w:val="24"/>
          <w:szCs w:val="24"/>
        </w:rPr>
      </w:pPr>
      <w:r w:rsidRPr="00051512">
        <w:rPr>
          <w:rFonts w:ascii="Times New Roman" w:hAnsi="Times New Roman" w:cs="Times New Roman"/>
          <w:sz w:val="24"/>
          <w:szCs w:val="24"/>
        </w:rPr>
        <w:t>Roper, V., 2022. The Corporate Manslaughter and Corporate Homicide Act 2007: A re-evaluation 10 years on from the first case. </w:t>
      </w:r>
      <w:r w:rsidRPr="00051512">
        <w:rPr>
          <w:rFonts w:ascii="Times New Roman" w:hAnsi="Times New Roman" w:cs="Times New Roman"/>
          <w:i/>
          <w:iCs/>
          <w:sz w:val="24"/>
          <w:szCs w:val="24"/>
        </w:rPr>
        <w:t>Criminal Law Review</w:t>
      </w:r>
      <w:r w:rsidRPr="00051512">
        <w:rPr>
          <w:rFonts w:ascii="Times New Roman" w:hAnsi="Times New Roman" w:cs="Times New Roman"/>
          <w:sz w:val="24"/>
          <w:szCs w:val="24"/>
        </w:rPr>
        <w:t>, (4), pp.290-306.</w:t>
      </w:r>
    </w:p>
    <w:p w14:paraId="7B6F2984" w14:textId="77777777" w:rsidR="00051512" w:rsidRPr="00051512" w:rsidRDefault="00051512" w:rsidP="00051512">
      <w:pPr>
        <w:spacing w:line="480" w:lineRule="auto"/>
        <w:ind w:left="720" w:hanging="720"/>
        <w:rPr>
          <w:rFonts w:ascii="Times New Roman" w:hAnsi="Times New Roman" w:cs="Times New Roman"/>
          <w:sz w:val="24"/>
          <w:szCs w:val="24"/>
        </w:rPr>
      </w:pPr>
      <w:r w:rsidRPr="00051512">
        <w:rPr>
          <w:rFonts w:ascii="Times New Roman" w:hAnsi="Times New Roman" w:cs="Times New Roman"/>
          <w:sz w:val="24"/>
          <w:szCs w:val="24"/>
        </w:rPr>
        <w:lastRenderedPageBreak/>
        <w:t>Rowlands, J. and Cook, E.A., 2022. Navigating family involvement in domestic violence fatality review: conceptualizing prospects for systems and relational repair. </w:t>
      </w:r>
      <w:r w:rsidRPr="00051512">
        <w:rPr>
          <w:rFonts w:ascii="Times New Roman" w:hAnsi="Times New Roman" w:cs="Times New Roman"/>
          <w:i/>
          <w:iCs/>
          <w:sz w:val="24"/>
          <w:szCs w:val="24"/>
        </w:rPr>
        <w:t>Journal of Family Violence</w:t>
      </w:r>
      <w:r w:rsidRPr="00051512">
        <w:rPr>
          <w:rFonts w:ascii="Times New Roman" w:hAnsi="Times New Roman" w:cs="Times New Roman"/>
          <w:sz w:val="24"/>
          <w:szCs w:val="24"/>
        </w:rPr>
        <w:t>, </w:t>
      </w:r>
      <w:r w:rsidRPr="00051512">
        <w:rPr>
          <w:rFonts w:ascii="Times New Roman" w:hAnsi="Times New Roman" w:cs="Times New Roman"/>
          <w:i/>
          <w:iCs/>
          <w:sz w:val="24"/>
          <w:szCs w:val="24"/>
        </w:rPr>
        <w:t>37</w:t>
      </w:r>
      <w:r w:rsidRPr="00051512">
        <w:rPr>
          <w:rFonts w:ascii="Times New Roman" w:hAnsi="Times New Roman" w:cs="Times New Roman"/>
          <w:sz w:val="24"/>
          <w:szCs w:val="24"/>
        </w:rPr>
        <w:t xml:space="preserve">(4), pp.559-572. </w:t>
      </w:r>
    </w:p>
    <w:p w14:paraId="2E19326A" w14:textId="77777777" w:rsidR="00D85AE6" w:rsidRPr="00051512" w:rsidRDefault="00D85AE6" w:rsidP="00051512">
      <w:pPr>
        <w:spacing w:line="480" w:lineRule="auto"/>
        <w:ind w:firstLine="720"/>
        <w:rPr>
          <w:rFonts w:ascii="Times New Roman" w:hAnsi="Times New Roman" w:cs="Times New Roman"/>
          <w:b/>
          <w:bCs/>
          <w:sz w:val="24"/>
          <w:szCs w:val="24"/>
        </w:rPr>
      </w:pPr>
    </w:p>
    <w:p w14:paraId="1308BA7D" w14:textId="77777777" w:rsidR="00D85AE6" w:rsidRPr="00051512" w:rsidRDefault="00D85AE6" w:rsidP="00051512">
      <w:pPr>
        <w:spacing w:line="480" w:lineRule="auto"/>
        <w:rPr>
          <w:rFonts w:ascii="Times New Roman" w:hAnsi="Times New Roman" w:cs="Times New Roman"/>
          <w:b/>
          <w:bCs/>
          <w:sz w:val="24"/>
          <w:szCs w:val="24"/>
        </w:rPr>
      </w:pPr>
    </w:p>
    <w:p w14:paraId="50F67145" w14:textId="77777777" w:rsidR="00FC7B35" w:rsidRPr="00051512" w:rsidRDefault="00FC7B35" w:rsidP="00051512">
      <w:pPr>
        <w:spacing w:line="480" w:lineRule="auto"/>
        <w:rPr>
          <w:rFonts w:ascii="Times New Roman" w:hAnsi="Times New Roman" w:cs="Times New Roman"/>
          <w:sz w:val="24"/>
          <w:szCs w:val="24"/>
        </w:rPr>
      </w:pPr>
    </w:p>
    <w:sectPr w:rsidR="00FC7B35" w:rsidRPr="00051512">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0E091" w14:textId="77777777" w:rsidR="000E12AB" w:rsidRDefault="000E12AB" w:rsidP="002446AE">
      <w:pPr>
        <w:spacing w:after="0" w:line="240" w:lineRule="auto"/>
      </w:pPr>
      <w:r>
        <w:separator/>
      </w:r>
    </w:p>
  </w:endnote>
  <w:endnote w:type="continuationSeparator" w:id="0">
    <w:p w14:paraId="5CF0A313" w14:textId="77777777" w:rsidR="000E12AB" w:rsidRDefault="000E12AB" w:rsidP="00244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1A5DD" w14:textId="77777777" w:rsidR="000E12AB" w:rsidRDefault="000E12AB" w:rsidP="002446AE">
      <w:pPr>
        <w:spacing w:after="0" w:line="240" w:lineRule="auto"/>
      </w:pPr>
      <w:r>
        <w:separator/>
      </w:r>
    </w:p>
  </w:footnote>
  <w:footnote w:type="continuationSeparator" w:id="0">
    <w:p w14:paraId="6B9DB34B" w14:textId="77777777" w:rsidR="000E12AB" w:rsidRDefault="000E12AB" w:rsidP="002446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1877A" w14:textId="32BBBD9F" w:rsidR="002446AE" w:rsidRDefault="002446AE">
    <w:pPr>
      <w:pStyle w:val="Header"/>
    </w:pPr>
    <w:r>
      <w:tab/>
    </w:r>
    <w:r>
      <w:tab/>
    </w:r>
    <w:r>
      <w:fldChar w:fldCharType="begin"/>
    </w:r>
    <w:r>
      <w:instrText xml:space="preserve"> PAGE   \* MERGEFORMAT </w:instrText>
    </w:r>
    <w:r>
      <w:fldChar w:fldCharType="separate"/>
    </w:r>
    <w:r w:rsidR="00CD21DA">
      <w:rPr>
        <w:noProof/>
      </w:rPr>
      <w:t>10</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I0MTY2MzM3NDI1NzCyUdpeDU4uLM/DyQAsNaADx831gsAAAA"/>
  </w:docVars>
  <w:rsids>
    <w:rsidRoot w:val="00080AB1"/>
    <w:rsid w:val="00051512"/>
    <w:rsid w:val="00080AB1"/>
    <w:rsid w:val="000A3254"/>
    <w:rsid w:val="000C4464"/>
    <w:rsid w:val="000E12AB"/>
    <w:rsid w:val="00123170"/>
    <w:rsid w:val="00126E68"/>
    <w:rsid w:val="00177A7A"/>
    <w:rsid w:val="001C6974"/>
    <w:rsid w:val="00206DF4"/>
    <w:rsid w:val="002446AE"/>
    <w:rsid w:val="0026400F"/>
    <w:rsid w:val="002926A1"/>
    <w:rsid w:val="002D1F47"/>
    <w:rsid w:val="003357BA"/>
    <w:rsid w:val="003B3C68"/>
    <w:rsid w:val="003E1F7E"/>
    <w:rsid w:val="003E4B75"/>
    <w:rsid w:val="00431B7A"/>
    <w:rsid w:val="004A6F90"/>
    <w:rsid w:val="004B0089"/>
    <w:rsid w:val="004E0307"/>
    <w:rsid w:val="00507C08"/>
    <w:rsid w:val="0054066E"/>
    <w:rsid w:val="005539F1"/>
    <w:rsid w:val="00594195"/>
    <w:rsid w:val="006C752D"/>
    <w:rsid w:val="00717F31"/>
    <w:rsid w:val="00731DCB"/>
    <w:rsid w:val="00761B09"/>
    <w:rsid w:val="0078280A"/>
    <w:rsid w:val="008F40AF"/>
    <w:rsid w:val="00971219"/>
    <w:rsid w:val="00972F1F"/>
    <w:rsid w:val="00A24809"/>
    <w:rsid w:val="00A35364"/>
    <w:rsid w:val="00A45A6F"/>
    <w:rsid w:val="00B37FC5"/>
    <w:rsid w:val="00BA5E24"/>
    <w:rsid w:val="00BC4210"/>
    <w:rsid w:val="00C734A1"/>
    <w:rsid w:val="00CD21DA"/>
    <w:rsid w:val="00D34713"/>
    <w:rsid w:val="00D85AE6"/>
    <w:rsid w:val="00EC7B5D"/>
    <w:rsid w:val="00EE2B05"/>
    <w:rsid w:val="00F773F9"/>
    <w:rsid w:val="00FA1EB7"/>
    <w:rsid w:val="00FC7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3D388"/>
  <w15:chartTrackingRefBased/>
  <w15:docId w15:val="{C9711415-69C3-4774-98B0-D4E37DB5E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46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46AE"/>
  </w:style>
  <w:style w:type="paragraph" w:styleId="Footer">
    <w:name w:val="footer"/>
    <w:basedOn w:val="Normal"/>
    <w:link w:val="FooterChar"/>
    <w:uiPriority w:val="99"/>
    <w:unhideWhenUsed/>
    <w:rsid w:val="002446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4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2103</Words>
  <Characters>11993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Murkomen</dc:creator>
  <cp:keywords/>
  <dc:description/>
  <cp:lastModifiedBy>Eugen Florea (2225235)</cp:lastModifiedBy>
  <cp:revision>42</cp:revision>
  <dcterms:created xsi:type="dcterms:W3CDTF">2023-07-07T14:38:00Z</dcterms:created>
  <dcterms:modified xsi:type="dcterms:W3CDTF">2023-07-07T22:38:00Z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fe6cb2c89ad6d1b81a570871949094187f11c4304e7f33899b71e8a7624c5be6</vt:lpwstr>
  </property>
</Properties>
</file>