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360" w:lineRule="auto"/>
        <w:jc w:val="center"/>
        <w:rPr/>
      </w:pPr>
      <w:r w:rsidDel="00000000" w:rsidR="00000000" w:rsidRPr="00000000">
        <w:rPr>
          <w:b w:val="1"/>
          <w:bCs w:val="1"/>
          <w:sz w:val="36"/>
          <w:szCs w:val="36"/>
          <w:rtl w:val="0"/>
        </w:rPr>
        <w:t xml:space="preserve">Dissertation Proposal</w:t>
      </w:r>
      <w:r w:rsidDel="00000000" w:rsidR="00000000" w:rsidRPr="00000000">
        <w:rPr>
          <w:rtl w:val="0"/>
        </w:rPr>
      </w:r>
    </w:p>
    <w:p w:rsidR="00000000" w:rsidDel="00000000" w:rsidP="00000000" w:rsidRDefault="00000000" w:rsidRPr="00000000" w14:paraId="00000002">
      <w:pPr>
        <w:spacing w:after="360" w:lineRule="auto"/>
        <w:jc w:val="center"/>
        <w:rPr/>
      </w:pPr>
      <w:r w:rsidDel="00000000" w:rsidR="00000000" w:rsidRPr="00000000">
        <w:rPr>
          <w:b w:val="1"/>
          <w:bCs w:val="1"/>
          <w:sz w:val="32"/>
          <w:szCs w:val="32"/>
          <w:rtl w:val="0"/>
        </w:rPr>
        <w:t xml:space="preserve">The Impact of Artificial Intelligence Adoption on International Business Performance: Evidence from Selected Technology Multinational Companies Operating in the UK</w:t>
      </w:r>
      <w:r w:rsidDel="00000000" w:rsidR="00000000" w:rsidRPr="00000000">
        <w:rPr>
          <w:rtl w:val="0"/>
        </w:rPr>
      </w:r>
    </w:p>
    <w:tbl>
      <w:tblPr>
        <w:tblStyle w:val="Table1"/>
        <w:tblW w:w="9360.0" w:type="dxa"/>
        <w:jc w:val="center"/>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2592"/>
        <w:gridCol w:w="6768"/>
        <w:tblGridChange w:id="0">
          <w:tblGrid>
            <w:gridCol w:w="2592"/>
            <w:gridCol w:w="6768"/>
          </w:tblGrid>
        </w:tblGridChange>
      </w:tblGrid>
      <w:tr>
        <w:trPr>
          <w:cantSplit w:val="0"/>
          <w:tblHeader w:val="0"/>
        </w:trPr>
        <w:tc>
          <w:tcPr/>
          <w:p w:rsidR="00000000" w:rsidDel="00000000" w:rsidP="00000000" w:rsidRDefault="00000000" w:rsidRPr="00000000" w14:paraId="00000003">
            <w:pPr>
              <w:jc w:val="center"/>
              <w:rPr>
                <w:b w:val="1"/>
                <w:bCs w:val="1"/>
              </w:rPr>
            </w:pPr>
            <w:r w:rsidDel="00000000" w:rsidR="00000000" w:rsidRPr="00000000">
              <w:rPr>
                <w:b w:val="1"/>
                <w:bCs w:val="1"/>
                <w:rtl w:val="0"/>
              </w:rPr>
              <w:t xml:space="preserve">Programme:</w:t>
            </w:r>
          </w:p>
        </w:tc>
        <w:tc>
          <w:tcPr/>
          <w:p w:rsidR="00000000" w:rsidDel="00000000" w:rsidP="00000000" w:rsidRDefault="00000000" w:rsidRPr="00000000" w14:paraId="00000004">
            <w:pPr>
              <w:jc w:val="center"/>
              <w:rPr/>
            </w:pPr>
            <w:r w:rsidDel="00000000" w:rsidR="00000000" w:rsidRPr="00000000">
              <w:rPr>
                <w:rtl w:val="0"/>
              </w:rPr>
              <w:t xml:space="preserve">Master of Business Administration</w:t>
            </w:r>
          </w:p>
        </w:tc>
      </w:tr>
      <w:tr>
        <w:trPr>
          <w:cantSplit w:val="0"/>
          <w:tblHeader w:val="0"/>
        </w:trPr>
        <w:tc>
          <w:tcPr/>
          <w:p w:rsidR="00000000" w:rsidDel="00000000" w:rsidP="00000000" w:rsidRDefault="00000000" w:rsidRPr="00000000" w14:paraId="00000005">
            <w:pPr>
              <w:jc w:val="center"/>
              <w:rPr>
                <w:b w:val="1"/>
                <w:bCs w:val="1"/>
              </w:rPr>
            </w:pPr>
            <w:r w:rsidDel="00000000" w:rsidR="00000000" w:rsidRPr="00000000">
              <w:rPr>
                <w:b w:val="1"/>
                <w:bCs w:val="1"/>
                <w:rtl w:val="0"/>
              </w:rPr>
              <w:t xml:space="preserve">Module:</w:t>
            </w:r>
          </w:p>
        </w:tc>
        <w:tc>
          <w:tcPr/>
          <w:p w:rsidR="00000000" w:rsidDel="00000000" w:rsidP="00000000" w:rsidRDefault="00000000" w:rsidRPr="00000000" w14:paraId="00000006">
            <w:pPr>
              <w:jc w:val="center"/>
              <w:rPr/>
            </w:pPr>
            <w:r w:rsidDel="00000000" w:rsidR="00000000" w:rsidRPr="00000000">
              <w:rPr>
                <w:rtl w:val="0"/>
              </w:rPr>
              <w:t xml:space="preserve">Dissertation</w:t>
            </w:r>
          </w:p>
        </w:tc>
      </w:tr>
      <w:tr>
        <w:trPr>
          <w:cantSplit w:val="0"/>
          <w:tblHeader w:val="0"/>
        </w:trPr>
        <w:tc>
          <w:tcPr/>
          <w:p w:rsidR="00000000" w:rsidDel="00000000" w:rsidP="00000000" w:rsidRDefault="00000000" w:rsidRPr="00000000" w14:paraId="00000007">
            <w:pPr>
              <w:jc w:val="center"/>
              <w:rPr>
                <w:b w:val="1"/>
                <w:bCs w:val="1"/>
              </w:rPr>
            </w:pPr>
            <w:r w:rsidDel="00000000" w:rsidR="00000000" w:rsidRPr="00000000">
              <w:rPr>
                <w:b w:val="1"/>
                <w:bCs w:val="1"/>
                <w:rtl w:val="0"/>
              </w:rPr>
              <w:t xml:space="preserve">Module Code:</w:t>
            </w:r>
          </w:p>
        </w:tc>
        <w:tc>
          <w:tcPr/>
          <w:p w:rsidR="00000000" w:rsidDel="00000000" w:rsidP="00000000" w:rsidRDefault="00000000" w:rsidRPr="00000000" w14:paraId="00000008">
            <w:pPr>
              <w:jc w:val="center"/>
              <w:rPr/>
            </w:pPr>
            <w:r w:rsidDel="00000000" w:rsidR="00000000" w:rsidRPr="00000000">
              <w:rPr>
                <w:rtl w:val="0"/>
              </w:rPr>
              <w:t xml:space="preserve">LCMB7035</w:t>
            </w:r>
          </w:p>
        </w:tc>
      </w:tr>
      <w:tr>
        <w:trPr>
          <w:cantSplit w:val="0"/>
          <w:tblHeader w:val="0"/>
        </w:trPr>
        <w:tc>
          <w:tcPr/>
          <w:p w:rsidR="00000000" w:rsidDel="00000000" w:rsidP="00000000" w:rsidRDefault="00000000" w:rsidRPr="00000000" w14:paraId="00000009">
            <w:pPr>
              <w:jc w:val="center"/>
              <w:rPr>
                <w:b w:val="1"/>
                <w:bCs w:val="1"/>
              </w:rPr>
            </w:pPr>
            <w:r w:rsidDel="00000000" w:rsidR="00000000" w:rsidRPr="00000000">
              <w:rPr>
                <w:b w:val="1"/>
                <w:bCs w:val="1"/>
                <w:rtl w:val="0"/>
              </w:rPr>
              <w:t xml:space="preserve">Assessment:</w:t>
            </w:r>
          </w:p>
        </w:tc>
        <w:tc>
          <w:tcPr/>
          <w:p w:rsidR="00000000" w:rsidDel="00000000" w:rsidP="00000000" w:rsidRDefault="00000000" w:rsidRPr="00000000" w14:paraId="0000000A">
            <w:pPr>
              <w:jc w:val="center"/>
              <w:rPr/>
            </w:pPr>
            <w:r w:rsidDel="00000000" w:rsidR="00000000" w:rsidRPr="00000000">
              <w:rPr>
                <w:rtl w:val="0"/>
              </w:rPr>
              <w:t xml:space="preserve">Dissertation Proposal</w:t>
            </w:r>
          </w:p>
        </w:tc>
      </w:tr>
      <w:tr>
        <w:trPr>
          <w:cantSplit w:val="0"/>
          <w:tblHeader w:val="0"/>
        </w:trPr>
        <w:tc>
          <w:tcPr/>
          <w:p w:rsidR="00000000" w:rsidDel="00000000" w:rsidP="00000000" w:rsidRDefault="00000000" w:rsidRPr="00000000" w14:paraId="0000000B">
            <w:pPr>
              <w:jc w:val="center"/>
              <w:rPr>
                <w:b w:val="1"/>
                <w:bCs w:val="1"/>
              </w:rPr>
            </w:pPr>
            <w:r w:rsidDel="00000000" w:rsidR="00000000" w:rsidRPr="00000000">
              <w:rPr>
                <w:b w:val="1"/>
                <w:bCs w:val="1"/>
                <w:rtl w:val="0"/>
              </w:rPr>
              <w:t xml:space="preserve">Student Name:</w:t>
            </w:r>
          </w:p>
        </w:tc>
        <w:tc>
          <w:tcPr/>
          <w:p w:rsidR="00000000" w:rsidDel="00000000" w:rsidP="00000000" w:rsidRDefault="00000000" w:rsidRPr="00000000" w14:paraId="0000000C">
            <w:pPr>
              <w:jc w:val="center"/>
              <w:rPr/>
            </w:pPr>
            <w:r w:rsidDel="00000000" w:rsidR="00000000" w:rsidRPr="00000000">
              <w:rPr>
                <w:rtl w:val="0"/>
              </w:rPr>
              <w:t xml:space="preserve">Himadhri Bardhan Dhrubo</w:t>
            </w:r>
          </w:p>
        </w:tc>
      </w:tr>
      <w:tr>
        <w:trPr>
          <w:cantSplit w:val="0"/>
          <w:tblHeader w:val="0"/>
        </w:trPr>
        <w:tc>
          <w:tcPr/>
          <w:p w:rsidR="00000000" w:rsidDel="00000000" w:rsidP="00000000" w:rsidRDefault="00000000" w:rsidRPr="00000000" w14:paraId="0000000D">
            <w:pPr>
              <w:jc w:val="center"/>
              <w:rPr>
                <w:b w:val="1"/>
                <w:bCs w:val="1"/>
              </w:rPr>
            </w:pPr>
            <w:r w:rsidDel="00000000" w:rsidR="00000000" w:rsidRPr="00000000">
              <w:rPr>
                <w:b w:val="1"/>
                <w:bCs w:val="1"/>
                <w:rtl w:val="0"/>
              </w:rPr>
              <w:t xml:space="preserve">Student ID:</w:t>
            </w:r>
          </w:p>
        </w:tc>
        <w:tc>
          <w:tcPr/>
          <w:p w:rsidR="00000000" w:rsidDel="00000000" w:rsidP="00000000" w:rsidRDefault="00000000" w:rsidRPr="00000000" w14:paraId="0000000E">
            <w:pPr>
              <w:jc w:val="center"/>
              <w:rPr/>
            </w:pPr>
            <w:r w:rsidDel="00000000" w:rsidR="00000000" w:rsidRPr="00000000">
              <w:rPr>
                <w:rtl w:val="0"/>
              </w:rPr>
              <w:t xml:space="preserve">2505914</w:t>
            </w:r>
          </w:p>
        </w:tc>
      </w:tr>
      <w:tr>
        <w:trPr>
          <w:cantSplit w:val="0"/>
          <w:tblHeader w:val="0"/>
        </w:trPr>
        <w:tc>
          <w:tcPr/>
          <w:p w:rsidR="00000000" w:rsidDel="00000000" w:rsidP="00000000" w:rsidRDefault="00000000" w:rsidRPr="00000000" w14:paraId="0000000F">
            <w:pPr>
              <w:jc w:val="center"/>
              <w:rPr>
                <w:b w:val="1"/>
                <w:bCs w:val="1"/>
              </w:rPr>
            </w:pPr>
            <w:r w:rsidDel="00000000" w:rsidR="00000000" w:rsidRPr="00000000">
              <w:rPr>
                <w:b w:val="1"/>
                <w:bCs w:val="1"/>
                <w:rtl w:val="0"/>
              </w:rPr>
              <w:t xml:space="preserve">Supervisor:</w:t>
            </w:r>
          </w:p>
        </w:tc>
        <w:tc>
          <w:tcPr/>
          <w:p w:rsidR="00000000" w:rsidDel="00000000" w:rsidP="00000000" w:rsidRDefault="00000000" w:rsidRPr="00000000" w14:paraId="00000010">
            <w:pPr>
              <w:jc w:val="center"/>
              <w:rPr/>
            </w:pPr>
            <w:r w:rsidDel="00000000" w:rsidR="00000000" w:rsidRPr="00000000">
              <w:rPr>
                <w:rtl w:val="0"/>
              </w:rPr>
              <w:t xml:space="preserve">Masud Ibrahim</w:t>
            </w:r>
          </w:p>
        </w:tc>
      </w:tr>
      <w:tr>
        <w:trPr>
          <w:cantSplit w:val="0"/>
          <w:tblHeader w:val="0"/>
        </w:trPr>
        <w:tc>
          <w:tcPr/>
          <w:p w:rsidR="00000000" w:rsidDel="00000000" w:rsidP="00000000" w:rsidRDefault="00000000" w:rsidRPr="00000000" w14:paraId="00000011">
            <w:pPr>
              <w:jc w:val="center"/>
              <w:rPr>
                <w:b w:val="1"/>
                <w:bCs w:val="1"/>
              </w:rPr>
            </w:pPr>
            <w:r w:rsidDel="00000000" w:rsidR="00000000" w:rsidRPr="00000000">
              <w:rPr>
                <w:b w:val="1"/>
                <w:bCs w:val="1"/>
                <w:rtl w:val="0"/>
              </w:rPr>
              <w:t xml:space="preserve">Submission Date:</w:t>
            </w:r>
          </w:p>
        </w:tc>
        <w:tc>
          <w:tcPr/>
          <w:p w:rsidR="00000000" w:rsidDel="00000000" w:rsidP="00000000" w:rsidRDefault="00000000" w:rsidRPr="00000000" w14:paraId="00000012">
            <w:pPr>
              <w:jc w:val="center"/>
              <w:rPr/>
            </w:pPr>
            <w:r w:rsidDel="00000000" w:rsidR="00000000" w:rsidRPr="00000000">
              <w:rPr>
                <w:rtl w:val="0"/>
              </w:rPr>
              <w:t xml:space="preserve">11/06/2026</w:t>
            </w:r>
          </w:p>
        </w:tc>
      </w:tr>
    </w:tbl>
    <w:p w:rsidR="00000000" w:rsidDel="00000000" w:rsidP="00000000" w:rsidRDefault="00000000" w:rsidRPr="00000000" w14:paraId="00000013">
      <w:pPr>
        <w:rPr/>
        <w:sectPr>
          <w:footerReference r:id="rId7" w:type="default"/>
          <w:pgSz w:h="15840" w:w="12240" w:orient="portrait"/>
          <w:pgMar w:bottom="1152" w:top="1152" w:left="1440" w:right="1440" w:header="720" w:footer="720"/>
          <w:pgNumType w:start="1"/>
        </w:sectPr>
      </w:pPr>
      <w:r w:rsidDel="00000000" w:rsidR="00000000" w:rsidRPr="00000000">
        <w:rPr>
          <w:rtl w:val="0"/>
        </w:rPr>
      </w:r>
    </w:p>
    <w:p w:rsidR="00000000" w:rsidDel="00000000" w:rsidP="00000000" w:rsidRDefault="00000000" w:rsidRPr="00000000" w14:paraId="00000014">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Arial" w:cs="Arial" w:eastAsia="Arial" w:hAnsi="Arial"/>
          <w:b w:val="1"/>
          <w:bCs w:val="1"/>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Table of Contents</w:t>
      </w:r>
    </w:p>
    <w:sdt>
      <w:sdtPr>
        <w:id w:val="944138864"/>
        <w:docPartObj>
          <w:docPartGallery w:val="Table of Contents"/>
          <w:docPartUnique w:val="1"/>
        </w:docPartObj>
      </w:sdtPr>
      <w:sdtContent>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8dauo99jmuc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Introduction, Background and Research Problem</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q9tqtisp1a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Research Aim, Objectives, Questions and Hypothesis</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6kr7685veteo">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Research Aim</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th0chinh62o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Research Objectives</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medtgtejvucy">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Research Questions</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xcv99e4zway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 Research Hypothesis</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bfryeplwhyc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Preliminary Literature Review and Conceptual Model</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1z0gvvh39wf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Artificial Intelligence Adoption in Business</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569j1w651jwa">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International Business Performance</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lqix0nd7vrgw">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Opportunities and Challenges of AI in International Business</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1s8j992sbdk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Conceptual Model and Research Gap</w:t>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ivor6p13coo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Research Methodology</w:t>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wld1xm6vma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Research Philosophy, Approach and Design</w:t>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xqa4wlesq5c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Selected Companies and Scope</w:t>
              <w:tab/>
              <w:t xml:space="preserve">8</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md4cp9v5vqr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4.3 Data Collection Method</w:t>
              <w:tab/>
              <w:t xml:space="preserve">9</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moautjhb8m7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4.4 Operationalisation of Variables</w:t>
              <w:tab/>
              <w:t xml:space="preserve">10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u5x96ebzgll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4.5 Data Analysis Plan and Software</w:t>
              <w:tab/>
              <w:t xml:space="preserve">10</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htliafhcd7s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4.6 Ethical Considerations</w:t>
              <w:tab/>
              <w:t xml:space="preserve">11</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pfknbvut7jm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Risks and Mitigation</w:t>
              <w:tab/>
              <w:t xml:space="preserve">11</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ra1ftv2iplc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 Research Timeline</w:t>
              <w:tab/>
              <w:t xml:space="preserve">11</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q22zpeor1pl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2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B">
      <w:pPr>
        <w:rPr/>
      </w:pPr>
      <w:r w:rsidDel="00000000" w:rsidR="00000000" w:rsidRPr="00000000">
        <w:br w:type="page"/>
      </w:r>
      <w:r w:rsidDel="00000000" w:rsidR="00000000" w:rsidRPr="00000000">
        <w:rPr>
          <w:rtl w:val="0"/>
        </w:rPr>
      </w:r>
    </w:p>
    <w:p w:rsidR="00000000" w:rsidDel="00000000" w:rsidP="00000000" w:rsidRDefault="00000000" w:rsidRPr="00000000" w14:paraId="0000002C">
      <w:pPr>
        <w:pStyle w:val="Heading1"/>
        <w:rPr/>
      </w:pPr>
      <w:bookmarkStart w:colFirst="0" w:colLast="0" w:name="_heading=h.8dauo99jmuci" w:id="0"/>
      <w:bookmarkEnd w:id="0"/>
      <w:r w:rsidDel="00000000" w:rsidR="00000000" w:rsidRPr="00000000">
        <w:rPr>
          <w:rtl w:val="0"/>
        </w:rPr>
        <w:t xml:space="preserve">1. Introduction, Background and Research Problem</w:t>
      </w:r>
    </w:p>
    <w:p w:rsidR="00000000" w:rsidDel="00000000" w:rsidP="00000000" w:rsidRDefault="00000000" w:rsidRPr="00000000" w14:paraId="0000002D">
      <w:pPr>
        <w:spacing w:after="120" w:lineRule="auto"/>
        <w:rPr/>
      </w:pPr>
      <w:r w:rsidDel="00000000" w:rsidR="00000000" w:rsidRPr="00000000">
        <w:rPr>
          <w:rtl w:val="0"/>
        </w:rPr>
        <w:t xml:space="preserve">Artificial intelligence (AI) is a key aspect of business competition because it enables businesses to process vast quantities of data, automate repetitive tasks, enhance customer service and aid in managerial decision-making. According to OECD, an AI system is a machine-based system that can infer from inputs and produce outputs in the form of predictions, recommendations, content or decisions which can impact physical or virtual environments (OECD, 2024). Multinational companies need to pay particular attention to this as international business encompasses multiple markets, currencies, groups of customers, supply chains and regulatory frameworks. AI can help in international market analysis, demand forecasting, logistics coordination, customer service, product personalisation and risk monitoring in various countries.</w:t>
      </w:r>
    </w:p>
    <w:p w:rsidR="00000000" w:rsidDel="00000000" w:rsidP="00000000" w:rsidRDefault="00000000" w:rsidRPr="00000000" w14:paraId="0000002E">
      <w:pPr>
        <w:spacing w:after="120" w:lineRule="auto"/>
        <w:rPr/>
      </w:pPr>
      <w:r w:rsidDel="00000000" w:rsidR="00000000" w:rsidRPr="00000000">
        <w:rPr>
          <w:rtl w:val="0"/>
        </w:rPr>
        <w:t xml:space="preserve">Importance of the topic for the UK context: Many of the world's technology multinationals can be seen operating in the UK and their international performance can be accessed from their annual reports and investor documents. Microsoft, Alphabet/Google, Amazon, IBM and Accenture all have registered companies in the UK via Companies House, and have published detailed annual reports via their parent companies (Companies House, 2026a, 2026b, 2026c, 2026d, 2026e). The reason for selecting these companies is that they use and supply AI, have an international presence, and have secondary data that is readily available from 2020 to 2024. In their reports they also refer to AI in the context of cloud computing, digital services, automation, analytics, consulting and customer solutions (Accenture, 2024; Amazon, 2025; Alphabet, 2025; IBM, 2025 and Microsoft, 2024).</w:t>
      </w:r>
    </w:p>
    <w:p w:rsidR="00000000" w:rsidDel="00000000" w:rsidP="00000000" w:rsidRDefault="00000000" w:rsidRPr="00000000" w14:paraId="0000002F">
      <w:pPr>
        <w:spacing w:after="120" w:lineRule="auto"/>
        <w:rPr/>
      </w:pPr>
      <w:r w:rsidDel="00000000" w:rsidR="00000000" w:rsidRPr="00000000">
        <w:rPr>
          <w:rtl w:val="0"/>
        </w:rPr>
        <w:t xml:space="preserve">There are a number of opportunities for multinationals in the adoption of AI. It can enhance the pace of information processing, cut down on some operational costs, facilitate enhanced forecasting, boost global customer experience and augment innovation. Previous research indicates that with data resources and human and organisational capabilities, AI capabilities can enhance firm performance (Mikalef and Gupta, 2021; Wamba-Taguimdje et al., 2020). But there are challenges to overcome with AI adoption too. High implementation costs, data quality issues, talent gaps, employee resistance, cybersecurity risks, bias, privacy issues and governance issues are some of the challenges faced by firms (NIST, 2023; Raisch and Krakowski, 2021). This simply indicates that AI isn't going to magically boost performance unless the company can use it effectively.</w:t>
      </w:r>
    </w:p>
    <w:p w:rsidR="00000000" w:rsidDel="00000000" w:rsidP="00000000" w:rsidRDefault="00000000" w:rsidRPr="00000000" w14:paraId="00000030">
      <w:pPr>
        <w:spacing w:after="120" w:lineRule="auto"/>
        <w:rPr/>
      </w:pPr>
      <w:r w:rsidDel="00000000" w:rsidR="00000000" w:rsidRPr="00000000">
        <w:rPr>
          <w:rtl w:val="0"/>
        </w:rPr>
        <w:t xml:space="preserve">The research problem is that there are many broad studies on the relationship between AI and firm performance; however, there is still a need for simple, evidence-based studies that link the adoption of AI to international business performance, based on readily available secondary data from multinationals in the UK. While recent international business studies acknowledge that AI is transforming international competition, there is a need for more targeted research on the use of AI in international business and the challenges firms encounter in their adoption process (Menzies et al., 2024). The emphasis of this proposal is therefore one direct relationship, namely that of the impact of the adoption of AI on international business performance. The opportunities and challenges of AI will be discussed, but will not be included as additional variables in the model, to keep the study clear and feasible.</w:t>
      </w:r>
    </w:p>
    <w:p w:rsidR="00000000" w:rsidDel="00000000" w:rsidP="00000000" w:rsidRDefault="00000000" w:rsidRPr="00000000" w14:paraId="00000031">
      <w:pPr>
        <w:pStyle w:val="Heading1"/>
        <w:rPr/>
      </w:pPr>
      <w:bookmarkStart w:colFirst="0" w:colLast="0" w:name="_heading=h.q9tqtisp1ai" w:id="1"/>
      <w:bookmarkEnd w:id="1"/>
      <w:r w:rsidDel="00000000" w:rsidR="00000000" w:rsidRPr="00000000">
        <w:rPr>
          <w:rtl w:val="0"/>
        </w:rPr>
        <w:t xml:space="preserve">2. Research Aim, Objectives, Questions and Hypothesis</w:t>
      </w:r>
    </w:p>
    <w:p w:rsidR="00000000" w:rsidDel="00000000" w:rsidP="00000000" w:rsidRDefault="00000000" w:rsidRPr="00000000" w14:paraId="00000032">
      <w:pPr>
        <w:pStyle w:val="Heading2"/>
        <w:rPr/>
      </w:pPr>
      <w:bookmarkStart w:colFirst="0" w:colLast="0" w:name="_heading=h.6kr7685veteo" w:id="2"/>
      <w:bookmarkEnd w:id="2"/>
      <w:r w:rsidDel="00000000" w:rsidR="00000000" w:rsidRPr="00000000">
        <w:rPr>
          <w:rtl w:val="0"/>
        </w:rPr>
        <w:t xml:space="preserve">2.1 Research Aim</w:t>
      </w:r>
    </w:p>
    <w:p w:rsidR="00000000" w:rsidDel="00000000" w:rsidP="00000000" w:rsidRDefault="00000000" w:rsidRPr="00000000" w14:paraId="00000033">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aim of this research is to examine the impact of artificial intelligence adoption on international business performance using secondary data from selected technology multinational companies operating in the UK.</w:t>
      </w:r>
    </w:p>
    <w:p w:rsidR="00000000" w:rsidDel="00000000" w:rsidP="00000000" w:rsidRDefault="00000000" w:rsidRPr="00000000" w14:paraId="00000034">
      <w:pPr>
        <w:pStyle w:val="Heading2"/>
        <w:rPr/>
      </w:pPr>
      <w:bookmarkStart w:colFirst="0" w:colLast="0" w:name="_heading=h.th0chinh62oy" w:id="3"/>
      <w:bookmarkEnd w:id="3"/>
      <w:r w:rsidDel="00000000" w:rsidR="00000000" w:rsidRPr="00000000">
        <w:rPr>
          <w:rtl w:val="0"/>
        </w:rPr>
        <w:t xml:space="preserve">2.2 Research Objectives</w:t>
      </w:r>
    </w:p>
    <w:p w:rsidR="00000000" w:rsidDel="00000000" w:rsidP="00000000" w:rsidRDefault="00000000" w:rsidRPr="00000000" w14:paraId="0000003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review academic literature on AI adoption and international business performance.</w:t>
      </w:r>
    </w:p>
    <w:p w:rsidR="00000000" w:rsidDel="00000000" w:rsidP="00000000" w:rsidRDefault="00000000" w:rsidRPr="00000000" w14:paraId="0000003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measure AI adoption through annual report disclosure evidence from selected technology multinational companies operating in the UK.</w:t>
      </w:r>
    </w:p>
    <w:p w:rsidR="00000000" w:rsidDel="00000000" w:rsidP="00000000" w:rsidRDefault="00000000" w:rsidRPr="00000000" w14:paraId="0000003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examine the relationship between AI adoption and international business performance using secondary quantitative data.</w:t>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8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To identify the main opportunities and challenges linked with AI adoption in international business activities.</w:t>
      </w:r>
    </w:p>
    <w:p w:rsidR="00000000" w:rsidDel="00000000" w:rsidP="00000000" w:rsidRDefault="00000000" w:rsidRPr="00000000" w14:paraId="00000039">
      <w:pPr>
        <w:pStyle w:val="Heading2"/>
        <w:rPr/>
      </w:pPr>
      <w:bookmarkStart w:colFirst="0" w:colLast="0" w:name="_heading=h.medtgtejvucy" w:id="4"/>
      <w:bookmarkEnd w:id="4"/>
      <w:r w:rsidDel="00000000" w:rsidR="00000000" w:rsidRPr="00000000">
        <w:rPr>
          <w:rtl w:val="0"/>
        </w:rPr>
        <w:t xml:space="preserve">2.3 Research Questions</w:t>
      </w:r>
    </w:p>
    <w:p w:rsidR="00000000" w:rsidDel="00000000" w:rsidP="00000000" w:rsidRDefault="00000000" w:rsidRPr="00000000" w14:paraId="0000003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What is the relationship between AI adoption and international business performance in selected technology multinational companies operating in the UK?</w:t>
      </w:r>
    </w:p>
    <w:p w:rsidR="00000000" w:rsidDel="00000000" w:rsidP="00000000" w:rsidRDefault="00000000" w:rsidRPr="00000000" w14:paraId="0000003B">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What opportunities are created by AI adoption for multinational companies in international business?</w:t>
      </w:r>
    </w:p>
    <w:p w:rsidR="00000000" w:rsidDel="00000000" w:rsidP="00000000" w:rsidRDefault="00000000" w:rsidRPr="00000000" w14:paraId="0000003C">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8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What challenges are faced by multinational companies when adopting AI in international business activities?</w:t>
      </w:r>
    </w:p>
    <w:p w:rsidR="00000000" w:rsidDel="00000000" w:rsidP="00000000" w:rsidRDefault="00000000" w:rsidRPr="00000000" w14:paraId="0000003D">
      <w:pPr>
        <w:pStyle w:val="Heading2"/>
        <w:rPr/>
      </w:pPr>
      <w:bookmarkStart w:colFirst="0" w:colLast="0" w:name="_heading=h.xcv99e4zwaya" w:id="5"/>
      <w:bookmarkEnd w:id="5"/>
      <w:r w:rsidDel="00000000" w:rsidR="00000000" w:rsidRPr="00000000">
        <w:rPr>
          <w:rtl w:val="0"/>
        </w:rPr>
        <w:t xml:space="preserve">2.4 Research Hypothesis</w:t>
      </w:r>
    </w:p>
    <w:p w:rsidR="00000000" w:rsidDel="00000000" w:rsidP="00000000" w:rsidRDefault="00000000" w:rsidRPr="00000000" w14:paraId="0000003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H1: Artificial intelligence adoption has a positive impact on international business performance in selected technology multinational companies operating in the UK.</w:t>
      </w:r>
    </w:p>
    <w:p w:rsidR="00000000" w:rsidDel="00000000" w:rsidP="00000000" w:rsidRDefault="00000000" w:rsidRPr="00000000" w14:paraId="0000003F">
      <w:pPr>
        <w:pStyle w:val="Heading1"/>
        <w:rPr/>
      </w:pPr>
      <w:bookmarkStart w:colFirst="0" w:colLast="0" w:name="_heading=h.bfryeplwhyce" w:id="6"/>
      <w:bookmarkEnd w:id="6"/>
      <w:r w:rsidDel="00000000" w:rsidR="00000000" w:rsidRPr="00000000">
        <w:rPr>
          <w:rtl w:val="0"/>
        </w:rPr>
        <w:t xml:space="preserve">3. Preliminary Literature Review and Conceptual Model</w:t>
      </w:r>
    </w:p>
    <w:p w:rsidR="00000000" w:rsidDel="00000000" w:rsidP="00000000" w:rsidRDefault="00000000" w:rsidRPr="00000000" w14:paraId="00000040">
      <w:pPr>
        <w:pStyle w:val="Heading2"/>
        <w:rPr/>
      </w:pPr>
      <w:bookmarkStart w:colFirst="0" w:colLast="0" w:name="_heading=h.1z0gvvh39wfa" w:id="7"/>
      <w:bookmarkEnd w:id="7"/>
      <w:r w:rsidDel="00000000" w:rsidR="00000000" w:rsidRPr="00000000">
        <w:rPr>
          <w:rtl w:val="0"/>
        </w:rPr>
        <w:t xml:space="preserve">3.1 Artificial Intelligence Adoption in Business</w:t>
      </w:r>
    </w:p>
    <w:p w:rsidR="00000000" w:rsidDel="00000000" w:rsidP="00000000" w:rsidRDefault="00000000" w:rsidRPr="00000000" w14:paraId="00000041">
      <w:pPr>
        <w:spacing w:after="120" w:lineRule="auto"/>
        <w:rPr/>
      </w:pPr>
      <w:r w:rsidDel="00000000" w:rsidR="00000000" w:rsidRPr="00000000">
        <w:rPr>
          <w:rtl w:val="0"/>
        </w:rPr>
        <w:t xml:space="preserve">AI adoption is the degree of the use of technologies, data systems, and automated decision-making tools powered by AI in a company's operations and strategy. When it comes to AI in business, it's not just about buying software. It involves incorporating AI into products, services, operations, customer interactions, and analytics and decision-making. Borges et al. (2021) clarify that the strategic application of AI can help the business transformation process but the value added by AI depends on how it is integrated into the organisation's processes. This is applicable to multinationals, as they have more complicated activities across markets and tools that can help them make quicker and better decisions.</w:t>
      </w:r>
    </w:p>
    <w:p w:rsidR="00000000" w:rsidDel="00000000" w:rsidP="00000000" w:rsidRDefault="00000000" w:rsidRPr="00000000" w14:paraId="00000042">
      <w:pPr>
        <w:spacing w:after="120" w:lineRule="auto"/>
        <w:rPr/>
      </w:pPr>
      <w:r w:rsidDel="00000000" w:rsidR="00000000" w:rsidRPr="00000000">
        <w:rPr>
          <w:rtl w:val="0"/>
        </w:rPr>
        <w:t xml:space="preserve">A useful basis for this topic is the resource-based view. Barney (1991) states that firms will gain competitive advantage if they have valuable, rare, difficult-to-imitate and well-organized resources. When coupled with robust data, technical expertise and managerial understanding and processes, AI can be a strategic asset. Mikalef and Gupta (2021) also demonstrate that AI capability is more than just technology; it includes tangible resources, human skills and intangible organisational resources. Hence this research considers the implementation of AI as a business capability which can impact on international performance.</w:t>
      </w:r>
    </w:p>
    <w:p w:rsidR="00000000" w:rsidDel="00000000" w:rsidP="00000000" w:rsidRDefault="00000000" w:rsidRPr="00000000" w14:paraId="00000043">
      <w:pPr>
        <w:pStyle w:val="Heading2"/>
        <w:rPr/>
      </w:pPr>
      <w:bookmarkStart w:colFirst="0" w:colLast="0" w:name="_heading=h.569j1w651jwa" w:id="8"/>
      <w:bookmarkEnd w:id="8"/>
      <w:r w:rsidDel="00000000" w:rsidR="00000000" w:rsidRPr="00000000">
        <w:rPr>
          <w:rtl w:val="0"/>
        </w:rPr>
        <w:t xml:space="preserve">3.2 International Business Performance</w:t>
      </w:r>
    </w:p>
    <w:p w:rsidR="00000000" w:rsidDel="00000000" w:rsidP="00000000" w:rsidRDefault="00000000" w:rsidRPr="00000000" w14:paraId="00000044">
      <w:pPr>
        <w:spacing w:after="120" w:lineRule="auto"/>
        <w:rPr/>
      </w:pPr>
      <w:r w:rsidDel="00000000" w:rsidR="00000000" w:rsidRPr="00000000">
        <w:rPr>
          <w:rtl w:val="0"/>
        </w:rPr>
        <w:t xml:space="preserve">International business performance is the performance of a business in the international market. According to export and international business literature performance could be measured in terms of sales growth, profitability, market share, strategic position and operational results (Zou, Taylor and Osland, 1998; Sousa, Martinez-Lopez and Coelho, 2008). International business performance will be assessed primarily using secondary financial measures, in particular international/non-domestic revenue growth. This is appropriate as the companies which have been selected publish annual reports which provide revenue details on a global, regional or international basis.</w:t>
      </w:r>
    </w:p>
    <w:p w:rsidR="00000000" w:rsidDel="00000000" w:rsidP="00000000" w:rsidRDefault="00000000" w:rsidRPr="00000000" w14:paraId="00000045">
      <w:pPr>
        <w:spacing w:after="120" w:lineRule="auto"/>
        <w:rPr/>
      </w:pPr>
      <w:r w:rsidDel="00000000" w:rsidR="00000000" w:rsidRPr="00000000">
        <w:rPr>
          <w:rtl w:val="0"/>
        </w:rPr>
        <w:t xml:space="preserve">A survey is not the best technique for this topic as ordinary respondents may not have an accurate company level international financial performance. More reliable and comparable evidence is contained in annual reports, investor reports and company filings. But not all companies report international performance data in the same manner. The study will therefore apply the closest to hand international revenue figure for each company, such as non-US revenue, international segment revenue, EMEA and Asia Pacific revenue or EMEA and Growth Markets revenue. The method is transparent since the data source and calculation for each company-year will be noted in a data extraction sheet.</w:t>
      </w:r>
    </w:p>
    <w:p w:rsidR="00000000" w:rsidDel="00000000" w:rsidP="00000000" w:rsidRDefault="00000000" w:rsidRPr="00000000" w14:paraId="00000046">
      <w:pPr>
        <w:pStyle w:val="Heading2"/>
        <w:rPr/>
      </w:pPr>
      <w:bookmarkStart w:colFirst="0" w:colLast="0" w:name="_heading=h.lqix0nd7vrgw" w:id="9"/>
      <w:bookmarkEnd w:id="9"/>
      <w:r w:rsidDel="00000000" w:rsidR="00000000" w:rsidRPr="00000000">
        <w:rPr>
          <w:rtl w:val="0"/>
        </w:rPr>
        <w:t xml:space="preserve">3.3 Opportunities and Challenges of AI in International Business</w:t>
      </w:r>
    </w:p>
    <w:p w:rsidR="00000000" w:rsidDel="00000000" w:rsidP="00000000" w:rsidRDefault="00000000" w:rsidRPr="00000000" w14:paraId="00000047">
      <w:pPr>
        <w:spacing w:after="120" w:lineRule="auto"/>
        <w:rPr/>
      </w:pPr>
      <w:r w:rsidDel="00000000" w:rsidR="00000000" w:rsidRPr="00000000">
        <w:rPr>
          <w:rtl w:val="0"/>
        </w:rPr>
        <w:t xml:space="preserve">Multinational businesses can leverage AI to gain insights from market data, personalize customer services, enhance forecasting, and foster innovation. Amazon: AI-related capabilities are used in e-commerce, cloud services and logistics; Microsoft: AI is related to cloud, software and digital advertising; Alphabet: AI is related to cloud and digital advertising; IBM: AI is related to hybrid cloud and consulting; Accenture: AI is related to digital transformation services (Accenture, 2024; Alphabet, 2025; Amazon, 2025; IBM, 2025; Microsoft, 2024). As these examples indicate, AI has strong links to the international business models of the leading technology multinationals.</w:t>
      </w:r>
    </w:p>
    <w:p w:rsidR="00000000" w:rsidDel="00000000" w:rsidP="00000000" w:rsidRDefault="00000000" w:rsidRPr="00000000" w14:paraId="00000048">
      <w:pPr>
        <w:spacing w:after="120" w:lineRule="auto"/>
        <w:rPr/>
      </w:pPr>
      <w:r w:rsidDel="00000000" w:rsidR="00000000" w:rsidRPr="00000000">
        <w:rPr>
          <w:rtl w:val="0"/>
        </w:rPr>
        <w:t xml:space="preserve">Meanwhile, AI poses problems for management. Raisch and Krakowski (2021) describe an automation and augmentation paradox: Businesses need to determine which tasks they should automate and which tasks still need to be completed manually. AI also poses governance concerns, as data-driven systems may present risks related to transparency, bias, privacy and security, and accountability (NIST, 2023). International business can exacerbate these problems as the firm is dealing with firms across borders, each with its own set of rules and expectations.</w:t>
      </w:r>
    </w:p>
    <w:p w:rsidR="00000000" w:rsidDel="00000000" w:rsidP="00000000" w:rsidRDefault="00000000" w:rsidRPr="00000000" w14:paraId="00000049">
      <w:pPr>
        <w:pStyle w:val="Heading2"/>
        <w:rPr/>
      </w:pPr>
      <w:bookmarkStart w:colFirst="0" w:colLast="0" w:name="_heading=h.1s8j992sbdk9" w:id="10"/>
      <w:bookmarkEnd w:id="10"/>
      <w:r w:rsidDel="00000000" w:rsidR="00000000" w:rsidRPr="00000000">
        <w:rPr>
          <w:rtl w:val="0"/>
        </w:rPr>
        <w:t xml:space="preserve">3.4 Conceptual Model and Research Gap</w:t>
      </w:r>
    </w:p>
    <w:p w:rsidR="00000000" w:rsidDel="00000000" w:rsidP="00000000" w:rsidRDefault="00000000" w:rsidRPr="00000000" w14:paraId="0000004A">
      <w:pPr>
        <w:spacing w:after="120" w:lineRule="auto"/>
        <w:rPr/>
      </w:pPr>
      <w:r w:rsidDel="00000000" w:rsidR="00000000" w:rsidRPr="00000000">
        <w:rPr>
          <w:rtl w:val="0"/>
        </w:rPr>
        <w:t xml:space="preserve">The conceptual model is kept simple, with one independent and one dependent variable. </w:t>
      </w:r>
    </w:p>
    <w:p w:rsidR="00000000" w:rsidDel="00000000" w:rsidP="00000000" w:rsidRDefault="00000000" w:rsidRPr="00000000" w14:paraId="0000004B">
      <w:pPr>
        <w:spacing w:after="160" w:lineRule="auto"/>
        <w:jc w:val="center"/>
        <w:rPr>
          <w:i w:val="1"/>
          <w:iCs w:val="1"/>
          <w:sz w:val="20"/>
          <w:szCs w:val="20"/>
        </w:rPr>
      </w:pPr>
      <w:r w:rsidDel="00000000" w:rsidR="00000000" w:rsidRPr="00000000">
        <w:rPr/>
        <w:drawing>
          <wp:inline distB="0" distT="0" distL="0" distR="0">
            <wp:extent cx="5930136" cy="1573859"/>
            <wp:effectExtent b="0" l="0" r="0" t="0"/>
            <wp:docPr id="1"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5930136" cy="1573859"/>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spacing w:after="160" w:lineRule="auto"/>
        <w:jc w:val="center"/>
        <w:rPr>
          <w:sz w:val="28"/>
          <w:szCs w:val="28"/>
        </w:rPr>
      </w:pPr>
      <w:r w:rsidDel="00000000" w:rsidR="00000000" w:rsidRPr="00000000">
        <w:rPr>
          <w:i w:val="1"/>
          <w:iCs w:val="1"/>
          <w:sz w:val="22"/>
          <w:szCs w:val="22"/>
          <w:rtl w:val="0"/>
        </w:rPr>
        <w:t xml:space="preserve">Figure 1: Conceptual model</w:t>
      </w:r>
      <w:r w:rsidDel="00000000" w:rsidR="00000000" w:rsidRPr="00000000">
        <w:rPr>
          <w:rtl w:val="0"/>
        </w:rPr>
      </w:r>
    </w:p>
    <w:p w:rsidR="00000000" w:rsidDel="00000000" w:rsidP="00000000" w:rsidRDefault="00000000" w:rsidRPr="00000000" w14:paraId="0000004D">
      <w:pPr>
        <w:spacing w:after="120" w:lineRule="auto"/>
        <w:rPr/>
      </w:pPr>
      <w:r w:rsidDel="00000000" w:rsidR="00000000" w:rsidRPr="00000000">
        <w:rPr>
          <w:rtl w:val="0"/>
        </w:rPr>
        <w:t xml:space="preserve">The research gap has three parts. First, there is a gap between the existing literature and this research as existing literature covers the firm performance in general and this study covers the international business performance. Second, although there have been many discussions on the role of AI in multinational companies, this study is a clear secondary data with selected firms and firm-year observations. Thirdly, the study correlates opportunities and challenges with a simple IV-DV model, which makes it both practical for student dissertation and academically relevant. This is significant because while companies might have a lot of AI activity, the performance impact must be evaluated, not taken for granted.</w:t>
      </w:r>
    </w:p>
    <w:p w:rsidR="00000000" w:rsidDel="00000000" w:rsidP="00000000" w:rsidRDefault="00000000" w:rsidRPr="00000000" w14:paraId="0000004E">
      <w:pPr>
        <w:pStyle w:val="Heading1"/>
        <w:rPr/>
      </w:pPr>
      <w:bookmarkStart w:colFirst="0" w:colLast="0" w:name="_heading=h.ivor6p13coot" w:id="11"/>
      <w:bookmarkEnd w:id="11"/>
      <w:r w:rsidDel="00000000" w:rsidR="00000000" w:rsidRPr="00000000">
        <w:rPr>
          <w:rtl w:val="0"/>
        </w:rPr>
        <w:t xml:space="preserve">4. Research Methodology</w:t>
      </w:r>
    </w:p>
    <w:p w:rsidR="00000000" w:rsidDel="00000000" w:rsidP="00000000" w:rsidRDefault="00000000" w:rsidRPr="00000000" w14:paraId="0000004F">
      <w:pPr>
        <w:pStyle w:val="Heading2"/>
        <w:rPr/>
      </w:pPr>
      <w:bookmarkStart w:colFirst="0" w:colLast="0" w:name="_heading=h.wld1xm6vmal" w:id="12"/>
      <w:bookmarkEnd w:id="12"/>
      <w:r w:rsidDel="00000000" w:rsidR="00000000" w:rsidRPr="00000000">
        <w:rPr>
          <w:rtl w:val="0"/>
        </w:rPr>
        <w:t xml:space="preserve">4.1 Research Philosophy, Approach and Design</w:t>
      </w:r>
    </w:p>
    <w:p w:rsidR="00000000" w:rsidDel="00000000" w:rsidP="00000000" w:rsidRDefault="00000000" w:rsidRPr="00000000" w14:paraId="00000050">
      <w:pPr>
        <w:spacing w:after="120" w:lineRule="auto"/>
        <w:rPr/>
      </w:pPr>
      <w:r w:rsidDel="00000000" w:rsidR="00000000" w:rsidRPr="00000000">
        <w:rPr>
          <w:rtl w:val="0"/>
        </w:rPr>
        <w:t xml:space="preserve">The study will adopt a positivist philosophy since it aims to investigate a measurable relationship between AI adoption and international business performance. This research will be carried out using deductive approach as the hypothesis is formulated based on the literature then tested using secondary data. The study will be quantitative and explanatory in nature, as it will examine the relationship between increased disclosure of AI adoption and international business performance. This aligns with the purpose of testing the direct link between one independent variable and one dependent variable (Saunders, Lewis and Thornhill, 2019).</w:t>
      </w:r>
    </w:p>
    <w:p w:rsidR="00000000" w:rsidDel="00000000" w:rsidP="00000000" w:rsidRDefault="00000000" w:rsidRPr="00000000" w14:paraId="00000051">
      <w:pPr>
        <w:pStyle w:val="Heading2"/>
        <w:rPr/>
      </w:pPr>
      <w:bookmarkStart w:colFirst="0" w:colLast="0" w:name="_heading=h.xqa4wlesq5cc" w:id="13"/>
      <w:bookmarkEnd w:id="13"/>
      <w:r w:rsidDel="00000000" w:rsidR="00000000" w:rsidRPr="00000000">
        <w:rPr>
          <w:rtl w:val="0"/>
        </w:rPr>
        <w:t xml:space="preserve">4.2 Selected Companies and Scope</w:t>
      </w:r>
    </w:p>
    <w:p w:rsidR="00000000" w:rsidDel="00000000" w:rsidP="00000000" w:rsidRDefault="00000000" w:rsidRPr="00000000" w14:paraId="00000052">
      <w:pPr>
        <w:spacing w:after="120" w:lineRule="auto"/>
        <w:rPr/>
      </w:pPr>
      <w:r w:rsidDel="00000000" w:rsidR="00000000" w:rsidRPr="00000000">
        <w:rPr>
          <w:rtl w:val="0"/>
        </w:rPr>
        <w:t xml:space="preserve">The sample will comprise five multinationals with annual report data available and operating in the UK and involved in technology: Microsoft, Alphabet/Google, Amazon, IBM and Accenture. These businesses are chosen due to four criteria: they are multinational, have registered operations in the UK, are well-engaged in AI, and produce annual reports containing financial and strategic data. The analysis window will be 2020-24, resulting in 25 firm-year observations.</w:t>
      </w:r>
    </w:p>
    <w:p w:rsidR="00000000" w:rsidDel="00000000" w:rsidP="00000000" w:rsidRDefault="00000000" w:rsidRPr="00000000" w14:paraId="00000053">
      <w:pPr>
        <w:rPr/>
      </w:pPr>
      <w:r w:rsidDel="00000000" w:rsidR="00000000" w:rsidRPr="00000000">
        <w:rPr>
          <w:b w:val="1"/>
          <w:bCs w:val="1"/>
          <w:rtl w:val="0"/>
        </w:rPr>
        <w:t xml:space="preserve">Table 1:</w:t>
      </w:r>
      <w:r w:rsidDel="00000000" w:rsidR="00000000" w:rsidRPr="00000000">
        <w:rPr>
          <w:rtl w:val="0"/>
        </w:rPr>
        <w:t xml:space="preserve"> Selected companies and data accessibility</w:t>
      </w:r>
    </w:p>
    <w:tbl>
      <w:tblPr>
        <w:tblStyle w:val="Table2"/>
        <w:tblW w:w="9360.0" w:type="dxa"/>
        <w:jc w:val="center"/>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1350"/>
        <w:gridCol w:w="2160"/>
        <w:gridCol w:w="3060"/>
        <w:gridCol w:w="2790"/>
        <w:tblGridChange w:id="0">
          <w:tblGrid>
            <w:gridCol w:w="1350"/>
            <w:gridCol w:w="2160"/>
            <w:gridCol w:w="3060"/>
            <w:gridCol w:w="2790"/>
          </w:tblGrid>
        </w:tblGridChange>
      </w:tblGrid>
      <w:tr>
        <w:trPr>
          <w:cantSplit w:val="0"/>
          <w:tblHeader w:val="0"/>
        </w:trPr>
        <w:tc>
          <w:tcPr>
            <w:shd w:fill="d9eaf7" w:val="clear"/>
          </w:tcPr>
          <w:p w:rsidR="00000000" w:rsidDel="00000000" w:rsidP="00000000" w:rsidRDefault="00000000" w:rsidRPr="00000000" w14:paraId="00000054">
            <w:pPr>
              <w:rPr/>
            </w:pPr>
            <w:r w:rsidDel="00000000" w:rsidR="00000000" w:rsidRPr="00000000">
              <w:rPr>
                <w:b w:val="1"/>
                <w:bCs w:val="1"/>
                <w:rtl w:val="0"/>
              </w:rPr>
              <w:t xml:space="preserve">Company</w:t>
            </w:r>
            <w:r w:rsidDel="00000000" w:rsidR="00000000" w:rsidRPr="00000000">
              <w:rPr>
                <w:rtl w:val="0"/>
              </w:rPr>
            </w:r>
          </w:p>
        </w:tc>
        <w:tc>
          <w:tcPr>
            <w:shd w:fill="d9eaf7" w:val="clear"/>
          </w:tcPr>
          <w:p w:rsidR="00000000" w:rsidDel="00000000" w:rsidP="00000000" w:rsidRDefault="00000000" w:rsidRPr="00000000" w14:paraId="00000055">
            <w:pPr>
              <w:rPr/>
            </w:pPr>
            <w:r w:rsidDel="00000000" w:rsidR="00000000" w:rsidRPr="00000000">
              <w:rPr>
                <w:b w:val="1"/>
                <w:bCs w:val="1"/>
                <w:rtl w:val="0"/>
              </w:rPr>
              <w:t xml:space="preserve">UK operation evidence</w:t>
            </w:r>
            <w:r w:rsidDel="00000000" w:rsidR="00000000" w:rsidRPr="00000000">
              <w:rPr>
                <w:rtl w:val="0"/>
              </w:rPr>
            </w:r>
          </w:p>
        </w:tc>
        <w:tc>
          <w:tcPr>
            <w:shd w:fill="d9eaf7" w:val="clear"/>
          </w:tcPr>
          <w:p w:rsidR="00000000" w:rsidDel="00000000" w:rsidP="00000000" w:rsidRDefault="00000000" w:rsidRPr="00000000" w14:paraId="00000056">
            <w:pPr>
              <w:rPr/>
            </w:pPr>
            <w:r w:rsidDel="00000000" w:rsidR="00000000" w:rsidRPr="00000000">
              <w:rPr>
                <w:b w:val="1"/>
                <w:bCs w:val="1"/>
                <w:rtl w:val="0"/>
              </w:rPr>
              <w:t xml:space="preserve">Accessible data</w:t>
            </w:r>
            <w:r w:rsidDel="00000000" w:rsidR="00000000" w:rsidRPr="00000000">
              <w:rPr>
                <w:rtl w:val="0"/>
              </w:rPr>
            </w:r>
          </w:p>
        </w:tc>
        <w:tc>
          <w:tcPr>
            <w:shd w:fill="d9eaf7" w:val="clear"/>
          </w:tcPr>
          <w:p w:rsidR="00000000" w:rsidDel="00000000" w:rsidP="00000000" w:rsidRDefault="00000000" w:rsidRPr="00000000" w14:paraId="00000057">
            <w:pPr>
              <w:rPr/>
            </w:pPr>
            <w:r w:rsidDel="00000000" w:rsidR="00000000" w:rsidRPr="00000000">
              <w:rPr>
                <w:b w:val="1"/>
                <w:bCs w:val="1"/>
                <w:rtl w:val="0"/>
              </w:rPr>
              <w:t xml:space="preserve">Reason for selection</w:t>
            </w:r>
            <w:r w:rsidDel="00000000" w:rsidR="00000000" w:rsidRPr="00000000">
              <w:rPr>
                <w:rtl w:val="0"/>
              </w:rPr>
            </w:r>
          </w:p>
        </w:tc>
      </w:tr>
      <w:tr>
        <w:trPr>
          <w:cantSplit w:val="0"/>
          <w:tblHeader w:val="0"/>
        </w:trPr>
        <w:tc>
          <w:tcPr/>
          <w:p w:rsidR="00000000" w:rsidDel="00000000" w:rsidP="00000000" w:rsidRDefault="00000000" w:rsidRPr="00000000" w14:paraId="00000058">
            <w:pPr>
              <w:rPr/>
            </w:pPr>
            <w:r w:rsidDel="00000000" w:rsidR="00000000" w:rsidRPr="00000000">
              <w:rPr>
                <w:rtl w:val="0"/>
              </w:rPr>
              <w:t xml:space="preserve">Microsoft</w:t>
            </w:r>
          </w:p>
        </w:tc>
        <w:tc>
          <w:tcPr/>
          <w:p w:rsidR="00000000" w:rsidDel="00000000" w:rsidP="00000000" w:rsidRDefault="00000000" w:rsidRPr="00000000" w14:paraId="00000059">
            <w:pPr>
              <w:rPr/>
            </w:pPr>
            <w:r w:rsidDel="00000000" w:rsidR="00000000" w:rsidRPr="00000000">
              <w:rPr>
                <w:rtl w:val="0"/>
              </w:rPr>
              <w:t xml:space="preserve">Microsoft Limited, UK company number 01624297</w:t>
            </w:r>
          </w:p>
        </w:tc>
        <w:tc>
          <w:tcPr/>
          <w:p w:rsidR="00000000" w:rsidDel="00000000" w:rsidP="00000000" w:rsidRDefault="00000000" w:rsidRPr="00000000" w14:paraId="0000005A">
            <w:pPr>
              <w:rPr/>
            </w:pPr>
            <w:r w:rsidDel="00000000" w:rsidR="00000000" w:rsidRPr="00000000">
              <w:rPr>
                <w:rtl w:val="0"/>
              </w:rPr>
              <w:t xml:space="preserve">Annual reports provide global revenue, geographic discussion and AI-related strategy evidence.</w:t>
            </w:r>
          </w:p>
        </w:tc>
        <w:tc>
          <w:tcPr/>
          <w:p w:rsidR="00000000" w:rsidDel="00000000" w:rsidP="00000000" w:rsidRDefault="00000000" w:rsidRPr="00000000" w14:paraId="0000005B">
            <w:pPr>
              <w:rPr/>
            </w:pPr>
            <w:r w:rsidDel="00000000" w:rsidR="00000000" w:rsidRPr="00000000">
              <w:rPr>
                <w:rtl w:val="0"/>
              </w:rPr>
              <w:t xml:space="preserve">AI adoption through Copilot, Azure AI, cloud services and business software.</w:t>
            </w:r>
          </w:p>
        </w:tc>
      </w:tr>
      <w:tr>
        <w:trPr>
          <w:cantSplit w:val="0"/>
          <w:tblHeader w:val="0"/>
        </w:trPr>
        <w:tc>
          <w:tcPr/>
          <w:p w:rsidR="00000000" w:rsidDel="00000000" w:rsidP="00000000" w:rsidRDefault="00000000" w:rsidRPr="00000000" w14:paraId="0000005C">
            <w:pPr>
              <w:rPr/>
            </w:pPr>
            <w:r w:rsidDel="00000000" w:rsidR="00000000" w:rsidRPr="00000000">
              <w:rPr>
                <w:rtl w:val="0"/>
              </w:rPr>
              <w:t xml:space="preserve">Alphabet / Google</w:t>
            </w:r>
          </w:p>
        </w:tc>
        <w:tc>
          <w:tcPr/>
          <w:p w:rsidR="00000000" w:rsidDel="00000000" w:rsidP="00000000" w:rsidRDefault="00000000" w:rsidRPr="00000000" w14:paraId="0000005D">
            <w:pPr>
              <w:rPr/>
            </w:pPr>
            <w:r w:rsidDel="00000000" w:rsidR="00000000" w:rsidRPr="00000000">
              <w:rPr>
                <w:rtl w:val="0"/>
              </w:rPr>
              <w:t xml:space="preserve">Google UK Limited, UK company number 03977902</w:t>
            </w:r>
          </w:p>
        </w:tc>
        <w:tc>
          <w:tcPr/>
          <w:p w:rsidR="00000000" w:rsidDel="00000000" w:rsidP="00000000" w:rsidRDefault="00000000" w:rsidRPr="00000000" w14:paraId="0000005E">
            <w:pPr>
              <w:rPr/>
            </w:pPr>
            <w:r w:rsidDel="00000000" w:rsidR="00000000" w:rsidRPr="00000000">
              <w:rPr>
                <w:rtl w:val="0"/>
              </w:rPr>
              <w:t xml:space="preserve">Annual reports provide global revenue, regional revenue and AI strategy evidence.</w:t>
            </w:r>
          </w:p>
        </w:tc>
        <w:tc>
          <w:tcPr/>
          <w:p w:rsidR="00000000" w:rsidDel="00000000" w:rsidP="00000000" w:rsidRDefault="00000000" w:rsidRPr="00000000" w14:paraId="0000005F">
            <w:pPr>
              <w:rPr/>
            </w:pPr>
            <w:r w:rsidDel="00000000" w:rsidR="00000000" w:rsidRPr="00000000">
              <w:rPr>
                <w:rtl w:val="0"/>
              </w:rPr>
              <w:t xml:space="preserve">AI adoption through search, advertising, Google Cloud, Gemini and data analytics.</w:t>
            </w:r>
          </w:p>
        </w:tc>
      </w:tr>
      <w:tr>
        <w:trPr>
          <w:cantSplit w:val="0"/>
          <w:tblHeader w:val="0"/>
        </w:trPr>
        <w:tc>
          <w:tcPr/>
          <w:p w:rsidR="00000000" w:rsidDel="00000000" w:rsidP="00000000" w:rsidRDefault="00000000" w:rsidRPr="00000000" w14:paraId="00000060">
            <w:pPr>
              <w:rPr/>
            </w:pPr>
            <w:r w:rsidDel="00000000" w:rsidR="00000000" w:rsidRPr="00000000">
              <w:rPr>
                <w:rtl w:val="0"/>
              </w:rPr>
              <w:t xml:space="preserve">Amazon</w:t>
            </w:r>
          </w:p>
        </w:tc>
        <w:tc>
          <w:tcPr/>
          <w:p w:rsidR="00000000" w:rsidDel="00000000" w:rsidP="00000000" w:rsidRDefault="00000000" w:rsidRPr="00000000" w14:paraId="00000061">
            <w:pPr>
              <w:rPr/>
            </w:pPr>
            <w:r w:rsidDel="00000000" w:rsidR="00000000" w:rsidRPr="00000000">
              <w:rPr>
                <w:rtl w:val="0"/>
              </w:rPr>
              <w:t xml:space="preserve">Amazon UK Services Ltd, UK company number 03223028</w:t>
            </w:r>
          </w:p>
        </w:tc>
        <w:tc>
          <w:tcPr/>
          <w:p w:rsidR="00000000" w:rsidDel="00000000" w:rsidP="00000000" w:rsidRDefault="00000000" w:rsidRPr="00000000" w14:paraId="00000062">
            <w:pPr>
              <w:rPr/>
            </w:pPr>
            <w:r w:rsidDel="00000000" w:rsidR="00000000" w:rsidRPr="00000000">
              <w:rPr>
                <w:rtl w:val="0"/>
              </w:rPr>
              <w:t xml:space="preserve">Annual reports provide North America, International and AWS segment data.</w:t>
            </w:r>
          </w:p>
        </w:tc>
        <w:tc>
          <w:tcPr/>
          <w:p w:rsidR="00000000" w:rsidDel="00000000" w:rsidP="00000000" w:rsidRDefault="00000000" w:rsidRPr="00000000" w14:paraId="00000063">
            <w:pPr>
              <w:rPr/>
            </w:pPr>
            <w:r w:rsidDel="00000000" w:rsidR="00000000" w:rsidRPr="00000000">
              <w:rPr>
                <w:rtl w:val="0"/>
              </w:rPr>
              <w:t xml:space="preserve">AI adoption through e-commerce, logistics, recommendation systems, AWS and automation.</w:t>
            </w:r>
          </w:p>
        </w:tc>
      </w:tr>
      <w:tr>
        <w:trPr>
          <w:cantSplit w:val="0"/>
          <w:tblHeader w:val="0"/>
        </w:trPr>
        <w:tc>
          <w:tcPr/>
          <w:p w:rsidR="00000000" w:rsidDel="00000000" w:rsidP="00000000" w:rsidRDefault="00000000" w:rsidRPr="00000000" w14:paraId="00000064">
            <w:pPr>
              <w:rPr/>
            </w:pPr>
            <w:r w:rsidDel="00000000" w:rsidR="00000000" w:rsidRPr="00000000">
              <w:rPr>
                <w:rtl w:val="0"/>
              </w:rPr>
              <w:t xml:space="preserve">IBM</w:t>
            </w:r>
          </w:p>
        </w:tc>
        <w:tc>
          <w:tcPr/>
          <w:p w:rsidR="00000000" w:rsidDel="00000000" w:rsidP="00000000" w:rsidRDefault="00000000" w:rsidRPr="00000000" w14:paraId="00000065">
            <w:pPr>
              <w:rPr/>
            </w:pPr>
            <w:r w:rsidDel="00000000" w:rsidR="00000000" w:rsidRPr="00000000">
              <w:rPr>
                <w:rtl w:val="0"/>
              </w:rPr>
              <w:t xml:space="preserve">IBM United Kingdom Limited, UK company number 00741598</w:t>
            </w:r>
          </w:p>
        </w:tc>
        <w:tc>
          <w:tcPr/>
          <w:p w:rsidR="00000000" w:rsidDel="00000000" w:rsidP="00000000" w:rsidRDefault="00000000" w:rsidRPr="00000000" w14:paraId="00000066">
            <w:pPr>
              <w:rPr/>
            </w:pPr>
            <w:r w:rsidDel="00000000" w:rsidR="00000000" w:rsidRPr="00000000">
              <w:rPr>
                <w:rtl w:val="0"/>
              </w:rPr>
              <w:t xml:space="preserve">Annual reports provide revenue by business segment and geography.</w:t>
            </w:r>
          </w:p>
        </w:tc>
        <w:tc>
          <w:tcPr/>
          <w:p w:rsidR="00000000" w:rsidDel="00000000" w:rsidP="00000000" w:rsidRDefault="00000000" w:rsidRPr="00000000" w14:paraId="00000067">
            <w:pPr>
              <w:rPr/>
            </w:pPr>
            <w:r w:rsidDel="00000000" w:rsidR="00000000" w:rsidRPr="00000000">
              <w:rPr>
                <w:rtl w:val="0"/>
              </w:rPr>
              <w:t xml:space="preserve">AI adoption through watsonx, hybrid cloud, automation and consulting services.</w:t>
            </w:r>
          </w:p>
        </w:tc>
      </w:tr>
      <w:tr>
        <w:trPr>
          <w:cantSplit w:val="0"/>
          <w:tblHeader w:val="0"/>
        </w:trPr>
        <w:tc>
          <w:tcPr/>
          <w:p w:rsidR="00000000" w:rsidDel="00000000" w:rsidP="00000000" w:rsidRDefault="00000000" w:rsidRPr="00000000" w14:paraId="00000068">
            <w:pPr>
              <w:rPr/>
            </w:pPr>
            <w:r w:rsidDel="00000000" w:rsidR="00000000" w:rsidRPr="00000000">
              <w:rPr>
                <w:rtl w:val="0"/>
              </w:rPr>
              <w:t xml:space="preserve">Accenture</w:t>
            </w:r>
          </w:p>
        </w:tc>
        <w:tc>
          <w:tcPr/>
          <w:p w:rsidR="00000000" w:rsidDel="00000000" w:rsidP="00000000" w:rsidRDefault="00000000" w:rsidRPr="00000000" w14:paraId="00000069">
            <w:pPr>
              <w:rPr/>
            </w:pPr>
            <w:r w:rsidDel="00000000" w:rsidR="00000000" w:rsidRPr="00000000">
              <w:rPr>
                <w:rtl w:val="0"/>
              </w:rPr>
              <w:t xml:space="preserve">Accenture (UK) Limited, UK company number 04757301</w:t>
            </w:r>
          </w:p>
        </w:tc>
        <w:tc>
          <w:tcPr/>
          <w:p w:rsidR="00000000" w:rsidDel="00000000" w:rsidP="00000000" w:rsidRDefault="00000000" w:rsidRPr="00000000" w14:paraId="0000006A">
            <w:pPr>
              <w:rPr/>
            </w:pPr>
            <w:r w:rsidDel="00000000" w:rsidR="00000000" w:rsidRPr="00000000">
              <w:rPr>
                <w:rtl w:val="0"/>
              </w:rPr>
              <w:t xml:space="preserve">Annual reports provide revenue by market and strong detail on AI services.</w:t>
            </w:r>
          </w:p>
        </w:tc>
        <w:tc>
          <w:tcPr/>
          <w:p w:rsidR="00000000" w:rsidDel="00000000" w:rsidP="00000000" w:rsidRDefault="00000000" w:rsidRPr="00000000" w14:paraId="0000006B">
            <w:pPr>
              <w:rPr/>
            </w:pPr>
            <w:r w:rsidDel="00000000" w:rsidR="00000000" w:rsidRPr="00000000">
              <w:rPr>
                <w:rtl w:val="0"/>
              </w:rPr>
              <w:t xml:space="preserve">AI adoption through digital transformation, generative AI services and consulting.</w:t>
            </w:r>
          </w:p>
        </w:tc>
      </w:tr>
    </w:tbl>
    <w:p w:rsidR="00000000" w:rsidDel="00000000" w:rsidP="00000000" w:rsidRDefault="00000000" w:rsidRPr="00000000" w14:paraId="0000006C">
      <w:pPr>
        <w:pStyle w:val="Heading2"/>
        <w:rPr/>
      </w:pPr>
      <w:bookmarkStart w:colFirst="0" w:colLast="0" w:name="_heading=h.md4cp9v5vqrq" w:id="14"/>
      <w:bookmarkEnd w:id="14"/>
      <w:r w:rsidDel="00000000" w:rsidR="00000000" w:rsidRPr="00000000">
        <w:rPr>
          <w:rtl w:val="0"/>
        </w:rPr>
        <w:t xml:space="preserve">4.3 Data Collection Method</w:t>
      </w:r>
    </w:p>
    <w:p w:rsidR="00000000" w:rsidDel="00000000" w:rsidP="00000000" w:rsidRDefault="00000000" w:rsidRPr="00000000" w14:paraId="0000006D">
      <w:pPr>
        <w:spacing w:after="120" w:lineRule="auto"/>
        <w:rPr/>
      </w:pPr>
      <w:r w:rsidDel="00000000" w:rsidR="00000000" w:rsidRPr="00000000">
        <w:rPr>
          <w:rtl w:val="0"/>
        </w:rPr>
        <w:t xml:space="preserve">The study will use secondary data only. Data will be manually gathered from company annual reports, Form 10-K reports, investor reports, official company websites and Companies House pages. The main company reports will be downloaded for the year 2020, 2021, 2022 and 2023 and 2024. The company name, year, source document, AI adoption evidence, international revenue measure, total revenue, international revenue growth and any notes on opportunities and/or challenges will be captured on the data extraction sheet. Each figure removed will be attached to the page or section of the report from which it was taken to increase transparency.</w:t>
      </w:r>
    </w:p>
    <w:p w:rsidR="00000000" w:rsidDel="00000000" w:rsidP="00000000" w:rsidRDefault="00000000" w:rsidRPr="00000000" w14:paraId="0000006E">
      <w:pPr>
        <w:spacing w:after="120" w:lineRule="auto"/>
        <w:rPr/>
      </w:pPr>
      <w:r w:rsidDel="00000000" w:rsidR="00000000" w:rsidRPr="00000000">
        <w:rPr>
          <w:rtl w:val="0"/>
        </w:rPr>
        <w:t xml:space="preserve">A disclosure score will be used to assess AI adoption, based on content of annual reports. The report will assess evidence of the utilization of AI in products/services, internal operations, analytics and decision support, cloud or infrastructure and AI governance and responsible AI on a per company year basis. A simple coding rule will be used to score each item. 0 = no clear evidence, 1 = basic mention, 2 = specific evidence, examples, strategic detail. The total AI adoption score will then be a number between 0 and 10 for each company-year. This is appropriate for secondary data as AI expenditures are not necessarily reported in the same manner.</w:t>
      </w:r>
    </w:p>
    <w:p w:rsidR="00000000" w:rsidDel="00000000" w:rsidP="00000000" w:rsidRDefault="00000000" w:rsidRPr="00000000" w14:paraId="0000006F">
      <w:pPr>
        <w:spacing w:after="120" w:lineRule="auto"/>
        <w:rPr/>
      </w:pPr>
      <w:r w:rsidDel="00000000" w:rsidR="00000000" w:rsidRPr="00000000">
        <w:rPr>
          <w:rtl w:val="0"/>
        </w:rPr>
        <w:t xml:space="preserve">International business performance will be assessed based on international / non-domestic revenue growth, if available. For Amazon this will be on a basis of International segment net sales. It will be non-US regional revenue, which is a combination of EMEA, Asia Pacific and Americas excluding the United States for Alphabet. For Microsoft, it will be from countries other than the U.S. where it is disclosed. For IBM, it will be the EMEA and Asia-Pacific revenue as the closest non-primary market measure. In the case of Accenture, it will be EMEA and Growth Markets revenue. International business performance will be the main dependent variable, growth in total revenue and growth in operating income will also be reported as supporting performance measures.</w:t>
      </w:r>
    </w:p>
    <w:p w:rsidR="00000000" w:rsidDel="00000000" w:rsidP="00000000" w:rsidRDefault="00000000" w:rsidRPr="00000000" w14:paraId="00000070">
      <w:pPr>
        <w:pStyle w:val="Heading2"/>
        <w:rPr/>
      </w:pPr>
      <w:bookmarkStart w:colFirst="0" w:colLast="0" w:name="_heading=h.moautjhb8m7s" w:id="15"/>
      <w:bookmarkEnd w:id="15"/>
      <w:r w:rsidDel="00000000" w:rsidR="00000000" w:rsidRPr="00000000">
        <w:rPr>
          <w:rtl w:val="0"/>
        </w:rPr>
        <w:t xml:space="preserve">4.4 Operationalisation of Variables</w:t>
      </w:r>
    </w:p>
    <w:p w:rsidR="00000000" w:rsidDel="00000000" w:rsidP="00000000" w:rsidRDefault="00000000" w:rsidRPr="00000000" w14:paraId="00000071">
      <w:pPr>
        <w:rPr/>
      </w:pPr>
      <w:r w:rsidDel="00000000" w:rsidR="00000000" w:rsidRPr="00000000">
        <w:rPr>
          <w:b w:val="1"/>
          <w:bCs w:val="1"/>
          <w:rtl w:val="0"/>
        </w:rPr>
        <w:t xml:space="preserve">Table 2:</w:t>
      </w:r>
      <w:r w:rsidDel="00000000" w:rsidR="00000000" w:rsidRPr="00000000">
        <w:rPr>
          <w:rtl w:val="0"/>
        </w:rPr>
        <w:t xml:space="preserve"> Operationalisation of variables</w:t>
      </w:r>
    </w:p>
    <w:tbl>
      <w:tblPr>
        <w:tblStyle w:val="Table3"/>
        <w:tblW w:w="9484.0" w:type="dxa"/>
        <w:jc w:val="center"/>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1564"/>
        <w:gridCol w:w="1558"/>
        <w:gridCol w:w="4022"/>
        <w:gridCol w:w="2340"/>
        <w:tblGridChange w:id="0">
          <w:tblGrid>
            <w:gridCol w:w="1564"/>
            <w:gridCol w:w="1558"/>
            <w:gridCol w:w="4022"/>
            <w:gridCol w:w="2340"/>
          </w:tblGrid>
        </w:tblGridChange>
      </w:tblGrid>
      <w:tr>
        <w:trPr>
          <w:cantSplit w:val="0"/>
          <w:tblHeader w:val="0"/>
        </w:trPr>
        <w:tc>
          <w:tcPr>
            <w:shd w:fill="d9eaf7" w:val="clear"/>
          </w:tcPr>
          <w:p w:rsidR="00000000" w:rsidDel="00000000" w:rsidP="00000000" w:rsidRDefault="00000000" w:rsidRPr="00000000" w14:paraId="00000072">
            <w:pPr>
              <w:jc w:val="center"/>
              <w:rPr>
                <w:b w:val="1"/>
                <w:bCs w:val="1"/>
              </w:rPr>
            </w:pPr>
            <w:r w:rsidDel="00000000" w:rsidR="00000000" w:rsidRPr="00000000">
              <w:rPr>
                <w:b w:val="1"/>
                <w:bCs w:val="1"/>
                <w:rtl w:val="0"/>
              </w:rPr>
              <w:t xml:space="preserve">Variable</w:t>
            </w:r>
          </w:p>
        </w:tc>
        <w:tc>
          <w:tcPr>
            <w:shd w:fill="d9eaf7" w:val="clear"/>
          </w:tcPr>
          <w:p w:rsidR="00000000" w:rsidDel="00000000" w:rsidP="00000000" w:rsidRDefault="00000000" w:rsidRPr="00000000" w14:paraId="00000073">
            <w:pPr>
              <w:jc w:val="center"/>
              <w:rPr>
                <w:b w:val="1"/>
                <w:bCs w:val="1"/>
              </w:rPr>
            </w:pPr>
            <w:r w:rsidDel="00000000" w:rsidR="00000000" w:rsidRPr="00000000">
              <w:rPr>
                <w:b w:val="1"/>
                <w:bCs w:val="1"/>
                <w:rtl w:val="0"/>
              </w:rPr>
              <w:t xml:space="preserve">Type</w:t>
            </w:r>
          </w:p>
        </w:tc>
        <w:tc>
          <w:tcPr>
            <w:shd w:fill="d9eaf7" w:val="clear"/>
          </w:tcPr>
          <w:p w:rsidR="00000000" w:rsidDel="00000000" w:rsidP="00000000" w:rsidRDefault="00000000" w:rsidRPr="00000000" w14:paraId="00000074">
            <w:pPr>
              <w:jc w:val="center"/>
              <w:rPr>
                <w:b w:val="1"/>
                <w:bCs w:val="1"/>
              </w:rPr>
            </w:pPr>
            <w:r w:rsidDel="00000000" w:rsidR="00000000" w:rsidRPr="00000000">
              <w:rPr>
                <w:b w:val="1"/>
                <w:bCs w:val="1"/>
                <w:rtl w:val="0"/>
              </w:rPr>
              <w:t xml:space="preserve">Measurement</w:t>
            </w:r>
          </w:p>
        </w:tc>
        <w:tc>
          <w:tcPr>
            <w:shd w:fill="d9eaf7" w:val="clear"/>
          </w:tcPr>
          <w:p w:rsidR="00000000" w:rsidDel="00000000" w:rsidP="00000000" w:rsidRDefault="00000000" w:rsidRPr="00000000" w14:paraId="00000075">
            <w:pPr>
              <w:jc w:val="center"/>
              <w:rPr>
                <w:b w:val="1"/>
                <w:bCs w:val="1"/>
              </w:rPr>
            </w:pPr>
            <w:r w:rsidDel="00000000" w:rsidR="00000000" w:rsidRPr="00000000">
              <w:rPr>
                <w:b w:val="1"/>
                <w:bCs w:val="1"/>
                <w:rtl w:val="0"/>
              </w:rPr>
              <w:t xml:space="preserve">Source</w:t>
            </w:r>
          </w:p>
        </w:tc>
      </w:tr>
      <w:tr>
        <w:trPr>
          <w:cantSplit w:val="0"/>
          <w:tblHeader w:val="0"/>
        </w:trPr>
        <w:tc>
          <w:tcPr/>
          <w:p w:rsidR="00000000" w:rsidDel="00000000" w:rsidP="00000000" w:rsidRDefault="00000000" w:rsidRPr="00000000" w14:paraId="00000076">
            <w:pPr>
              <w:rPr/>
            </w:pPr>
            <w:r w:rsidDel="00000000" w:rsidR="00000000" w:rsidRPr="00000000">
              <w:rPr>
                <w:rtl w:val="0"/>
              </w:rPr>
              <w:t xml:space="preserve">AI adoption</w:t>
            </w:r>
          </w:p>
        </w:tc>
        <w:tc>
          <w:tcPr/>
          <w:p w:rsidR="00000000" w:rsidDel="00000000" w:rsidP="00000000" w:rsidRDefault="00000000" w:rsidRPr="00000000" w14:paraId="00000077">
            <w:pPr>
              <w:rPr/>
            </w:pPr>
            <w:r w:rsidDel="00000000" w:rsidR="00000000" w:rsidRPr="00000000">
              <w:rPr>
                <w:rtl w:val="0"/>
              </w:rPr>
              <w:t xml:space="preserve">Independent variable</w:t>
            </w:r>
          </w:p>
        </w:tc>
        <w:tc>
          <w:tcPr/>
          <w:p w:rsidR="00000000" w:rsidDel="00000000" w:rsidP="00000000" w:rsidRDefault="00000000" w:rsidRPr="00000000" w14:paraId="00000078">
            <w:pPr>
              <w:rPr/>
            </w:pPr>
            <w:r w:rsidDel="00000000" w:rsidR="00000000" w:rsidRPr="00000000">
              <w:rPr>
                <w:rtl w:val="0"/>
              </w:rPr>
              <w:t xml:space="preserve">AI adoption disclosure score from 0 to 10 based on five AI evidence items coded 0, 1 or 2.</w:t>
            </w:r>
          </w:p>
        </w:tc>
        <w:tc>
          <w:tcPr/>
          <w:p w:rsidR="00000000" w:rsidDel="00000000" w:rsidP="00000000" w:rsidRDefault="00000000" w:rsidRPr="00000000" w14:paraId="00000079">
            <w:pPr>
              <w:rPr/>
            </w:pPr>
            <w:r w:rsidDel="00000000" w:rsidR="00000000" w:rsidRPr="00000000">
              <w:rPr>
                <w:rtl w:val="0"/>
              </w:rPr>
              <w:t xml:space="preserve">Annual reports, investor reports and official company disclosures.</w:t>
            </w:r>
          </w:p>
        </w:tc>
      </w:tr>
      <w:tr>
        <w:trPr>
          <w:cantSplit w:val="0"/>
          <w:tblHeader w:val="0"/>
        </w:trPr>
        <w:tc>
          <w:tcPr/>
          <w:p w:rsidR="00000000" w:rsidDel="00000000" w:rsidP="00000000" w:rsidRDefault="00000000" w:rsidRPr="00000000" w14:paraId="0000007A">
            <w:pPr>
              <w:rPr/>
            </w:pPr>
            <w:r w:rsidDel="00000000" w:rsidR="00000000" w:rsidRPr="00000000">
              <w:rPr>
                <w:rtl w:val="0"/>
              </w:rPr>
              <w:t xml:space="preserve">International business performance</w:t>
            </w:r>
          </w:p>
        </w:tc>
        <w:tc>
          <w:tcPr/>
          <w:p w:rsidR="00000000" w:rsidDel="00000000" w:rsidP="00000000" w:rsidRDefault="00000000" w:rsidRPr="00000000" w14:paraId="0000007B">
            <w:pPr>
              <w:rPr/>
            </w:pPr>
            <w:r w:rsidDel="00000000" w:rsidR="00000000" w:rsidRPr="00000000">
              <w:rPr>
                <w:rtl w:val="0"/>
              </w:rPr>
              <w:t xml:space="preserve">Dependent variable</w:t>
            </w:r>
          </w:p>
        </w:tc>
        <w:tc>
          <w:tcPr/>
          <w:p w:rsidR="00000000" w:rsidDel="00000000" w:rsidP="00000000" w:rsidRDefault="00000000" w:rsidRPr="00000000" w14:paraId="0000007C">
            <w:pPr>
              <w:rPr/>
            </w:pPr>
            <w:r w:rsidDel="00000000" w:rsidR="00000000" w:rsidRPr="00000000">
              <w:rPr>
                <w:rtl w:val="0"/>
              </w:rPr>
              <w:t xml:space="preserve">International or non-domestic revenue growth percentage for each company-year.</w:t>
            </w:r>
          </w:p>
        </w:tc>
        <w:tc>
          <w:tcPr/>
          <w:p w:rsidR="00000000" w:rsidDel="00000000" w:rsidP="00000000" w:rsidRDefault="00000000" w:rsidRPr="00000000" w14:paraId="0000007D">
            <w:pPr>
              <w:rPr/>
            </w:pPr>
            <w:r w:rsidDel="00000000" w:rsidR="00000000" w:rsidRPr="00000000">
              <w:rPr>
                <w:rtl w:val="0"/>
              </w:rPr>
              <w:t xml:space="preserve">Annual reports and Form 10-K financial statements.</w:t>
            </w:r>
          </w:p>
        </w:tc>
      </w:tr>
    </w:tbl>
    <w:p w:rsidR="00000000" w:rsidDel="00000000" w:rsidP="00000000" w:rsidRDefault="00000000" w:rsidRPr="00000000" w14:paraId="0000007E">
      <w:pPr>
        <w:pStyle w:val="Heading2"/>
        <w:rPr/>
      </w:pPr>
      <w:bookmarkStart w:colFirst="0" w:colLast="0" w:name="_heading=h.u5x96ebzglle" w:id="16"/>
      <w:bookmarkEnd w:id="16"/>
      <w:r w:rsidDel="00000000" w:rsidR="00000000" w:rsidRPr="00000000">
        <w:rPr>
          <w:rtl w:val="0"/>
        </w:rPr>
        <w:t xml:space="preserve">4.5 Data Analysis Plan and Software</w:t>
      </w:r>
    </w:p>
    <w:p w:rsidR="00000000" w:rsidDel="00000000" w:rsidP="00000000" w:rsidRDefault="00000000" w:rsidRPr="00000000" w14:paraId="0000007F">
      <w:pPr>
        <w:spacing w:after="120" w:lineRule="auto"/>
        <w:rPr/>
      </w:pPr>
      <w:r w:rsidDel="00000000" w:rsidR="00000000" w:rsidRPr="00000000">
        <w:rPr>
          <w:rtl w:val="0"/>
        </w:rPr>
        <w:t xml:space="preserve">The analysis will be conducted using Rgui 4.5.1. The data will initially be in the form of a spreadsheet and saved as a CSV file. This CSV file will then be imported in Rgui 4.5.1 to be cleaned, descriptive statistics, charts, correlation analysis and simple linear regression. AI adoption scores and international performance indicators will be summarised using descriptive statistics. Trends in the adoption of AI and international revenues growth from 2020 to 2024 will be depicted in line charts. The relationship between the adoption of Artificial Intelligence and international business performance will be depicted in a scatter plot.</w:t>
      </w:r>
    </w:p>
    <w:p w:rsidR="00000000" w:rsidDel="00000000" w:rsidP="00000000" w:rsidRDefault="00000000" w:rsidRPr="00000000" w14:paraId="00000080">
      <w:pPr>
        <w:spacing w:after="120" w:lineRule="auto"/>
        <w:rPr/>
      </w:pPr>
      <w:r w:rsidDel="00000000" w:rsidR="00000000" w:rsidRPr="00000000">
        <w:rPr>
          <w:rtl w:val="0"/>
        </w:rPr>
        <w:t xml:space="preserve">The basic statistical analysis will be simple linear regression of the model: International Business Performance = beta0 + beta1(AI Adoption) + error. Relationship between the two variables will also be analyzed in terms of strength and direction using correlation analysis. Careful interpretation will be given to the analysis as a result of 25 firm-year observations in the sample. So the results will be considered exploratory and not a proof of a universal causal effect. Rgui 4.5.1 would be appropriate because it allows you to execute reproducible statistical commands, generate nice charts for the dissertation, and execute statistical commands transparently.</w:t>
      </w:r>
    </w:p>
    <w:p w:rsidR="00000000" w:rsidDel="00000000" w:rsidP="00000000" w:rsidRDefault="00000000" w:rsidRPr="00000000" w14:paraId="00000081">
      <w:pPr>
        <w:pStyle w:val="Heading2"/>
        <w:rPr/>
      </w:pPr>
      <w:bookmarkStart w:colFirst="0" w:colLast="0" w:name="_heading=h.htliafhcd7sg" w:id="17"/>
      <w:bookmarkEnd w:id="17"/>
      <w:r w:rsidDel="00000000" w:rsidR="00000000" w:rsidRPr="00000000">
        <w:rPr>
          <w:rtl w:val="0"/>
        </w:rPr>
        <w:t xml:space="preserve">4.6 Ethical Considerations</w:t>
      </w:r>
    </w:p>
    <w:p w:rsidR="00000000" w:rsidDel="00000000" w:rsidP="00000000" w:rsidRDefault="00000000" w:rsidRPr="00000000" w14:paraId="00000082">
      <w:pPr>
        <w:spacing w:after="120" w:lineRule="auto"/>
        <w:rPr/>
      </w:pPr>
      <w:r w:rsidDel="00000000" w:rsidR="00000000" w:rsidRPr="00000000">
        <w:rPr>
          <w:rtl w:val="0"/>
        </w:rPr>
        <w:t xml:space="preserve">The research will not involve primary data from humans. It will not rely on any information other than publicly available secondary information from company reports, investor materials and public company records. Thus, there are no direct risks to the participants, no collection of personal data and no need to contact company employees. Ethical care will still be needed, however, as the study needs to be conducted in a way that data is presented accurately, all sources cited, and that the company statements are not misrepresented or that disclosure-based measurement is limited. References to all sources will be included in the appropriate Harvard Style.</w:t>
      </w:r>
    </w:p>
    <w:p w:rsidR="00000000" w:rsidDel="00000000" w:rsidP="00000000" w:rsidRDefault="00000000" w:rsidRPr="00000000" w14:paraId="00000083">
      <w:pPr>
        <w:pStyle w:val="Heading1"/>
        <w:rPr/>
      </w:pPr>
      <w:bookmarkStart w:colFirst="0" w:colLast="0" w:name="_heading=h.pfknbvut7jm6" w:id="18"/>
      <w:bookmarkEnd w:id="18"/>
      <w:r w:rsidDel="00000000" w:rsidR="00000000" w:rsidRPr="00000000">
        <w:rPr>
          <w:rtl w:val="0"/>
        </w:rPr>
        <w:t xml:space="preserve">5. Risks and Mitigation</w:t>
      </w:r>
    </w:p>
    <w:p w:rsidR="00000000" w:rsidDel="00000000" w:rsidP="00000000" w:rsidRDefault="00000000" w:rsidRPr="00000000" w14:paraId="00000084">
      <w:pPr>
        <w:spacing w:after="120" w:lineRule="auto"/>
        <w:rPr/>
      </w:pPr>
      <w:r w:rsidDel="00000000" w:rsidR="00000000" w:rsidRPr="00000000">
        <w:rPr>
          <w:b w:val="1"/>
          <w:bCs w:val="1"/>
          <w:rtl w:val="0"/>
        </w:rPr>
        <w:t xml:space="preserve">Different reporting formats: </w:t>
      </w:r>
      <w:r w:rsidDel="00000000" w:rsidR="00000000" w:rsidRPr="00000000">
        <w:rPr>
          <w:rtl w:val="0"/>
        </w:rPr>
        <w:t xml:space="preserve">The selected companies do not report international revenue in identical categories. The study will use a transparent data extraction sheet explaining the exact performance measure used for each company.</w:t>
      </w:r>
    </w:p>
    <w:p w:rsidR="00000000" w:rsidDel="00000000" w:rsidP="00000000" w:rsidRDefault="00000000" w:rsidRPr="00000000" w14:paraId="00000085">
      <w:pPr>
        <w:spacing w:after="120" w:lineRule="auto"/>
        <w:rPr/>
      </w:pPr>
      <w:r w:rsidDel="00000000" w:rsidR="00000000" w:rsidRPr="00000000">
        <w:rPr>
          <w:b w:val="1"/>
          <w:bCs w:val="1"/>
          <w:rtl w:val="0"/>
        </w:rPr>
        <w:t xml:space="preserve">Disclosure bias: </w:t>
      </w:r>
      <w:r w:rsidDel="00000000" w:rsidR="00000000" w:rsidRPr="00000000">
        <w:rPr>
          <w:rtl w:val="0"/>
        </w:rPr>
        <w:t xml:space="preserve">Companies may present AI adoption positively in annual reports. The study will use a structured scoring framework and will treat the results as disclosure-based evidence, not as a perfect measure of actual AI capability.</w:t>
      </w:r>
    </w:p>
    <w:p w:rsidR="00000000" w:rsidDel="00000000" w:rsidP="00000000" w:rsidRDefault="00000000" w:rsidRPr="00000000" w14:paraId="00000086">
      <w:pPr>
        <w:spacing w:after="120" w:lineRule="auto"/>
        <w:rPr/>
      </w:pPr>
      <w:r w:rsidDel="00000000" w:rsidR="00000000" w:rsidRPr="00000000">
        <w:rPr>
          <w:b w:val="1"/>
          <w:bCs w:val="1"/>
          <w:rtl w:val="0"/>
        </w:rPr>
        <w:t xml:space="preserve">Small sample size: </w:t>
      </w:r>
      <w:r w:rsidDel="00000000" w:rsidR="00000000" w:rsidRPr="00000000">
        <w:rPr>
          <w:rtl w:val="0"/>
        </w:rPr>
        <w:t xml:space="preserve">The research uses five companies over five years, giving 25 firm-year observations. Regression results will be interpreted cautiously and supported with descriptive analysis.</w:t>
      </w:r>
    </w:p>
    <w:p w:rsidR="00000000" w:rsidDel="00000000" w:rsidP="00000000" w:rsidRDefault="00000000" w:rsidRPr="00000000" w14:paraId="00000087">
      <w:pPr>
        <w:spacing w:after="120" w:lineRule="auto"/>
        <w:rPr/>
      </w:pPr>
      <w:r w:rsidDel="00000000" w:rsidR="00000000" w:rsidRPr="00000000">
        <w:rPr>
          <w:b w:val="1"/>
          <w:bCs w:val="1"/>
          <w:rtl w:val="0"/>
        </w:rPr>
        <w:t xml:space="preserve">Missing data: </w:t>
      </w:r>
      <w:r w:rsidDel="00000000" w:rsidR="00000000" w:rsidRPr="00000000">
        <w:rPr>
          <w:rtl w:val="0"/>
        </w:rPr>
        <w:t xml:space="preserve">If one data point is missing, the annual report, Form 10-K, investor presentation and official financial statements will be checked. Any missing value will be explained in the methodology chapter.</w:t>
      </w:r>
    </w:p>
    <w:p w:rsidR="00000000" w:rsidDel="00000000" w:rsidP="00000000" w:rsidRDefault="00000000" w:rsidRPr="00000000" w14:paraId="00000088">
      <w:pPr>
        <w:spacing w:after="120" w:lineRule="auto"/>
        <w:rPr/>
      </w:pPr>
      <w:r w:rsidDel="00000000" w:rsidR="00000000" w:rsidRPr="00000000">
        <w:rPr>
          <w:b w:val="1"/>
          <w:bCs w:val="1"/>
          <w:rtl w:val="0"/>
        </w:rPr>
        <w:t xml:space="preserve">Time limitation: </w:t>
      </w:r>
      <w:r w:rsidDel="00000000" w:rsidR="00000000" w:rsidRPr="00000000">
        <w:rPr>
          <w:rtl w:val="0"/>
        </w:rPr>
        <w:t xml:space="preserve">The topic is narrowed to five companies, two variables and a 2020 to 2024 period to keep the work feasible within the dissertation schedule.</w:t>
      </w:r>
    </w:p>
    <w:p w:rsidR="00000000" w:rsidDel="00000000" w:rsidP="00000000" w:rsidRDefault="00000000" w:rsidRPr="00000000" w14:paraId="00000089">
      <w:pPr>
        <w:pStyle w:val="Heading1"/>
        <w:rPr/>
      </w:pPr>
      <w:bookmarkStart w:colFirst="0" w:colLast="0" w:name="_heading=h.ra1ftv2iplc7" w:id="19"/>
      <w:bookmarkEnd w:id="19"/>
      <w:r w:rsidDel="00000000" w:rsidR="00000000" w:rsidRPr="00000000">
        <w:rPr>
          <w:rtl w:val="0"/>
        </w:rPr>
        <w:t xml:space="preserve">6. Research Timeline</w:t>
      </w:r>
    </w:p>
    <w:p w:rsidR="00000000" w:rsidDel="00000000" w:rsidP="00000000" w:rsidRDefault="00000000" w:rsidRPr="00000000" w14:paraId="0000008A">
      <w:pPr>
        <w:spacing w:after="120" w:lineRule="auto"/>
        <w:rPr/>
      </w:pPr>
      <w:r w:rsidDel="00000000" w:rsidR="00000000" w:rsidRPr="00000000">
        <w:rPr>
          <w:rtl w:val="0"/>
        </w:rPr>
        <w:t xml:space="preserve">The dissertation will be completed over approximately 16 weeks. The timeline below allows time for literature review, secondary data extraction, coding, Rgui 4.5.1 analysis, writing, checking and final submission.</w:t>
      </w:r>
    </w:p>
    <w:p w:rsidR="00000000" w:rsidDel="00000000" w:rsidP="00000000" w:rsidRDefault="00000000" w:rsidRPr="00000000" w14:paraId="0000008B">
      <w:pPr>
        <w:spacing w:after="160" w:lineRule="auto"/>
        <w:jc w:val="center"/>
        <w:rPr/>
      </w:pPr>
      <w:r w:rsidDel="00000000" w:rsidR="00000000" w:rsidRPr="00000000">
        <w:rPr>
          <w:i w:val="1"/>
          <w:iCs w:val="1"/>
          <w:sz w:val="20"/>
          <w:szCs w:val="20"/>
          <w:rtl w:val="0"/>
        </w:rPr>
        <w:t xml:space="preserve">Table 3: Research timeline</w:t>
      </w:r>
      <w:r w:rsidDel="00000000" w:rsidR="00000000" w:rsidRPr="00000000">
        <w:rPr>
          <w:rtl w:val="0"/>
        </w:rPr>
      </w:r>
    </w:p>
    <w:p w:rsidR="00000000" w:rsidDel="00000000" w:rsidP="00000000" w:rsidRDefault="00000000" w:rsidRPr="00000000" w14:paraId="0000008C">
      <w:pPr>
        <w:rPr/>
      </w:pPr>
      <w:r w:rsidDel="00000000" w:rsidR="00000000" w:rsidRPr="00000000">
        <w:rPr>
          <w:b w:val="1"/>
          <w:bCs w:val="1"/>
          <w:rtl w:val="0"/>
        </w:rPr>
        <w:t xml:space="preserve">Table 3:</w:t>
      </w:r>
      <w:r w:rsidDel="00000000" w:rsidR="00000000" w:rsidRPr="00000000">
        <w:rPr>
          <w:rtl w:val="0"/>
        </w:rPr>
        <w:t xml:space="preserve"> Research timeline</w:t>
      </w:r>
    </w:p>
    <w:tbl>
      <w:tblPr>
        <w:tblStyle w:val="Table4"/>
        <w:tblW w:w="9360.0" w:type="dxa"/>
        <w:jc w:val="center"/>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3240"/>
        <w:gridCol w:w="1440"/>
        <w:gridCol w:w="1440"/>
        <w:gridCol w:w="1530"/>
        <w:gridCol w:w="1710"/>
        <w:tblGridChange w:id="0">
          <w:tblGrid>
            <w:gridCol w:w="3240"/>
            <w:gridCol w:w="1440"/>
            <w:gridCol w:w="1440"/>
            <w:gridCol w:w="1530"/>
            <w:gridCol w:w="1710"/>
          </w:tblGrid>
        </w:tblGridChange>
      </w:tblGrid>
      <w:tr>
        <w:trPr>
          <w:cantSplit w:val="0"/>
          <w:tblHeader w:val="0"/>
        </w:trPr>
        <w:tc>
          <w:tcPr>
            <w:shd w:fill="d9eaf7" w:val="clear"/>
          </w:tcPr>
          <w:p w:rsidR="00000000" w:rsidDel="00000000" w:rsidP="00000000" w:rsidRDefault="00000000" w:rsidRPr="00000000" w14:paraId="0000008D">
            <w:pPr>
              <w:rPr>
                <w:b w:val="1"/>
                <w:bCs w:val="1"/>
              </w:rPr>
            </w:pPr>
            <w:r w:rsidDel="00000000" w:rsidR="00000000" w:rsidRPr="00000000">
              <w:rPr>
                <w:b w:val="1"/>
                <w:bCs w:val="1"/>
                <w:rtl w:val="0"/>
              </w:rPr>
              <w:t xml:space="preserve">Activity</w:t>
            </w:r>
          </w:p>
        </w:tc>
        <w:tc>
          <w:tcPr>
            <w:shd w:fill="d9eaf7" w:val="clear"/>
          </w:tcPr>
          <w:p w:rsidR="00000000" w:rsidDel="00000000" w:rsidP="00000000" w:rsidRDefault="00000000" w:rsidRPr="00000000" w14:paraId="0000008E">
            <w:pPr>
              <w:rPr>
                <w:b w:val="1"/>
                <w:bCs w:val="1"/>
              </w:rPr>
            </w:pPr>
            <w:r w:rsidDel="00000000" w:rsidR="00000000" w:rsidRPr="00000000">
              <w:rPr>
                <w:b w:val="1"/>
                <w:bCs w:val="1"/>
                <w:rtl w:val="0"/>
              </w:rPr>
              <w:t xml:space="preserve">Weeks 1-4</w:t>
            </w:r>
          </w:p>
        </w:tc>
        <w:tc>
          <w:tcPr>
            <w:shd w:fill="d9eaf7" w:val="clear"/>
          </w:tcPr>
          <w:p w:rsidR="00000000" w:rsidDel="00000000" w:rsidP="00000000" w:rsidRDefault="00000000" w:rsidRPr="00000000" w14:paraId="0000008F">
            <w:pPr>
              <w:rPr>
                <w:b w:val="1"/>
                <w:bCs w:val="1"/>
              </w:rPr>
            </w:pPr>
            <w:r w:rsidDel="00000000" w:rsidR="00000000" w:rsidRPr="00000000">
              <w:rPr>
                <w:b w:val="1"/>
                <w:bCs w:val="1"/>
                <w:rtl w:val="0"/>
              </w:rPr>
              <w:t xml:space="preserve">Weeks 5-8</w:t>
            </w:r>
          </w:p>
        </w:tc>
        <w:tc>
          <w:tcPr>
            <w:shd w:fill="d9eaf7" w:val="clear"/>
          </w:tcPr>
          <w:p w:rsidR="00000000" w:rsidDel="00000000" w:rsidP="00000000" w:rsidRDefault="00000000" w:rsidRPr="00000000" w14:paraId="00000090">
            <w:pPr>
              <w:rPr>
                <w:b w:val="1"/>
                <w:bCs w:val="1"/>
              </w:rPr>
            </w:pPr>
            <w:r w:rsidDel="00000000" w:rsidR="00000000" w:rsidRPr="00000000">
              <w:rPr>
                <w:b w:val="1"/>
                <w:bCs w:val="1"/>
                <w:rtl w:val="0"/>
              </w:rPr>
              <w:t xml:space="preserve">Weeks 9-12</w:t>
            </w:r>
          </w:p>
        </w:tc>
        <w:tc>
          <w:tcPr>
            <w:shd w:fill="d9eaf7" w:val="clear"/>
          </w:tcPr>
          <w:p w:rsidR="00000000" w:rsidDel="00000000" w:rsidP="00000000" w:rsidRDefault="00000000" w:rsidRPr="00000000" w14:paraId="00000091">
            <w:pPr>
              <w:rPr>
                <w:b w:val="1"/>
                <w:bCs w:val="1"/>
              </w:rPr>
            </w:pPr>
            <w:r w:rsidDel="00000000" w:rsidR="00000000" w:rsidRPr="00000000">
              <w:rPr>
                <w:b w:val="1"/>
                <w:bCs w:val="1"/>
                <w:rtl w:val="0"/>
              </w:rPr>
              <w:t xml:space="preserve">Weeks 13-16</w:t>
            </w:r>
          </w:p>
        </w:tc>
      </w:tr>
      <w:tr>
        <w:trPr>
          <w:cantSplit w:val="0"/>
          <w:tblHeader w:val="0"/>
        </w:trPr>
        <w:tc>
          <w:tcPr/>
          <w:p w:rsidR="00000000" w:rsidDel="00000000" w:rsidP="00000000" w:rsidRDefault="00000000" w:rsidRPr="00000000" w14:paraId="00000092">
            <w:pPr>
              <w:rPr/>
            </w:pPr>
            <w:r w:rsidDel="00000000" w:rsidR="00000000" w:rsidRPr="00000000">
              <w:rPr>
                <w:rtl w:val="0"/>
              </w:rPr>
              <w:t xml:space="preserve">Proposal approval and literature review</w:t>
            </w:r>
          </w:p>
        </w:tc>
        <w:tc>
          <w:tcPr>
            <w:shd w:fill="e2f0d9" w:val="clear"/>
          </w:tcPr>
          <w:p w:rsidR="00000000" w:rsidDel="00000000" w:rsidP="00000000" w:rsidRDefault="00000000" w:rsidRPr="00000000" w14:paraId="00000093">
            <w:pPr>
              <w:rPr/>
            </w:pPr>
            <w:r w:rsidDel="00000000" w:rsidR="00000000" w:rsidRPr="00000000">
              <w:rPr>
                <w:rtl w:val="0"/>
              </w:rPr>
              <w:t xml:space="preserve">X</w:t>
            </w:r>
          </w:p>
        </w:tc>
        <w:tc>
          <w:tcPr/>
          <w:p w:rsidR="00000000" w:rsidDel="00000000" w:rsidP="00000000" w:rsidRDefault="00000000" w:rsidRPr="00000000" w14:paraId="00000094">
            <w:pPr>
              <w:rPr/>
            </w:pPr>
            <w:r w:rsidDel="00000000" w:rsidR="00000000" w:rsidRPr="00000000">
              <w:rPr>
                <w:rtl w:val="0"/>
              </w:rPr>
            </w:r>
          </w:p>
        </w:tc>
        <w:tc>
          <w:tcPr/>
          <w:p w:rsidR="00000000" w:rsidDel="00000000" w:rsidP="00000000" w:rsidRDefault="00000000" w:rsidRPr="00000000" w14:paraId="00000095">
            <w:pPr>
              <w:rPr/>
            </w:pPr>
            <w:r w:rsidDel="00000000" w:rsidR="00000000" w:rsidRPr="00000000">
              <w:rPr>
                <w:rtl w:val="0"/>
              </w:rPr>
            </w:r>
          </w:p>
        </w:tc>
        <w:tc>
          <w:tcPr/>
          <w:p w:rsidR="00000000" w:rsidDel="00000000" w:rsidP="00000000" w:rsidRDefault="00000000" w:rsidRPr="00000000" w14:paraId="00000096">
            <w:pPr>
              <w:rPr/>
            </w:pPr>
            <w:r w:rsidDel="00000000" w:rsidR="00000000" w:rsidRPr="00000000">
              <w:rPr>
                <w:rtl w:val="0"/>
              </w:rPr>
            </w:r>
          </w:p>
        </w:tc>
      </w:tr>
      <w:tr>
        <w:trPr>
          <w:cantSplit w:val="0"/>
          <w:tblHeader w:val="0"/>
        </w:trPr>
        <w:tc>
          <w:tcPr/>
          <w:p w:rsidR="00000000" w:rsidDel="00000000" w:rsidP="00000000" w:rsidRDefault="00000000" w:rsidRPr="00000000" w14:paraId="00000097">
            <w:pPr>
              <w:rPr/>
            </w:pPr>
            <w:r w:rsidDel="00000000" w:rsidR="00000000" w:rsidRPr="00000000">
              <w:rPr>
                <w:rtl w:val="0"/>
              </w:rPr>
              <w:t xml:space="preserve">Collect annual reports and company records</w:t>
            </w:r>
          </w:p>
        </w:tc>
        <w:tc>
          <w:tcPr>
            <w:shd w:fill="e2f0d9" w:val="clear"/>
          </w:tcPr>
          <w:p w:rsidR="00000000" w:rsidDel="00000000" w:rsidP="00000000" w:rsidRDefault="00000000" w:rsidRPr="00000000" w14:paraId="00000098">
            <w:pPr>
              <w:rPr/>
            </w:pPr>
            <w:r w:rsidDel="00000000" w:rsidR="00000000" w:rsidRPr="00000000">
              <w:rPr>
                <w:rtl w:val="0"/>
              </w:rPr>
              <w:t xml:space="preserve">X</w:t>
            </w:r>
          </w:p>
        </w:tc>
        <w:tc>
          <w:tcPr>
            <w:shd w:fill="e2f0d9" w:val="clear"/>
          </w:tcPr>
          <w:p w:rsidR="00000000" w:rsidDel="00000000" w:rsidP="00000000" w:rsidRDefault="00000000" w:rsidRPr="00000000" w14:paraId="00000099">
            <w:pPr>
              <w:rPr/>
            </w:pPr>
            <w:r w:rsidDel="00000000" w:rsidR="00000000" w:rsidRPr="00000000">
              <w:rPr>
                <w:rtl w:val="0"/>
              </w:rPr>
              <w:t xml:space="preserve">X</w:t>
            </w:r>
          </w:p>
        </w:tc>
        <w:tc>
          <w:tcPr/>
          <w:p w:rsidR="00000000" w:rsidDel="00000000" w:rsidP="00000000" w:rsidRDefault="00000000" w:rsidRPr="00000000" w14:paraId="0000009A">
            <w:pPr>
              <w:rPr/>
            </w:pPr>
            <w:r w:rsidDel="00000000" w:rsidR="00000000" w:rsidRPr="00000000">
              <w:rPr>
                <w:rtl w:val="0"/>
              </w:rPr>
            </w:r>
          </w:p>
        </w:tc>
        <w:tc>
          <w:tcPr/>
          <w:p w:rsidR="00000000" w:rsidDel="00000000" w:rsidP="00000000" w:rsidRDefault="00000000" w:rsidRPr="00000000" w14:paraId="0000009B">
            <w:pPr>
              <w:rPr/>
            </w:pPr>
            <w:r w:rsidDel="00000000" w:rsidR="00000000" w:rsidRPr="00000000">
              <w:rPr>
                <w:rtl w:val="0"/>
              </w:rPr>
            </w:r>
          </w:p>
        </w:tc>
      </w:tr>
      <w:tr>
        <w:trPr>
          <w:cantSplit w:val="0"/>
          <w:tblHeader w:val="0"/>
        </w:trPr>
        <w:tc>
          <w:tcPr/>
          <w:p w:rsidR="00000000" w:rsidDel="00000000" w:rsidP="00000000" w:rsidRDefault="00000000" w:rsidRPr="00000000" w14:paraId="0000009C">
            <w:pPr>
              <w:rPr/>
            </w:pPr>
            <w:r w:rsidDel="00000000" w:rsidR="00000000" w:rsidRPr="00000000">
              <w:rPr>
                <w:rtl w:val="0"/>
              </w:rPr>
              <w:t xml:space="preserve">Data extraction and AI scoring</w:t>
            </w:r>
          </w:p>
        </w:tc>
        <w:tc>
          <w:tcPr/>
          <w:p w:rsidR="00000000" w:rsidDel="00000000" w:rsidP="00000000" w:rsidRDefault="00000000" w:rsidRPr="00000000" w14:paraId="0000009D">
            <w:pPr>
              <w:rPr/>
            </w:pPr>
            <w:r w:rsidDel="00000000" w:rsidR="00000000" w:rsidRPr="00000000">
              <w:rPr>
                <w:rtl w:val="0"/>
              </w:rPr>
            </w:r>
          </w:p>
        </w:tc>
        <w:tc>
          <w:tcPr>
            <w:shd w:fill="e2f0d9" w:val="clear"/>
          </w:tcPr>
          <w:p w:rsidR="00000000" w:rsidDel="00000000" w:rsidP="00000000" w:rsidRDefault="00000000" w:rsidRPr="00000000" w14:paraId="0000009E">
            <w:pPr>
              <w:rPr/>
            </w:pPr>
            <w:r w:rsidDel="00000000" w:rsidR="00000000" w:rsidRPr="00000000">
              <w:rPr>
                <w:rtl w:val="0"/>
              </w:rPr>
              <w:t xml:space="preserve">X</w:t>
            </w:r>
          </w:p>
        </w:tc>
        <w:tc>
          <w:tcPr/>
          <w:p w:rsidR="00000000" w:rsidDel="00000000" w:rsidP="00000000" w:rsidRDefault="00000000" w:rsidRPr="00000000" w14:paraId="0000009F">
            <w:pPr>
              <w:rPr/>
            </w:pPr>
            <w:r w:rsidDel="00000000" w:rsidR="00000000" w:rsidRPr="00000000">
              <w:rPr>
                <w:rtl w:val="0"/>
              </w:rPr>
            </w:r>
          </w:p>
        </w:tc>
        <w:tc>
          <w:tcPr/>
          <w:p w:rsidR="00000000" w:rsidDel="00000000" w:rsidP="00000000" w:rsidRDefault="00000000" w:rsidRPr="00000000" w14:paraId="000000A0">
            <w:pPr>
              <w:rPr/>
            </w:pPr>
            <w:r w:rsidDel="00000000" w:rsidR="00000000" w:rsidRPr="00000000">
              <w:rPr>
                <w:rtl w:val="0"/>
              </w:rPr>
            </w:r>
          </w:p>
        </w:tc>
      </w:tr>
      <w:tr>
        <w:trPr>
          <w:cantSplit w:val="0"/>
          <w:tblHeader w:val="0"/>
        </w:trPr>
        <w:tc>
          <w:tcPr/>
          <w:p w:rsidR="00000000" w:rsidDel="00000000" w:rsidP="00000000" w:rsidRDefault="00000000" w:rsidRPr="00000000" w14:paraId="000000A1">
            <w:pPr>
              <w:rPr/>
            </w:pPr>
            <w:r w:rsidDel="00000000" w:rsidR="00000000" w:rsidRPr="00000000">
              <w:rPr>
                <w:rtl w:val="0"/>
              </w:rPr>
              <w:t xml:space="preserve">Rgui 4.5.1 analysis</w:t>
            </w:r>
          </w:p>
        </w:tc>
        <w:tc>
          <w:tcPr/>
          <w:p w:rsidR="00000000" w:rsidDel="00000000" w:rsidP="00000000" w:rsidRDefault="00000000" w:rsidRPr="00000000" w14:paraId="000000A2">
            <w:pPr>
              <w:rPr/>
            </w:pPr>
            <w:r w:rsidDel="00000000" w:rsidR="00000000" w:rsidRPr="00000000">
              <w:rPr>
                <w:rtl w:val="0"/>
              </w:rPr>
            </w:r>
          </w:p>
        </w:tc>
        <w:tc>
          <w:tcPr>
            <w:shd w:fill="e2f0d9" w:val="clear"/>
          </w:tcPr>
          <w:p w:rsidR="00000000" w:rsidDel="00000000" w:rsidP="00000000" w:rsidRDefault="00000000" w:rsidRPr="00000000" w14:paraId="000000A3">
            <w:pPr>
              <w:rPr/>
            </w:pPr>
            <w:r w:rsidDel="00000000" w:rsidR="00000000" w:rsidRPr="00000000">
              <w:rPr>
                <w:rtl w:val="0"/>
              </w:rPr>
              <w:t xml:space="preserve">X</w:t>
            </w:r>
          </w:p>
        </w:tc>
        <w:tc>
          <w:tcPr>
            <w:shd w:fill="e2f0d9" w:val="clear"/>
          </w:tcPr>
          <w:p w:rsidR="00000000" w:rsidDel="00000000" w:rsidP="00000000" w:rsidRDefault="00000000" w:rsidRPr="00000000" w14:paraId="000000A4">
            <w:pPr>
              <w:rPr/>
            </w:pPr>
            <w:r w:rsidDel="00000000" w:rsidR="00000000" w:rsidRPr="00000000">
              <w:rPr>
                <w:rtl w:val="0"/>
              </w:rPr>
              <w:t xml:space="preserve">X</w:t>
            </w:r>
          </w:p>
        </w:tc>
        <w:tc>
          <w:tcPr/>
          <w:p w:rsidR="00000000" w:rsidDel="00000000" w:rsidP="00000000" w:rsidRDefault="00000000" w:rsidRPr="00000000" w14:paraId="000000A5">
            <w:pPr>
              <w:rPr/>
            </w:pPr>
            <w:r w:rsidDel="00000000" w:rsidR="00000000" w:rsidRPr="00000000">
              <w:rPr>
                <w:rtl w:val="0"/>
              </w:rPr>
            </w:r>
          </w:p>
        </w:tc>
      </w:tr>
      <w:tr>
        <w:trPr>
          <w:cantSplit w:val="0"/>
          <w:tblHeader w:val="0"/>
        </w:trPr>
        <w:tc>
          <w:tcPr/>
          <w:p w:rsidR="00000000" w:rsidDel="00000000" w:rsidP="00000000" w:rsidRDefault="00000000" w:rsidRPr="00000000" w14:paraId="000000A6">
            <w:pPr>
              <w:rPr/>
            </w:pPr>
            <w:r w:rsidDel="00000000" w:rsidR="00000000" w:rsidRPr="00000000">
              <w:rPr>
                <w:rtl w:val="0"/>
              </w:rPr>
              <w:t xml:space="preserve">Findings, discussion and full draft</w:t>
            </w:r>
          </w:p>
        </w:tc>
        <w:tc>
          <w:tcPr/>
          <w:p w:rsidR="00000000" w:rsidDel="00000000" w:rsidP="00000000" w:rsidRDefault="00000000" w:rsidRPr="00000000" w14:paraId="000000A7">
            <w:pPr>
              <w:rPr/>
            </w:pPr>
            <w:r w:rsidDel="00000000" w:rsidR="00000000" w:rsidRPr="00000000">
              <w:rPr>
                <w:rtl w:val="0"/>
              </w:rPr>
            </w:r>
          </w:p>
        </w:tc>
        <w:tc>
          <w:tcPr/>
          <w:p w:rsidR="00000000" w:rsidDel="00000000" w:rsidP="00000000" w:rsidRDefault="00000000" w:rsidRPr="00000000" w14:paraId="000000A8">
            <w:pPr>
              <w:rPr/>
            </w:pPr>
            <w:r w:rsidDel="00000000" w:rsidR="00000000" w:rsidRPr="00000000">
              <w:rPr>
                <w:rtl w:val="0"/>
              </w:rPr>
            </w:r>
          </w:p>
        </w:tc>
        <w:tc>
          <w:tcPr>
            <w:shd w:fill="e2f0d9" w:val="clear"/>
          </w:tcPr>
          <w:p w:rsidR="00000000" w:rsidDel="00000000" w:rsidP="00000000" w:rsidRDefault="00000000" w:rsidRPr="00000000" w14:paraId="000000A9">
            <w:pPr>
              <w:rPr/>
            </w:pPr>
            <w:r w:rsidDel="00000000" w:rsidR="00000000" w:rsidRPr="00000000">
              <w:rPr>
                <w:rtl w:val="0"/>
              </w:rPr>
              <w:t xml:space="preserve">X</w:t>
            </w:r>
          </w:p>
        </w:tc>
        <w:tc>
          <w:tcPr>
            <w:shd w:fill="e2f0d9" w:val="clear"/>
          </w:tcPr>
          <w:p w:rsidR="00000000" w:rsidDel="00000000" w:rsidP="00000000" w:rsidRDefault="00000000" w:rsidRPr="00000000" w14:paraId="000000AA">
            <w:pPr>
              <w:rPr/>
            </w:pPr>
            <w:r w:rsidDel="00000000" w:rsidR="00000000" w:rsidRPr="00000000">
              <w:rPr>
                <w:rtl w:val="0"/>
              </w:rPr>
              <w:t xml:space="preserve">X</w:t>
            </w:r>
          </w:p>
        </w:tc>
      </w:tr>
      <w:tr>
        <w:trPr>
          <w:cantSplit w:val="0"/>
          <w:tblHeader w:val="0"/>
        </w:trPr>
        <w:tc>
          <w:tcPr/>
          <w:p w:rsidR="00000000" w:rsidDel="00000000" w:rsidP="00000000" w:rsidRDefault="00000000" w:rsidRPr="00000000" w14:paraId="000000AB">
            <w:pPr>
              <w:rPr/>
            </w:pPr>
            <w:r w:rsidDel="00000000" w:rsidR="00000000" w:rsidRPr="00000000">
              <w:rPr>
                <w:rtl w:val="0"/>
              </w:rPr>
              <w:t xml:space="preserve">Supervisor feedback, final editing and submission</w:t>
            </w:r>
          </w:p>
        </w:tc>
        <w:tc>
          <w:tcPr/>
          <w:p w:rsidR="00000000" w:rsidDel="00000000" w:rsidP="00000000" w:rsidRDefault="00000000" w:rsidRPr="00000000" w14:paraId="000000AC">
            <w:pPr>
              <w:rPr/>
            </w:pPr>
            <w:r w:rsidDel="00000000" w:rsidR="00000000" w:rsidRPr="00000000">
              <w:rPr>
                <w:rtl w:val="0"/>
              </w:rPr>
            </w:r>
          </w:p>
        </w:tc>
        <w:tc>
          <w:tcPr/>
          <w:p w:rsidR="00000000" w:rsidDel="00000000" w:rsidP="00000000" w:rsidRDefault="00000000" w:rsidRPr="00000000" w14:paraId="000000AD">
            <w:pPr>
              <w:rPr/>
            </w:pPr>
            <w:r w:rsidDel="00000000" w:rsidR="00000000" w:rsidRPr="00000000">
              <w:rPr>
                <w:rtl w:val="0"/>
              </w:rPr>
            </w:r>
          </w:p>
        </w:tc>
        <w:tc>
          <w:tcPr/>
          <w:p w:rsidR="00000000" w:rsidDel="00000000" w:rsidP="00000000" w:rsidRDefault="00000000" w:rsidRPr="00000000" w14:paraId="000000AE">
            <w:pPr>
              <w:rPr/>
            </w:pPr>
            <w:r w:rsidDel="00000000" w:rsidR="00000000" w:rsidRPr="00000000">
              <w:rPr>
                <w:rtl w:val="0"/>
              </w:rPr>
            </w:r>
          </w:p>
        </w:tc>
        <w:tc>
          <w:tcPr>
            <w:shd w:fill="e2f0d9" w:val="clear"/>
          </w:tcPr>
          <w:p w:rsidR="00000000" w:rsidDel="00000000" w:rsidP="00000000" w:rsidRDefault="00000000" w:rsidRPr="00000000" w14:paraId="000000AF">
            <w:pPr>
              <w:rPr/>
            </w:pPr>
            <w:r w:rsidDel="00000000" w:rsidR="00000000" w:rsidRPr="00000000">
              <w:rPr>
                <w:rtl w:val="0"/>
              </w:rPr>
              <w:t xml:space="preserve">X</w:t>
            </w:r>
          </w:p>
        </w:tc>
      </w:tr>
    </w:tbl>
    <w:p w:rsidR="00000000" w:rsidDel="00000000" w:rsidP="00000000" w:rsidRDefault="00000000" w:rsidRPr="00000000" w14:paraId="000000B0">
      <w:pPr>
        <w:rPr/>
      </w:pPr>
      <w:r w:rsidDel="00000000" w:rsidR="00000000" w:rsidRPr="00000000">
        <w:br w:type="page"/>
      </w:r>
      <w:r w:rsidDel="00000000" w:rsidR="00000000" w:rsidRPr="00000000">
        <w:rPr>
          <w:rtl w:val="0"/>
        </w:rPr>
      </w:r>
    </w:p>
    <w:p w:rsidR="00000000" w:rsidDel="00000000" w:rsidP="00000000" w:rsidRDefault="00000000" w:rsidRPr="00000000" w14:paraId="000000B1">
      <w:pPr>
        <w:pStyle w:val="Heading1"/>
        <w:rPr/>
      </w:pPr>
      <w:bookmarkStart w:colFirst="0" w:colLast="0" w:name="_heading=h.q22zpeor1pls" w:id="20"/>
      <w:bookmarkEnd w:id="20"/>
      <w:r w:rsidDel="00000000" w:rsidR="00000000" w:rsidRPr="00000000">
        <w:rPr>
          <w:rtl w:val="0"/>
        </w:rPr>
        <w:t xml:space="preserve">References</w:t>
      </w:r>
    </w:p>
    <w:p w:rsidR="00000000" w:rsidDel="00000000" w:rsidP="00000000" w:rsidRDefault="00000000" w:rsidRPr="00000000" w14:paraId="000000B2">
      <w:pPr>
        <w:rPr/>
      </w:pPr>
      <w:r w:rsidDel="00000000" w:rsidR="00000000" w:rsidRPr="00000000">
        <w:rPr>
          <w:rtl w:val="0"/>
        </w:rPr>
        <w:t xml:space="preserve">Accenture plc (2024) </w:t>
      </w:r>
      <w:r w:rsidDel="00000000" w:rsidR="00000000" w:rsidRPr="00000000">
        <w:rPr>
          <w:i w:val="1"/>
          <w:iCs w:val="1"/>
          <w:rtl w:val="0"/>
        </w:rPr>
        <w:t xml:space="preserve">Annual report 2024</w:t>
      </w:r>
      <w:r w:rsidDel="00000000" w:rsidR="00000000" w:rsidRPr="00000000">
        <w:rPr>
          <w:rtl w:val="0"/>
        </w:rPr>
        <w:t xml:space="preserve">. Available at: </w:t>
      </w:r>
      <w:hyperlink r:id="rId9">
        <w:r w:rsidDel="00000000" w:rsidR="00000000" w:rsidRPr="00000000">
          <w:rPr>
            <w:color w:val="0000ff"/>
            <w:u w:val="single"/>
            <w:rtl w:val="0"/>
          </w:rPr>
          <w:t xml:space="preserve">https://www.accenture.com/content/dam/accenture/final/accenture-com/a-com-custom-component/iconic/document/Accenture-Fiscal-2024-Annual-Report.pdf</w:t>
        </w:r>
      </w:hyperlink>
      <w:r w:rsidDel="00000000" w:rsidR="00000000" w:rsidRPr="00000000">
        <w:rPr>
          <w:rtl w:val="0"/>
        </w:rPr>
        <w:t xml:space="preserve"> (Accessed: 31 May 2026).</w:t>
      </w:r>
    </w:p>
    <w:p w:rsidR="00000000" w:rsidDel="00000000" w:rsidP="00000000" w:rsidRDefault="00000000" w:rsidRPr="00000000" w14:paraId="000000B3">
      <w:pPr>
        <w:rPr/>
      </w:pPr>
      <w:r w:rsidDel="00000000" w:rsidR="00000000" w:rsidRPr="00000000">
        <w:rPr>
          <w:rtl w:val="0"/>
        </w:rPr>
        <w:t xml:space="preserve">Alphabet Inc. (2025) </w:t>
      </w:r>
      <w:r w:rsidDel="00000000" w:rsidR="00000000" w:rsidRPr="00000000">
        <w:rPr>
          <w:i w:val="1"/>
          <w:iCs w:val="1"/>
          <w:rtl w:val="0"/>
        </w:rPr>
        <w:t xml:space="preserve">Form 10-K annual report 2024</w:t>
      </w:r>
      <w:r w:rsidDel="00000000" w:rsidR="00000000" w:rsidRPr="00000000">
        <w:rPr>
          <w:rtl w:val="0"/>
        </w:rPr>
        <w:t xml:space="preserve">. Available at: </w:t>
      </w:r>
      <w:hyperlink r:id="rId10">
        <w:r w:rsidDel="00000000" w:rsidR="00000000" w:rsidRPr="00000000">
          <w:rPr>
            <w:color w:val="0000ff"/>
            <w:u w:val="single"/>
            <w:rtl w:val="0"/>
          </w:rPr>
          <w:t xml:space="preserve">https://www.sec.gov/Archives/edgar/data/1652044/000165204425000014/goog-20241231.htm</w:t>
        </w:r>
      </w:hyperlink>
      <w:r w:rsidDel="00000000" w:rsidR="00000000" w:rsidRPr="00000000">
        <w:rPr>
          <w:rtl w:val="0"/>
        </w:rPr>
        <w:t xml:space="preserve"> (Accessed: 31 May 2026).</w:t>
      </w:r>
    </w:p>
    <w:p w:rsidR="00000000" w:rsidDel="00000000" w:rsidP="00000000" w:rsidRDefault="00000000" w:rsidRPr="00000000" w14:paraId="000000B4">
      <w:pPr>
        <w:rPr/>
      </w:pPr>
      <w:r w:rsidDel="00000000" w:rsidR="00000000" w:rsidRPr="00000000">
        <w:rPr>
          <w:rtl w:val="0"/>
        </w:rPr>
        <w:t xml:space="preserve">Amazon.com, Inc. (2025) </w:t>
      </w:r>
      <w:r w:rsidDel="00000000" w:rsidR="00000000" w:rsidRPr="00000000">
        <w:rPr>
          <w:i w:val="1"/>
          <w:iCs w:val="1"/>
          <w:rtl w:val="0"/>
        </w:rPr>
        <w:t xml:space="preserve">2024 annual report</w:t>
      </w:r>
      <w:r w:rsidDel="00000000" w:rsidR="00000000" w:rsidRPr="00000000">
        <w:rPr>
          <w:rtl w:val="0"/>
        </w:rPr>
        <w:t xml:space="preserve">. Available at: </w:t>
      </w:r>
      <w:hyperlink r:id="rId11">
        <w:r w:rsidDel="00000000" w:rsidR="00000000" w:rsidRPr="00000000">
          <w:rPr>
            <w:color w:val="0000ff"/>
            <w:u w:val="single"/>
            <w:rtl w:val="0"/>
          </w:rPr>
          <w:t xml:space="preserve">https://s2.q4cdn.com/299287126/files/doc_financials/2025/ar/Amazon-2024-Annual-Report.pdf</w:t>
        </w:r>
      </w:hyperlink>
      <w:r w:rsidDel="00000000" w:rsidR="00000000" w:rsidRPr="00000000">
        <w:rPr>
          <w:rtl w:val="0"/>
        </w:rPr>
        <w:t xml:space="preserve"> (Accessed: 31 May 2026).</w:t>
      </w:r>
    </w:p>
    <w:p w:rsidR="00000000" w:rsidDel="00000000" w:rsidP="00000000" w:rsidRDefault="00000000" w:rsidRPr="00000000" w14:paraId="000000B5">
      <w:pPr>
        <w:rPr/>
      </w:pPr>
      <w:r w:rsidDel="00000000" w:rsidR="00000000" w:rsidRPr="00000000">
        <w:rPr>
          <w:rtl w:val="0"/>
        </w:rPr>
        <w:t xml:space="preserve">Barney, J. (1991) ‘Firm resources and sustained competitive advantage’, </w:t>
      </w:r>
      <w:r w:rsidDel="00000000" w:rsidR="00000000" w:rsidRPr="00000000">
        <w:rPr>
          <w:i w:val="1"/>
          <w:iCs w:val="1"/>
          <w:rtl w:val="0"/>
        </w:rPr>
        <w:t xml:space="preserve">Journal of Management</w:t>
      </w:r>
      <w:r w:rsidDel="00000000" w:rsidR="00000000" w:rsidRPr="00000000">
        <w:rPr>
          <w:rtl w:val="0"/>
        </w:rPr>
        <w:t xml:space="preserve">, 17(1), pp. 99–120. Available at: </w:t>
      </w:r>
      <w:hyperlink r:id="rId12">
        <w:r w:rsidDel="00000000" w:rsidR="00000000" w:rsidRPr="00000000">
          <w:rPr>
            <w:color w:val="0000ff"/>
            <w:u w:val="single"/>
            <w:rtl w:val="0"/>
          </w:rPr>
          <w:t xml:space="preserve">https://doi.org/10.1177/014920639101700108</w:t>
        </w:r>
      </w:hyperlink>
      <w:r w:rsidDel="00000000" w:rsidR="00000000" w:rsidRPr="00000000">
        <w:rPr>
          <w:rtl w:val="0"/>
        </w:rPr>
        <w:t xml:space="preserve">.</w:t>
      </w:r>
    </w:p>
    <w:p w:rsidR="00000000" w:rsidDel="00000000" w:rsidP="00000000" w:rsidRDefault="00000000" w:rsidRPr="00000000" w14:paraId="000000B6">
      <w:pPr>
        <w:rPr/>
      </w:pPr>
      <w:r w:rsidDel="00000000" w:rsidR="00000000" w:rsidRPr="00000000">
        <w:rPr>
          <w:rtl w:val="0"/>
        </w:rPr>
        <w:t xml:space="preserve">Borges, A.F.S., Laurindo, F.J.B., Spinola, M.M., Gonçalves, R.F. and Mattos, C.A. (2021) ‘The strategic use of artificial intelligence in the digital era: systematic literature review and future research directions’, </w:t>
      </w:r>
      <w:r w:rsidDel="00000000" w:rsidR="00000000" w:rsidRPr="00000000">
        <w:rPr>
          <w:i w:val="1"/>
          <w:iCs w:val="1"/>
          <w:rtl w:val="0"/>
        </w:rPr>
        <w:t xml:space="preserve">International Journal of Information Management</w:t>
      </w:r>
      <w:r w:rsidDel="00000000" w:rsidR="00000000" w:rsidRPr="00000000">
        <w:rPr>
          <w:rtl w:val="0"/>
        </w:rPr>
        <w:t xml:space="preserve">, 57, 102225. Available at: </w:t>
      </w:r>
      <w:hyperlink r:id="rId13">
        <w:r w:rsidDel="00000000" w:rsidR="00000000" w:rsidRPr="00000000">
          <w:rPr>
            <w:color w:val="0000ff"/>
            <w:u w:val="single"/>
            <w:rtl w:val="0"/>
          </w:rPr>
          <w:t xml:space="preserve">https://doi.org/10.1016/j.ijinfomgt.2020.102225</w:t>
        </w:r>
      </w:hyperlink>
      <w:r w:rsidDel="00000000" w:rsidR="00000000" w:rsidRPr="00000000">
        <w:rPr>
          <w:rtl w:val="0"/>
        </w:rPr>
        <w:t xml:space="preserve">.</w:t>
      </w:r>
    </w:p>
    <w:p w:rsidR="00000000" w:rsidDel="00000000" w:rsidP="00000000" w:rsidRDefault="00000000" w:rsidRPr="00000000" w14:paraId="000000B7">
      <w:pPr>
        <w:rPr/>
      </w:pPr>
      <w:r w:rsidDel="00000000" w:rsidR="00000000" w:rsidRPr="00000000">
        <w:rPr>
          <w:rtl w:val="0"/>
        </w:rPr>
        <w:t xml:space="preserve">Companies House (2026a) </w:t>
      </w:r>
      <w:r w:rsidDel="00000000" w:rsidR="00000000" w:rsidRPr="00000000">
        <w:rPr>
          <w:i w:val="1"/>
          <w:iCs w:val="1"/>
          <w:rtl w:val="0"/>
        </w:rPr>
        <w:t xml:space="preserve">Microsoft Limited overview</w:t>
      </w:r>
      <w:r w:rsidDel="00000000" w:rsidR="00000000" w:rsidRPr="00000000">
        <w:rPr>
          <w:rtl w:val="0"/>
        </w:rPr>
        <w:t xml:space="preserve">. Available at: </w:t>
      </w:r>
      <w:hyperlink r:id="rId14">
        <w:r w:rsidDel="00000000" w:rsidR="00000000" w:rsidRPr="00000000">
          <w:rPr>
            <w:color w:val="0000ff"/>
            <w:u w:val="single"/>
            <w:rtl w:val="0"/>
          </w:rPr>
          <w:t xml:space="preserve">https://find-and-update.company-information.service.gov.uk/company/01624297</w:t>
        </w:r>
      </w:hyperlink>
      <w:r w:rsidDel="00000000" w:rsidR="00000000" w:rsidRPr="00000000">
        <w:rPr>
          <w:rtl w:val="0"/>
        </w:rPr>
        <w:t xml:space="preserve"> (Accessed: 31 May 2026).</w:t>
      </w:r>
    </w:p>
    <w:p w:rsidR="00000000" w:rsidDel="00000000" w:rsidP="00000000" w:rsidRDefault="00000000" w:rsidRPr="00000000" w14:paraId="000000B8">
      <w:pPr>
        <w:rPr/>
      </w:pPr>
      <w:r w:rsidDel="00000000" w:rsidR="00000000" w:rsidRPr="00000000">
        <w:rPr>
          <w:rtl w:val="0"/>
        </w:rPr>
        <w:t xml:space="preserve">Companies House (2026b) </w:t>
      </w:r>
      <w:r w:rsidDel="00000000" w:rsidR="00000000" w:rsidRPr="00000000">
        <w:rPr>
          <w:i w:val="1"/>
          <w:iCs w:val="1"/>
          <w:rtl w:val="0"/>
        </w:rPr>
        <w:t xml:space="preserve">Google UK Limited overview</w:t>
      </w:r>
      <w:r w:rsidDel="00000000" w:rsidR="00000000" w:rsidRPr="00000000">
        <w:rPr>
          <w:rtl w:val="0"/>
        </w:rPr>
        <w:t xml:space="preserve">. Available at: </w:t>
      </w:r>
      <w:hyperlink r:id="rId15">
        <w:r w:rsidDel="00000000" w:rsidR="00000000" w:rsidRPr="00000000">
          <w:rPr>
            <w:color w:val="0000ff"/>
            <w:u w:val="single"/>
            <w:rtl w:val="0"/>
          </w:rPr>
          <w:t xml:space="preserve">https://find-and-update.company-information.service.gov.uk/company/03977902</w:t>
        </w:r>
      </w:hyperlink>
      <w:r w:rsidDel="00000000" w:rsidR="00000000" w:rsidRPr="00000000">
        <w:rPr>
          <w:rtl w:val="0"/>
        </w:rPr>
        <w:t xml:space="preserve"> (Accessed: 31 May 2026).</w:t>
      </w:r>
    </w:p>
    <w:p w:rsidR="00000000" w:rsidDel="00000000" w:rsidP="00000000" w:rsidRDefault="00000000" w:rsidRPr="00000000" w14:paraId="000000B9">
      <w:pPr>
        <w:rPr/>
      </w:pPr>
      <w:r w:rsidDel="00000000" w:rsidR="00000000" w:rsidRPr="00000000">
        <w:rPr>
          <w:rtl w:val="0"/>
        </w:rPr>
        <w:t xml:space="preserve">Companies House (2026c) </w:t>
      </w:r>
      <w:r w:rsidDel="00000000" w:rsidR="00000000" w:rsidRPr="00000000">
        <w:rPr>
          <w:i w:val="1"/>
          <w:iCs w:val="1"/>
          <w:rtl w:val="0"/>
        </w:rPr>
        <w:t xml:space="preserve">Amazon UK Services Ltd. overview</w:t>
      </w:r>
      <w:r w:rsidDel="00000000" w:rsidR="00000000" w:rsidRPr="00000000">
        <w:rPr>
          <w:rtl w:val="0"/>
        </w:rPr>
        <w:t xml:space="preserve">. Available at: </w:t>
      </w:r>
      <w:hyperlink r:id="rId16">
        <w:r w:rsidDel="00000000" w:rsidR="00000000" w:rsidRPr="00000000">
          <w:rPr>
            <w:color w:val="0000ff"/>
            <w:u w:val="single"/>
            <w:rtl w:val="0"/>
          </w:rPr>
          <w:t xml:space="preserve">https://find-and-update.company-information.service.gov.uk/company/03223028</w:t>
        </w:r>
      </w:hyperlink>
      <w:r w:rsidDel="00000000" w:rsidR="00000000" w:rsidRPr="00000000">
        <w:rPr>
          <w:rtl w:val="0"/>
        </w:rPr>
        <w:t xml:space="preserve"> (Accessed: 31 May 2026).</w:t>
      </w:r>
    </w:p>
    <w:p w:rsidR="00000000" w:rsidDel="00000000" w:rsidP="00000000" w:rsidRDefault="00000000" w:rsidRPr="00000000" w14:paraId="000000BA">
      <w:pPr>
        <w:rPr/>
      </w:pPr>
      <w:r w:rsidDel="00000000" w:rsidR="00000000" w:rsidRPr="00000000">
        <w:rPr>
          <w:rtl w:val="0"/>
        </w:rPr>
        <w:t xml:space="preserve">Companies House (2026d) </w:t>
      </w:r>
      <w:r w:rsidDel="00000000" w:rsidR="00000000" w:rsidRPr="00000000">
        <w:rPr>
          <w:i w:val="1"/>
          <w:iCs w:val="1"/>
          <w:rtl w:val="0"/>
        </w:rPr>
        <w:t xml:space="preserve">IBM United Kingdom Limited overview</w:t>
      </w:r>
      <w:r w:rsidDel="00000000" w:rsidR="00000000" w:rsidRPr="00000000">
        <w:rPr>
          <w:rtl w:val="0"/>
        </w:rPr>
        <w:t xml:space="preserve">. Available at: </w:t>
      </w:r>
      <w:hyperlink r:id="rId17">
        <w:r w:rsidDel="00000000" w:rsidR="00000000" w:rsidRPr="00000000">
          <w:rPr>
            <w:color w:val="0000ff"/>
            <w:u w:val="single"/>
            <w:rtl w:val="0"/>
          </w:rPr>
          <w:t xml:space="preserve">https://find-and-update.company-information.service.gov.uk/company/00741598</w:t>
        </w:r>
      </w:hyperlink>
      <w:r w:rsidDel="00000000" w:rsidR="00000000" w:rsidRPr="00000000">
        <w:rPr>
          <w:rtl w:val="0"/>
        </w:rPr>
        <w:t xml:space="preserve"> (Accessed: 31 May 2026).</w:t>
      </w:r>
    </w:p>
    <w:p w:rsidR="00000000" w:rsidDel="00000000" w:rsidP="00000000" w:rsidRDefault="00000000" w:rsidRPr="00000000" w14:paraId="000000BB">
      <w:pPr>
        <w:rPr/>
      </w:pPr>
      <w:r w:rsidDel="00000000" w:rsidR="00000000" w:rsidRPr="00000000">
        <w:rPr>
          <w:rtl w:val="0"/>
        </w:rPr>
        <w:t xml:space="preserve">Companies House (2026e) </w:t>
      </w:r>
      <w:r w:rsidDel="00000000" w:rsidR="00000000" w:rsidRPr="00000000">
        <w:rPr>
          <w:i w:val="1"/>
          <w:iCs w:val="1"/>
          <w:rtl w:val="0"/>
        </w:rPr>
        <w:t xml:space="preserve">Accenture (UK) Limited overview</w:t>
      </w:r>
      <w:r w:rsidDel="00000000" w:rsidR="00000000" w:rsidRPr="00000000">
        <w:rPr>
          <w:rtl w:val="0"/>
        </w:rPr>
        <w:t xml:space="preserve">. Available at: </w:t>
      </w:r>
      <w:hyperlink r:id="rId18">
        <w:r w:rsidDel="00000000" w:rsidR="00000000" w:rsidRPr="00000000">
          <w:rPr>
            <w:color w:val="0000ff"/>
            <w:u w:val="single"/>
            <w:rtl w:val="0"/>
          </w:rPr>
          <w:t xml:space="preserve">https://find-and-update.company-information.service.gov.uk/company/04757301</w:t>
        </w:r>
      </w:hyperlink>
      <w:r w:rsidDel="00000000" w:rsidR="00000000" w:rsidRPr="00000000">
        <w:rPr>
          <w:rtl w:val="0"/>
        </w:rPr>
        <w:t xml:space="preserve"> (Accessed: 31 May 2026).</w:t>
      </w:r>
    </w:p>
    <w:p w:rsidR="00000000" w:rsidDel="00000000" w:rsidP="00000000" w:rsidRDefault="00000000" w:rsidRPr="00000000" w14:paraId="000000BC">
      <w:pPr>
        <w:rPr/>
      </w:pPr>
      <w:r w:rsidDel="00000000" w:rsidR="00000000" w:rsidRPr="00000000">
        <w:rPr>
          <w:rtl w:val="0"/>
        </w:rPr>
        <w:t xml:space="preserve">Hair, J.F., Black, W.C., Babin, B.J. and Anderson, R.E. (2019) </w:t>
      </w:r>
      <w:r w:rsidDel="00000000" w:rsidR="00000000" w:rsidRPr="00000000">
        <w:rPr>
          <w:i w:val="1"/>
          <w:iCs w:val="1"/>
          <w:rtl w:val="0"/>
        </w:rPr>
        <w:t xml:space="preserve">Multivariate data analysis</w:t>
      </w:r>
      <w:r w:rsidDel="00000000" w:rsidR="00000000" w:rsidRPr="00000000">
        <w:rPr>
          <w:rtl w:val="0"/>
        </w:rPr>
        <w:t xml:space="preserve">. 8th edn. Andover: Cengage Learning.</w:t>
      </w:r>
    </w:p>
    <w:p w:rsidR="00000000" w:rsidDel="00000000" w:rsidP="00000000" w:rsidRDefault="00000000" w:rsidRPr="00000000" w14:paraId="000000BD">
      <w:pPr>
        <w:rPr/>
      </w:pPr>
      <w:r w:rsidDel="00000000" w:rsidR="00000000" w:rsidRPr="00000000">
        <w:rPr>
          <w:rtl w:val="0"/>
        </w:rPr>
        <w:t xml:space="preserve">IBM (2025) </w:t>
      </w:r>
      <w:r w:rsidDel="00000000" w:rsidR="00000000" w:rsidRPr="00000000">
        <w:rPr>
          <w:i w:val="1"/>
          <w:iCs w:val="1"/>
          <w:rtl w:val="0"/>
        </w:rPr>
        <w:t xml:space="preserve">2024 annual report</w:t>
      </w:r>
      <w:r w:rsidDel="00000000" w:rsidR="00000000" w:rsidRPr="00000000">
        <w:rPr>
          <w:rtl w:val="0"/>
        </w:rPr>
        <w:t xml:space="preserve">. Available at: </w:t>
      </w:r>
      <w:hyperlink r:id="rId19">
        <w:r w:rsidDel="00000000" w:rsidR="00000000" w:rsidRPr="00000000">
          <w:rPr>
            <w:color w:val="0000ff"/>
            <w:u w:val="single"/>
            <w:rtl w:val="0"/>
          </w:rPr>
          <w:t xml:space="preserve">https://www.sec.gov/Archives/edgar/data/51143/000110465925022191/tm2429998d6_ars.pdf</w:t>
        </w:r>
      </w:hyperlink>
      <w:r w:rsidDel="00000000" w:rsidR="00000000" w:rsidRPr="00000000">
        <w:rPr>
          <w:rtl w:val="0"/>
        </w:rPr>
        <w:t xml:space="preserve"> (Accessed: 31 May 2026).</w:t>
      </w:r>
    </w:p>
    <w:p w:rsidR="00000000" w:rsidDel="00000000" w:rsidP="00000000" w:rsidRDefault="00000000" w:rsidRPr="00000000" w14:paraId="000000BE">
      <w:pPr>
        <w:rPr/>
      </w:pPr>
      <w:r w:rsidDel="00000000" w:rsidR="00000000" w:rsidRPr="00000000">
        <w:rPr>
          <w:rtl w:val="0"/>
        </w:rPr>
        <w:t xml:space="preserve">Krippendorff, K. (2018) </w:t>
      </w:r>
      <w:r w:rsidDel="00000000" w:rsidR="00000000" w:rsidRPr="00000000">
        <w:rPr>
          <w:i w:val="1"/>
          <w:iCs w:val="1"/>
          <w:rtl w:val="0"/>
        </w:rPr>
        <w:t xml:space="preserve">Content analysis: an introduction to its methodology</w:t>
      </w:r>
      <w:r w:rsidDel="00000000" w:rsidR="00000000" w:rsidRPr="00000000">
        <w:rPr>
          <w:rtl w:val="0"/>
        </w:rPr>
        <w:t xml:space="preserve">. 4th edn. Thousand Oaks: SAGE.</w:t>
      </w:r>
    </w:p>
    <w:p w:rsidR="00000000" w:rsidDel="00000000" w:rsidP="00000000" w:rsidRDefault="00000000" w:rsidRPr="00000000" w14:paraId="000000BF">
      <w:pPr>
        <w:rPr/>
      </w:pPr>
      <w:r w:rsidDel="00000000" w:rsidR="00000000" w:rsidRPr="00000000">
        <w:rPr>
          <w:rtl w:val="0"/>
        </w:rPr>
        <w:t xml:space="preserve">Menzies, J.L., Sabert, B., Hassan, R. and Mensah, P.K. (2024) ‘Artificial intelligence for international business: its use, challenges, and suggestions for future research and practice’, </w:t>
      </w:r>
      <w:r w:rsidDel="00000000" w:rsidR="00000000" w:rsidRPr="00000000">
        <w:rPr>
          <w:i w:val="1"/>
          <w:iCs w:val="1"/>
          <w:rtl w:val="0"/>
        </w:rPr>
        <w:t xml:space="preserve">Thunderbird International Business Review</w:t>
      </w:r>
      <w:r w:rsidDel="00000000" w:rsidR="00000000" w:rsidRPr="00000000">
        <w:rPr>
          <w:rtl w:val="0"/>
        </w:rPr>
        <w:t xml:space="preserve">, 66(2), pp. 185–200. Available at: </w:t>
      </w:r>
      <w:hyperlink r:id="rId20">
        <w:r w:rsidDel="00000000" w:rsidR="00000000" w:rsidRPr="00000000">
          <w:rPr>
            <w:color w:val="0000ff"/>
            <w:u w:val="single"/>
            <w:rtl w:val="0"/>
          </w:rPr>
          <w:t xml:space="preserve">https://doi.org/10.1002/tie.22370</w:t>
        </w:r>
      </w:hyperlink>
      <w:r w:rsidDel="00000000" w:rsidR="00000000" w:rsidRPr="00000000">
        <w:rPr>
          <w:rtl w:val="0"/>
        </w:rPr>
        <w:t xml:space="preserve">.</w:t>
      </w:r>
    </w:p>
    <w:p w:rsidR="00000000" w:rsidDel="00000000" w:rsidP="00000000" w:rsidRDefault="00000000" w:rsidRPr="00000000" w14:paraId="000000C0">
      <w:pPr>
        <w:rPr/>
      </w:pPr>
      <w:r w:rsidDel="00000000" w:rsidR="00000000" w:rsidRPr="00000000">
        <w:rPr>
          <w:rtl w:val="0"/>
        </w:rPr>
        <w:t xml:space="preserve">Microsoft (2024) </w:t>
      </w:r>
      <w:r w:rsidDel="00000000" w:rsidR="00000000" w:rsidRPr="00000000">
        <w:rPr>
          <w:i w:val="1"/>
          <w:iCs w:val="1"/>
          <w:rtl w:val="0"/>
        </w:rPr>
        <w:t xml:space="preserve">Annual report 2024</w:t>
      </w:r>
      <w:r w:rsidDel="00000000" w:rsidR="00000000" w:rsidRPr="00000000">
        <w:rPr>
          <w:rtl w:val="0"/>
        </w:rPr>
        <w:t xml:space="preserve">. Available at: </w:t>
      </w:r>
      <w:hyperlink r:id="rId21">
        <w:r w:rsidDel="00000000" w:rsidR="00000000" w:rsidRPr="00000000">
          <w:rPr>
            <w:color w:val="0000ff"/>
            <w:u w:val="single"/>
            <w:rtl w:val="0"/>
          </w:rPr>
          <w:t xml:space="preserve">https://www.microsoft.com/investor/reports/ar24/</w:t>
        </w:r>
      </w:hyperlink>
      <w:r w:rsidDel="00000000" w:rsidR="00000000" w:rsidRPr="00000000">
        <w:rPr>
          <w:rtl w:val="0"/>
        </w:rPr>
        <w:t xml:space="preserve"> (Accessed: 31 May 2026).</w:t>
      </w:r>
    </w:p>
    <w:p w:rsidR="00000000" w:rsidDel="00000000" w:rsidP="00000000" w:rsidRDefault="00000000" w:rsidRPr="00000000" w14:paraId="000000C1">
      <w:pPr>
        <w:rPr/>
      </w:pPr>
      <w:r w:rsidDel="00000000" w:rsidR="00000000" w:rsidRPr="00000000">
        <w:rPr>
          <w:rtl w:val="0"/>
        </w:rPr>
        <w:t xml:space="preserve">Mikalef, P. and Gupta, M. (2021) ‘Artificial intelligence capability: conceptualization, measurement calibration, and empirical study on its impact on organizational creativity and firm performance’, </w:t>
      </w:r>
      <w:r w:rsidDel="00000000" w:rsidR="00000000" w:rsidRPr="00000000">
        <w:rPr>
          <w:i w:val="1"/>
          <w:iCs w:val="1"/>
          <w:rtl w:val="0"/>
        </w:rPr>
        <w:t xml:space="preserve">Information &amp; Management</w:t>
      </w:r>
      <w:r w:rsidDel="00000000" w:rsidR="00000000" w:rsidRPr="00000000">
        <w:rPr>
          <w:rtl w:val="0"/>
        </w:rPr>
        <w:t xml:space="preserve">, 58(3), 103434. Available at: </w:t>
      </w:r>
      <w:hyperlink r:id="rId22">
        <w:r w:rsidDel="00000000" w:rsidR="00000000" w:rsidRPr="00000000">
          <w:rPr>
            <w:color w:val="0000ff"/>
            <w:u w:val="single"/>
            <w:rtl w:val="0"/>
          </w:rPr>
          <w:t xml:space="preserve">https://doi.org/10.1016/j.im.2021.103434</w:t>
        </w:r>
      </w:hyperlink>
      <w:r w:rsidDel="00000000" w:rsidR="00000000" w:rsidRPr="00000000">
        <w:rPr>
          <w:rtl w:val="0"/>
        </w:rPr>
        <w:t xml:space="preserve">.</w:t>
      </w:r>
    </w:p>
    <w:p w:rsidR="00000000" w:rsidDel="00000000" w:rsidP="00000000" w:rsidRDefault="00000000" w:rsidRPr="00000000" w14:paraId="000000C2">
      <w:pPr>
        <w:rPr/>
      </w:pPr>
      <w:r w:rsidDel="00000000" w:rsidR="00000000" w:rsidRPr="00000000">
        <w:rPr>
          <w:rtl w:val="0"/>
        </w:rPr>
        <w:t xml:space="preserve">NIST (2023) </w:t>
      </w:r>
      <w:r w:rsidDel="00000000" w:rsidR="00000000" w:rsidRPr="00000000">
        <w:rPr>
          <w:i w:val="1"/>
          <w:iCs w:val="1"/>
          <w:rtl w:val="0"/>
        </w:rPr>
        <w:t xml:space="preserve">Artificial intelligence risk management framework (AI RMF 1.0)</w:t>
      </w:r>
      <w:r w:rsidDel="00000000" w:rsidR="00000000" w:rsidRPr="00000000">
        <w:rPr>
          <w:rtl w:val="0"/>
        </w:rPr>
        <w:t xml:space="preserve">. Gaithersburg, MD: National Institute of Standards and Technology. Available at: </w:t>
      </w:r>
      <w:hyperlink r:id="rId23">
        <w:r w:rsidDel="00000000" w:rsidR="00000000" w:rsidRPr="00000000">
          <w:rPr>
            <w:color w:val="0000ff"/>
            <w:u w:val="single"/>
            <w:rtl w:val="0"/>
          </w:rPr>
          <w:t xml:space="preserve">https://doi.org/10.6028/NIST.AI.100-1</w:t>
        </w:r>
      </w:hyperlink>
      <w:r w:rsidDel="00000000" w:rsidR="00000000" w:rsidRPr="00000000">
        <w:rPr>
          <w:rtl w:val="0"/>
        </w:rPr>
        <w:t xml:space="preserve">.</w:t>
      </w:r>
    </w:p>
    <w:p w:rsidR="00000000" w:rsidDel="00000000" w:rsidP="00000000" w:rsidRDefault="00000000" w:rsidRPr="00000000" w14:paraId="000000C3">
      <w:pPr>
        <w:rPr/>
      </w:pPr>
      <w:r w:rsidDel="00000000" w:rsidR="00000000" w:rsidRPr="00000000">
        <w:rPr>
          <w:rtl w:val="0"/>
        </w:rPr>
        <w:t xml:space="preserve">OECD (2024) </w:t>
      </w:r>
      <w:r w:rsidDel="00000000" w:rsidR="00000000" w:rsidRPr="00000000">
        <w:rPr>
          <w:i w:val="1"/>
          <w:iCs w:val="1"/>
          <w:rtl w:val="0"/>
        </w:rPr>
        <w:t xml:space="preserve">Explanatory memorandum on the updated OECD definition of an AI system</w:t>
      </w:r>
      <w:r w:rsidDel="00000000" w:rsidR="00000000" w:rsidRPr="00000000">
        <w:rPr>
          <w:rtl w:val="0"/>
        </w:rPr>
        <w:t xml:space="preserve">. Paris: OECD Publishing. Available at: </w:t>
      </w:r>
      <w:hyperlink r:id="rId24">
        <w:r w:rsidDel="00000000" w:rsidR="00000000" w:rsidRPr="00000000">
          <w:rPr>
            <w:color w:val="0000ff"/>
            <w:u w:val="single"/>
            <w:rtl w:val="0"/>
          </w:rPr>
          <w:t xml:space="preserve">https://doi.org/10.1787/623da898-en</w:t>
        </w:r>
      </w:hyperlink>
      <w:r w:rsidDel="00000000" w:rsidR="00000000" w:rsidRPr="00000000">
        <w:rPr>
          <w:rtl w:val="0"/>
        </w:rPr>
        <w:t xml:space="preserve">.</w:t>
      </w:r>
    </w:p>
    <w:p w:rsidR="00000000" w:rsidDel="00000000" w:rsidP="00000000" w:rsidRDefault="00000000" w:rsidRPr="00000000" w14:paraId="000000C4">
      <w:pPr>
        <w:rPr/>
      </w:pPr>
      <w:r w:rsidDel="00000000" w:rsidR="00000000" w:rsidRPr="00000000">
        <w:rPr>
          <w:rtl w:val="0"/>
        </w:rPr>
        <w:t xml:space="preserve">R Core Team (2025) </w:t>
      </w:r>
      <w:r w:rsidDel="00000000" w:rsidR="00000000" w:rsidRPr="00000000">
        <w:rPr>
          <w:i w:val="1"/>
          <w:iCs w:val="1"/>
          <w:rtl w:val="0"/>
        </w:rPr>
        <w:t xml:space="preserve">R: a language and environment for statistical computing</w:t>
      </w:r>
      <w:r w:rsidDel="00000000" w:rsidR="00000000" w:rsidRPr="00000000">
        <w:rPr>
          <w:rtl w:val="0"/>
        </w:rPr>
        <w:t xml:space="preserve">. Vienna: R Foundation for Statistical Computing. Available at: </w:t>
      </w:r>
      <w:hyperlink r:id="rId25">
        <w:r w:rsidDel="00000000" w:rsidR="00000000" w:rsidRPr="00000000">
          <w:rPr>
            <w:color w:val="0000ff"/>
            <w:u w:val="single"/>
            <w:rtl w:val="0"/>
          </w:rPr>
          <w:t xml:space="preserve">https://www.r-project.org/</w:t>
        </w:r>
      </w:hyperlink>
      <w:r w:rsidDel="00000000" w:rsidR="00000000" w:rsidRPr="00000000">
        <w:rPr>
          <w:rtl w:val="0"/>
        </w:rPr>
        <w:t xml:space="preserve"> (Accessed: 31 May 2026).</w:t>
      </w:r>
    </w:p>
    <w:p w:rsidR="00000000" w:rsidDel="00000000" w:rsidP="00000000" w:rsidRDefault="00000000" w:rsidRPr="00000000" w14:paraId="000000C5">
      <w:pPr>
        <w:rPr/>
      </w:pPr>
      <w:r w:rsidDel="00000000" w:rsidR="00000000" w:rsidRPr="00000000">
        <w:rPr>
          <w:rtl w:val="0"/>
        </w:rPr>
        <w:t xml:space="preserve">Raisch, S. and Krakowski, S. (2021) ‘Artificial intelligence and management: the automation-augmentation paradox’, </w:t>
      </w:r>
      <w:r w:rsidDel="00000000" w:rsidR="00000000" w:rsidRPr="00000000">
        <w:rPr>
          <w:i w:val="1"/>
          <w:iCs w:val="1"/>
          <w:rtl w:val="0"/>
        </w:rPr>
        <w:t xml:space="preserve">Academy of Management Review</w:t>
      </w:r>
      <w:r w:rsidDel="00000000" w:rsidR="00000000" w:rsidRPr="00000000">
        <w:rPr>
          <w:rtl w:val="0"/>
        </w:rPr>
        <w:t xml:space="preserve">, 46(1), pp. 192–210. Available at: </w:t>
      </w:r>
      <w:hyperlink r:id="rId26">
        <w:r w:rsidDel="00000000" w:rsidR="00000000" w:rsidRPr="00000000">
          <w:rPr>
            <w:color w:val="0000ff"/>
            <w:u w:val="single"/>
            <w:rtl w:val="0"/>
          </w:rPr>
          <w:t xml:space="preserve">https://doi.org/10.5465/amr.2018.0072</w:t>
        </w:r>
      </w:hyperlink>
      <w:r w:rsidDel="00000000" w:rsidR="00000000" w:rsidRPr="00000000">
        <w:rPr>
          <w:rtl w:val="0"/>
        </w:rPr>
        <w:t xml:space="preserve">.</w:t>
      </w:r>
    </w:p>
    <w:p w:rsidR="00000000" w:rsidDel="00000000" w:rsidP="00000000" w:rsidRDefault="00000000" w:rsidRPr="00000000" w14:paraId="000000C6">
      <w:pPr>
        <w:rPr/>
      </w:pPr>
      <w:r w:rsidDel="00000000" w:rsidR="00000000" w:rsidRPr="00000000">
        <w:rPr>
          <w:rtl w:val="0"/>
        </w:rPr>
        <w:t xml:space="preserve">Saunders, M., Lewis, P. and Thornhill, A. (2019) </w:t>
      </w:r>
      <w:r w:rsidDel="00000000" w:rsidR="00000000" w:rsidRPr="00000000">
        <w:rPr>
          <w:i w:val="1"/>
          <w:iCs w:val="1"/>
          <w:rtl w:val="0"/>
        </w:rPr>
        <w:t xml:space="preserve">Research methods for business students</w:t>
      </w:r>
      <w:r w:rsidDel="00000000" w:rsidR="00000000" w:rsidRPr="00000000">
        <w:rPr>
          <w:rtl w:val="0"/>
        </w:rPr>
        <w:t xml:space="preserve">. 8th edn. Harlow: Pearson.</w:t>
      </w:r>
    </w:p>
    <w:p w:rsidR="00000000" w:rsidDel="00000000" w:rsidP="00000000" w:rsidRDefault="00000000" w:rsidRPr="00000000" w14:paraId="000000C7">
      <w:pPr>
        <w:rPr/>
      </w:pPr>
      <w:r w:rsidDel="00000000" w:rsidR="00000000" w:rsidRPr="00000000">
        <w:rPr>
          <w:rtl w:val="0"/>
        </w:rPr>
        <w:t xml:space="preserve">Sousa, C.M.P., Martinez-Lopez, F.J. and Coelho, F. (2008) ‘The determinants of export performance: a review of the research in the literature between 1998 and 2005’, </w:t>
      </w:r>
      <w:r w:rsidDel="00000000" w:rsidR="00000000" w:rsidRPr="00000000">
        <w:rPr>
          <w:i w:val="1"/>
          <w:iCs w:val="1"/>
          <w:rtl w:val="0"/>
        </w:rPr>
        <w:t xml:space="preserve">International Journal of Management Reviews</w:t>
      </w:r>
      <w:r w:rsidDel="00000000" w:rsidR="00000000" w:rsidRPr="00000000">
        <w:rPr>
          <w:rtl w:val="0"/>
        </w:rPr>
        <w:t xml:space="preserve">, 10(4), pp. 343–374. Available at: </w:t>
      </w:r>
      <w:hyperlink r:id="rId27">
        <w:r w:rsidDel="00000000" w:rsidR="00000000" w:rsidRPr="00000000">
          <w:rPr>
            <w:color w:val="0000ff"/>
            <w:u w:val="single"/>
            <w:rtl w:val="0"/>
          </w:rPr>
          <w:t xml:space="preserve">https://doi.org/10.1111/j.1468-2370.2008.00232.x</w:t>
        </w:r>
      </w:hyperlink>
      <w:r w:rsidDel="00000000" w:rsidR="00000000" w:rsidRPr="00000000">
        <w:rPr>
          <w:rtl w:val="0"/>
        </w:rPr>
        <w:t xml:space="preserve">.</w:t>
      </w:r>
    </w:p>
    <w:p w:rsidR="00000000" w:rsidDel="00000000" w:rsidP="00000000" w:rsidRDefault="00000000" w:rsidRPr="00000000" w14:paraId="000000C8">
      <w:pPr>
        <w:rPr/>
      </w:pPr>
      <w:r w:rsidDel="00000000" w:rsidR="00000000" w:rsidRPr="00000000">
        <w:rPr>
          <w:rtl w:val="0"/>
        </w:rPr>
        <w:t xml:space="preserve">Wamba-Taguimdje, S.L., Wamba, S.F., Kamdjoug, J.R.K. and Tchatchouang Wanko, C.E. (2020) ‘Influence of artificial intelligence on firm performance: the business value of AI-based transformation projects’, </w:t>
      </w:r>
      <w:r w:rsidDel="00000000" w:rsidR="00000000" w:rsidRPr="00000000">
        <w:rPr>
          <w:i w:val="1"/>
          <w:iCs w:val="1"/>
          <w:rtl w:val="0"/>
        </w:rPr>
        <w:t xml:space="preserve">Business Process Management Journal</w:t>
      </w:r>
      <w:r w:rsidDel="00000000" w:rsidR="00000000" w:rsidRPr="00000000">
        <w:rPr>
          <w:rtl w:val="0"/>
        </w:rPr>
        <w:t xml:space="preserve">, 26(7), pp. 1893–1924. Available at: </w:t>
      </w:r>
      <w:hyperlink r:id="rId28">
        <w:r w:rsidDel="00000000" w:rsidR="00000000" w:rsidRPr="00000000">
          <w:rPr>
            <w:color w:val="0000ff"/>
            <w:u w:val="single"/>
            <w:rtl w:val="0"/>
          </w:rPr>
          <w:t xml:space="preserve">https://doi.org/10.1108/BPMJ-10-2019-0411</w:t>
        </w:r>
      </w:hyperlink>
      <w:r w:rsidDel="00000000" w:rsidR="00000000" w:rsidRPr="00000000">
        <w:rPr>
          <w:rtl w:val="0"/>
        </w:rPr>
        <w:t xml:space="preserve">.</w:t>
      </w:r>
    </w:p>
    <w:p w:rsidR="00000000" w:rsidDel="00000000" w:rsidP="00000000" w:rsidRDefault="00000000" w:rsidRPr="00000000" w14:paraId="000000C9">
      <w:pPr>
        <w:rPr/>
      </w:pPr>
      <w:r w:rsidDel="00000000" w:rsidR="00000000" w:rsidRPr="00000000">
        <w:rPr>
          <w:rtl w:val="0"/>
        </w:rPr>
        <w:t xml:space="preserve">Zou, S., Taylor, C.R. and Osland, G.E. (1998) ‘The EXPERF scale: a cross-national generalized export performance measure’, </w:t>
      </w:r>
      <w:r w:rsidDel="00000000" w:rsidR="00000000" w:rsidRPr="00000000">
        <w:rPr>
          <w:i w:val="1"/>
          <w:iCs w:val="1"/>
          <w:rtl w:val="0"/>
        </w:rPr>
        <w:t xml:space="preserve">Journal of International Marketing</w:t>
      </w:r>
      <w:r w:rsidDel="00000000" w:rsidR="00000000" w:rsidRPr="00000000">
        <w:rPr>
          <w:rtl w:val="0"/>
        </w:rPr>
        <w:t xml:space="preserve">, 6(3), pp. 37–58. Available at: </w:t>
      </w:r>
      <w:hyperlink r:id="rId29">
        <w:r w:rsidDel="00000000" w:rsidR="00000000" w:rsidRPr="00000000">
          <w:rPr>
            <w:color w:val="0000ff"/>
            <w:u w:val="single"/>
            <w:rtl w:val="0"/>
          </w:rPr>
          <w:t xml:space="preserve">https://doi.org/10.1177/1069031X9800600304</w:t>
        </w:r>
      </w:hyperlink>
      <w:r w:rsidDel="00000000" w:rsidR="00000000" w:rsidRPr="00000000">
        <w:rPr>
          <w:rtl w:val="0"/>
        </w:rPr>
        <w:t xml:space="preserve">.</w:t>
      </w:r>
    </w:p>
    <w:p w:rsidR="00000000" w:rsidDel="00000000" w:rsidP="00000000" w:rsidRDefault="00000000" w:rsidRPr="00000000" w14:paraId="000000CA">
      <w:pPr>
        <w:rPr/>
      </w:pPr>
      <w:r w:rsidDel="00000000" w:rsidR="00000000" w:rsidRPr="00000000">
        <w:rPr>
          <w:rtl w:val="0"/>
        </w:rPr>
      </w:r>
    </w:p>
    <w:sectPr>
      <w:type w:val="nextPage"/>
      <w:pgSz w:h="15840" w:w="12240" w:orient="portrait"/>
      <w:pgMar w:bottom="1152" w:top="1152"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
      </w:rPr>
    </w:rPrDefault>
    <w:pPrDefault>
      <w:pPr>
        <w:spacing w:after="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b w:val="1"/>
      <w:bCs w:val="1"/>
      <w:color w:val="000000"/>
      <w:sz w:val="28"/>
      <w:szCs w:val="28"/>
    </w:rPr>
  </w:style>
  <w:style w:type="paragraph" w:styleId="Heading2">
    <w:name w:val="heading 2"/>
    <w:basedOn w:val="Normal"/>
    <w:next w:val="Normal"/>
    <w:pPr>
      <w:keepNext w:val="1"/>
      <w:keepLines w:val="1"/>
      <w:spacing w:after="0" w:before="200" w:lineRule="auto"/>
    </w:pPr>
    <w:rPr>
      <w:b w:val="1"/>
      <w:bCs w:val="1"/>
      <w:color w:val="000000"/>
    </w:rPr>
  </w:style>
  <w:style w:type="paragraph" w:styleId="Heading3">
    <w:name w:val="heading 3"/>
    <w:basedOn w:val="Normal"/>
    <w:next w:val="Normal"/>
    <w:pPr>
      <w:keepNext w:val="1"/>
      <w:keepLines w:val="1"/>
      <w:spacing w:after="0" w:before="200" w:lineRule="auto"/>
    </w:pPr>
    <w:rPr>
      <w:b w:val="1"/>
      <w:bCs w:val="1"/>
      <w:color w:val="000000"/>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Subtitle">
    <w:name w:val="Subtitle"/>
    <w:basedOn w:val="Normal"/>
    <w:next w:val="Normal"/>
    <w:pPr/>
    <w:rPr>
      <w:rFonts w:ascii="Calibri" w:cs="Calibri" w:eastAsia="Calibri" w:hAnsi="Calibri"/>
      <w:i w:val="1"/>
      <w:iCs w:val="1"/>
      <w:color w:val="4f81bd"/>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002/tie.22370" TargetMode="External"/><Relationship Id="rId22" Type="http://schemas.openxmlformats.org/officeDocument/2006/relationships/hyperlink" Target="https://doi.org/10.1016/j.im.2021.103434" TargetMode="External"/><Relationship Id="rId21" Type="http://schemas.openxmlformats.org/officeDocument/2006/relationships/hyperlink" Target="https://www.microsoft.com/investor/reports/ar24/" TargetMode="External"/><Relationship Id="rId24" Type="http://schemas.openxmlformats.org/officeDocument/2006/relationships/hyperlink" Target="https://doi.org/10.1787/623da898-en" TargetMode="External"/><Relationship Id="rId23" Type="http://schemas.openxmlformats.org/officeDocument/2006/relationships/hyperlink" Target="https://doi.org/10.6028/NIST.AI.100-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accenture.com/content/dam/accenture/final/accenture-com/a-com-custom-component/iconic/document/Accenture-Fiscal-2024-Annual-Report.pdf" TargetMode="External"/><Relationship Id="rId26" Type="http://schemas.openxmlformats.org/officeDocument/2006/relationships/hyperlink" Target="https://doi.org/10.5465/amr.2018.0072" TargetMode="External"/><Relationship Id="rId25" Type="http://schemas.openxmlformats.org/officeDocument/2006/relationships/hyperlink" Target="https://www.r-project.org/" TargetMode="External"/><Relationship Id="rId28" Type="http://schemas.openxmlformats.org/officeDocument/2006/relationships/hyperlink" Target="https://doi.org/10.1108/BPMJ-10-2019-0411" TargetMode="External"/><Relationship Id="rId27" Type="http://schemas.openxmlformats.org/officeDocument/2006/relationships/hyperlink" Target="https://doi.org/10.1111/j.1468-2370.2008.00232.x"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doi.org/10.1177/1069031X9800600304" TargetMode="External"/><Relationship Id="rId7" Type="http://schemas.openxmlformats.org/officeDocument/2006/relationships/footer" Target="footer1.xml"/><Relationship Id="rId8" Type="http://schemas.openxmlformats.org/officeDocument/2006/relationships/image" Target="media/image1.png"/><Relationship Id="rId11" Type="http://schemas.openxmlformats.org/officeDocument/2006/relationships/hyperlink" Target="https://s2.q4cdn.com/299287126/files/doc_financials/2025/ar/Amazon-2024-Annual-Report.pdf" TargetMode="External"/><Relationship Id="rId10" Type="http://schemas.openxmlformats.org/officeDocument/2006/relationships/hyperlink" Target="https://www.sec.gov/Archives/edgar/data/1652044/000165204425000014/goog-20241231.htm" TargetMode="External"/><Relationship Id="rId13" Type="http://schemas.openxmlformats.org/officeDocument/2006/relationships/hyperlink" Target="https://doi.org/10.1016/j.ijinfomgt.2020.102225" TargetMode="External"/><Relationship Id="rId12" Type="http://schemas.openxmlformats.org/officeDocument/2006/relationships/hyperlink" Target="https://doi.org/10.1177/014920639101700108" TargetMode="External"/><Relationship Id="rId15" Type="http://schemas.openxmlformats.org/officeDocument/2006/relationships/hyperlink" Target="https://find-and-update.company-information.service.gov.uk/company/03977902" TargetMode="External"/><Relationship Id="rId14" Type="http://schemas.openxmlformats.org/officeDocument/2006/relationships/hyperlink" Target="https://find-and-update.company-information.service.gov.uk/company/01624297" TargetMode="External"/><Relationship Id="rId17" Type="http://schemas.openxmlformats.org/officeDocument/2006/relationships/hyperlink" Target="https://find-and-update.company-information.service.gov.uk/company/00741598" TargetMode="External"/><Relationship Id="rId16" Type="http://schemas.openxmlformats.org/officeDocument/2006/relationships/hyperlink" Target="https://find-and-update.company-information.service.gov.uk/company/03223028" TargetMode="External"/><Relationship Id="rId19" Type="http://schemas.openxmlformats.org/officeDocument/2006/relationships/hyperlink" Target="https://www.sec.gov/Archives/edgar/data/51143/000110465925022191/tm2429998d6_ars.pdf" TargetMode="External"/><Relationship Id="rId18" Type="http://schemas.openxmlformats.org/officeDocument/2006/relationships/hyperlink" Target="https://find-and-update.company-information.service.gov.uk/company/04757301"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fZiYCEtgt+vQ8d1S4xq6DYNxY3Q==">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