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85F30E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E62C3">
              <w:rPr>
                <w:b/>
                <w:color w:val="auto"/>
                <w:sz w:val="32"/>
              </w:rPr>
              <w:t>Cerys Jones</w:t>
            </w:r>
            <w:r>
              <w:rPr>
                <w:b/>
                <w:color w:val="auto"/>
                <w:sz w:val="32"/>
              </w:rPr>
              <w:t>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43AC114" w:rsidR="00575A8F" w:rsidRDefault="00293009" w:rsidP="00E6298B">
            <w:pPr>
              <w:overflowPunct/>
              <w:autoSpaceDE/>
              <w:autoSpaceDN/>
              <w:adjustRightInd/>
              <w:ind w:right="107"/>
              <w:textAlignment w:val="auto"/>
              <w:rPr>
                <w:b/>
                <w:color w:val="auto"/>
                <w:sz w:val="32"/>
              </w:rPr>
            </w:pPr>
            <w:r>
              <w:rPr>
                <w:b/>
                <w:color w:val="auto"/>
                <w:sz w:val="32"/>
              </w:rPr>
              <w:t>2319754</w:t>
            </w:r>
            <w:r w:rsidR="00575A8F">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465FA">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465F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465FA">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465FA">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465FA">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465FA">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465F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465F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465F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465F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465F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465F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51B5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62B2987" w:rsidR="00AA666E" w:rsidRPr="00025650" w:rsidRDefault="00025650" w:rsidP="00E6298B">
      <w:pPr>
        <w:ind w:right="107"/>
        <w:jc w:val="both"/>
        <w:rPr>
          <w:b/>
          <w:sz w:val="24"/>
          <w:szCs w:val="24"/>
        </w:rPr>
      </w:pPr>
      <w:r w:rsidRPr="00025650">
        <w:rPr>
          <w:b/>
          <w:sz w:val="24"/>
          <w:szCs w:val="24"/>
        </w:rPr>
        <w:t>ANSWER:</w:t>
      </w:r>
      <w:r w:rsidR="005417AF">
        <w:rPr>
          <w:b/>
          <w:sz w:val="24"/>
          <w:szCs w:val="24"/>
        </w:rPr>
        <w:t xml:space="preserve"> </w:t>
      </w:r>
    </w:p>
    <w:p w14:paraId="3B855813" w14:textId="77777777" w:rsidR="00FF7784" w:rsidRPr="00536AE0" w:rsidRDefault="00FF7784" w:rsidP="00E6298B">
      <w:pPr>
        <w:ind w:right="107"/>
        <w:jc w:val="both"/>
        <w:rPr>
          <w:rFonts w:asciiTheme="minorHAnsi" w:hAnsiTheme="minorHAnsi" w:cstheme="minorHAnsi"/>
        </w:rPr>
      </w:pPr>
    </w:p>
    <w:p w14:paraId="4ACB09D9" w14:textId="77777777" w:rsidR="00907426" w:rsidRPr="002A5722" w:rsidRDefault="00907426" w:rsidP="00907426">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This essay will discuss two coping strategies that I have utilised to develop resilience and minimise stress since being attested as a Police Constable. This essay will begin by providing a brief overview of the concepts of stress and resilience and their importance of being managed as a Police Constable. This essay will then discuss two coping strategies, running and reading, and how I have utilised these in my career as a Police Constable and why they are beneficial. The essay will then discuss and compare these two coping strategies and how they will be used going forward in my career. </w:t>
      </w:r>
    </w:p>
    <w:p w14:paraId="6A45AB63" w14:textId="77777777" w:rsidR="00907426" w:rsidRPr="002A5722" w:rsidRDefault="00907426" w:rsidP="00907426">
      <w:pPr>
        <w:ind w:right="107"/>
        <w:jc w:val="both"/>
        <w:rPr>
          <w:rFonts w:asciiTheme="minorHAnsi" w:hAnsiTheme="minorHAnsi" w:cstheme="minorHAnsi"/>
          <w:sz w:val="22"/>
          <w:szCs w:val="22"/>
        </w:rPr>
      </w:pPr>
    </w:p>
    <w:p w14:paraId="0DCCE1D7" w14:textId="77777777" w:rsidR="00907426" w:rsidRPr="002A5722" w:rsidRDefault="00907426" w:rsidP="00907426">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Stress is defined as a condition that arises when demands and changes in an individual’s life negatively affects their ability to cope and function effectively (Folkman, 2010; </w:t>
      </w:r>
      <w:proofErr w:type="spellStart"/>
      <w:r w:rsidRPr="002A5722">
        <w:rPr>
          <w:rFonts w:asciiTheme="minorHAnsi" w:hAnsiTheme="minorHAnsi" w:cstheme="minorHAnsi"/>
          <w:sz w:val="22"/>
          <w:szCs w:val="22"/>
        </w:rPr>
        <w:t>Beehr</w:t>
      </w:r>
      <w:proofErr w:type="spellEnd"/>
      <w:r w:rsidRPr="002A5722">
        <w:rPr>
          <w:rFonts w:asciiTheme="minorHAnsi" w:hAnsiTheme="minorHAnsi" w:cstheme="minorHAnsi"/>
          <w:sz w:val="22"/>
          <w:szCs w:val="22"/>
        </w:rPr>
        <w:t xml:space="preserve"> and Newman, 1978). Resilience is defined as an individual’s ability to bounce back from stress and hardship (</w:t>
      </w:r>
      <w:proofErr w:type="spellStart"/>
      <w:r w:rsidRPr="002A5722">
        <w:rPr>
          <w:rFonts w:asciiTheme="minorHAnsi" w:hAnsiTheme="minorHAnsi" w:cstheme="minorHAnsi"/>
          <w:sz w:val="22"/>
          <w:szCs w:val="22"/>
        </w:rPr>
        <w:t>Bonnano</w:t>
      </w:r>
      <w:proofErr w:type="spellEnd"/>
      <w:r w:rsidRPr="002A5722">
        <w:rPr>
          <w:rFonts w:asciiTheme="minorHAnsi" w:hAnsiTheme="minorHAnsi" w:cstheme="minorHAnsi"/>
          <w:sz w:val="22"/>
          <w:szCs w:val="22"/>
        </w:rPr>
        <w:t xml:space="preserve">, 2004; </w:t>
      </w:r>
      <w:proofErr w:type="spellStart"/>
      <w:r w:rsidRPr="002A5722">
        <w:rPr>
          <w:rFonts w:asciiTheme="minorHAnsi" w:hAnsiTheme="minorHAnsi" w:cstheme="minorHAnsi"/>
          <w:sz w:val="22"/>
          <w:szCs w:val="22"/>
        </w:rPr>
        <w:t>Luthan</w:t>
      </w:r>
      <w:proofErr w:type="spellEnd"/>
      <w:r w:rsidRPr="002A5722">
        <w:rPr>
          <w:rFonts w:asciiTheme="minorHAnsi" w:hAnsiTheme="minorHAnsi" w:cstheme="minorHAnsi"/>
          <w:sz w:val="22"/>
          <w:szCs w:val="22"/>
        </w:rPr>
        <w:t>, 2002). Resilience relies on an individual’s determination to bounce back and their belief in their ability to do so (</w:t>
      </w:r>
      <w:proofErr w:type="spellStart"/>
      <w:r w:rsidRPr="002A5722">
        <w:rPr>
          <w:rFonts w:asciiTheme="minorHAnsi" w:hAnsiTheme="minorHAnsi" w:cstheme="minorHAnsi"/>
          <w:sz w:val="22"/>
          <w:szCs w:val="22"/>
        </w:rPr>
        <w:t>Goerling</w:t>
      </w:r>
      <w:proofErr w:type="spellEnd"/>
      <w:r w:rsidRPr="002A5722">
        <w:rPr>
          <w:rFonts w:asciiTheme="minorHAnsi" w:hAnsiTheme="minorHAnsi" w:cstheme="minorHAnsi"/>
          <w:sz w:val="22"/>
          <w:szCs w:val="22"/>
        </w:rPr>
        <w:t xml:space="preserve">, 2012). Resilience to stress is important within the role of a police officer because officers are at a heightened risk of developing mental health issues such as depression, anxiety and PTSD as well as health conditions such as heart disease and diabetes (Anderson et al. 2015). Sheard, Burnett and St Clair-Thompson (2019) found that 88% of officers reported that the job impacted on their mental health, two-thirds reported having mental health issues and many reported extreme burnout and high levels of stress. Therefore, it is incredibly important that officers develop resilience and coping strategies to help cope with the nature of the job as positive coping strategies can help limit the effects of stress and provide officers with a “mental balance” in order to manage stress effectively (Galanis, Fragkou and </w:t>
      </w:r>
      <w:proofErr w:type="spellStart"/>
      <w:r w:rsidRPr="002A5722">
        <w:rPr>
          <w:rFonts w:asciiTheme="minorHAnsi" w:hAnsiTheme="minorHAnsi" w:cstheme="minorHAnsi"/>
          <w:sz w:val="22"/>
          <w:szCs w:val="22"/>
        </w:rPr>
        <w:t>Katsoulas</w:t>
      </w:r>
      <w:proofErr w:type="spellEnd"/>
      <w:r w:rsidRPr="002A5722">
        <w:rPr>
          <w:rFonts w:asciiTheme="minorHAnsi" w:hAnsiTheme="minorHAnsi" w:cstheme="minorHAnsi"/>
          <w:sz w:val="22"/>
          <w:szCs w:val="22"/>
        </w:rPr>
        <w:t>, 2021, p.7).</w:t>
      </w:r>
    </w:p>
    <w:p w14:paraId="0800A5AA" w14:textId="77777777" w:rsidR="00907426" w:rsidRPr="002A5722" w:rsidRDefault="00907426" w:rsidP="00907426">
      <w:pPr>
        <w:ind w:right="107"/>
        <w:jc w:val="both"/>
        <w:rPr>
          <w:rFonts w:asciiTheme="minorHAnsi" w:hAnsiTheme="minorHAnsi" w:cstheme="minorHAnsi"/>
          <w:sz w:val="22"/>
          <w:szCs w:val="22"/>
        </w:rPr>
      </w:pPr>
    </w:p>
    <w:p w14:paraId="1BE012D9" w14:textId="77777777" w:rsidR="00907426" w:rsidRPr="002A5722" w:rsidRDefault="00907426" w:rsidP="00907426">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The first coping strategy I have utilised is running. I am a keen runner and I aim to run at least five times a week. I feel that running contributes to not only improving my fitness level but also my mental wellbeing as it makes me feel psychologically refreshed. There is an array of literature that supports the theory that running or physical activity in general has a positive effect on mental health and reducing stress. Gerber et al. (2010) found that in their study of police and emergency workers, physical exercise was a vital coping mechanism as it reduced stressed. Furthermore, Kim and </w:t>
      </w:r>
      <w:proofErr w:type="spellStart"/>
      <w:r w:rsidRPr="002A5722">
        <w:rPr>
          <w:rFonts w:asciiTheme="minorHAnsi" w:hAnsiTheme="minorHAnsi" w:cstheme="minorHAnsi"/>
          <w:sz w:val="22"/>
          <w:szCs w:val="22"/>
        </w:rPr>
        <w:t>Mckenzie</w:t>
      </w:r>
      <w:proofErr w:type="spellEnd"/>
      <w:r w:rsidRPr="002A5722">
        <w:rPr>
          <w:rFonts w:asciiTheme="minorHAnsi" w:hAnsiTheme="minorHAnsi" w:cstheme="minorHAnsi"/>
          <w:sz w:val="22"/>
          <w:szCs w:val="22"/>
        </w:rPr>
        <w:t xml:space="preserve"> (2014) found that exercise contributed to individuals ability to cope,  problem solving, helped focus their thoughts and even contributed to effective time management. Deuster and Silverman (2013, p. 24) also found that exercise has a positive effect on resilience because it can “induce positive physiologic and psychological benefits, protect against potential consequences of stressful events and prevent many chronic diseases”. </w:t>
      </w:r>
    </w:p>
    <w:p w14:paraId="7E3FC91F" w14:textId="77777777" w:rsidR="00907426" w:rsidRPr="002A5722" w:rsidRDefault="00907426" w:rsidP="00907426">
      <w:pPr>
        <w:ind w:right="107"/>
        <w:jc w:val="both"/>
        <w:rPr>
          <w:rFonts w:asciiTheme="minorHAnsi" w:hAnsiTheme="minorHAnsi" w:cstheme="minorHAnsi"/>
          <w:sz w:val="22"/>
          <w:szCs w:val="22"/>
        </w:rPr>
      </w:pPr>
    </w:p>
    <w:p w14:paraId="7013B69A" w14:textId="77777777" w:rsidR="00907426" w:rsidRPr="002A5722" w:rsidRDefault="00907426" w:rsidP="00907426">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The second coping strategy that I have utilised is reading. I am an avid reader and I aim to read a book every week. I find reading, like running, destresses me. There is limited research into how reading can help to reduce stress so this is an under researched area. However, research does give an idea of how reading can contribute to stress reduction. Bibliotherapy is a creative arts therapy that uses reading to help relieve </w:t>
      </w:r>
      <w:r w:rsidRPr="002A5722">
        <w:rPr>
          <w:rFonts w:asciiTheme="minorHAnsi" w:hAnsiTheme="minorHAnsi" w:cstheme="minorHAnsi"/>
          <w:sz w:val="22"/>
          <w:szCs w:val="22"/>
        </w:rPr>
        <w:lastRenderedPageBreak/>
        <w:t xml:space="preserve">emotional and behaviour conditions (Vries et al. 2017). Bibliotherapy believes that reading can have positive effects on an individual’s psychological, cognitive, social and behavioural condition as it can help to relieve stress, cope with difficult situations and provide a sense of comfort through imagination (Vries et al. 2017; Poerio and </w:t>
      </w:r>
      <w:proofErr w:type="spellStart"/>
      <w:r w:rsidRPr="002A5722">
        <w:rPr>
          <w:rFonts w:asciiTheme="minorHAnsi" w:hAnsiTheme="minorHAnsi" w:cstheme="minorHAnsi"/>
          <w:sz w:val="22"/>
          <w:szCs w:val="22"/>
        </w:rPr>
        <w:t>Totterdell</w:t>
      </w:r>
      <w:proofErr w:type="spellEnd"/>
      <w:r w:rsidRPr="002A5722">
        <w:rPr>
          <w:rFonts w:asciiTheme="minorHAnsi" w:hAnsiTheme="minorHAnsi" w:cstheme="minorHAnsi"/>
          <w:sz w:val="22"/>
          <w:szCs w:val="22"/>
        </w:rPr>
        <w:t xml:space="preserve">, 2020). Furthermore, Watson (2016) found that 56% of students dealt with stress by reading and that reading made students feel relieved of stress. This is corroborated by </w:t>
      </w:r>
      <w:proofErr w:type="spellStart"/>
      <w:r w:rsidRPr="002A5722">
        <w:rPr>
          <w:rFonts w:asciiTheme="minorHAnsi" w:hAnsiTheme="minorHAnsi" w:cstheme="minorHAnsi"/>
          <w:sz w:val="22"/>
          <w:szCs w:val="22"/>
        </w:rPr>
        <w:t>Schabasser</w:t>
      </w:r>
      <w:proofErr w:type="spellEnd"/>
      <w:r w:rsidRPr="002A5722">
        <w:rPr>
          <w:rFonts w:asciiTheme="minorHAnsi" w:hAnsiTheme="minorHAnsi" w:cstheme="minorHAnsi"/>
          <w:sz w:val="22"/>
          <w:szCs w:val="22"/>
        </w:rPr>
        <w:t xml:space="preserve"> (2024) who found in a survey of 150 respondents that reading was one of the leading activities that helped respondents relieve stress. Readers in Poerio and </w:t>
      </w:r>
      <w:proofErr w:type="spellStart"/>
      <w:r w:rsidRPr="002A5722">
        <w:rPr>
          <w:rFonts w:asciiTheme="minorHAnsi" w:hAnsiTheme="minorHAnsi" w:cstheme="minorHAnsi"/>
          <w:sz w:val="22"/>
          <w:szCs w:val="22"/>
        </w:rPr>
        <w:t>Tottderdell</w:t>
      </w:r>
      <w:proofErr w:type="spellEnd"/>
      <w:r w:rsidRPr="002A5722">
        <w:rPr>
          <w:rFonts w:asciiTheme="minorHAnsi" w:hAnsiTheme="minorHAnsi" w:cstheme="minorHAnsi"/>
          <w:sz w:val="22"/>
          <w:szCs w:val="22"/>
        </w:rPr>
        <w:t xml:space="preserve"> (2020) study reported reduced levels of mental health issues such as depression, anxiety and stress and improvements in terms of self-esteem and their ability to deal with negative and challenging situations.</w:t>
      </w:r>
    </w:p>
    <w:p w14:paraId="3F511407" w14:textId="77777777" w:rsidR="00907426" w:rsidRPr="002A5722" w:rsidRDefault="00907426" w:rsidP="00907426">
      <w:pPr>
        <w:ind w:right="107"/>
        <w:jc w:val="both"/>
        <w:rPr>
          <w:rFonts w:asciiTheme="minorHAnsi" w:hAnsiTheme="minorHAnsi" w:cstheme="minorHAnsi"/>
          <w:sz w:val="22"/>
          <w:szCs w:val="22"/>
        </w:rPr>
      </w:pPr>
    </w:p>
    <w:p w14:paraId="247A218B" w14:textId="77777777" w:rsidR="00907426" w:rsidRPr="002A5722" w:rsidRDefault="00907426" w:rsidP="00907426">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Both of these coping strategies have been beneficial in helping me to reduce stress and build resilience when dealing with the demands of being a police officer. However, it cannot be ignored that during certain stressful times I do lack the motivation to engage in physical activity. Furthermore, I do not have the time or energy to run because certain days at work can be challenging. This is a downside to running but one that has also been evidenced by Rao et al. (2012) and </w:t>
      </w:r>
      <w:proofErr w:type="spellStart"/>
      <w:r w:rsidRPr="002A5722">
        <w:rPr>
          <w:rFonts w:asciiTheme="minorHAnsi" w:hAnsiTheme="minorHAnsi" w:cstheme="minorHAnsi"/>
          <w:sz w:val="22"/>
          <w:szCs w:val="22"/>
        </w:rPr>
        <w:t>Schultchen</w:t>
      </w:r>
      <w:proofErr w:type="spellEnd"/>
      <w:r w:rsidRPr="002A5722">
        <w:rPr>
          <w:rFonts w:asciiTheme="minorHAnsi" w:hAnsiTheme="minorHAnsi" w:cstheme="minorHAnsi"/>
          <w:sz w:val="22"/>
          <w:szCs w:val="22"/>
        </w:rPr>
        <w:t xml:space="preserve"> et al. (2019) who find that exhaustion and lack of time can have a negative contribution to physical activity. Plus, I have to be wary that the job is already physically demanding so I could be susceptible to musculoskeletal injuries or burnout. Due to this, I have decided to reduce my amount of runs to two times a week so that I do not risk overexerting myself. Instead, I will focus more on my reading as although I do a lot of reading in work I still have the desire to read my own books at home and will aim to read a little before bed every few evenings.</w:t>
      </w:r>
    </w:p>
    <w:p w14:paraId="7C659288" w14:textId="77777777" w:rsidR="00907426" w:rsidRPr="002A5722" w:rsidRDefault="00907426" w:rsidP="00907426">
      <w:pPr>
        <w:ind w:right="107"/>
        <w:jc w:val="both"/>
        <w:rPr>
          <w:rFonts w:asciiTheme="minorHAnsi" w:hAnsiTheme="minorHAnsi" w:cstheme="minorHAnsi"/>
          <w:sz w:val="22"/>
          <w:szCs w:val="22"/>
        </w:rPr>
      </w:pPr>
    </w:p>
    <w:p w14:paraId="0590AAF8" w14:textId="159D338C" w:rsidR="00FF7784" w:rsidRPr="002A5722" w:rsidRDefault="00907426" w:rsidP="00907426">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This essay has discussed the coping strategies I have used in my time as a police officer in order to deal with stress and build resilience. This essay outlined the concepts of stress and resilience and why </w:t>
      </w:r>
      <w:r w:rsidR="00995A2F" w:rsidRPr="002A5722">
        <w:rPr>
          <w:rFonts w:asciiTheme="minorHAnsi" w:hAnsiTheme="minorHAnsi" w:cstheme="minorHAnsi"/>
          <w:sz w:val="22"/>
          <w:szCs w:val="22"/>
        </w:rPr>
        <w:t>it’s</w:t>
      </w:r>
      <w:r w:rsidRPr="002A5722">
        <w:rPr>
          <w:rFonts w:asciiTheme="minorHAnsi" w:hAnsiTheme="minorHAnsi" w:cstheme="minorHAnsi"/>
          <w:sz w:val="22"/>
          <w:szCs w:val="22"/>
        </w:rPr>
        <w:t xml:space="preserve"> important to reduce stress and build resilience as a police officer. Stress being a condition that arises when someone cannot cope effectively and resilience being a </w:t>
      </w:r>
      <w:r w:rsidR="00995A2F" w:rsidRPr="002A5722">
        <w:rPr>
          <w:rFonts w:asciiTheme="minorHAnsi" w:hAnsiTheme="minorHAnsi" w:cstheme="minorHAnsi"/>
          <w:sz w:val="22"/>
          <w:szCs w:val="22"/>
        </w:rPr>
        <w:t>person’s</w:t>
      </w:r>
      <w:r w:rsidRPr="002A5722">
        <w:rPr>
          <w:rFonts w:asciiTheme="minorHAnsi" w:hAnsiTheme="minorHAnsi" w:cstheme="minorHAnsi"/>
          <w:sz w:val="22"/>
          <w:szCs w:val="22"/>
        </w:rPr>
        <w:t xml:space="preserve"> ability to bounce back after hardship. These concepts are important to manage due to the fact that officers are at a heightened risk of stress, mental health and health issues. This essay then discussed two coping strategies, running and reading, that I have utilised to reduce stress and build resilience. This essay drew on literature that finds positive correlations between running and reading and reducing stress and building resilience. However, this essay also discussed how reading may be a more beneficial coping strategy due to the fact that running takes up a lot more time and effort which I don’t always have after a hard </w:t>
      </w:r>
      <w:r w:rsidR="00995A2F" w:rsidRPr="002A5722">
        <w:rPr>
          <w:rFonts w:asciiTheme="minorHAnsi" w:hAnsiTheme="minorHAnsi" w:cstheme="minorHAnsi"/>
          <w:sz w:val="22"/>
          <w:szCs w:val="22"/>
        </w:rPr>
        <w:t>day’s</w:t>
      </w:r>
      <w:r w:rsidRPr="002A5722">
        <w:rPr>
          <w:rFonts w:asciiTheme="minorHAnsi" w:hAnsiTheme="minorHAnsi" w:cstheme="minorHAnsi"/>
          <w:sz w:val="22"/>
          <w:szCs w:val="22"/>
        </w:rPr>
        <w:t xml:space="preserve"> work. Thus, this essay found that the best coping strategy for me is reading which I aim to do every few evenings a week compared to running which I aim to do two days a week.</w:t>
      </w:r>
    </w:p>
    <w:p w14:paraId="64F42B57" w14:textId="77777777" w:rsidR="00907426" w:rsidRDefault="00907426" w:rsidP="00E6298B">
      <w:pPr>
        <w:ind w:right="107"/>
        <w:jc w:val="both"/>
        <w:rPr>
          <w:rFonts w:asciiTheme="minorHAnsi" w:hAnsiTheme="minorHAnsi" w:cstheme="minorHAnsi"/>
          <w:sz w:val="22"/>
          <w:szCs w:val="22"/>
        </w:rPr>
      </w:pPr>
    </w:p>
    <w:p w14:paraId="39B288C3" w14:textId="77777777" w:rsidR="00D90BE6" w:rsidRPr="00D90BE6" w:rsidRDefault="00D90BE6" w:rsidP="00E6298B">
      <w:pPr>
        <w:ind w:right="107"/>
        <w:jc w:val="both"/>
        <w:rPr>
          <w:rFonts w:asciiTheme="minorHAnsi" w:hAnsiTheme="minorHAnsi" w:cstheme="minorHAnsi"/>
          <w:b/>
          <w:bCs/>
          <w:sz w:val="22"/>
          <w:szCs w:val="22"/>
        </w:rPr>
      </w:pPr>
    </w:p>
    <w:p w14:paraId="3D4900DE" w14:textId="78073548" w:rsidR="00D90BE6" w:rsidRPr="00D90BE6" w:rsidRDefault="00D90BE6" w:rsidP="00E6298B">
      <w:pPr>
        <w:ind w:right="107"/>
        <w:jc w:val="both"/>
        <w:rPr>
          <w:b/>
          <w:bCs/>
          <w:sz w:val="24"/>
          <w:szCs w:val="24"/>
        </w:rPr>
        <w:sectPr w:rsidR="00D90BE6" w:rsidRPr="00D90BE6" w:rsidSect="005463F1">
          <w:footerReference w:type="default" r:id="rId14"/>
          <w:pgSz w:w="11906" w:h="16838" w:code="9"/>
          <w:pgMar w:top="1440" w:right="1080" w:bottom="1440" w:left="1080" w:header="720" w:footer="720" w:gutter="0"/>
          <w:cols w:space="720"/>
          <w:docGrid w:linePitch="272"/>
        </w:sectPr>
      </w:pPr>
      <w:r w:rsidRPr="00D90BE6">
        <w:rPr>
          <w:rFonts w:asciiTheme="minorHAnsi" w:hAnsiTheme="minorHAnsi" w:cstheme="minorHAnsi"/>
          <w:b/>
          <w:bCs/>
          <w:sz w:val="22"/>
          <w:szCs w:val="22"/>
        </w:rPr>
        <w:t>Words: 1082</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4557CCDD" w14:textId="3204A6CF" w:rsidR="008B28E7" w:rsidRDefault="003B2A14" w:rsidP="007C1E98">
      <w:pPr>
        <w:ind w:right="107"/>
        <w:jc w:val="both"/>
        <w:rPr>
          <w:b/>
          <w:sz w:val="24"/>
          <w:szCs w:val="24"/>
        </w:rPr>
      </w:pPr>
      <w:r w:rsidRPr="00450C83">
        <w:rPr>
          <w:b/>
          <w:sz w:val="24"/>
          <w:szCs w:val="24"/>
        </w:rPr>
        <w:t>ANSWER:</w:t>
      </w:r>
      <w:r w:rsidR="0083163F">
        <w:rPr>
          <w:b/>
          <w:sz w:val="24"/>
          <w:szCs w:val="24"/>
        </w:rPr>
        <w:t xml:space="preserve"> </w:t>
      </w:r>
    </w:p>
    <w:p w14:paraId="0C778DA6" w14:textId="77777777" w:rsidR="007C1E98" w:rsidRDefault="007C1E98" w:rsidP="007C1E98">
      <w:pPr>
        <w:ind w:right="107"/>
        <w:jc w:val="both"/>
        <w:rPr>
          <w:b/>
          <w:sz w:val="24"/>
          <w:szCs w:val="24"/>
        </w:rPr>
      </w:pPr>
    </w:p>
    <w:p w14:paraId="3F1B013F" w14:textId="42E909EE"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This essay will discuss a policing incident I have dealt with that involved conflict. The essay will begin by providing an overview of the incident through its social and legislative context. Then it will discuss the communication skills that I utilised during the incident to de-escalate the conflict. Next, the essay will use Borton’s (1970) reflective model to critically evaluate the theories of Betaris Box (Jurczyk, 2022) and The Drama Triangle (Karpman, 1968) which underpin the causes of conflict in policing intervention. Borton’s (1970) model is comprised of three questions. The first question being “What?” which will discuss what the theories are and how they explain the cause of conflict. The second question is “So what?” this will explore the benefits o</w:t>
      </w:r>
      <w:r w:rsidR="009A2AC3">
        <w:rPr>
          <w:rFonts w:asciiTheme="minorHAnsi" w:hAnsiTheme="minorHAnsi" w:cstheme="minorHAnsi"/>
          <w:sz w:val="22"/>
          <w:szCs w:val="22"/>
        </w:rPr>
        <w:t>f</w:t>
      </w:r>
      <w:r w:rsidRPr="002A5722">
        <w:rPr>
          <w:rFonts w:asciiTheme="minorHAnsi" w:hAnsiTheme="minorHAnsi" w:cstheme="minorHAnsi"/>
          <w:sz w:val="22"/>
          <w:szCs w:val="22"/>
        </w:rPr>
        <w:t xml:space="preserve"> these theories and how they work in a policing context. The last question is “Now what?” which will discuss the implications for future use of the theories and what these theories teach me going forward in my career</w:t>
      </w:r>
      <w:r w:rsidR="00052F05">
        <w:rPr>
          <w:rFonts w:asciiTheme="minorHAnsi" w:hAnsiTheme="minorHAnsi" w:cstheme="minorHAnsi"/>
          <w:sz w:val="22"/>
          <w:szCs w:val="22"/>
        </w:rPr>
        <w:t xml:space="preserve">. </w:t>
      </w:r>
    </w:p>
    <w:p w14:paraId="4F7EE5D1" w14:textId="77777777" w:rsidR="007C1E98" w:rsidRPr="002A5722" w:rsidRDefault="007C1E98" w:rsidP="007C1E98">
      <w:pPr>
        <w:ind w:right="107"/>
        <w:jc w:val="both"/>
        <w:rPr>
          <w:rFonts w:asciiTheme="minorHAnsi" w:hAnsiTheme="minorHAnsi" w:cstheme="minorHAnsi"/>
          <w:sz w:val="22"/>
          <w:szCs w:val="22"/>
        </w:rPr>
      </w:pPr>
    </w:p>
    <w:p w14:paraId="0A0BB345"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A call came from neighbours stating that a domestic was taking place next door. On attendance myself and my colleague split both parties up and while speaking to the female she disclosed what had happened and stated that her and her partner were arguing and the male had pushed her over and dragged her out of the house. I arrested the male at the address for DV common assault. </w:t>
      </w:r>
    </w:p>
    <w:p w14:paraId="7E965EDB" w14:textId="77777777" w:rsidR="007C1E98" w:rsidRPr="002A5722" w:rsidRDefault="007C1E98" w:rsidP="007C1E98">
      <w:pPr>
        <w:ind w:right="107"/>
        <w:jc w:val="both"/>
        <w:rPr>
          <w:rFonts w:asciiTheme="minorHAnsi" w:hAnsiTheme="minorHAnsi" w:cstheme="minorHAnsi"/>
          <w:sz w:val="22"/>
          <w:szCs w:val="22"/>
        </w:rPr>
      </w:pPr>
    </w:p>
    <w:p w14:paraId="7DE90853"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This was a domestic incident. Domestic violence is any behaviour that involves those over the age of 16 and who are personally connected. The behaviour exhibited is abusive and considers any of the following forms of abuse:</w:t>
      </w:r>
    </w:p>
    <w:p w14:paraId="6FF14313"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a)</w:t>
      </w:r>
      <w:r w:rsidRPr="002A5722">
        <w:rPr>
          <w:rFonts w:asciiTheme="minorHAnsi" w:hAnsiTheme="minorHAnsi" w:cstheme="minorHAnsi"/>
          <w:sz w:val="22"/>
          <w:szCs w:val="22"/>
        </w:rPr>
        <w:tab/>
        <w:t>Physical or sexual</w:t>
      </w:r>
    </w:p>
    <w:p w14:paraId="15A71189"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b)</w:t>
      </w:r>
      <w:r w:rsidRPr="002A5722">
        <w:rPr>
          <w:rFonts w:asciiTheme="minorHAnsi" w:hAnsiTheme="minorHAnsi" w:cstheme="minorHAnsi"/>
          <w:sz w:val="22"/>
          <w:szCs w:val="22"/>
        </w:rPr>
        <w:tab/>
        <w:t xml:space="preserve">Violent or threatening behaviour </w:t>
      </w:r>
    </w:p>
    <w:p w14:paraId="45588252"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c)</w:t>
      </w:r>
      <w:r w:rsidRPr="002A5722">
        <w:rPr>
          <w:rFonts w:asciiTheme="minorHAnsi" w:hAnsiTheme="minorHAnsi" w:cstheme="minorHAnsi"/>
          <w:sz w:val="22"/>
          <w:szCs w:val="22"/>
        </w:rPr>
        <w:tab/>
        <w:t xml:space="preserve">Controlling or coercive behaviour </w:t>
      </w:r>
    </w:p>
    <w:p w14:paraId="6F8C5D8D"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d)</w:t>
      </w:r>
      <w:r w:rsidRPr="002A5722">
        <w:rPr>
          <w:rFonts w:asciiTheme="minorHAnsi" w:hAnsiTheme="minorHAnsi" w:cstheme="minorHAnsi"/>
          <w:sz w:val="22"/>
          <w:szCs w:val="22"/>
        </w:rPr>
        <w:tab/>
        <w:t xml:space="preserve">Economic abuse </w:t>
      </w:r>
    </w:p>
    <w:p w14:paraId="76EDDB49"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e)</w:t>
      </w:r>
      <w:r w:rsidRPr="002A5722">
        <w:rPr>
          <w:rFonts w:asciiTheme="minorHAnsi" w:hAnsiTheme="minorHAnsi" w:cstheme="minorHAnsi"/>
          <w:sz w:val="22"/>
          <w:szCs w:val="22"/>
        </w:rPr>
        <w:tab/>
        <w:t xml:space="preserve">Psychological, emotional or other abuse </w:t>
      </w:r>
    </w:p>
    <w:p w14:paraId="4A12B826" w14:textId="0D9F9C9B" w:rsidR="00435FFB" w:rsidRPr="002A5722" w:rsidRDefault="00435FFB"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(GOV.UK, 2012)</w:t>
      </w:r>
    </w:p>
    <w:p w14:paraId="1E028378" w14:textId="77777777" w:rsidR="007C1E98" w:rsidRPr="002A5722" w:rsidRDefault="007C1E98" w:rsidP="007C1E98">
      <w:pPr>
        <w:ind w:right="107"/>
        <w:jc w:val="both"/>
        <w:rPr>
          <w:rFonts w:asciiTheme="minorHAnsi" w:hAnsiTheme="minorHAnsi" w:cstheme="minorHAnsi"/>
          <w:sz w:val="22"/>
          <w:szCs w:val="22"/>
        </w:rPr>
      </w:pPr>
    </w:p>
    <w:p w14:paraId="617A677C"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lastRenderedPageBreak/>
        <w:t xml:space="preserve">The Crime Survey for England and Wales estimates that in the year ending March 2023 there were 2.1 million people who experienced domestic abuse/violence (ONS, 2023). In terms of police recorded crime there were 889,918 domestic abuse related incidents recorded. Research estimates that “1 in 5 adults experience domestic violence in their lifetime” and for “every three victims, two are female and one is male” (National Centre for Domestic violence, 2024, p.1). Statistics do suggest that domestic violence is mainly experienced by females with 94.6% of perpetrators being men (Women’s Aid, 2023). Domestic violence has a substantial effect on victims with Trevillion et al. (2012) finding that victims of domestic violence are 3x more likely to experience depression, 4x more likely to experience anxiety and 7x more likely to experience PTSD. Furthermore, substance misuse, eating disorders and psychosis have been reported to be associated with domestic violence (Oram, Khalifeh and Howard, 2017). </w:t>
      </w:r>
    </w:p>
    <w:p w14:paraId="0ED89DFC" w14:textId="77777777" w:rsidR="000368B4" w:rsidRPr="002A5722" w:rsidRDefault="000368B4" w:rsidP="007C1E98">
      <w:pPr>
        <w:ind w:right="107"/>
        <w:jc w:val="both"/>
        <w:rPr>
          <w:rFonts w:asciiTheme="minorHAnsi" w:hAnsiTheme="minorHAnsi" w:cstheme="minorHAnsi"/>
          <w:sz w:val="22"/>
          <w:szCs w:val="22"/>
        </w:rPr>
      </w:pPr>
    </w:p>
    <w:p w14:paraId="2FE0F888"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However, statistics on domestic violence should be reviewed with caution. In terms of the CSEW 2023 report, the statistics are only based on 8 out of the 12 months due to an error in the survey collection as it excluded Devon and Cornwall borough (ONS, 2023). Furthermore, studies estimate that around 85% of domestic violence is not reported to the police (Victim Support, 2018). Reasons for this include: lack of trust in the police, concerns about the perpetrator and children involved, fear and shame (Couto, O’Leary and Brennan, 2023; Victim Support, 2018). Therefore, the true extent of domestic violence, its prevalence and effects are unknown. </w:t>
      </w:r>
    </w:p>
    <w:p w14:paraId="32A7253B" w14:textId="77777777" w:rsidR="000368B4" w:rsidRPr="002A5722" w:rsidRDefault="000368B4" w:rsidP="007C1E98">
      <w:pPr>
        <w:ind w:right="107"/>
        <w:jc w:val="both"/>
        <w:rPr>
          <w:rFonts w:asciiTheme="minorHAnsi" w:hAnsiTheme="minorHAnsi" w:cstheme="minorHAnsi"/>
          <w:sz w:val="22"/>
          <w:szCs w:val="22"/>
        </w:rPr>
      </w:pPr>
    </w:p>
    <w:p w14:paraId="64AB563E"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The legislative context of this incident centres around common assault. Common Assault is defined as “any act (and not mere omission to act) by which a person intentionally or recklessly causes another to suffer or apprehend immediate unlawful violence” (CPS, 2022, p.1). Common assault does not need an assault to take place, if the victim feels like they are going to be assaulted then this is also common assault (CPS, 2022). Common assault includes minor injuries or actions such as pushing or spitting. In terms of domestic violence, changes have come into place which allow victims of domestic violence more time to report offences of common assault. Law now allows for prosecutions to commence two years after the incident was formally reported instead of six months, this allows victims more time to report an offence as often than not domestic violence is not reported straight away (GOV.UK, 2022). </w:t>
      </w:r>
    </w:p>
    <w:p w14:paraId="6E0888EA" w14:textId="77777777" w:rsidR="000368B4" w:rsidRPr="002A5722" w:rsidRDefault="000368B4" w:rsidP="007C1E98">
      <w:pPr>
        <w:ind w:right="107"/>
        <w:jc w:val="both"/>
        <w:rPr>
          <w:rFonts w:asciiTheme="minorHAnsi" w:hAnsiTheme="minorHAnsi" w:cstheme="minorHAnsi"/>
          <w:sz w:val="22"/>
          <w:szCs w:val="22"/>
        </w:rPr>
      </w:pPr>
    </w:p>
    <w:p w14:paraId="1C186463" w14:textId="5DF035AC"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In order to attempt to deal with the conflict at hand I utilised numerous communication skills. The first was active listening. Active listening in simple terms is defined as listening attentively to someone’s side of the story and respond in a way that shows them you listened, understood and internalised what they said (</w:t>
      </w:r>
      <w:proofErr w:type="spellStart"/>
      <w:r w:rsidRPr="002A5722">
        <w:rPr>
          <w:rFonts w:asciiTheme="minorHAnsi" w:hAnsiTheme="minorHAnsi" w:cstheme="minorHAnsi"/>
          <w:sz w:val="22"/>
          <w:szCs w:val="22"/>
        </w:rPr>
        <w:t>Todak</w:t>
      </w:r>
      <w:proofErr w:type="spellEnd"/>
      <w:r w:rsidRPr="002A5722">
        <w:rPr>
          <w:rFonts w:asciiTheme="minorHAnsi" w:hAnsiTheme="minorHAnsi" w:cstheme="minorHAnsi"/>
          <w:sz w:val="22"/>
          <w:szCs w:val="22"/>
        </w:rPr>
        <w:t xml:space="preserve"> and White, 2019). I actively listened to the male as I let him vent and explain the situation to me as he was angry at the time </w:t>
      </w:r>
      <w:r w:rsidR="00EB47F4">
        <w:rPr>
          <w:rFonts w:asciiTheme="minorHAnsi" w:hAnsiTheme="minorHAnsi" w:cstheme="minorHAnsi"/>
          <w:sz w:val="22"/>
          <w:szCs w:val="22"/>
        </w:rPr>
        <w:t>about</w:t>
      </w:r>
      <w:r w:rsidRPr="002A5722">
        <w:rPr>
          <w:rFonts w:asciiTheme="minorHAnsi" w:hAnsiTheme="minorHAnsi" w:cstheme="minorHAnsi"/>
          <w:sz w:val="22"/>
          <w:szCs w:val="22"/>
        </w:rPr>
        <w:t xml:space="preserve"> being arrested. Furthermore, I used non-verbal ques such as nodding, keeping eye contact and making sure my body language was relaxed, these all helped me to show the male I was listening to him and cared about what he said. Researchers such as </w:t>
      </w:r>
      <w:proofErr w:type="spellStart"/>
      <w:r w:rsidRPr="002A5722">
        <w:rPr>
          <w:rFonts w:asciiTheme="minorHAnsi" w:hAnsiTheme="minorHAnsi" w:cstheme="minorHAnsi"/>
          <w:sz w:val="22"/>
          <w:szCs w:val="22"/>
        </w:rPr>
        <w:t>Todak</w:t>
      </w:r>
      <w:proofErr w:type="spellEnd"/>
      <w:r w:rsidRPr="002A5722">
        <w:rPr>
          <w:rFonts w:asciiTheme="minorHAnsi" w:hAnsiTheme="minorHAnsi" w:cstheme="minorHAnsi"/>
          <w:sz w:val="22"/>
          <w:szCs w:val="22"/>
        </w:rPr>
        <w:t xml:space="preserve"> and White (2019) found that when officers let individuals vent and tell their side of the story it helps to build trust and deescalate conflict. Other researchers such as McMains and Mullins (2001), Royce (2005) and </w:t>
      </w:r>
      <w:proofErr w:type="spellStart"/>
      <w:r w:rsidRPr="002A5722">
        <w:rPr>
          <w:rFonts w:asciiTheme="minorHAnsi" w:hAnsiTheme="minorHAnsi" w:cstheme="minorHAnsi"/>
          <w:sz w:val="22"/>
          <w:szCs w:val="22"/>
        </w:rPr>
        <w:t>Cha</w:t>
      </w:r>
      <w:r w:rsidR="00EA7CAA" w:rsidRPr="002A5722">
        <w:rPr>
          <w:rFonts w:asciiTheme="minorHAnsi" w:hAnsiTheme="minorHAnsi" w:cstheme="minorHAnsi"/>
          <w:sz w:val="22"/>
          <w:szCs w:val="22"/>
        </w:rPr>
        <w:t>vanis</w:t>
      </w:r>
      <w:proofErr w:type="spellEnd"/>
      <w:r w:rsidRPr="002A5722">
        <w:rPr>
          <w:rFonts w:asciiTheme="minorHAnsi" w:hAnsiTheme="minorHAnsi" w:cstheme="minorHAnsi"/>
          <w:sz w:val="22"/>
          <w:szCs w:val="22"/>
        </w:rPr>
        <w:t xml:space="preserve"> and Gava (2014) all found in their studies that actively listening was associated with higher rates of engagement and agreement in situations and also increased trust and control of situations</w:t>
      </w:r>
      <w:r w:rsidR="00A04788">
        <w:rPr>
          <w:rFonts w:asciiTheme="minorHAnsi" w:hAnsiTheme="minorHAnsi" w:cstheme="minorHAnsi"/>
          <w:sz w:val="22"/>
          <w:szCs w:val="22"/>
        </w:rPr>
        <w:t xml:space="preserve"> which was evident in this incident. </w:t>
      </w:r>
    </w:p>
    <w:p w14:paraId="43CD8529" w14:textId="77777777" w:rsidR="000368B4" w:rsidRPr="002A5722" w:rsidRDefault="000368B4" w:rsidP="007C1E98">
      <w:pPr>
        <w:ind w:right="107"/>
        <w:jc w:val="both"/>
        <w:rPr>
          <w:rFonts w:asciiTheme="minorHAnsi" w:hAnsiTheme="minorHAnsi" w:cstheme="minorHAnsi"/>
          <w:sz w:val="22"/>
          <w:szCs w:val="22"/>
        </w:rPr>
      </w:pPr>
    </w:p>
    <w:p w14:paraId="6ECFF7F6" w14:textId="388FB8D5"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Another communication skill I used was rapport. I built rapport with the male by asking him questioning unrelated to the incident such as his job and how long he has lived in the area. This helped me to calm the male down, bring about a more positive attitude from the male and build trust with him</w:t>
      </w:r>
      <w:r w:rsidR="00A810BA">
        <w:rPr>
          <w:rFonts w:asciiTheme="minorHAnsi" w:hAnsiTheme="minorHAnsi" w:cstheme="minorHAnsi"/>
          <w:sz w:val="22"/>
          <w:szCs w:val="22"/>
        </w:rPr>
        <w:t xml:space="preserve">. </w:t>
      </w:r>
      <w:r w:rsidRPr="002A5722">
        <w:rPr>
          <w:rFonts w:asciiTheme="minorHAnsi" w:hAnsiTheme="minorHAnsi" w:cstheme="minorHAnsi"/>
          <w:sz w:val="22"/>
          <w:szCs w:val="22"/>
        </w:rPr>
        <w:t xml:space="preserve">Researchers such as Curry et al. (2019) found that even a small amount of time dedicated to speaking to someone to build rapport has been found to have positive effects on cooperation and engagement in conflict situations. Kassin et al (2007) found that rapport was the fourth highest rated intervention used by police officers in dealing with conflict situations. I also negotiated with the male that if he was calm he could go in the back of a car instead of the van as he was worried that his anxiety would play up in the back of the van in the enclosed space on his own. Studies by Hudson et al. (2005) Prasad (2013) find support for the use of negotiations in policing roles and how effective negotiation can be in reducing conflict and gaining co-operation. </w:t>
      </w:r>
    </w:p>
    <w:p w14:paraId="779936B6" w14:textId="77777777" w:rsidR="000368B4" w:rsidRPr="002A5722" w:rsidRDefault="000368B4" w:rsidP="007C1E98">
      <w:pPr>
        <w:ind w:right="107"/>
        <w:jc w:val="both"/>
        <w:rPr>
          <w:rFonts w:asciiTheme="minorHAnsi" w:hAnsiTheme="minorHAnsi" w:cstheme="minorHAnsi"/>
          <w:sz w:val="22"/>
          <w:szCs w:val="22"/>
        </w:rPr>
      </w:pPr>
    </w:p>
    <w:p w14:paraId="0AED066B" w14:textId="32B1C1EF" w:rsidR="002A5722"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Academics have attempted to understand the causes of conflict within policing interventions through a number of different theories. Using Borton’s (1970) reflective model, I will begin by reflecting upon the theories of Betaris Box (Jurczyk, 2022) and The Drama Triangle (Karpman, 1968) through Borton’s “What?” phase. In simple terms Betaris Box outlines that our attitudes affect our behaviours which in turn then affect other </w:t>
      </w:r>
      <w:r w:rsidR="009E253E" w:rsidRPr="002A5722">
        <w:rPr>
          <w:rFonts w:asciiTheme="minorHAnsi" w:hAnsiTheme="minorHAnsi" w:cstheme="minorHAnsi"/>
          <w:sz w:val="22"/>
          <w:szCs w:val="22"/>
        </w:rPr>
        <w:t>people’s</w:t>
      </w:r>
      <w:r w:rsidRPr="002A5722">
        <w:rPr>
          <w:rFonts w:asciiTheme="minorHAnsi" w:hAnsiTheme="minorHAnsi" w:cstheme="minorHAnsi"/>
          <w:sz w:val="22"/>
          <w:szCs w:val="22"/>
        </w:rPr>
        <w:t xml:space="preserve"> attitudes and behaviours (Jurczyk, 2022). Therefore, Betaris Box suggests that as individuals we have the ability to influence how other people behave and act and other people also in turn have the same impact on ourselves (Wall, 2019). Thus, in policing we have to remember that our attitudes and behaviours affects those around us so it is imperative we promote positive attitudes and behaviours. The Drama Triangle (Karpman, 1968) however explains how conflict arises from the interplay of three different characters, the victim, rescuer and persecutor (McMahon, 2005). Karpman (1968) developed this theory to understand </w:t>
      </w:r>
      <w:r w:rsidR="00B312F9">
        <w:rPr>
          <w:rFonts w:asciiTheme="minorHAnsi" w:hAnsiTheme="minorHAnsi" w:cstheme="minorHAnsi"/>
          <w:sz w:val="22"/>
          <w:szCs w:val="22"/>
        </w:rPr>
        <w:t xml:space="preserve">and </w:t>
      </w:r>
      <w:r w:rsidRPr="002A5722">
        <w:rPr>
          <w:rFonts w:asciiTheme="minorHAnsi" w:hAnsiTheme="minorHAnsi" w:cstheme="minorHAnsi"/>
          <w:sz w:val="22"/>
          <w:szCs w:val="22"/>
        </w:rPr>
        <w:t>explain ‘destructive interpersonal relationship patterns’ (Lac and Donaldson, 2020, p.2). These roles are fluid not fixed, people can change their role throughout the relationship cycle but some people can also get trapped in their role (McMahon, 2005).</w:t>
      </w:r>
      <w:r w:rsidR="000368B4" w:rsidRPr="002A5722">
        <w:rPr>
          <w:rFonts w:asciiTheme="minorHAnsi" w:hAnsiTheme="minorHAnsi" w:cstheme="minorHAnsi"/>
          <w:sz w:val="22"/>
          <w:szCs w:val="22"/>
        </w:rPr>
        <w:t xml:space="preserve"> </w:t>
      </w:r>
      <w:r w:rsidRPr="002A5722">
        <w:rPr>
          <w:rFonts w:asciiTheme="minorHAnsi" w:hAnsiTheme="minorHAnsi" w:cstheme="minorHAnsi"/>
          <w:sz w:val="22"/>
          <w:szCs w:val="22"/>
        </w:rPr>
        <w:t>The roles are as follows</w:t>
      </w:r>
      <w:r w:rsidR="002A5722">
        <w:rPr>
          <w:rFonts w:asciiTheme="minorHAnsi" w:hAnsiTheme="minorHAnsi" w:cstheme="minorHAnsi"/>
          <w:sz w:val="22"/>
          <w:szCs w:val="22"/>
        </w:rPr>
        <w:t>:</w:t>
      </w:r>
    </w:p>
    <w:p w14:paraId="6037F141" w14:textId="77777777" w:rsidR="002A5722" w:rsidRPr="002A5722" w:rsidRDefault="002A5722" w:rsidP="007C1E98">
      <w:pPr>
        <w:ind w:right="107"/>
        <w:jc w:val="both"/>
        <w:rPr>
          <w:rFonts w:asciiTheme="minorHAnsi" w:hAnsiTheme="minorHAnsi" w:cstheme="minorHAnsi"/>
          <w:sz w:val="22"/>
          <w:szCs w:val="22"/>
        </w:rPr>
      </w:pPr>
    </w:p>
    <w:p w14:paraId="44E6BE96" w14:textId="02E9D909" w:rsidR="007C1E98" w:rsidRPr="002A5722" w:rsidRDefault="007C1E98" w:rsidP="007C1E98">
      <w:pPr>
        <w:ind w:right="107"/>
        <w:jc w:val="both"/>
        <w:rPr>
          <w:rFonts w:asciiTheme="minorHAnsi" w:hAnsiTheme="minorHAnsi" w:cstheme="minorHAnsi"/>
          <w:b/>
          <w:bCs/>
          <w:sz w:val="22"/>
          <w:szCs w:val="22"/>
        </w:rPr>
      </w:pPr>
      <w:r w:rsidRPr="002A5722">
        <w:rPr>
          <w:rFonts w:asciiTheme="minorHAnsi" w:hAnsiTheme="minorHAnsi" w:cstheme="minorHAnsi"/>
          <w:b/>
          <w:bCs/>
          <w:sz w:val="22"/>
          <w:szCs w:val="22"/>
        </w:rPr>
        <w:t>The Victim:</w:t>
      </w:r>
    </w:p>
    <w:p w14:paraId="632A5F93" w14:textId="6024CB35"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Th</w:t>
      </w:r>
      <w:r w:rsidR="00B312F9">
        <w:rPr>
          <w:rFonts w:asciiTheme="minorHAnsi" w:hAnsiTheme="minorHAnsi" w:cstheme="minorHAnsi"/>
          <w:sz w:val="22"/>
          <w:szCs w:val="22"/>
        </w:rPr>
        <w:t>is</w:t>
      </w:r>
      <w:r w:rsidRPr="002A5722">
        <w:rPr>
          <w:rFonts w:asciiTheme="minorHAnsi" w:hAnsiTheme="minorHAnsi" w:cstheme="minorHAnsi"/>
          <w:sz w:val="22"/>
          <w:szCs w:val="22"/>
        </w:rPr>
        <w:t xml:space="preserve"> is someone who identifies as a victim, they feel they are unable to take care of themselves and make their own decisions (Lac and Donaldson, 2020,). Victims suffer with negative emotions and see themselves as powerless. Victims are vital in the Triangle as they are blamed by the persecutor and saved by the rescuer (Lac and Donaldson, 2020). </w:t>
      </w:r>
    </w:p>
    <w:p w14:paraId="3801DB38" w14:textId="77777777" w:rsidR="000368B4" w:rsidRPr="002A5722" w:rsidRDefault="000368B4" w:rsidP="007C1E98">
      <w:pPr>
        <w:ind w:right="107"/>
        <w:jc w:val="both"/>
        <w:rPr>
          <w:rFonts w:asciiTheme="minorHAnsi" w:hAnsiTheme="minorHAnsi" w:cstheme="minorHAnsi"/>
          <w:b/>
          <w:bCs/>
          <w:sz w:val="22"/>
          <w:szCs w:val="22"/>
        </w:rPr>
      </w:pPr>
    </w:p>
    <w:p w14:paraId="6BA1777F" w14:textId="7CADF0F5" w:rsidR="007C1E98" w:rsidRPr="002A5722" w:rsidRDefault="007C1E98" w:rsidP="007C1E98">
      <w:pPr>
        <w:ind w:right="107"/>
        <w:jc w:val="both"/>
        <w:rPr>
          <w:rFonts w:asciiTheme="minorHAnsi" w:hAnsiTheme="minorHAnsi" w:cstheme="minorHAnsi"/>
          <w:b/>
          <w:bCs/>
          <w:sz w:val="22"/>
          <w:szCs w:val="22"/>
        </w:rPr>
      </w:pPr>
      <w:r w:rsidRPr="002A5722">
        <w:rPr>
          <w:rFonts w:asciiTheme="minorHAnsi" w:hAnsiTheme="minorHAnsi" w:cstheme="minorHAnsi"/>
          <w:b/>
          <w:bCs/>
          <w:sz w:val="22"/>
          <w:szCs w:val="22"/>
        </w:rPr>
        <w:t>The Persecutor:</w:t>
      </w:r>
    </w:p>
    <w:p w14:paraId="2C722EF6" w14:textId="6F8BFEA4"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Th</w:t>
      </w:r>
      <w:r w:rsidR="00D74A8C">
        <w:rPr>
          <w:rFonts w:asciiTheme="minorHAnsi" w:hAnsiTheme="minorHAnsi" w:cstheme="minorHAnsi"/>
          <w:sz w:val="22"/>
          <w:szCs w:val="22"/>
        </w:rPr>
        <w:t>is</w:t>
      </w:r>
      <w:r w:rsidRPr="002A5722">
        <w:rPr>
          <w:rFonts w:asciiTheme="minorHAnsi" w:hAnsiTheme="minorHAnsi" w:cstheme="minorHAnsi"/>
          <w:sz w:val="22"/>
          <w:szCs w:val="22"/>
        </w:rPr>
        <w:t xml:space="preserve"> is someone who is controlling, aggressive, unpleasant and strives to blame people. The persecutor feels that they are superior, invincible and are always correct in their opinions. A persecutor maintains their role by subordinating the victim and expressing negative and oppressive emotions towards them (Shmelev, 2015, McMahon, 2005). </w:t>
      </w:r>
    </w:p>
    <w:p w14:paraId="5490E7DA" w14:textId="77777777" w:rsidR="000368B4" w:rsidRPr="002A5722" w:rsidRDefault="000368B4" w:rsidP="007C1E98">
      <w:pPr>
        <w:ind w:right="107"/>
        <w:jc w:val="both"/>
        <w:rPr>
          <w:rFonts w:asciiTheme="minorHAnsi" w:hAnsiTheme="minorHAnsi" w:cstheme="minorHAnsi"/>
          <w:sz w:val="22"/>
          <w:szCs w:val="22"/>
        </w:rPr>
      </w:pPr>
    </w:p>
    <w:p w14:paraId="75CE1921" w14:textId="26772710" w:rsidR="000368B4" w:rsidRPr="00D74A8C" w:rsidRDefault="007C1E98" w:rsidP="007C1E98">
      <w:pPr>
        <w:ind w:right="107"/>
        <w:jc w:val="both"/>
        <w:rPr>
          <w:rFonts w:asciiTheme="minorHAnsi" w:hAnsiTheme="minorHAnsi" w:cstheme="minorHAnsi"/>
          <w:b/>
          <w:bCs/>
          <w:sz w:val="22"/>
          <w:szCs w:val="22"/>
        </w:rPr>
      </w:pPr>
      <w:r w:rsidRPr="002A5722">
        <w:rPr>
          <w:rFonts w:asciiTheme="minorHAnsi" w:hAnsiTheme="minorHAnsi" w:cstheme="minorHAnsi"/>
          <w:b/>
          <w:bCs/>
          <w:sz w:val="22"/>
          <w:szCs w:val="22"/>
        </w:rPr>
        <w:t xml:space="preserve">The Rescuer: </w:t>
      </w:r>
    </w:p>
    <w:p w14:paraId="5D5E04CB" w14:textId="645E9791"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Th</w:t>
      </w:r>
      <w:r w:rsidR="00D74A8C">
        <w:rPr>
          <w:rFonts w:asciiTheme="minorHAnsi" w:hAnsiTheme="minorHAnsi" w:cstheme="minorHAnsi"/>
          <w:sz w:val="22"/>
          <w:szCs w:val="22"/>
        </w:rPr>
        <w:t xml:space="preserve">is is </w:t>
      </w:r>
      <w:r w:rsidRPr="002A5722">
        <w:rPr>
          <w:rFonts w:asciiTheme="minorHAnsi" w:hAnsiTheme="minorHAnsi" w:cstheme="minorHAnsi"/>
          <w:sz w:val="22"/>
          <w:szCs w:val="22"/>
        </w:rPr>
        <w:t>someone who has the desire to help and fix people. They are there to protect, support and provide peace to people they believe to be weak. Rescuers have high self-importance and perceive them</w:t>
      </w:r>
      <w:r w:rsidR="00A065AA">
        <w:rPr>
          <w:rFonts w:asciiTheme="minorHAnsi" w:hAnsiTheme="minorHAnsi" w:cstheme="minorHAnsi"/>
          <w:sz w:val="22"/>
          <w:szCs w:val="22"/>
        </w:rPr>
        <w:t>selves</w:t>
      </w:r>
      <w:r w:rsidRPr="002A5722">
        <w:rPr>
          <w:rFonts w:asciiTheme="minorHAnsi" w:hAnsiTheme="minorHAnsi" w:cstheme="minorHAnsi"/>
          <w:sz w:val="22"/>
          <w:szCs w:val="22"/>
        </w:rPr>
        <w:t xml:space="preserve"> to be the best at knowing how to help others (Shmelev, 2015, Lac and Donaldson, 2020). </w:t>
      </w:r>
    </w:p>
    <w:p w14:paraId="188AF491" w14:textId="77777777" w:rsidR="000368B4" w:rsidRPr="002A5722" w:rsidRDefault="000368B4" w:rsidP="007C1E98">
      <w:pPr>
        <w:ind w:right="107"/>
        <w:jc w:val="both"/>
        <w:rPr>
          <w:rFonts w:asciiTheme="minorHAnsi" w:hAnsiTheme="minorHAnsi" w:cstheme="minorHAnsi"/>
          <w:sz w:val="22"/>
          <w:szCs w:val="22"/>
        </w:rPr>
      </w:pPr>
    </w:p>
    <w:p w14:paraId="7AEAB709" w14:textId="709C243F"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The second part of Borton’s (1970) reflective model is the “So what?” phase. This incident does support the theory of Betaris Box and the fact that how we act and behave as individuals affects and mirrors those around us. In this instance I approached the male In a calm and respectful manner and as had already been discussed engaged in active listening and rapport with him to build a positive relationship. This was ultimately effective and the male showed me the same level of respect back after he had calmed down. </w:t>
      </w:r>
      <w:r w:rsidR="00AE51E8">
        <w:rPr>
          <w:rFonts w:asciiTheme="minorHAnsi" w:hAnsiTheme="minorHAnsi" w:cstheme="minorHAnsi"/>
          <w:sz w:val="22"/>
          <w:szCs w:val="22"/>
        </w:rPr>
        <w:t xml:space="preserve">Studies such as </w:t>
      </w:r>
      <w:r w:rsidR="004F103E">
        <w:rPr>
          <w:rFonts w:asciiTheme="minorHAnsi" w:hAnsiTheme="minorHAnsi" w:cstheme="minorHAnsi"/>
          <w:sz w:val="22"/>
          <w:szCs w:val="22"/>
        </w:rPr>
        <w:t xml:space="preserve">Furlong and Keefe (2011) support this theory as they </w:t>
      </w:r>
      <w:r w:rsidRPr="002A5722">
        <w:rPr>
          <w:rFonts w:asciiTheme="minorHAnsi" w:hAnsiTheme="minorHAnsi" w:cstheme="minorHAnsi"/>
          <w:sz w:val="22"/>
          <w:szCs w:val="22"/>
        </w:rPr>
        <w:t xml:space="preserve">found in their study of the Stanley Cup riots in Vancouver that controlling the mood and atmosphere through positive attitude and behaviour can help to shape a conflicting situation. Furthermore, Wall (2019, p11) discusses how the 2010 and 2012 Summer Olympics showed evidence that ‘perky’ volunteers can help to set to set the tone and atmosphere of a crowd to be one that is positive. </w:t>
      </w:r>
    </w:p>
    <w:p w14:paraId="79A1F9C9" w14:textId="77777777" w:rsidR="000368B4" w:rsidRPr="002A5722" w:rsidRDefault="000368B4" w:rsidP="007C1E98">
      <w:pPr>
        <w:ind w:right="107"/>
        <w:jc w:val="both"/>
        <w:rPr>
          <w:rFonts w:asciiTheme="minorHAnsi" w:hAnsiTheme="minorHAnsi" w:cstheme="minorHAnsi"/>
          <w:sz w:val="22"/>
          <w:szCs w:val="22"/>
        </w:rPr>
      </w:pPr>
    </w:p>
    <w:p w14:paraId="197CC590" w14:textId="0D11FE70"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This incident does also support the theory of The Drama Triangle, in this instance there were three roles at play, with myself being the rescuer, the female being the victim and the male being the persecutor. In order to find out these roles I did have to split the parties up and actively listen to both sides of the story. As the Triangle suggests roles can be fluid and the male did attempt to blame the victim for the assault and state that he was the victim. The female also turned on the rescuer as she attempted to retract her student. </w:t>
      </w:r>
      <w:r w:rsidR="000368B4" w:rsidRPr="002A5722">
        <w:rPr>
          <w:rFonts w:asciiTheme="minorHAnsi" w:hAnsiTheme="minorHAnsi" w:cstheme="minorHAnsi"/>
          <w:sz w:val="22"/>
          <w:szCs w:val="22"/>
        </w:rPr>
        <w:t>Thus,</w:t>
      </w:r>
      <w:r w:rsidRPr="002A5722">
        <w:rPr>
          <w:rFonts w:asciiTheme="minorHAnsi" w:hAnsiTheme="minorHAnsi" w:cstheme="minorHAnsi"/>
          <w:sz w:val="22"/>
          <w:szCs w:val="22"/>
        </w:rPr>
        <w:t xml:space="preserve">  enforcing the models idea that roles are not always fixed. The Drama Triangle has been widely used to help understand domestic violence cases with Hawker (2000) and </w:t>
      </w:r>
      <w:proofErr w:type="spellStart"/>
      <w:r w:rsidRPr="002A5722">
        <w:rPr>
          <w:rFonts w:asciiTheme="minorHAnsi" w:hAnsiTheme="minorHAnsi" w:cstheme="minorHAnsi"/>
          <w:sz w:val="22"/>
          <w:szCs w:val="22"/>
        </w:rPr>
        <w:t>L’Abate</w:t>
      </w:r>
      <w:proofErr w:type="spellEnd"/>
      <w:r w:rsidRPr="002A5722">
        <w:rPr>
          <w:rFonts w:asciiTheme="minorHAnsi" w:hAnsiTheme="minorHAnsi" w:cstheme="minorHAnsi"/>
          <w:sz w:val="22"/>
          <w:szCs w:val="22"/>
        </w:rPr>
        <w:t xml:space="preserve"> (2009) evidencing how rescuers can be anyone from counsellors, volunteers and not just police. </w:t>
      </w:r>
    </w:p>
    <w:p w14:paraId="0E78D609" w14:textId="77777777" w:rsidR="00E7657B" w:rsidRPr="002A5722" w:rsidRDefault="00E7657B" w:rsidP="007C1E98">
      <w:pPr>
        <w:ind w:right="107"/>
        <w:jc w:val="both"/>
        <w:rPr>
          <w:rFonts w:asciiTheme="minorHAnsi" w:hAnsiTheme="minorHAnsi" w:cstheme="minorHAnsi"/>
          <w:sz w:val="22"/>
          <w:szCs w:val="22"/>
        </w:rPr>
      </w:pPr>
    </w:p>
    <w:p w14:paraId="62B3F15D" w14:textId="1061D945"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The last part of Borton’s (1970) model is the “Now what?” phase. Although both theories are relevant to th</w:t>
      </w:r>
      <w:r w:rsidR="00B3472F">
        <w:rPr>
          <w:rFonts w:asciiTheme="minorHAnsi" w:hAnsiTheme="minorHAnsi" w:cstheme="minorHAnsi"/>
          <w:sz w:val="22"/>
          <w:szCs w:val="22"/>
        </w:rPr>
        <w:t>is</w:t>
      </w:r>
      <w:r w:rsidRPr="002A5722">
        <w:rPr>
          <w:rFonts w:asciiTheme="minorHAnsi" w:hAnsiTheme="minorHAnsi" w:cstheme="minorHAnsi"/>
          <w:sz w:val="22"/>
          <w:szCs w:val="22"/>
        </w:rPr>
        <w:t xml:space="preserve"> incident </w:t>
      </w:r>
      <w:r w:rsidR="00B3472F">
        <w:rPr>
          <w:rFonts w:asciiTheme="minorHAnsi" w:hAnsiTheme="minorHAnsi" w:cstheme="minorHAnsi"/>
          <w:sz w:val="22"/>
          <w:szCs w:val="22"/>
        </w:rPr>
        <w:t xml:space="preserve">this </w:t>
      </w:r>
      <w:r w:rsidRPr="002A5722">
        <w:rPr>
          <w:rFonts w:asciiTheme="minorHAnsi" w:hAnsiTheme="minorHAnsi" w:cstheme="minorHAnsi"/>
          <w:sz w:val="22"/>
          <w:szCs w:val="22"/>
        </w:rPr>
        <w:t xml:space="preserve">will not always be the case. In relation to Betaris Box, although that approach worked for myself it did not work for my colleague as during this incident my colleague tried engaging with the male the same way I did though presenting a positive attitude but it did not work, it instead appeared to anger the male. Thus, this theory may not be generalisable for every person or incident. Furthermore, due to the nature of the job and emotions involved it may not always be possible to have a positive attitude especially if </w:t>
      </w:r>
      <w:r w:rsidR="00C53D99" w:rsidRPr="002A5722">
        <w:rPr>
          <w:rFonts w:asciiTheme="minorHAnsi" w:hAnsiTheme="minorHAnsi" w:cstheme="minorHAnsi"/>
          <w:sz w:val="22"/>
          <w:szCs w:val="22"/>
        </w:rPr>
        <w:t>it’s</w:t>
      </w:r>
      <w:r w:rsidRPr="002A5722">
        <w:rPr>
          <w:rFonts w:asciiTheme="minorHAnsi" w:hAnsiTheme="minorHAnsi" w:cstheme="minorHAnsi"/>
          <w:sz w:val="22"/>
          <w:szCs w:val="22"/>
        </w:rPr>
        <w:t xml:space="preserve"> been a bad day. </w:t>
      </w:r>
      <w:r w:rsidR="00402B05">
        <w:rPr>
          <w:rFonts w:asciiTheme="minorHAnsi" w:hAnsiTheme="minorHAnsi" w:cstheme="minorHAnsi"/>
          <w:sz w:val="22"/>
          <w:szCs w:val="22"/>
        </w:rPr>
        <w:pgNum/>
      </w:r>
      <w:proofErr w:type="spellStart"/>
      <w:r w:rsidR="00402B05">
        <w:rPr>
          <w:rFonts w:asciiTheme="minorHAnsi" w:hAnsiTheme="minorHAnsi" w:cstheme="minorHAnsi"/>
          <w:sz w:val="22"/>
          <w:szCs w:val="22"/>
        </w:rPr>
        <w:t>owever</w:t>
      </w:r>
      <w:r w:rsidRPr="002A5722">
        <w:rPr>
          <w:rFonts w:asciiTheme="minorHAnsi" w:hAnsiTheme="minorHAnsi" w:cstheme="minorHAnsi"/>
          <w:sz w:val="22"/>
          <w:szCs w:val="22"/>
        </w:rPr>
        <w:t>r</w:t>
      </w:r>
      <w:proofErr w:type="spellEnd"/>
      <w:r w:rsidRPr="002A5722">
        <w:rPr>
          <w:rFonts w:asciiTheme="minorHAnsi" w:hAnsiTheme="minorHAnsi" w:cstheme="minorHAnsi"/>
          <w:sz w:val="22"/>
          <w:szCs w:val="22"/>
        </w:rPr>
        <w:t xml:space="preserve">, I will continue to use this method as so far it has worked for myself in controlling conflict. In terms of the Drama Triangle, it is not necessarily the case that every conflict situation will have the three roles at play. Furthermore, it may not always be easy to assign people into the roles as the roles can be ever changing as evidenced in this incident where the persecutor tried turning into the victim. Furthermore, there is limited research to show how these theories relate to policing context. </w:t>
      </w:r>
    </w:p>
    <w:p w14:paraId="64364726" w14:textId="77777777" w:rsidR="000368B4" w:rsidRPr="002A5722" w:rsidRDefault="000368B4" w:rsidP="007C1E98">
      <w:pPr>
        <w:ind w:right="107"/>
        <w:jc w:val="both"/>
        <w:rPr>
          <w:rFonts w:asciiTheme="minorHAnsi" w:hAnsiTheme="minorHAnsi" w:cstheme="minorHAnsi"/>
          <w:sz w:val="22"/>
          <w:szCs w:val="22"/>
        </w:rPr>
      </w:pPr>
    </w:p>
    <w:p w14:paraId="2C3F64A3" w14:textId="77777777" w:rsidR="007C1E98" w:rsidRPr="002A5722" w:rsidRDefault="007C1E98" w:rsidP="007C1E98">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This essay discussed a policing incident that I attended that involved conflict. This essay began by discussing the social and legislative context of domestic violence and how prevalent it is in today’s society. This essay then discussed various communication skills that I utilised in this incident to de-escalate the conflict and touched upon research that supports these skills. This essay then used Borton (1970) reflective model to discuss two theories, Betaris Box and The Drama Triangle and how these theories describe the causes of conflict and how these theories could be applied to this incident. Both of these theories did apply to this incident, with Betaris Box applying more to this incident. However, these theories are also not generalisable due to the fact that there is limited research in the field of policing, individual differences in how people cope with situations and situations themselves are not always clear cut. That being said, the theory of Betaris Box did in this instance work for me and has in other incidents, so I will continue to adopt this model in dealing with conflict and bear in mind the roles at play in the Drama Triangle and how they aren’t always fixed. </w:t>
      </w:r>
    </w:p>
    <w:p w14:paraId="3B3526AE" w14:textId="11547884" w:rsidR="00025650" w:rsidRDefault="00025650" w:rsidP="00E6298B">
      <w:pPr>
        <w:ind w:right="107"/>
      </w:pPr>
    </w:p>
    <w:p w14:paraId="77C3F359" w14:textId="754B309E" w:rsidR="002A5722" w:rsidRPr="00402B05" w:rsidRDefault="00402B05" w:rsidP="00402B05">
      <w:pPr>
        <w:ind w:right="107"/>
        <w:rPr>
          <w:rFonts w:asciiTheme="minorHAnsi" w:hAnsiTheme="minorHAnsi" w:cstheme="minorHAnsi"/>
          <w:b/>
          <w:bCs/>
          <w:color w:val="auto"/>
          <w:sz w:val="24"/>
          <w:szCs w:val="24"/>
        </w:rPr>
      </w:pPr>
      <w:r w:rsidRPr="00402B05">
        <w:rPr>
          <w:rFonts w:asciiTheme="minorHAnsi" w:hAnsiTheme="minorHAnsi" w:cstheme="minorHAnsi"/>
          <w:b/>
          <w:bCs/>
          <w:color w:val="auto"/>
          <w:sz w:val="24"/>
          <w:szCs w:val="24"/>
        </w:rPr>
        <w:t>Words: 2174</w:t>
      </w:r>
    </w:p>
    <w:p w14:paraId="5DBA16E0" w14:textId="77777777" w:rsidR="002A5722" w:rsidRDefault="002A5722" w:rsidP="28A9B94D">
      <w:pPr>
        <w:ind w:right="107"/>
        <w:jc w:val="center"/>
        <w:rPr>
          <w:b/>
          <w:bCs/>
          <w:color w:val="auto"/>
          <w:sz w:val="24"/>
          <w:szCs w:val="24"/>
        </w:rPr>
      </w:pPr>
    </w:p>
    <w:p w14:paraId="450FF36A" w14:textId="77777777" w:rsidR="002A5722" w:rsidRDefault="002A5722" w:rsidP="28A9B94D">
      <w:pPr>
        <w:ind w:right="107"/>
        <w:jc w:val="center"/>
        <w:rPr>
          <w:b/>
          <w:bCs/>
          <w:color w:val="auto"/>
          <w:sz w:val="24"/>
          <w:szCs w:val="24"/>
        </w:rPr>
      </w:pPr>
    </w:p>
    <w:p w14:paraId="078FC5CA" w14:textId="77777777" w:rsidR="002A5722" w:rsidRDefault="002A5722" w:rsidP="28A9B94D">
      <w:pPr>
        <w:ind w:right="107"/>
        <w:jc w:val="center"/>
        <w:rPr>
          <w:b/>
          <w:bCs/>
          <w:color w:val="auto"/>
          <w:sz w:val="24"/>
          <w:szCs w:val="24"/>
        </w:rPr>
      </w:pPr>
    </w:p>
    <w:p w14:paraId="6A28EBE0" w14:textId="77777777" w:rsidR="002A5722" w:rsidRDefault="002A5722" w:rsidP="28A9B94D">
      <w:pPr>
        <w:ind w:right="107"/>
        <w:jc w:val="center"/>
        <w:rPr>
          <w:b/>
          <w:bCs/>
          <w:color w:val="auto"/>
          <w:sz w:val="24"/>
          <w:szCs w:val="24"/>
        </w:rPr>
      </w:pPr>
    </w:p>
    <w:p w14:paraId="47A96128" w14:textId="77777777" w:rsidR="002A5722" w:rsidRDefault="002A5722" w:rsidP="28A9B94D">
      <w:pPr>
        <w:ind w:right="107"/>
        <w:jc w:val="center"/>
        <w:rPr>
          <w:b/>
          <w:bCs/>
          <w:color w:val="auto"/>
          <w:sz w:val="24"/>
          <w:szCs w:val="24"/>
        </w:rPr>
      </w:pPr>
    </w:p>
    <w:p w14:paraId="6AEBA2B6" w14:textId="77777777" w:rsidR="002A5722" w:rsidRDefault="002A5722" w:rsidP="28A9B94D">
      <w:pPr>
        <w:ind w:right="107"/>
        <w:jc w:val="center"/>
        <w:rPr>
          <w:b/>
          <w:bCs/>
          <w:color w:val="auto"/>
          <w:sz w:val="24"/>
          <w:szCs w:val="24"/>
        </w:rPr>
      </w:pPr>
    </w:p>
    <w:p w14:paraId="362E8FFD" w14:textId="77777777" w:rsidR="002A5722" w:rsidRDefault="002A5722" w:rsidP="28A9B94D">
      <w:pPr>
        <w:ind w:right="107"/>
        <w:jc w:val="center"/>
        <w:rPr>
          <w:b/>
          <w:bCs/>
          <w:color w:val="auto"/>
          <w:sz w:val="24"/>
          <w:szCs w:val="24"/>
        </w:rPr>
      </w:pPr>
    </w:p>
    <w:p w14:paraId="1FDEBEBC" w14:textId="77777777" w:rsidR="002A5722" w:rsidRDefault="002A5722" w:rsidP="28A9B94D">
      <w:pPr>
        <w:ind w:right="107"/>
        <w:jc w:val="center"/>
        <w:rPr>
          <w:b/>
          <w:bCs/>
          <w:color w:val="auto"/>
          <w:sz w:val="24"/>
          <w:szCs w:val="24"/>
        </w:rPr>
      </w:pPr>
    </w:p>
    <w:p w14:paraId="486E3EC0" w14:textId="77777777" w:rsidR="002A5722" w:rsidRDefault="002A5722" w:rsidP="28A9B94D">
      <w:pPr>
        <w:ind w:right="107"/>
        <w:jc w:val="center"/>
        <w:rPr>
          <w:b/>
          <w:bCs/>
          <w:color w:val="auto"/>
          <w:sz w:val="24"/>
          <w:szCs w:val="24"/>
        </w:rPr>
      </w:pPr>
    </w:p>
    <w:p w14:paraId="2C95537E" w14:textId="77777777" w:rsidR="002A5722" w:rsidRDefault="002A5722" w:rsidP="28A9B94D">
      <w:pPr>
        <w:ind w:right="107"/>
        <w:jc w:val="center"/>
        <w:rPr>
          <w:b/>
          <w:bCs/>
          <w:color w:val="auto"/>
          <w:sz w:val="24"/>
          <w:szCs w:val="24"/>
        </w:rPr>
      </w:pPr>
    </w:p>
    <w:p w14:paraId="5609C8B1" w14:textId="77777777" w:rsidR="002A5722" w:rsidRDefault="002A5722" w:rsidP="28A9B94D">
      <w:pPr>
        <w:ind w:right="107"/>
        <w:jc w:val="center"/>
        <w:rPr>
          <w:b/>
          <w:bCs/>
          <w:color w:val="auto"/>
          <w:sz w:val="24"/>
          <w:szCs w:val="24"/>
        </w:rPr>
      </w:pPr>
    </w:p>
    <w:p w14:paraId="50660E32" w14:textId="77777777" w:rsidR="002A5722" w:rsidRDefault="002A5722" w:rsidP="28A9B94D">
      <w:pPr>
        <w:ind w:right="107"/>
        <w:jc w:val="center"/>
        <w:rPr>
          <w:b/>
          <w:bCs/>
          <w:color w:val="auto"/>
          <w:sz w:val="24"/>
          <w:szCs w:val="24"/>
        </w:rPr>
      </w:pPr>
    </w:p>
    <w:p w14:paraId="62569E41" w14:textId="77777777" w:rsidR="002A5722" w:rsidRDefault="002A5722" w:rsidP="28A9B94D">
      <w:pPr>
        <w:ind w:right="107"/>
        <w:jc w:val="center"/>
        <w:rPr>
          <w:b/>
          <w:bCs/>
          <w:color w:val="auto"/>
          <w:sz w:val="24"/>
          <w:szCs w:val="24"/>
        </w:rPr>
      </w:pPr>
    </w:p>
    <w:p w14:paraId="5C78625B" w14:textId="77777777" w:rsidR="002A5722" w:rsidRDefault="002A5722" w:rsidP="28A9B94D">
      <w:pPr>
        <w:ind w:right="107"/>
        <w:jc w:val="center"/>
        <w:rPr>
          <w:b/>
          <w:bCs/>
          <w:color w:val="auto"/>
          <w:sz w:val="24"/>
          <w:szCs w:val="24"/>
        </w:rPr>
      </w:pPr>
    </w:p>
    <w:p w14:paraId="7D936A83" w14:textId="77777777" w:rsidR="002A5722" w:rsidRDefault="002A5722" w:rsidP="28A9B94D">
      <w:pPr>
        <w:ind w:right="107"/>
        <w:jc w:val="center"/>
        <w:rPr>
          <w:b/>
          <w:bCs/>
          <w:color w:val="auto"/>
          <w:sz w:val="24"/>
          <w:szCs w:val="24"/>
        </w:rPr>
      </w:pPr>
    </w:p>
    <w:p w14:paraId="52BAEB2E" w14:textId="77777777" w:rsidR="002A5722" w:rsidRDefault="002A5722" w:rsidP="28A9B94D">
      <w:pPr>
        <w:ind w:right="107"/>
        <w:jc w:val="center"/>
        <w:rPr>
          <w:b/>
          <w:bCs/>
          <w:color w:val="auto"/>
          <w:sz w:val="24"/>
          <w:szCs w:val="24"/>
        </w:rPr>
      </w:pPr>
    </w:p>
    <w:p w14:paraId="2B447F0E" w14:textId="77777777" w:rsidR="002A5722" w:rsidRDefault="002A5722" w:rsidP="28A9B94D">
      <w:pPr>
        <w:ind w:right="107"/>
        <w:jc w:val="center"/>
        <w:rPr>
          <w:b/>
          <w:bCs/>
          <w:color w:val="auto"/>
          <w:sz w:val="24"/>
          <w:szCs w:val="24"/>
        </w:rPr>
      </w:pPr>
    </w:p>
    <w:p w14:paraId="7345D491" w14:textId="77777777" w:rsidR="002A5722" w:rsidRDefault="002A5722" w:rsidP="28A9B94D">
      <w:pPr>
        <w:ind w:right="107"/>
        <w:jc w:val="center"/>
        <w:rPr>
          <w:b/>
          <w:bCs/>
          <w:color w:val="auto"/>
          <w:sz w:val="24"/>
          <w:szCs w:val="24"/>
        </w:rPr>
      </w:pPr>
    </w:p>
    <w:p w14:paraId="5AB1049F" w14:textId="77777777" w:rsidR="002A5722" w:rsidRDefault="002A5722" w:rsidP="28A9B94D">
      <w:pPr>
        <w:ind w:right="107"/>
        <w:jc w:val="center"/>
        <w:rPr>
          <w:b/>
          <w:bCs/>
          <w:color w:val="auto"/>
          <w:sz w:val="24"/>
          <w:szCs w:val="24"/>
        </w:rPr>
      </w:pPr>
    </w:p>
    <w:p w14:paraId="4AEC78EB" w14:textId="77777777" w:rsidR="002A5722" w:rsidRDefault="002A5722" w:rsidP="28A9B94D">
      <w:pPr>
        <w:ind w:right="107"/>
        <w:jc w:val="center"/>
        <w:rPr>
          <w:b/>
          <w:bCs/>
          <w:color w:val="auto"/>
          <w:sz w:val="24"/>
          <w:szCs w:val="24"/>
        </w:rPr>
      </w:pPr>
    </w:p>
    <w:p w14:paraId="0DEEB2D2" w14:textId="77777777" w:rsidR="002A5722" w:rsidRDefault="002A5722" w:rsidP="28A9B94D">
      <w:pPr>
        <w:ind w:right="107"/>
        <w:jc w:val="center"/>
        <w:rPr>
          <w:b/>
          <w:bCs/>
          <w:color w:val="auto"/>
          <w:sz w:val="24"/>
          <w:szCs w:val="24"/>
        </w:rPr>
      </w:pPr>
    </w:p>
    <w:p w14:paraId="514A6963" w14:textId="77777777" w:rsidR="00402B05" w:rsidRDefault="00402B05" w:rsidP="28A9B94D">
      <w:pPr>
        <w:ind w:right="107"/>
        <w:jc w:val="center"/>
        <w:rPr>
          <w:b/>
          <w:bCs/>
          <w:color w:val="auto"/>
          <w:sz w:val="24"/>
          <w:szCs w:val="24"/>
        </w:rPr>
      </w:pPr>
    </w:p>
    <w:p w14:paraId="2B7045A3" w14:textId="77777777" w:rsidR="00402B05" w:rsidRDefault="00402B05" w:rsidP="28A9B94D">
      <w:pPr>
        <w:ind w:right="107"/>
        <w:jc w:val="center"/>
        <w:rPr>
          <w:b/>
          <w:bCs/>
          <w:color w:val="auto"/>
          <w:sz w:val="24"/>
          <w:szCs w:val="24"/>
        </w:rPr>
      </w:pPr>
    </w:p>
    <w:p w14:paraId="533DD0C5" w14:textId="77777777" w:rsidR="002A5722" w:rsidRDefault="002A5722" w:rsidP="28A9B94D">
      <w:pPr>
        <w:ind w:right="107"/>
        <w:jc w:val="center"/>
        <w:rPr>
          <w:b/>
          <w:bCs/>
          <w:color w:val="auto"/>
          <w:sz w:val="24"/>
          <w:szCs w:val="24"/>
        </w:rPr>
      </w:pPr>
    </w:p>
    <w:p w14:paraId="722302CD" w14:textId="77777777" w:rsidR="00F12F80" w:rsidRDefault="00F12F80" w:rsidP="00F12F80">
      <w:pPr>
        <w:ind w:right="107"/>
        <w:rPr>
          <w:b/>
          <w:bCs/>
          <w:color w:val="auto"/>
          <w:sz w:val="24"/>
          <w:szCs w:val="24"/>
        </w:rPr>
      </w:pPr>
    </w:p>
    <w:p w14:paraId="2F9A75C9" w14:textId="51A64146" w:rsidR="00AA37BB" w:rsidRPr="002A5722" w:rsidRDefault="28A9B94D" w:rsidP="00F12F80">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3277A313" w14:textId="77777777" w:rsidR="002A5722" w:rsidRDefault="002A5722"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598FFEC5" w14:textId="1D68563E" w:rsidR="00025650" w:rsidRPr="00270EEB" w:rsidRDefault="00112751" w:rsidP="00177000">
      <w:pPr>
        <w:rPr>
          <w:sz w:val="24"/>
          <w:szCs w:val="24"/>
        </w:rPr>
      </w:pPr>
      <w:r w:rsidRPr="00450C83">
        <w:rPr>
          <w:b/>
          <w:sz w:val="24"/>
          <w:szCs w:val="24"/>
        </w:rPr>
        <w:t>ANSWER:</w:t>
      </w:r>
      <w:r w:rsidR="006553E4">
        <w:rPr>
          <w:b/>
          <w:sz w:val="24"/>
          <w:szCs w:val="24"/>
        </w:rPr>
        <w:t xml:space="preserve"> </w:t>
      </w:r>
    </w:p>
    <w:p w14:paraId="042DA0D7" w14:textId="77777777" w:rsidR="00025650" w:rsidRPr="00270EEB" w:rsidRDefault="00025650" w:rsidP="00E6298B">
      <w:pPr>
        <w:ind w:right="107"/>
        <w:jc w:val="both"/>
        <w:rPr>
          <w:sz w:val="24"/>
          <w:szCs w:val="24"/>
        </w:rPr>
      </w:pPr>
    </w:p>
    <w:p w14:paraId="0C4D75CE" w14:textId="666FA5B7"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Victims are central to the functioning of the criminal justice system (CJS) so are granted numerous rights under the Victims Code of Practice (VCP). This essay will discuss an incident in which I played a significant role with a victim and draw upon the social and legislative context of the incident. The essay will use Borton’s (1970) reflective model to discuss what the VCP is and how it is used to support victims. The first part of the reflective model is “What” which will outline what the VCP is and what rights victims have under it. The second part of the model is “So What?” this will discuss how the rights were met, why they are important and the implications of implementing these rights. The last part of the model “Now What?” will discuss what was learnt from the experience and what I will do going forward in my career to ensure that victims’ rights are met. </w:t>
      </w:r>
    </w:p>
    <w:p w14:paraId="106CDCFF" w14:textId="77777777" w:rsidR="00177000" w:rsidRPr="002A5722" w:rsidRDefault="00177000" w:rsidP="00177000">
      <w:pPr>
        <w:ind w:right="107"/>
        <w:jc w:val="both"/>
        <w:rPr>
          <w:rFonts w:asciiTheme="minorHAnsi" w:hAnsiTheme="minorHAnsi" w:cstheme="minorHAnsi"/>
          <w:sz w:val="22"/>
          <w:szCs w:val="22"/>
        </w:rPr>
      </w:pPr>
    </w:p>
    <w:p w14:paraId="13A862CD" w14:textId="78B79167"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A call came in stating that a male had received threatening voicemail messages from his cousin</w:t>
      </w:r>
      <w:r w:rsidR="00A32C4F">
        <w:rPr>
          <w:rFonts w:asciiTheme="minorHAnsi" w:hAnsiTheme="minorHAnsi" w:cstheme="minorHAnsi"/>
          <w:sz w:val="22"/>
          <w:szCs w:val="22"/>
        </w:rPr>
        <w:t>s partner</w:t>
      </w:r>
      <w:r w:rsidRPr="002A5722">
        <w:rPr>
          <w:rFonts w:asciiTheme="minorHAnsi" w:hAnsiTheme="minorHAnsi" w:cstheme="minorHAnsi"/>
          <w:sz w:val="22"/>
          <w:szCs w:val="22"/>
        </w:rPr>
        <w:t>. The messages included homophobic slur</w:t>
      </w:r>
      <w:r w:rsidR="00A32C4F">
        <w:rPr>
          <w:rFonts w:asciiTheme="minorHAnsi" w:hAnsiTheme="minorHAnsi" w:cstheme="minorHAnsi"/>
          <w:sz w:val="22"/>
          <w:szCs w:val="22"/>
        </w:rPr>
        <w:t xml:space="preserve">s </w:t>
      </w:r>
      <w:r w:rsidRPr="002A5722">
        <w:rPr>
          <w:rFonts w:asciiTheme="minorHAnsi" w:hAnsiTheme="minorHAnsi" w:cstheme="minorHAnsi"/>
          <w:sz w:val="22"/>
          <w:szCs w:val="22"/>
        </w:rPr>
        <w:t xml:space="preserve">and threats. The male wanted formal police action as he was scared that </w:t>
      </w:r>
      <w:r w:rsidR="00A32C4F">
        <w:rPr>
          <w:rFonts w:asciiTheme="minorHAnsi" w:hAnsiTheme="minorHAnsi" w:cstheme="minorHAnsi"/>
          <w:sz w:val="22"/>
          <w:szCs w:val="22"/>
        </w:rPr>
        <w:t xml:space="preserve">the male </w:t>
      </w:r>
      <w:r w:rsidRPr="002A5722">
        <w:rPr>
          <w:rFonts w:asciiTheme="minorHAnsi" w:hAnsiTheme="minorHAnsi" w:cstheme="minorHAnsi"/>
          <w:sz w:val="22"/>
          <w:szCs w:val="22"/>
        </w:rPr>
        <w:t xml:space="preserve">would harm him so I took a statement from the male. This incident was classified as homophobic malicious communication, thus has a hate crime element to it. A hate crime is defined as: </w:t>
      </w:r>
    </w:p>
    <w:p w14:paraId="0FEEB050" w14:textId="77777777" w:rsidR="00177000" w:rsidRPr="002A5722" w:rsidRDefault="00177000" w:rsidP="00177000">
      <w:pPr>
        <w:ind w:right="107"/>
        <w:jc w:val="both"/>
        <w:rPr>
          <w:rFonts w:asciiTheme="minorHAnsi" w:hAnsiTheme="minorHAnsi" w:cstheme="minorHAnsi"/>
          <w:sz w:val="22"/>
          <w:szCs w:val="22"/>
        </w:rPr>
      </w:pPr>
    </w:p>
    <w:p w14:paraId="3DE2FFBB" w14:textId="77777777" w:rsidR="00177000" w:rsidRPr="002A5722" w:rsidRDefault="00177000" w:rsidP="00177000">
      <w:pPr>
        <w:ind w:right="107"/>
        <w:jc w:val="center"/>
        <w:rPr>
          <w:rFonts w:asciiTheme="minorHAnsi" w:hAnsiTheme="minorHAnsi" w:cstheme="minorHAnsi"/>
          <w:sz w:val="22"/>
          <w:szCs w:val="22"/>
        </w:rPr>
      </w:pPr>
      <w:r w:rsidRPr="002A5722">
        <w:rPr>
          <w:rFonts w:asciiTheme="minorHAnsi" w:hAnsiTheme="minorHAnsi" w:cstheme="minorHAnsi"/>
          <w:sz w:val="22"/>
          <w:szCs w:val="22"/>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(CPS, 2022, p.1).</w:t>
      </w:r>
    </w:p>
    <w:p w14:paraId="1AD7284B" w14:textId="77777777" w:rsidR="00177000" w:rsidRPr="002A5722" w:rsidRDefault="00177000" w:rsidP="00177000">
      <w:pPr>
        <w:ind w:right="107"/>
        <w:jc w:val="center"/>
        <w:rPr>
          <w:rFonts w:asciiTheme="minorHAnsi" w:hAnsiTheme="minorHAnsi" w:cstheme="minorHAnsi"/>
          <w:sz w:val="22"/>
          <w:szCs w:val="22"/>
        </w:rPr>
      </w:pPr>
    </w:p>
    <w:p w14:paraId="487977AF" w14:textId="461C22A7"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Hate crimes need to be perceived as such by the victim or any other person, the victim was asked if he did perceive it to be one, which he did not. He stated that</w:t>
      </w:r>
      <w:r w:rsidR="00517C34">
        <w:rPr>
          <w:rFonts w:asciiTheme="minorHAnsi" w:hAnsiTheme="minorHAnsi" w:cstheme="minorHAnsi"/>
          <w:sz w:val="22"/>
          <w:szCs w:val="22"/>
        </w:rPr>
        <w:t xml:space="preserve"> the male</w:t>
      </w:r>
      <w:r w:rsidRPr="002A5722">
        <w:rPr>
          <w:rFonts w:asciiTheme="minorHAnsi" w:hAnsiTheme="minorHAnsi" w:cstheme="minorHAnsi"/>
          <w:sz w:val="22"/>
          <w:szCs w:val="22"/>
        </w:rPr>
        <w:t xml:space="preserve"> has never had an issue with him being gay before. As we perceived it to be one we thus classified it as one. The suspect has to also demonstrate hostility or be motivated by hostility which is evident through his use of the language “Faggot” and “Poof”. </w:t>
      </w:r>
    </w:p>
    <w:p w14:paraId="74042C30" w14:textId="77777777" w:rsidR="00177000" w:rsidRPr="002A5722" w:rsidRDefault="00177000" w:rsidP="00177000">
      <w:pPr>
        <w:ind w:right="107"/>
        <w:jc w:val="both"/>
        <w:rPr>
          <w:rFonts w:asciiTheme="minorHAnsi" w:hAnsiTheme="minorHAnsi" w:cstheme="minorHAnsi"/>
          <w:sz w:val="22"/>
          <w:szCs w:val="22"/>
        </w:rPr>
      </w:pPr>
    </w:p>
    <w:p w14:paraId="76F14ABD" w14:textId="06D6AFD0"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lastRenderedPageBreak/>
        <w:t>The offence which underpinned this incident was malicious communication. As defined in section 1(1) of the Act (</w:t>
      </w:r>
      <w:r w:rsidRPr="007F0232">
        <w:rPr>
          <w:rFonts w:asciiTheme="minorHAnsi" w:hAnsiTheme="minorHAnsi" w:cstheme="minorHAnsi"/>
          <w:i/>
          <w:iCs/>
          <w:sz w:val="22"/>
          <w:szCs w:val="22"/>
        </w:rPr>
        <w:t>Malicious Communications Act 1988)</w:t>
      </w:r>
      <w:r w:rsidRPr="002A5722">
        <w:rPr>
          <w:rFonts w:asciiTheme="minorHAnsi" w:hAnsiTheme="minorHAnsi" w:cstheme="minorHAnsi"/>
          <w:sz w:val="22"/>
          <w:szCs w:val="22"/>
        </w:rPr>
        <w:t xml:space="preserve"> it is an offence to “send any kind of written, verbal or electronic communication that conveys a message that: is indecent or grossly offensive; makes a threat; or contains information that is false and known or believed to be false by the sender”. The defendant must intend to cause distress or anxiety to the victim which can be unearthed during the interview stage. There </w:t>
      </w:r>
      <w:r w:rsidR="00F12F80">
        <w:rPr>
          <w:rFonts w:asciiTheme="minorHAnsi" w:hAnsiTheme="minorHAnsi" w:cstheme="minorHAnsi"/>
          <w:sz w:val="22"/>
          <w:szCs w:val="22"/>
        </w:rPr>
        <w:t>are</w:t>
      </w:r>
      <w:r w:rsidR="004C2BCA">
        <w:rPr>
          <w:rFonts w:asciiTheme="minorHAnsi" w:hAnsiTheme="minorHAnsi" w:cstheme="minorHAnsi"/>
          <w:sz w:val="22"/>
          <w:szCs w:val="22"/>
        </w:rPr>
        <w:t xml:space="preserve"> </w:t>
      </w:r>
      <w:r w:rsidRPr="002A5722">
        <w:rPr>
          <w:rFonts w:asciiTheme="minorHAnsi" w:hAnsiTheme="minorHAnsi" w:cstheme="minorHAnsi"/>
          <w:sz w:val="22"/>
          <w:szCs w:val="22"/>
        </w:rPr>
        <w:t>high threshold test</w:t>
      </w:r>
      <w:r w:rsidR="004C2BCA">
        <w:rPr>
          <w:rFonts w:asciiTheme="minorHAnsi" w:hAnsiTheme="minorHAnsi" w:cstheme="minorHAnsi"/>
          <w:sz w:val="22"/>
          <w:szCs w:val="22"/>
        </w:rPr>
        <w:t xml:space="preserve">s </w:t>
      </w:r>
      <w:r w:rsidRPr="002A5722">
        <w:rPr>
          <w:rFonts w:asciiTheme="minorHAnsi" w:hAnsiTheme="minorHAnsi" w:cstheme="minorHAnsi"/>
          <w:sz w:val="22"/>
          <w:szCs w:val="22"/>
        </w:rPr>
        <w:t xml:space="preserve">that needs to be met in terms of evidence and public interest </w:t>
      </w:r>
      <w:r w:rsidR="004C2BCA">
        <w:rPr>
          <w:rFonts w:asciiTheme="minorHAnsi" w:hAnsiTheme="minorHAnsi" w:cstheme="minorHAnsi"/>
          <w:sz w:val="22"/>
          <w:szCs w:val="22"/>
        </w:rPr>
        <w:t xml:space="preserve">which </w:t>
      </w:r>
      <w:r w:rsidRPr="002A5722">
        <w:rPr>
          <w:rFonts w:asciiTheme="minorHAnsi" w:hAnsiTheme="minorHAnsi" w:cstheme="minorHAnsi"/>
          <w:sz w:val="22"/>
          <w:szCs w:val="22"/>
        </w:rPr>
        <w:t xml:space="preserve">the male </w:t>
      </w:r>
      <w:r w:rsidR="004C2BCA">
        <w:rPr>
          <w:rFonts w:asciiTheme="minorHAnsi" w:hAnsiTheme="minorHAnsi" w:cstheme="minorHAnsi"/>
          <w:sz w:val="22"/>
          <w:szCs w:val="22"/>
        </w:rPr>
        <w:t xml:space="preserve">was </w:t>
      </w:r>
      <w:r w:rsidRPr="002A5722">
        <w:rPr>
          <w:rFonts w:asciiTheme="minorHAnsi" w:hAnsiTheme="minorHAnsi" w:cstheme="minorHAnsi"/>
          <w:sz w:val="22"/>
          <w:szCs w:val="22"/>
        </w:rPr>
        <w:t>aware of. Furthermore, I made him aware that this could be difficult to prosecute because of th</w:t>
      </w:r>
      <w:r w:rsidR="007F0232">
        <w:rPr>
          <w:rFonts w:asciiTheme="minorHAnsi" w:hAnsiTheme="minorHAnsi" w:cstheme="minorHAnsi"/>
          <w:sz w:val="22"/>
          <w:szCs w:val="22"/>
        </w:rPr>
        <w:t>ese</w:t>
      </w:r>
      <w:r w:rsidRPr="002A5722">
        <w:rPr>
          <w:rFonts w:asciiTheme="minorHAnsi" w:hAnsiTheme="minorHAnsi" w:cstheme="minorHAnsi"/>
          <w:sz w:val="22"/>
          <w:szCs w:val="22"/>
        </w:rPr>
        <w:t xml:space="preserve"> test</w:t>
      </w:r>
      <w:r w:rsidR="007F0232">
        <w:rPr>
          <w:rFonts w:asciiTheme="minorHAnsi" w:hAnsiTheme="minorHAnsi" w:cstheme="minorHAnsi"/>
          <w:sz w:val="22"/>
          <w:szCs w:val="22"/>
        </w:rPr>
        <w:t>s</w:t>
      </w:r>
      <w:r w:rsidRPr="002A5722">
        <w:rPr>
          <w:rFonts w:asciiTheme="minorHAnsi" w:hAnsiTheme="minorHAnsi" w:cstheme="minorHAnsi"/>
          <w:sz w:val="22"/>
          <w:szCs w:val="22"/>
        </w:rPr>
        <w:t xml:space="preserve"> as the communication has to be more than just controversial or offensive to one person (</w:t>
      </w:r>
      <w:proofErr w:type="spellStart"/>
      <w:r w:rsidRPr="002A5722">
        <w:rPr>
          <w:rFonts w:asciiTheme="minorHAnsi" w:hAnsiTheme="minorHAnsi" w:cstheme="minorHAnsi"/>
          <w:sz w:val="22"/>
          <w:szCs w:val="22"/>
        </w:rPr>
        <w:t>Sallavaci</w:t>
      </w:r>
      <w:proofErr w:type="spellEnd"/>
      <w:r w:rsidRPr="002A5722">
        <w:rPr>
          <w:rFonts w:asciiTheme="minorHAnsi" w:hAnsiTheme="minorHAnsi" w:cstheme="minorHAnsi"/>
          <w:sz w:val="22"/>
          <w:szCs w:val="22"/>
        </w:rPr>
        <w:t>, 2018). The legislation surrounding this act has been criticised for “lacking clarity and certainty” because the idea of what constitutes being grossly offensive is not clear (</w:t>
      </w:r>
      <w:proofErr w:type="spellStart"/>
      <w:r w:rsidRPr="002A5722">
        <w:rPr>
          <w:rFonts w:asciiTheme="minorHAnsi" w:hAnsiTheme="minorHAnsi" w:cstheme="minorHAnsi"/>
          <w:sz w:val="22"/>
          <w:szCs w:val="22"/>
        </w:rPr>
        <w:t>Sallavaci</w:t>
      </w:r>
      <w:proofErr w:type="spellEnd"/>
      <w:r w:rsidRPr="002A5722">
        <w:rPr>
          <w:rFonts w:asciiTheme="minorHAnsi" w:hAnsiTheme="minorHAnsi" w:cstheme="minorHAnsi"/>
          <w:sz w:val="22"/>
          <w:szCs w:val="22"/>
        </w:rPr>
        <w:t xml:space="preserve">, 2018, p.9).  However, because the offence was motivated by a form of prejudice this could potentially meet the threshold but that would be up for the CPS to decide (CPS, 2022; </w:t>
      </w:r>
      <w:proofErr w:type="spellStart"/>
      <w:r w:rsidRPr="002A5722">
        <w:rPr>
          <w:rFonts w:asciiTheme="minorHAnsi" w:hAnsiTheme="minorHAnsi" w:cstheme="minorHAnsi"/>
          <w:sz w:val="22"/>
          <w:szCs w:val="22"/>
        </w:rPr>
        <w:t>Sallavaci</w:t>
      </w:r>
      <w:proofErr w:type="spellEnd"/>
      <w:r w:rsidRPr="002A5722">
        <w:rPr>
          <w:rFonts w:asciiTheme="minorHAnsi" w:hAnsiTheme="minorHAnsi" w:cstheme="minorHAnsi"/>
          <w:sz w:val="22"/>
          <w:szCs w:val="22"/>
        </w:rPr>
        <w:t xml:space="preserve">, 2018). The </w:t>
      </w:r>
      <w:r w:rsidR="00345268">
        <w:rPr>
          <w:rFonts w:asciiTheme="minorHAnsi" w:hAnsiTheme="minorHAnsi" w:cstheme="minorHAnsi"/>
          <w:sz w:val="22"/>
          <w:szCs w:val="22"/>
        </w:rPr>
        <w:t>a</w:t>
      </w:r>
      <w:r w:rsidRPr="002A5722">
        <w:rPr>
          <w:rFonts w:asciiTheme="minorHAnsi" w:hAnsiTheme="minorHAnsi" w:cstheme="minorHAnsi"/>
          <w:sz w:val="22"/>
          <w:szCs w:val="22"/>
        </w:rPr>
        <w:t>ct often clashes with Article 10 of the Human Rights Act, the freedom of speech. Therefore, unless it can be shown that it is necessary and proportionate to prosecute, no prosecution will be brought under this act because of the infringement of this right which was also explained to the male (</w:t>
      </w:r>
      <w:proofErr w:type="spellStart"/>
      <w:r w:rsidRPr="002A5722">
        <w:rPr>
          <w:rFonts w:asciiTheme="minorHAnsi" w:hAnsiTheme="minorHAnsi" w:cstheme="minorHAnsi"/>
          <w:sz w:val="22"/>
          <w:szCs w:val="22"/>
        </w:rPr>
        <w:t>Sallavaci</w:t>
      </w:r>
      <w:proofErr w:type="spellEnd"/>
      <w:r w:rsidRPr="002A5722">
        <w:rPr>
          <w:rFonts w:asciiTheme="minorHAnsi" w:hAnsiTheme="minorHAnsi" w:cstheme="minorHAnsi"/>
          <w:sz w:val="22"/>
          <w:szCs w:val="22"/>
        </w:rPr>
        <w:t xml:space="preserve">, 2018). </w:t>
      </w:r>
    </w:p>
    <w:p w14:paraId="78F1D0B3" w14:textId="77777777" w:rsidR="00177000" w:rsidRPr="002A5722" w:rsidRDefault="00177000" w:rsidP="00177000">
      <w:pPr>
        <w:ind w:right="107"/>
        <w:jc w:val="both"/>
        <w:rPr>
          <w:rFonts w:asciiTheme="minorHAnsi" w:hAnsiTheme="minorHAnsi" w:cstheme="minorHAnsi"/>
          <w:sz w:val="22"/>
          <w:szCs w:val="22"/>
        </w:rPr>
      </w:pPr>
    </w:p>
    <w:p w14:paraId="21CD3085" w14:textId="319757DA"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The Victims code of practice sets out the minimum standards of service, support and protection required by CJS personnel to provide to victims of crime (HMICFRS, 2023). The code sets out 12 rights that all victims of crime are eligible for which should be met during their journey through the CJS (HMICFRS, 2023). You are eligible under the code if you have: </w:t>
      </w:r>
    </w:p>
    <w:p w14:paraId="4EDCDC87" w14:textId="77777777" w:rsidR="00177000" w:rsidRPr="002A5722" w:rsidRDefault="00177000" w:rsidP="00177000">
      <w:pPr>
        <w:ind w:right="107"/>
        <w:jc w:val="center"/>
        <w:rPr>
          <w:rFonts w:asciiTheme="minorHAnsi" w:hAnsiTheme="minorHAnsi" w:cstheme="minorHAnsi"/>
          <w:sz w:val="22"/>
          <w:szCs w:val="22"/>
        </w:rPr>
      </w:pPr>
    </w:p>
    <w:p w14:paraId="006F4834" w14:textId="77777777" w:rsidR="00177000" w:rsidRPr="002A5722" w:rsidRDefault="00177000" w:rsidP="00177000">
      <w:pPr>
        <w:ind w:right="107"/>
        <w:jc w:val="center"/>
        <w:rPr>
          <w:rFonts w:asciiTheme="minorHAnsi" w:hAnsiTheme="minorHAnsi" w:cstheme="minorHAnsi"/>
          <w:sz w:val="22"/>
          <w:szCs w:val="22"/>
        </w:rPr>
      </w:pPr>
      <w:r w:rsidRPr="002A5722">
        <w:rPr>
          <w:rFonts w:asciiTheme="minorHAnsi" w:hAnsiTheme="minorHAnsi" w:cstheme="minorHAnsi"/>
          <w:sz w:val="22"/>
          <w:szCs w:val="22"/>
        </w:rPr>
        <w:t xml:space="preserve">“Suffered harm, Including physical, mental or emotional harm or economic harm which was directly caused by a criminal offence or a close relative of a person whose death was </w:t>
      </w:r>
    </w:p>
    <w:p w14:paraId="57CB1B88" w14:textId="4831AADD" w:rsidR="00177000" w:rsidRPr="002A5722" w:rsidRDefault="00177000" w:rsidP="00177000">
      <w:pPr>
        <w:ind w:right="107"/>
        <w:jc w:val="center"/>
        <w:rPr>
          <w:rFonts w:asciiTheme="minorHAnsi" w:hAnsiTheme="minorHAnsi" w:cstheme="minorHAnsi"/>
          <w:sz w:val="22"/>
          <w:szCs w:val="22"/>
        </w:rPr>
      </w:pPr>
      <w:r w:rsidRPr="002A5722">
        <w:rPr>
          <w:rFonts w:asciiTheme="minorHAnsi" w:hAnsiTheme="minorHAnsi" w:cstheme="minorHAnsi"/>
          <w:sz w:val="22"/>
          <w:szCs w:val="22"/>
        </w:rPr>
        <w:t>directly caused by a criminal offence”. (COP, 2023, p.1)</w:t>
      </w:r>
    </w:p>
    <w:p w14:paraId="0BFA7F50" w14:textId="77777777" w:rsidR="00177000" w:rsidRPr="002A5722" w:rsidRDefault="00177000" w:rsidP="00177000">
      <w:pPr>
        <w:ind w:right="107"/>
        <w:jc w:val="center"/>
        <w:rPr>
          <w:rFonts w:asciiTheme="minorHAnsi" w:hAnsiTheme="minorHAnsi" w:cstheme="minorHAnsi"/>
          <w:sz w:val="22"/>
          <w:szCs w:val="22"/>
        </w:rPr>
      </w:pPr>
    </w:p>
    <w:p w14:paraId="25EC199C" w14:textId="77777777"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The VCP was introduced to standardise the treatment of victims and hold CJS personnel to account if the rights of victims are not met. The VCP puts the victims at the heart of the CJS and aims to make sure that victims are well informed, taken seriously and supported properly (HMICFRS, 2023). The VCP upholds the ethical standards expected of CJS personnel such as honesty, fairness, respect and accountability. There are 12 specific rights the VCP details. </w:t>
      </w:r>
    </w:p>
    <w:p w14:paraId="3570A964" w14:textId="77777777" w:rsidR="00177000" w:rsidRPr="002A5722" w:rsidRDefault="00177000" w:rsidP="00177000">
      <w:pPr>
        <w:ind w:right="107"/>
        <w:jc w:val="both"/>
        <w:rPr>
          <w:rFonts w:asciiTheme="minorHAnsi" w:hAnsiTheme="minorHAnsi" w:cstheme="minorHAnsi"/>
          <w:sz w:val="22"/>
          <w:szCs w:val="22"/>
        </w:rPr>
      </w:pPr>
    </w:p>
    <w:p w14:paraId="6D9F2A0B" w14:textId="77777777"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Using Borton’s (1970) reflective model I will now discuss 4 rights within the VCP. The first right is to be referred to services for support and to be treated equally by having support tailored to your needs. A needs assessment will be conducted which will uncover whether you are entitled to receive enhanced rights that the code outlines. Furthermore, you have the right to be referred to support services in the local and wider area and assessed to see if you would benefit from giving evidence in court via special measures (GOV.UK, 2024). Special measures are measures put in place for vulnerable or intimidated witnesses so that the quality of their evidence is not diminished by fear or stress of attending court and giving evidence (CPS, 2023, </w:t>
      </w:r>
      <w:r w:rsidRPr="00D95DC2">
        <w:rPr>
          <w:rFonts w:asciiTheme="minorHAnsi" w:hAnsiTheme="minorHAnsi" w:cstheme="minorHAnsi"/>
          <w:i/>
          <w:iCs/>
          <w:sz w:val="22"/>
          <w:szCs w:val="22"/>
        </w:rPr>
        <w:t>Youth Justice and Criminal Evidence Act 1999</w:t>
      </w:r>
      <w:r w:rsidRPr="002A5722">
        <w:rPr>
          <w:rFonts w:asciiTheme="minorHAnsi" w:hAnsiTheme="minorHAnsi" w:cstheme="minorHAnsi"/>
          <w:sz w:val="22"/>
          <w:szCs w:val="22"/>
        </w:rPr>
        <w:t xml:space="preserve">). Special measures include using screens or giving evidence via live link (CPS, 2023). </w:t>
      </w:r>
    </w:p>
    <w:p w14:paraId="4FF6E93D" w14:textId="77777777" w:rsidR="00177000" w:rsidRPr="002A5722" w:rsidRDefault="00177000" w:rsidP="00177000">
      <w:pPr>
        <w:ind w:right="107"/>
        <w:jc w:val="both"/>
        <w:rPr>
          <w:rFonts w:asciiTheme="minorHAnsi" w:hAnsiTheme="minorHAnsi" w:cstheme="minorHAnsi"/>
          <w:sz w:val="22"/>
          <w:szCs w:val="22"/>
        </w:rPr>
      </w:pPr>
    </w:p>
    <w:p w14:paraId="0E1CE6EE" w14:textId="77777777"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Another right is to be offered to complete a Victim Personal Statement (VPS). This is a statement that is read out in court that details how a crime has affected a victim mentally, physically, psychologically or economically and can help influence sentencing decisions (CPS, 2023). A VPS can also help to highlight the support some victims may need such as the ones mentioned above (GOV.UK, 2024). National policy states that a VPS can be made at any stage of the investigation and can be done straight away or a few months after the incident, this allows victims the chance to see how a crime has affected them as time has gone on (GOV.UK, 2024). </w:t>
      </w:r>
    </w:p>
    <w:p w14:paraId="2251E9A3" w14:textId="77777777" w:rsidR="00177000" w:rsidRPr="002A5722" w:rsidRDefault="00177000" w:rsidP="00177000">
      <w:pPr>
        <w:ind w:right="107"/>
        <w:jc w:val="both"/>
        <w:rPr>
          <w:rFonts w:asciiTheme="minorHAnsi" w:hAnsiTheme="minorHAnsi" w:cstheme="minorHAnsi"/>
          <w:sz w:val="22"/>
          <w:szCs w:val="22"/>
        </w:rPr>
      </w:pPr>
    </w:p>
    <w:p w14:paraId="05D3E08D" w14:textId="77777777"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Another right victim have is to be kept up to date throughout each stage of the CJS. Rights 6, 8 and 9 set out the rights victims have to be kept up to date about the investigation, prosecution, trial and outcome of the </w:t>
      </w:r>
      <w:r w:rsidRPr="002A5722">
        <w:rPr>
          <w:rFonts w:asciiTheme="minorHAnsi" w:hAnsiTheme="minorHAnsi" w:cstheme="minorHAnsi"/>
          <w:sz w:val="22"/>
          <w:szCs w:val="22"/>
        </w:rPr>
        <w:lastRenderedPageBreak/>
        <w:t xml:space="preserve">case and any appeals made. This is so the victim is aware of what takes place at each stage and where they are in their investigation. Victims are also eligible to make a complaint if their rights have not been met which would be investigated. This is done through the Victims Right to Review Scheme. Some cases cannot be reviewed however such as cases where no suspect has been identified or the victim withdraws a complaint (Gwent Police, 2024). </w:t>
      </w:r>
    </w:p>
    <w:p w14:paraId="3DE99B44" w14:textId="77777777" w:rsidR="00177000" w:rsidRPr="002A5722" w:rsidRDefault="00177000" w:rsidP="00177000">
      <w:pPr>
        <w:ind w:right="107"/>
        <w:jc w:val="both"/>
        <w:rPr>
          <w:rFonts w:asciiTheme="minorHAnsi" w:hAnsiTheme="minorHAnsi" w:cstheme="minorHAnsi"/>
          <w:sz w:val="22"/>
          <w:szCs w:val="22"/>
        </w:rPr>
      </w:pPr>
    </w:p>
    <w:p w14:paraId="2C5A3B85" w14:textId="77777777"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Using Borton’s (1970) second phase “So What?”, I will now discuss how I upheld these rights and why they are important. The male was referred to mental health services and victim support which was imperative as not only did he state that he suffered from mental health issues anyway, but LGBTQ+ individuals in general are at a heightened risk of developing psychiatric disorders and committing suicide (King et al., 2008; </w:t>
      </w:r>
      <w:proofErr w:type="spellStart"/>
      <w:r w:rsidRPr="002A5722">
        <w:rPr>
          <w:rFonts w:asciiTheme="minorHAnsi" w:hAnsiTheme="minorHAnsi" w:cstheme="minorHAnsi"/>
          <w:sz w:val="22"/>
          <w:szCs w:val="22"/>
        </w:rPr>
        <w:t>Silenzio</w:t>
      </w:r>
      <w:proofErr w:type="spellEnd"/>
      <w:r w:rsidRPr="002A5722">
        <w:rPr>
          <w:rFonts w:asciiTheme="minorHAnsi" w:hAnsiTheme="minorHAnsi" w:cstheme="minorHAnsi"/>
          <w:sz w:val="22"/>
          <w:szCs w:val="22"/>
        </w:rPr>
        <w:t xml:space="preserve"> et al., 2007). Research has found that LGBT individuals are 3 to 4 times more likely to report lifetime suicide attempts (Hottes et al., 2016). In Gwent, victims are automatically referred to victim support however many police forces fail in this area because they rely on the victim to state they want to be referred not automatically refer them (HMICFRS, 2018). Further support was offered to the male in regards to special measures as he was concerned about going to court and facing his cousins partner, once he knew he could apply for them the prospect of going to court felt a lot less daunting for him. Unfortunately, police have failed in giving victims support, an example is the case of </w:t>
      </w:r>
      <w:proofErr w:type="spellStart"/>
      <w:r w:rsidRPr="002A5722">
        <w:rPr>
          <w:rFonts w:asciiTheme="minorHAnsi" w:hAnsiTheme="minorHAnsi" w:cstheme="minorHAnsi"/>
          <w:sz w:val="22"/>
          <w:szCs w:val="22"/>
        </w:rPr>
        <w:t>Ffiona</w:t>
      </w:r>
      <w:proofErr w:type="spellEnd"/>
      <w:r w:rsidRPr="002A5722">
        <w:rPr>
          <w:rFonts w:asciiTheme="minorHAnsi" w:hAnsiTheme="minorHAnsi" w:cstheme="minorHAnsi"/>
          <w:sz w:val="22"/>
          <w:szCs w:val="22"/>
        </w:rPr>
        <w:t xml:space="preserve"> Pinkerton, police failed </w:t>
      </w:r>
      <w:proofErr w:type="spellStart"/>
      <w:r w:rsidRPr="002A5722">
        <w:rPr>
          <w:rFonts w:asciiTheme="minorHAnsi" w:hAnsiTheme="minorHAnsi" w:cstheme="minorHAnsi"/>
          <w:sz w:val="22"/>
          <w:szCs w:val="22"/>
        </w:rPr>
        <w:t>Ffiona</w:t>
      </w:r>
      <w:proofErr w:type="spellEnd"/>
      <w:r w:rsidRPr="002A5722">
        <w:rPr>
          <w:rFonts w:asciiTheme="minorHAnsi" w:hAnsiTheme="minorHAnsi" w:cstheme="minorHAnsi"/>
          <w:sz w:val="22"/>
          <w:szCs w:val="22"/>
        </w:rPr>
        <w:t xml:space="preserve"> and her daughter as they did not identify her vulnerabilities or take them seriously enough. </w:t>
      </w:r>
      <w:proofErr w:type="spellStart"/>
      <w:r w:rsidRPr="002A5722">
        <w:rPr>
          <w:rFonts w:asciiTheme="minorHAnsi" w:hAnsiTheme="minorHAnsi" w:cstheme="minorHAnsi"/>
          <w:sz w:val="22"/>
          <w:szCs w:val="22"/>
        </w:rPr>
        <w:t>Ffiona</w:t>
      </w:r>
      <w:proofErr w:type="spellEnd"/>
      <w:r w:rsidRPr="002A5722">
        <w:rPr>
          <w:rFonts w:asciiTheme="minorHAnsi" w:hAnsiTheme="minorHAnsi" w:cstheme="minorHAnsi"/>
          <w:sz w:val="22"/>
          <w:szCs w:val="22"/>
        </w:rPr>
        <w:t xml:space="preserve"> needed access to support and her needs tailored to that support which she did not receive and as a result </w:t>
      </w:r>
      <w:proofErr w:type="spellStart"/>
      <w:r w:rsidRPr="002A5722">
        <w:rPr>
          <w:rFonts w:asciiTheme="minorHAnsi" w:hAnsiTheme="minorHAnsi" w:cstheme="minorHAnsi"/>
          <w:sz w:val="22"/>
          <w:szCs w:val="22"/>
        </w:rPr>
        <w:t>Ffiona</w:t>
      </w:r>
      <w:proofErr w:type="spellEnd"/>
      <w:r w:rsidRPr="002A5722">
        <w:rPr>
          <w:rFonts w:asciiTheme="minorHAnsi" w:hAnsiTheme="minorHAnsi" w:cstheme="minorHAnsi"/>
          <w:sz w:val="22"/>
          <w:szCs w:val="22"/>
        </w:rPr>
        <w:t xml:space="preserve"> took her and her daughter’s life (Davies, 2017). Therefore, it was imperative I did that with this male so he could be adequately supported.</w:t>
      </w:r>
    </w:p>
    <w:p w14:paraId="148B958E" w14:textId="77777777" w:rsidR="00177000" w:rsidRPr="002A5722" w:rsidRDefault="00177000" w:rsidP="00177000">
      <w:pPr>
        <w:ind w:right="107"/>
        <w:jc w:val="both"/>
        <w:rPr>
          <w:rFonts w:asciiTheme="minorHAnsi" w:hAnsiTheme="minorHAnsi" w:cstheme="minorHAnsi"/>
          <w:sz w:val="22"/>
          <w:szCs w:val="22"/>
        </w:rPr>
      </w:pPr>
    </w:p>
    <w:p w14:paraId="1CAA1CEF" w14:textId="1384B785"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The male was told about the victims right to review should he at any point feel that his rights have not been met. It is important to do this in case victims’ rights are not met and in case investigations are unfortunately not conducted accurately.  Giving victims the chance to provide a VPS is also important because it allows a victim to tell their story of how a crime has affected them. The male was offered a VPS and decided he would do one but in a few months’ time as he said he didn’t know exactly how he was feeling about the incident. Keeping victims up to date with information about the trial, investigation, process and appeals is important so victims feel that their case is progressing and taken seriously. Both a VPS and being kept informed gives a victim a voice and helps them to feel heard and taken seriously which unfortunately is something that LGBTQ+ individuals have not experienced with the police. Statistics show that offering a VPS and keeping victims informed is something police fail to do. One study found that only 29% of victims were offered a VPS and 75% of respondents said that they were not regularly informed (Victims Commissioner, 2021;2023). </w:t>
      </w:r>
      <w:r w:rsidR="008F2B5C" w:rsidRPr="002A5722">
        <w:rPr>
          <w:rFonts w:asciiTheme="minorHAnsi" w:hAnsiTheme="minorHAnsi" w:cstheme="minorHAnsi"/>
          <w:sz w:val="22"/>
          <w:szCs w:val="22"/>
        </w:rPr>
        <w:t xml:space="preserve">During this incident I made sure to text and call the male to update him at every stage of new development. </w:t>
      </w:r>
    </w:p>
    <w:p w14:paraId="5AB2A9F3" w14:textId="77777777" w:rsidR="00177000" w:rsidRPr="002A5722" w:rsidRDefault="00177000" w:rsidP="00177000">
      <w:pPr>
        <w:ind w:right="107"/>
        <w:jc w:val="both"/>
        <w:rPr>
          <w:rFonts w:asciiTheme="minorHAnsi" w:hAnsiTheme="minorHAnsi" w:cstheme="minorHAnsi"/>
          <w:sz w:val="22"/>
          <w:szCs w:val="22"/>
        </w:rPr>
      </w:pPr>
    </w:p>
    <w:p w14:paraId="4524B878" w14:textId="67FA1515" w:rsidR="00177000" w:rsidRPr="002A5722" w:rsidRDefault="00177000" w:rsidP="00177000">
      <w:pPr>
        <w:ind w:right="107"/>
        <w:jc w:val="both"/>
        <w:rPr>
          <w:rFonts w:asciiTheme="minorHAnsi" w:hAnsiTheme="minorHAnsi" w:cstheme="minorHAnsi"/>
          <w:sz w:val="22"/>
          <w:szCs w:val="22"/>
        </w:rPr>
      </w:pPr>
      <w:r w:rsidRPr="002A5722">
        <w:rPr>
          <w:rFonts w:asciiTheme="minorHAnsi" w:hAnsiTheme="minorHAnsi" w:cstheme="minorHAnsi"/>
          <w:sz w:val="22"/>
          <w:szCs w:val="22"/>
        </w:rPr>
        <w:t xml:space="preserve">All of these rights are imperative to uphold because historically LGBT and hate crime victims have reported to have limited confidence in the police and their responses to hate crimes (Briones-Robinson, Powers and Socia, 2016). LGBT victims cite concerns over secondary victimisation, discrimination, misconduct and lack of care as to reasons why they are reluctant to engage with officers and why crimes go unreported (Nadal et al., 2015; Herek, Cogan and Gillis, 2002). The male in this incident cited previous failings by police in dealing with cases so I found it important to try and change his attitude to police. </w:t>
      </w:r>
    </w:p>
    <w:p w14:paraId="022B9DC7" w14:textId="77777777" w:rsidR="00177000" w:rsidRPr="002A5722" w:rsidRDefault="00177000" w:rsidP="00177000">
      <w:pPr>
        <w:ind w:right="107"/>
        <w:jc w:val="both"/>
        <w:rPr>
          <w:rFonts w:asciiTheme="minorHAnsi" w:hAnsiTheme="minorHAnsi" w:cstheme="minorHAnsi"/>
          <w:sz w:val="22"/>
          <w:szCs w:val="22"/>
        </w:rPr>
      </w:pPr>
    </w:p>
    <w:p w14:paraId="6A0BF020" w14:textId="623CFB32" w:rsidR="00F12F80" w:rsidRDefault="00177000" w:rsidP="00F12F80">
      <w:pPr>
        <w:ind w:right="107"/>
        <w:jc w:val="both"/>
        <w:rPr>
          <w:rFonts w:asciiTheme="minorHAnsi" w:hAnsiTheme="minorHAnsi" w:cstheme="minorHAnsi"/>
          <w:sz w:val="22"/>
          <w:szCs w:val="22"/>
        </w:rPr>
      </w:pPr>
      <w:r w:rsidRPr="002A5722">
        <w:rPr>
          <w:rFonts w:asciiTheme="minorHAnsi" w:hAnsiTheme="minorHAnsi" w:cstheme="minorHAnsi"/>
          <w:sz w:val="22"/>
          <w:szCs w:val="22"/>
        </w:rPr>
        <w:t>This essay has discussed an incident in which I dealt with a male victim of the LGBT community. This essay discussed the social and legislative context of homophobic malicious communication. This essay used Borton’s (1970) reflective model to discuss what the VCP, the rights victims have under the code, how these were upheld in this instant and why they are important to uphold. In terms of Borton’s (1970) “Now What stage”. This essay finds that more needs to be work done to make sure that victims are continued to be provided with their rights as victims are not always offered a VPS or kept up to date during their investigation. This incident taught me to provide victims with contact even if nothing has progressed, so they know that I haven’t forgotten them. Going forward in my career, I will keep the male up to date and when the case progresses to trial will provide him with further support in getting special measures</w:t>
      </w:r>
      <w:r w:rsidR="00F12F80">
        <w:rPr>
          <w:rFonts w:asciiTheme="minorHAnsi" w:hAnsiTheme="minorHAnsi" w:cstheme="minorHAnsi"/>
          <w:sz w:val="22"/>
          <w:szCs w:val="22"/>
        </w:rPr>
        <w:t>.</w:t>
      </w:r>
    </w:p>
    <w:p w14:paraId="2E7B40F4" w14:textId="77777777" w:rsidR="00F12F80" w:rsidRDefault="00F12F80" w:rsidP="00F12F80">
      <w:pPr>
        <w:ind w:right="107"/>
        <w:jc w:val="both"/>
        <w:rPr>
          <w:rFonts w:asciiTheme="minorHAnsi" w:hAnsiTheme="minorHAnsi" w:cstheme="minorHAnsi"/>
          <w:b/>
          <w:bCs/>
          <w:sz w:val="22"/>
          <w:szCs w:val="22"/>
        </w:rPr>
      </w:pPr>
      <w:r w:rsidRPr="00F12F80">
        <w:rPr>
          <w:rFonts w:asciiTheme="minorHAnsi" w:hAnsiTheme="minorHAnsi" w:cstheme="minorHAnsi"/>
          <w:b/>
          <w:bCs/>
          <w:sz w:val="22"/>
          <w:szCs w:val="22"/>
        </w:rPr>
        <w:t>Words: 1925</w:t>
      </w:r>
    </w:p>
    <w:p w14:paraId="11B1AAFD" w14:textId="2A48308C" w:rsidR="006C7CA5" w:rsidRPr="00F12F80" w:rsidRDefault="28A9B94D" w:rsidP="00F12F80">
      <w:pPr>
        <w:ind w:right="107"/>
        <w:jc w:val="center"/>
        <w:rPr>
          <w:rFonts w:asciiTheme="minorHAnsi" w:hAnsiTheme="minorHAnsi" w:cstheme="minorHAnsi"/>
          <w:b/>
          <w:bCs/>
          <w:sz w:val="22"/>
          <w:szCs w:val="22"/>
        </w:rPr>
      </w:pPr>
      <w:r w:rsidRPr="002A5722">
        <w:rPr>
          <w:b/>
          <w:bCs/>
          <w:sz w:val="24"/>
          <w:szCs w:val="24"/>
        </w:rPr>
        <w:lastRenderedPageBreak/>
        <w:t>Task</w:t>
      </w:r>
      <w:r w:rsidRPr="002A5722">
        <w:rPr>
          <w:b/>
          <w:bCs/>
          <w:color w:val="auto"/>
          <w:sz w:val="24"/>
          <w:szCs w:val="24"/>
        </w:rPr>
        <w:t xml:space="preserve"> </w:t>
      </w:r>
      <w:r w:rsidRPr="002A5722">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0D7B0AB5" w:rsidR="006C7CA5" w:rsidRDefault="006C7CA5" w:rsidP="00D939C9">
      <w:pPr>
        <w:ind w:right="107"/>
        <w:rPr>
          <w:b/>
          <w:sz w:val="24"/>
          <w:szCs w:val="24"/>
        </w:rPr>
      </w:pPr>
      <w:r w:rsidRPr="00450C83">
        <w:rPr>
          <w:b/>
          <w:sz w:val="24"/>
          <w:szCs w:val="24"/>
        </w:rPr>
        <w:t>ANSWER:</w:t>
      </w:r>
    </w:p>
    <w:p w14:paraId="46B08984" w14:textId="77777777" w:rsidR="00C26136" w:rsidRPr="00536AE0" w:rsidRDefault="00C26136" w:rsidP="00D939C9">
      <w:pPr>
        <w:ind w:right="107"/>
        <w:rPr>
          <w:rFonts w:asciiTheme="minorHAnsi" w:hAnsiTheme="minorHAnsi" w:cstheme="minorHAnsi"/>
          <w:b/>
        </w:rPr>
      </w:pPr>
    </w:p>
    <w:p w14:paraId="5226413D" w14:textId="2C84DF93"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 xml:space="preserve">No two </w:t>
      </w:r>
      <w:r w:rsidR="000A4D11">
        <w:rPr>
          <w:rFonts w:asciiTheme="minorHAnsi" w:hAnsiTheme="minorHAnsi" w:cstheme="minorHAnsi"/>
          <w:color w:val="000000" w:themeColor="text1"/>
          <w:sz w:val="22"/>
          <w:szCs w:val="22"/>
        </w:rPr>
        <w:t xml:space="preserve">policing </w:t>
      </w:r>
      <w:r w:rsidRPr="002A5722">
        <w:rPr>
          <w:rFonts w:asciiTheme="minorHAnsi" w:hAnsiTheme="minorHAnsi" w:cstheme="minorHAnsi"/>
          <w:color w:val="000000" w:themeColor="text1"/>
          <w:sz w:val="22"/>
          <w:szCs w:val="22"/>
        </w:rPr>
        <w:t xml:space="preserve">incidents are the same so as to guide officers into making decisions, decision making frameworks such as the National Decision model (NDM) exists. This essay begins by discussing a policing incident I was involved with. This essay will use Gibbs (1988) reflective model to discuss what the NDM is and how I used it to make decisions during the incident. Each stage of the NDM will be discussed and what I did at each stage, how I felt, what worked well/didn’t work well and what I learnt and will do differently next time. This essay will then use Borton’s (1970) reflective model to discuss my responsibilities surrounding the provision of the </w:t>
      </w:r>
      <w:r w:rsidRPr="002A5722">
        <w:rPr>
          <w:rFonts w:asciiTheme="minorHAnsi" w:hAnsiTheme="minorHAnsi" w:cstheme="minorHAnsi"/>
          <w:i/>
          <w:iCs/>
          <w:color w:val="000000" w:themeColor="text1"/>
          <w:sz w:val="22"/>
          <w:szCs w:val="22"/>
        </w:rPr>
        <w:t xml:space="preserve">Criminal Procedure and Investigations Act </w:t>
      </w:r>
      <w:r w:rsidR="00660CA3" w:rsidRPr="002A5722">
        <w:rPr>
          <w:rFonts w:asciiTheme="minorHAnsi" w:hAnsiTheme="minorHAnsi" w:cstheme="minorHAnsi"/>
          <w:i/>
          <w:iCs/>
          <w:color w:val="000000" w:themeColor="text1"/>
          <w:sz w:val="22"/>
          <w:szCs w:val="22"/>
        </w:rPr>
        <w:t xml:space="preserve">(1998). </w:t>
      </w:r>
      <w:r w:rsidRPr="002A5722">
        <w:rPr>
          <w:rFonts w:asciiTheme="minorHAnsi" w:hAnsiTheme="minorHAnsi" w:cstheme="minorHAnsi"/>
          <w:color w:val="000000" w:themeColor="text1"/>
          <w:sz w:val="22"/>
          <w:szCs w:val="22"/>
        </w:rPr>
        <w:t xml:space="preserve">Using Borton’s model I will discuss what the CPIA is, the importance/implications of the responsibilities regarding it and how I will follow it going forward in the investigation. </w:t>
      </w:r>
    </w:p>
    <w:p w14:paraId="03E16F05" w14:textId="77777777" w:rsidR="00C26136" w:rsidRPr="002A5722" w:rsidRDefault="00C26136" w:rsidP="00C26136">
      <w:pPr>
        <w:ind w:right="107"/>
        <w:rPr>
          <w:rFonts w:asciiTheme="minorHAnsi" w:hAnsiTheme="minorHAnsi" w:cstheme="minorHAnsi"/>
          <w:color w:val="000000" w:themeColor="text1"/>
          <w:sz w:val="22"/>
          <w:szCs w:val="22"/>
        </w:rPr>
      </w:pPr>
    </w:p>
    <w:p w14:paraId="20A1AF62"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 xml:space="preserve">The incident that I attended involved a call from a male stating that his partner was having a mental health crisis. The male stated that he had rang ambulance originally as he was concerned about her deteriorating mental health. However, due to the fact that ambulance could hear screaming, shouting and banging in the background they advised the male to ring the police instead. </w:t>
      </w:r>
    </w:p>
    <w:p w14:paraId="3725DDC4" w14:textId="77777777" w:rsidR="00C26136" w:rsidRPr="002A5722" w:rsidRDefault="00C26136" w:rsidP="00C26136">
      <w:pPr>
        <w:ind w:right="107"/>
        <w:rPr>
          <w:rFonts w:asciiTheme="minorHAnsi" w:hAnsiTheme="minorHAnsi" w:cstheme="minorHAnsi"/>
          <w:color w:val="000000" w:themeColor="text1"/>
          <w:sz w:val="22"/>
          <w:szCs w:val="22"/>
        </w:rPr>
      </w:pPr>
    </w:p>
    <w:p w14:paraId="75D1FD7E"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Police work is built on the concept of discretion. Officers have the freedom to use their own choices and judgements to make decisions and they do this in line with codes of practices and policies (</w:t>
      </w:r>
      <w:proofErr w:type="spellStart"/>
      <w:r w:rsidRPr="002A5722">
        <w:rPr>
          <w:rFonts w:asciiTheme="minorHAnsi" w:hAnsiTheme="minorHAnsi" w:cstheme="minorHAnsi"/>
          <w:color w:val="000000" w:themeColor="text1"/>
          <w:sz w:val="22"/>
          <w:szCs w:val="22"/>
        </w:rPr>
        <w:t>Bronitt</w:t>
      </w:r>
      <w:proofErr w:type="spellEnd"/>
      <w:r w:rsidRPr="002A5722">
        <w:rPr>
          <w:rFonts w:asciiTheme="minorHAnsi" w:hAnsiTheme="minorHAnsi" w:cstheme="minorHAnsi"/>
          <w:color w:val="000000" w:themeColor="text1"/>
          <w:sz w:val="22"/>
          <w:szCs w:val="22"/>
        </w:rPr>
        <w:t xml:space="preserve"> and Stenning, 2011). Discretion is a remarkable tool for officers to use however concerns have been raised in its application which can often be disproportionate or discriminative (Myhill and Johnson, 2016). Decisions should be in line with the code of ethics, therefore tools such as the NDM are used to help officers to do this. </w:t>
      </w:r>
    </w:p>
    <w:p w14:paraId="63511F8F" w14:textId="77777777" w:rsidR="00C26136" w:rsidRPr="002A5722" w:rsidRDefault="00C26136" w:rsidP="00C26136">
      <w:pPr>
        <w:ind w:right="107"/>
        <w:rPr>
          <w:rFonts w:asciiTheme="minorHAnsi" w:hAnsiTheme="minorHAnsi" w:cstheme="minorHAnsi"/>
          <w:color w:val="000000" w:themeColor="text1"/>
          <w:sz w:val="22"/>
          <w:szCs w:val="22"/>
        </w:rPr>
      </w:pPr>
    </w:p>
    <w:p w14:paraId="13F6C223"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 xml:space="preserve">The NDM is a standardised decision making tool which is used to help officers ‘structure a rationale of what they did during an incident and why’ (COP, 2024, p.1). However, it is recognised that due to the nature of </w:t>
      </w:r>
      <w:r w:rsidRPr="002A5722">
        <w:rPr>
          <w:rFonts w:asciiTheme="minorHAnsi" w:hAnsiTheme="minorHAnsi" w:cstheme="minorHAnsi"/>
          <w:color w:val="000000" w:themeColor="text1"/>
          <w:sz w:val="22"/>
          <w:szCs w:val="22"/>
        </w:rPr>
        <w:lastRenderedPageBreak/>
        <w:t>policing and the fast-moving nature of the job it is not always possible to structure decisions according to the NDM. If this is the case then decision makers should still take into account integrity and serving and protecting the public when making decisions (COP, 2014). The NDM has six key elements. The first being the code of ethics which is at the forefront of the NDM and every decision officers make should be in line with the code of ethics. The other elements are:</w:t>
      </w:r>
    </w:p>
    <w:p w14:paraId="12323A35" w14:textId="77777777" w:rsidR="00C26136" w:rsidRPr="002A5722" w:rsidRDefault="00C26136" w:rsidP="00C26136">
      <w:pPr>
        <w:ind w:right="107"/>
        <w:rPr>
          <w:rFonts w:asciiTheme="minorHAnsi" w:hAnsiTheme="minorHAnsi" w:cstheme="minorHAnsi"/>
          <w:color w:val="000000" w:themeColor="text1"/>
          <w:sz w:val="22"/>
          <w:szCs w:val="22"/>
        </w:rPr>
      </w:pPr>
    </w:p>
    <w:p w14:paraId="7C8279D3"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1.</w:t>
      </w:r>
      <w:r w:rsidRPr="002A5722">
        <w:rPr>
          <w:rFonts w:asciiTheme="minorHAnsi" w:hAnsiTheme="minorHAnsi" w:cstheme="minorHAnsi"/>
          <w:color w:val="000000" w:themeColor="text1"/>
          <w:sz w:val="22"/>
          <w:szCs w:val="22"/>
        </w:rPr>
        <w:tab/>
        <w:t>Gather information and intelligence.</w:t>
      </w:r>
    </w:p>
    <w:p w14:paraId="34888DF0"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2.</w:t>
      </w:r>
      <w:r w:rsidRPr="002A5722">
        <w:rPr>
          <w:rFonts w:asciiTheme="minorHAnsi" w:hAnsiTheme="minorHAnsi" w:cstheme="minorHAnsi"/>
          <w:color w:val="000000" w:themeColor="text1"/>
          <w:sz w:val="22"/>
          <w:szCs w:val="22"/>
        </w:rPr>
        <w:tab/>
        <w:t>Assess threat and risk and develop a working strategy.</w:t>
      </w:r>
    </w:p>
    <w:p w14:paraId="75B9F472"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3.</w:t>
      </w:r>
      <w:r w:rsidRPr="002A5722">
        <w:rPr>
          <w:rFonts w:asciiTheme="minorHAnsi" w:hAnsiTheme="minorHAnsi" w:cstheme="minorHAnsi"/>
          <w:color w:val="000000" w:themeColor="text1"/>
          <w:sz w:val="22"/>
          <w:szCs w:val="22"/>
        </w:rPr>
        <w:tab/>
        <w:t>Consider powers and policy.</w:t>
      </w:r>
    </w:p>
    <w:p w14:paraId="79E3A575"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4.</w:t>
      </w:r>
      <w:r w:rsidRPr="002A5722">
        <w:rPr>
          <w:rFonts w:asciiTheme="minorHAnsi" w:hAnsiTheme="minorHAnsi" w:cstheme="minorHAnsi"/>
          <w:color w:val="000000" w:themeColor="text1"/>
          <w:sz w:val="22"/>
          <w:szCs w:val="22"/>
        </w:rPr>
        <w:tab/>
        <w:t>Identify options and contingencies.</w:t>
      </w:r>
    </w:p>
    <w:p w14:paraId="2D4F7703"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5.</w:t>
      </w:r>
      <w:r w:rsidRPr="002A5722">
        <w:rPr>
          <w:rFonts w:asciiTheme="minorHAnsi" w:hAnsiTheme="minorHAnsi" w:cstheme="minorHAnsi"/>
          <w:color w:val="000000" w:themeColor="text1"/>
          <w:sz w:val="22"/>
          <w:szCs w:val="22"/>
        </w:rPr>
        <w:tab/>
        <w:t xml:space="preserve">Take action and review what happened. </w:t>
      </w:r>
    </w:p>
    <w:p w14:paraId="5C956B28" w14:textId="7777777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(COP, 2024).</w:t>
      </w:r>
    </w:p>
    <w:p w14:paraId="25000418" w14:textId="77777777" w:rsidR="00C26136" w:rsidRPr="002A5722" w:rsidRDefault="00C26136" w:rsidP="00C26136">
      <w:pPr>
        <w:ind w:right="107"/>
        <w:rPr>
          <w:rFonts w:asciiTheme="minorHAnsi" w:hAnsiTheme="minorHAnsi" w:cstheme="minorHAnsi"/>
          <w:color w:val="000000" w:themeColor="text1"/>
          <w:sz w:val="22"/>
          <w:szCs w:val="22"/>
        </w:rPr>
      </w:pPr>
    </w:p>
    <w:p w14:paraId="6B3CB8CB" w14:textId="17514FFE"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The code of ethics is at the forefront of all decisions that police officers make and sets out the standard of behaviour that is expected of them (GOV.UK, 2024). The code sets guidelines on how to make ethical decisions (GOV.UK, 2024).</w:t>
      </w:r>
      <w:r w:rsidR="001B4FD2" w:rsidRPr="001B4FD2">
        <w:rPr>
          <w:rFonts w:asciiTheme="minorHAnsi" w:hAnsiTheme="minorHAnsi" w:cstheme="minorHAnsi"/>
          <w:color w:val="000000" w:themeColor="text1"/>
          <w:sz w:val="22"/>
          <w:szCs w:val="22"/>
        </w:rPr>
        <w:t xml:space="preserve"> </w:t>
      </w:r>
      <w:r w:rsidR="001B4FD2" w:rsidRPr="002A5722">
        <w:rPr>
          <w:rFonts w:asciiTheme="minorHAnsi" w:hAnsiTheme="minorHAnsi" w:cstheme="minorHAnsi"/>
          <w:color w:val="000000" w:themeColor="text1"/>
          <w:sz w:val="22"/>
          <w:szCs w:val="22"/>
        </w:rPr>
        <w:t>The original ethical policing principles the code set out were the following: accountability, honesty, integrity, leadership, objectivity, openness and selfless, fairness and respect (COP, 2024). This has now been revised to courage, respect and empathy and public service (COP, 2024).</w:t>
      </w:r>
      <w:r w:rsidRPr="002A5722">
        <w:rPr>
          <w:rFonts w:asciiTheme="minorHAnsi" w:hAnsiTheme="minorHAnsi" w:cstheme="minorHAnsi"/>
          <w:color w:val="000000" w:themeColor="text1"/>
          <w:sz w:val="22"/>
          <w:szCs w:val="22"/>
        </w:rPr>
        <w:t xml:space="preserve"> The code attempts to prevent misconduct from occurring and expects officers to challenge this (Hough et al, 2018). Misconduct, corruption and public scrutiny has tarnished the policing image. Cases involving officers misconduct has caused the public to lose faith in policing (Hough et al, 2018). A recent case being the sacking of Chief constable Sean Price of Clevland police (Hough et al, 2018). </w:t>
      </w:r>
    </w:p>
    <w:p w14:paraId="675BCE8A" w14:textId="77777777" w:rsidR="00C26136" w:rsidRPr="002A5722" w:rsidRDefault="00C26136" w:rsidP="00C26136">
      <w:pPr>
        <w:ind w:right="107"/>
        <w:rPr>
          <w:rFonts w:asciiTheme="minorHAnsi" w:hAnsiTheme="minorHAnsi" w:cstheme="minorHAnsi"/>
          <w:color w:val="000000" w:themeColor="text1"/>
          <w:sz w:val="22"/>
          <w:szCs w:val="22"/>
        </w:rPr>
      </w:pPr>
    </w:p>
    <w:p w14:paraId="138A26BB" w14:textId="021FF8C1"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 xml:space="preserve">The next element of the NDM is to gather information and intelligence. I gathered information from the control room who told me the circumstances, who the individuals were and any previous calls to their address. Through this, I uncovered that the male and female were both involved in previous domestic incidents. This information allowed me to begin phase 2 of the NDM, assess threat and risk and </w:t>
      </w:r>
      <w:r w:rsidR="00C571E3">
        <w:rPr>
          <w:rFonts w:asciiTheme="minorHAnsi" w:hAnsiTheme="minorHAnsi" w:cstheme="minorHAnsi"/>
          <w:color w:val="000000" w:themeColor="text1"/>
          <w:sz w:val="22"/>
          <w:szCs w:val="22"/>
        </w:rPr>
        <w:t xml:space="preserve">develop </w:t>
      </w:r>
      <w:r w:rsidRPr="002A5722">
        <w:rPr>
          <w:rFonts w:asciiTheme="minorHAnsi" w:hAnsiTheme="minorHAnsi" w:cstheme="minorHAnsi"/>
          <w:color w:val="000000" w:themeColor="text1"/>
          <w:sz w:val="22"/>
          <w:szCs w:val="22"/>
        </w:rPr>
        <w:t>a working strategy. Hearing that the male and female had previous domestic histories made me feel cautious in what I was going to walk into. Although it appeared to be a mental health call I was wary that this could be a domestic related incident. Therefore, I assessed the threat harm and risk of the situation and decided that because of the fact there has been previous violent incidents and previous domestic incidents both the male and female would be split up and spoken to separately in order to minimise any threat or harm and keep control of the situation. Doing this made me feel a lot more comfortable ascertaining information as I knew both parties could speak honestly without the other one hearing. Ultimately, I found out that the female had assaulted the male during a mental health crisis.</w:t>
      </w:r>
    </w:p>
    <w:p w14:paraId="15D62E9B" w14:textId="77777777" w:rsidR="00C26136" w:rsidRPr="002A5722" w:rsidRDefault="00C26136" w:rsidP="00C26136">
      <w:pPr>
        <w:ind w:right="107"/>
        <w:rPr>
          <w:rFonts w:asciiTheme="minorHAnsi" w:hAnsiTheme="minorHAnsi" w:cstheme="minorHAnsi"/>
          <w:color w:val="000000" w:themeColor="text1"/>
          <w:sz w:val="22"/>
          <w:szCs w:val="22"/>
        </w:rPr>
      </w:pPr>
    </w:p>
    <w:p w14:paraId="4A02708A" w14:textId="77777777" w:rsidR="002748C2" w:rsidRDefault="00C26136" w:rsidP="00C26136">
      <w:pPr>
        <w:ind w:right="107"/>
        <w:rPr>
          <w:rFonts w:asciiTheme="minorHAnsi" w:hAnsiTheme="minorHAnsi" w:cstheme="minorHAnsi"/>
          <w:i/>
          <w:iCs/>
          <w:color w:val="000000" w:themeColor="text1"/>
          <w:sz w:val="22"/>
          <w:szCs w:val="22"/>
        </w:rPr>
      </w:pPr>
      <w:r w:rsidRPr="002A5722">
        <w:rPr>
          <w:rFonts w:asciiTheme="minorHAnsi" w:hAnsiTheme="minorHAnsi" w:cstheme="minorHAnsi"/>
          <w:color w:val="000000" w:themeColor="text1"/>
          <w:sz w:val="22"/>
          <w:szCs w:val="22"/>
        </w:rPr>
        <w:t xml:space="preserve">The next stages of the NDM </w:t>
      </w:r>
      <w:r w:rsidR="005A22B0">
        <w:rPr>
          <w:rFonts w:asciiTheme="minorHAnsi" w:hAnsiTheme="minorHAnsi" w:cstheme="minorHAnsi"/>
          <w:color w:val="000000" w:themeColor="text1"/>
          <w:sz w:val="22"/>
          <w:szCs w:val="22"/>
        </w:rPr>
        <w:t xml:space="preserve">are to </w:t>
      </w:r>
      <w:r w:rsidRPr="002A5722">
        <w:rPr>
          <w:rFonts w:asciiTheme="minorHAnsi" w:hAnsiTheme="minorHAnsi" w:cstheme="minorHAnsi"/>
          <w:color w:val="000000" w:themeColor="text1"/>
          <w:sz w:val="22"/>
          <w:szCs w:val="22"/>
        </w:rPr>
        <w:t xml:space="preserve">consider powers and policy and identify options and contingencies. I began by assessing the powers I had to deal with the situation. As this was ultimately a mental health crisis I considered the use of </w:t>
      </w:r>
      <w:r w:rsidR="00655761">
        <w:rPr>
          <w:rFonts w:asciiTheme="minorHAnsi" w:hAnsiTheme="minorHAnsi" w:cstheme="minorHAnsi"/>
          <w:color w:val="000000" w:themeColor="text1"/>
          <w:sz w:val="22"/>
          <w:szCs w:val="22"/>
        </w:rPr>
        <w:t xml:space="preserve">S163 powers of the </w:t>
      </w:r>
      <w:r w:rsidR="00655761" w:rsidRPr="000F7C2E">
        <w:rPr>
          <w:rFonts w:asciiTheme="minorHAnsi" w:hAnsiTheme="minorHAnsi" w:cstheme="minorHAnsi"/>
          <w:i/>
          <w:iCs/>
          <w:color w:val="000000" w:themeColor="text1"/>
          <w:sz w:val="22"/>
          <w:szCs w:val="22"/>
        </w:rPr>
        <w:t>Mental Health Act</w:t>
      </w:r>
      <w:r w:rsidR="00655761">
        <w:rPr>
          <w:rFonts w:asciiTheme="minorHAnsi" w:hAnsiTheme="minorHAnsi" w:cstheme="minorHAnsi"/>
          <w:color w:val="000000" w:themeColor="text1"/>
          <w:sz w:val="22"/>
          <w:szCs w:val="22"/>
        </w:rPr>
        <w:t xml:space="preserve"> </w:t>
      </w:r>
      <w:r w:rsidR="000F7C2E">
        <w:rPr>
          <w:rFonts w:asciiTheme="minorHAnsi" w:hAnsiTheme="minorHAnsi" w:cstheme="minorHAnsi"/>
          <w:i/>
          <w:iCs/>
          <w:color w:val="000000" w:themeColor="text1"/>
          <w:sz w:val="22"/>
          <w:szCs w:val="22"/>
        </w:rPr>
        <w:t xml:space="preserve">(1983) </w:t>
      </w:r>
      <w:r w:rsidRPr="002A5722">
        <w:rPr>
          <w:rFonts w:asciiTheme="minorHAnsi" w:hAnsiTheme="minorHAnsi" w:cstheme="minorHAnsi"/>
          <w:color w:val="000000" w:themeColor="text1"/>
          <w:sz w:val="22"/>
          <w:szCs w:val="22"/>
        </w:rPr>
        <w:t>however as the female was within her own home and had capacity, she could not be sectioned</w:t>
      </w:r>
      <w:r w:rsidR="00090BA6">
        <w:rPr>
          <w:rFonts w:asciiTheme="minorHAnsi" w:hAnsiTheme="minorHAnsi" w:cstheme="minorHAnsi"/>
          <w:color w:val="000000" w:themeColor="text1"/>
          <w:sz w:val="22"/>
          <w:szCs w:val="22"/>
        </w:rPr>
        <w:t>.</w:t>
      </w:r>
      <w:r w:rsidR="00655761">
        <w:rPr>
          <w:rFonts w:asciiTheme="minorHAnsi" w:hAnsiTheme="minorHAnsi" w:cstheme="minorHAnsi"/>
          <w:color w:val="000000" w:themeColor="text1"/>
          <w:sz w:val="22"/>
          <w:szCs w:val="22"/>
        </w:rPr>
        <w:t xml:space="preserve"> </w:t>
      </w:r>
      <w:r w:rsidRPr="002A5722">
        <w:rPr>
          <w:rFonts w:asciiTheme="minorHAnsi" w:hAnsiTheme="minorHAnsi" w:cstheme="minorHAnsi"/>
          <w:color w:val="000000" w:themeColor="text1"/>
          <w:sz w:val="22"/>
          <w:szCs w:val="22"/>
        </w:rPr>
        <w:t xml:space="preserve">I considered arresting the female however at the time I felt it was better to try and get her support for her mental health through the use of 111 opt 2. 111 opt 2 is a telephone services run by the NHS in which trained mental health professions can provide support, referrals and advice to those in an immediate mental health crisis (Welsh Government, 2023). I felt this was the most beneficial for the female so she could receive the support she needed however during the call the female became reluctant to engage and would not speak about her mental health so they could not help her. I considered a different option which was to see if she had a place of safety to go, such as with family. However, the female stated she had no friends or family nearby. This coupled with the fact that she was not willing to engage in mental health support meant that I decided the only course of action would be to arrest the female. I considered the impact of the situation if I did not arrest the female. I was concerned </w:t>
      </w:r>
      <w:r w:rsidR="00AF1722">
        <w:rPr>
          <w:rFonts w:asciiTheme="minorHAnsi" w:hAnsiTheme="minorHAnsi" w:cstheme="minorHAnsi"/>
          <w:color w:val="000000" w:themeColor="text1"/>
          <w:sz w:val="22"/>
          <w:szCs w:val="22"/>
        </w:rPr>
        <w:t xml:space="preserve">that </w:t>
      </w:r>
      <w:r w:rsidRPr="002A5722">
        <w:rPr>
          <w:rFonts w:asciiTheme="minorHAnsi" w:hAnsiTheme="minorHAnsi" w:cstheme="minorHAnsi"/>
          <w:color w:val="000000" w:themeColor="text1"/>
          <w:sz w:val="22"/>
          <w:szCs w:val="22"/>
        </w:rPr>
        <w:t>if I left the female in the property we would have further calls</w:t>
      </w:r>
      <w:r w:rsidR="00AF1722">
        <w:rPr>
          <w:rFonts w:asciiTheme="minorHAnsi" w:hAnsiTheme="minorHAnsi" w:cstheme="minorHAnsi"/>
          <w:color w:val="000000" w:themeColor="text1"/>
          <w:sz w:val="22"/>
          <w:szCs w:val="22"/>
        </w:rPr>
        <w:t xml:space="preserve"> from the property. </w:t>
      </w:r>
      <w:r w:rsidRPr="002A5722">
        <w:rPr>
          <w:rFonts w:asciiTheme="minorHAnsi" w:hAnsiTheme="minorHAnsi" w:cstheme="minorHAnsi"/>
          <w:color w:val="000000" w:themeColor="text1"/>
          <w:sz w:val="22"/>
          <w:szCs w:val="22"/>
        </w:rPr>
        <w:t xml:space="preserve">I knew if she was arrested she could be signposted to mental health support. </w:t>
      </w:r>
    </w:p>
    <w:p w14:paraId="5FB0C361" w14:textId="7D1C840A" w:rsidR="00C26136" w:rsidRPr="002748C2" w:rsidRDefault="00C26136" w:rsidP="00C26136">
      <w:pPr>
        <w:ind w:right="107"/>
        <w:rPr>
          <w:rFonts w:asciiTheme="minorHAnsi" w:hAnsiTheme="minorHAnsi" w:cstheme="minorHAnsi"/>
          <w:i/>
          <w:iCs/>
          <w:color w:val="000000" w:themeColor="text1"/>
          <w:sz w:val="22"/>
          <w:szCs w:val="22"/>
        </w:rPr>
      </w:pPr>
      <w:r w:rsidRPr="002A5722">
        <w:rPr>
          <w:rFonts w:asciiTheme="minorHAnsi" w:hAnsiTheme="minorHAnsi" w:cstheme="minorHAnsi"/>
          <w:color w:val="000000" w:themeColor="text1"/>
          <w:sz w:val="22"/>
          <w:szCs w:val="22"/>
        </w:rPr>
        <w:lastRenderedPageBreak/>
        <w:t xml:space="preserve">The last part of the NDM is to take action and review what happened. This also coincides with Gibbs (1988) reflective model as the final 4 stages are evaluation, analysis, conclusion and action plan. In this incident I took positive action as per domestic abuse guidelines and arrested the female as I had exhausted every other action to remove the risk (Johnson and Hohl, 2023). This was ultimately </w:t>
      </w:r>
      <w:r w:rsidR="00495042">
        <w:rPr>
          <w:rFonts w:asciiTheme="minorHAnsi" w:hAnsiTheme="minorHAnsi" w:cstheme="minorHAnsi"/>
          <w:color w:val="000000" w:themeColor="text1"/>
          <w:sz w:val="22"/>
          <w:szCs w:val="22"/>
        </w:rPr>
        <w:t xml:space="preserve">a </w:t>
      </w:r>
      <w:r w:rsidRPr="002A5722">
        <w:rPr>
          <w:rFonts w:asciiTheme="minorHAnsi" w:hAnsiTheme="minorHAnsi" w:cstheme="minorHAnsi"/>
          <w:color w:val="000000" w:themeColor="text1"/>
          <w:sz w:val="22"/>
          <w:szCs w:val="22"/>
        </w:rPr>
        <w:t xml:space="preserve">decision I did not want to have to make but one that was necessary to protect the male from further harm and carry out my positive action duty to make everyone safe (COP, 2024). The code of ethics underpinned every decision I made. I took leadership in making decisions and choosing different options to deal with the incident before coming to the decision to arrest. I was open and honest with the female of why she was being arrested and what options </w:t>
      </w:r>
      <w:r w:rsidR="005E30C8">
        <w:rPr>
          <w:rFonts w:asciiTheme="minorHAnsi" w:hAnsiTheme="minorHAnsi" w:cstheme="minorHAnsi"/>
          <w:color w:val="000000" w:themeColor="text1"/>
          <w:sz w:val="22"/>
          <w:szCs w:val="22"/>
        </w:rPr>
        <w:t>I could give her.</w:t>
      </w:r>
      <w:r w:rsidRPr="002A5722">
        <w:rPr>
          <w:rFonts w:asciiTheme="minorHAnsi" w:hAnsiTheme="minorHAnsi" w:cstheme="minorHAnsi"/>
          <w:color w:val="000000" w:themeColor="text1"/>
          <w:sz w:val="22"/>
          <w:szCs w:val="22"/>
        </w:rPr>
        <w:t xml:space="preserve"> I showed courage in my decision to arrest and served the public by protecting the male from further harm.</w:t>
      </w:r>
      <w:r w:rsidR="005E30C8">
        <w:rPr>
          <w:rFonts w:asciiTheme="minorHAnsi" w:hAnsiTheme="minorHAnsi" w:cstheme="minorHAnsi"/>
          <w:color w:val="000000" w:themeColor="text1"/>
          <w:sz w:val="22"/>
          <w:szCs w:val="22"/>
        </w:rPr>
        <w:t xml:space="preserve"> </w:t>
      </w:r>
      <w:r w:rsidRPr="002A5722">
        <w:rPr>
          <w:rFonts w:asciiTheme="minorHAnsi" w:hAnsiTheme="minorHAnsi" w:cstheme="minorHAnsi"/>
          <w:color w:val="000000" w:themeColor="text1"/>
          <w:sz w:val="22"/>
          <w:szCs w:val="22"/>
        </w:rPr>
        <w:t>Reflecting on what worked well during this incident was splitting up the male and female, this allowed for the male to be honest in his acknowledgement that the female had committed an offence of assault against him. One thing that did not work well was the engagement with 111 opt 2 as the female did not engage with it. This incident taught me to exhaust every option possible before arresting someone in a mental health crisis and to make sure that they are referred to support services after. However, in this instance arresting the female gave her a second chance to access treatment for her mental health issues (Her Majesty’s Inspectorate of Probation, 2022). In the future I will continue to do this so I can be confident I did every</w:t>
      </w:r>
      <w:r w:rsidR="00EC6125">
        <w:rPr>
          <w:rFonts w:asciiTheme="minorHAnsi" w:hAnsiTheme="minorHAnsi" w:cstheme="minorHAnsi"/>
          <w:color w:val="000000" w:themeColor="text1"/>
          <w:sz w:val="22"/>
          <w:szCs w:val="22"/>
        </w:rPr>
        <w:t>thing</w:t>
      </w:r>
      <w:r w:rsidRPr="002A5722">
        <w:rPr>
          <w:rFonts w:asciiTheme="minorHAnsi" w:hAnsiTheme="minorHAnsi" w:cstheme="minorHAnsi"/>
          <w:color w:val="000000" w:themeColor="text1"/>
          <w:sz w:val="22"/>
          <w:szCs w:val="22"/>
        </w:rPr>
        <w:t xml:space="preserve"> possible first before having to arrest someone. </w:t>
      </w:r>
    </w:p>
    <w:p w14:paraId="00AFDDC1" w14:textId="77777777" w:rsidR="00C26136" w:rsidRPr="002A5722" w:rsidRDefault="00C26136" w:rsidP="00C26136">
      <w:pPr>
        <w:ind w:right="107"/>
        <w:rPr>
          <w:rFonts w:asciiTheme="minorHAnsi" w:hAnsiTheme="minorHAnsi" w:cstheme="minorHAnsi"/>
          <w:color w:val="000000" w:themeColor="text1"/>
          <w:sz w:val="22"/>
          <w:szCs w:val="22"/>
        </w:rPr>
      </w:pPr>
    </w:p>
    <w:p w14:paraId="1B443AD4" w14:textId="557566B4"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 xml:space="preserve">The CPIA 1996 ‘aims to ensure that criminal investigations are conducted in a fair, objective and through manner’ (Attorney General’s Office, 2013, p.4). The CPIA details how officers should ‘record, retain and reveal to the prosecutor material obtained in a criminal investigation which may be relevant to the investigation’ (MOJ, 2020, p.3). Material is defined as anything that is obtained in the investigation which may be relevant to the investigation of the offence such as </w:t>
      </w:r>
      <w:proofErr w:type="spellStart"/>
      <w:r w:rsidRPr="002A5722">
        <w:rPr>
          <w:rFonts w:asciiTheme="minorHAnsi" w:hAnsiTheme="minorHAnsi" w:cstheme="minorHAnsi"/>
          <w:color w:val="000000" w:themeColor="text1"/>
          <w:sz w:val="22"/>
          <w:szCs w:val="22"/>
        </w:rPr>
        <w:t>cctv</w:t>
      </w:r>
      <w:proofErr w:type="spellEnd"/>
      <w:r w:rsidRPr="002A5722">
        <w:rPr>
          <w:rFonts w:asciiTheme="minorHAnsi" w:hAnsiTheme="minorHAnsi" w:cstheme="minorHAnsi"/>
          <w:color w:val="000000" w:themeColor="text1"/>
          <w:sz w:val="22"/>
          <w:szCs w:val="22"/>
        </w:rPr>
        <w:t xml:space="preserve"> (CPS, 2022). Relevant material is anything that</w:t>
      </w:r>
      <w:r w:rsidR="00647D16">
        <w:rPr>
          <w:rFonts w:asciiTheme="minorHAnsi" w:hAnsiTheme="minorHAnsi" w:cstheme="minorHAnsi"/>
          <w:color w:val="000000" w:themeColor="text1"/>
          <w:sz w:val="22"/>
          <w:szCs w:val="22"/>
        </w:rPr>
        <w:t xml:space="preserve"> ultimately has a baring on the offence, person who is being investigated </w:t>
      </w:r>
      <w:r w:rsidR="00E52CE6">
        <w:rPr>
          <w:rFonts w:asciiTheme="minorHAnsi" w:hAnsiTheme="minorHAnsi" w:cstheme="minorHAnsi"/>
          <w:color w:val="000000" w:themeColor="text1"/>
          <w:sz w:val="22"/>
          <w:szCs w:val="22"/>
        </w:rPr>
        <w:t>or</w:t>
      </w:r>
      <w:r w:rsidR="00647D16">
        <w:rPr>
          <w:rFonts w:asciiTheme="minorHAnsi" w:hAnsiTheme="minorHAnsi" w:cstheme="minorHAnsi"/>
          <w:color w:val="000000" w:themeColor="text1"/>
          <w:sz w:val="22"/>
          <w:szCs w:val="22"/>
        </w:rPr>
        <w:t xml:space="preserve"> the circumstances of the offence (CPS, 2022). </w:t>
      </w:r>
      <w:r w:rsidRPr="002A5722">
        <w:rPr>
          <w:rFonts w:asciiTheme="minorHAnsi" w:hAnsiTheme="minorHAnsi" w:cstheme="minorHAnsi"/>
          <w:color w:val="000000" w:themeColor="text1"/>
          <w:sz w:val="22"/>
          <w:szCs w:val="22"/>
        </w:rPr>
        <w:t xml:space="preserve">Some evidence is not relevant to the investigation yet the CPIA still requires officers to provide all unused material to the CPS and prosecutor who considers whether to disclose to the defence </w:t>
      </w:r>
      <w:r w:rsidR="00647D16">
        <w:rPr>
          <w:rFonts w:asciiTheme="minorHAnsi" w:hAnsiTheme="minorHAnsi" w:cstheme="minorHAnsi"/>
          <w:color w:val="000000" w:themeColor="text1"/>
          <w:sz w:val="22"/>
          <w:szCs w:val="22"/>
        </w:rPr>
        <w:t>(CPS, 2022</w:t>
      </w:r>
      <w:r w:rsidRPr="002A5722">
        <w:rPr>
          <w:rFonts w:asciiTheme="minorHAnsi" w:hAnsiTheme="minorHAnsi" w:cstheme="minorHAnsi"/>
          <w:color w:val="000000" w:themeColor="text1"/>
          <w:sz w:val="22"/>
          <w:szCs w:val="22"/>
        </w:rPr>
        <w:t>). Disclosure is a process which provides the defence material which could undermine the prosecution case or assist in their defence (Anderson, Sampson and Gilroy, 2021). The cps will decide which information should be disclosed. Failure to disclose material can have implications for Article 6 of the ECHR as it is a right for any person to have a fair trial (Anderson, Sampson and Gilroy, 2021).</w:t>
      </w:r>
    </w:p>
    <w:p w14:paraId="69FCFBD2" w14:textId="77777777" w:rsidR="00C26136" w:rsidRPr="002A5722" w:rsidRDefault="00C26136" w:rsidP="00C26136">
      <w:pPr>
        <w:ind w:right="107"/>
        <w:rPr>
          <w:rFonts w:asciiTheme="minorHAnsi" w:hAnsiTheme="minorHAnsi" w:cstheme="minorHAnsi"/>
          <w:color w:val="000000" w:themeColor="text1"/>
          <w:sz w:val="22"/>
          <w:szCs w:val="22"/>
        </w:rPr>
      </w:pPr>
    </w:p>
    <w:p w14:paraId="2391A1A5" w14:textId="1E604817" w:rsidR="00C26136" w:rsidRPr="002A5722"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The CPIA stresses the importance of disclosing relevant material in criminal trials. The CPIA sets out to disprove the idea that police ignore important facts that could prove innocence (</w:t>
      </w:r>
      <w:r w:rsidR="00E4383B">
        <w:rPr>
          <w:rFonts w:asciiTheme="minorHAnsi" w:hAnsiTheme="minorHAnsi" w:cstheme="minorHAnsi"/>
          <w:color w:val="000000" w:themeColor="text1"/>
          <w:sz w:val="22"/>
          <w:szCs w:val="22"/>
        </w:rPr>
        <w:t>Anderson, Sampson, Gilroy, 2021</w:t>
      </w:r>
      <w:r w:rsidRPr="002A5722">
        <w:rPr>
          <w:rFonts w:asciiTheme="minorHAnsi" w:hAnsiTheme="minorHAnsi" w:cstheme="minorHAnsi"/>
          <w:color w:val="000000" w:themeColor="text1"/>
          <w:sz w:val="22"/>
          <w:szCs w:val="22"/>
        </w:rPr>
        <w:t>). This is seen in high profile cases of miscarriages of justice such as the Birmingham six and Guildford four (</w:t>
      </w:r>
      <w:r w:rsidR="00E4383B">
        <w:rPr>
          <w:rFonts w:asciiTheme="minorHAnsi" w:hAnsiTheme="minorHAnsi" w:cstheme="minorHAnsi"/>
          <w:color w:val="000000" w:themeColor="text1"/>
          <w:sz w:val="22"/>
          <w:szCs w:val="22"/>
        </w:rPr>
        <w:t>Andreson, Sampson, Gilroy, 2021</w:t>
      </w:r>
      <w:r w:rsidRPr="002A5722">
        <w:rPr>
          <w:rFonts w:asciiTheme="minorHAnsi" w:hAnsiTheme="minorHAnsi" w:cstheme="minorHAnsi"/>
          <w:color w:val="000000" w:themeColor="text1"/>
          <w:sz w:val="22"/>
          <w:szCs w:val="22"/>
        </w:rPr>
        <w:t xml:space="preserve">). Recently, this has been seen In the Liam Allan case where the central failure was the failure to disclose relevant material that would have exonerated the male (Dennis, 2018). In order to prevent this, I will disclosure all relevant material to the cps and defence and any unused material that arises during the investigation. I will liaise with the cps in making sure that I disclose and submit all relevant and unused material. This is still at the interview stage so I will look to do all of this in due course. </w:t>
      </w:r>
    </w:p>
    <w:p w14:paraId="525E489B" w14:textId="77777777" w:rsidR="00C26136" w:rsidRPr="002A5722" w:rsidRDefault="00C26136" w:rsidP="00C26136">
      <w:pPr>
        <w:ind w:right="107"/>
        <w:rPr>
          <w:rFonts w:asciiTheme="minorHAnsi" w:hAnsiTheme="minorHAnsi" w:cstheme="minorHAnsi"/>
          <w:color w:val="000000" w:themeColor="text1"/>
          <w:sz w:val="22"/>
          <w:szCs w:val="22"/>
        </w:rPr>
      </w:pPr>
    </w:p>
    <w:p w14:paraId="24F30D7C" w14:textId="657C8F5B" w:rsidR="00C26136" w:rsidRDefault="00C26136" w:rsidP="00C26136">
      <w:pPr>
        <w:ind w:right="107"/>
        <w:rPr>
          <w:rFonts w:asciiTheme="minorHAnsi" w:hAnsiTheme="minorHAnsi" w:cstheme="minorHAnsi"/>
          <w:color w:val="000000" w:themeColor="text1"/>
          <w:sz w:val="22"/>
          <w:szCs w:val="22"/>
        </w:rPr>
      </w:pPr>
      <w:r w:rsidRPr="002A5722">
        <w:rPr>
          <w:rFonts w:asciiTheme="minorHAnsi" w:hAnsiTheme="minorHAnsi" w:cstheme="minorHAnsi"/>
          <w:color w:val="000000" w:themeColor="text1"/>
          <w:sz w:val="22"/>
          <w:szCs w:val="22"/>
        </w:rPr>
        <w:t xml:space="preserve">This essay </w:t>
      </w:r>
      <w:r w:rsidR="00D52381">
        <w:rPr>
          <w:rFonts w:asciiTheme="minorHAnsi" w:hAnsiTheme="minorHAnsi" w:cstheme="minorHAnsi"/>
          <w:color w:val="000000" w:themeColor="text1"/>
          <w:sz w:val="22"/>
          <w:szCs w:val="22"/>
        </w:rPr>
        <w:t xml:space="preserve">discussed how </w:t>
      </w:r>
      <w:r w:rsidRPr="002A5722">
        <w:rPr>
          <w:rFonts w:asciiTheme="minorHAnsi" w:hAnsiTheme="minorHAnsi" w:cstheme="minorHAnsi"/>
          <w:color w:val="000000" w:themeColor="text1"/>
          <w:sz w:val="22"/>
          <w:szCs w:val="22"/>
        </w:rPr>
        <w:t xml:space="preserve">I utilised the NDM </w:t>
      </w:r>
      <w:r w:rsidR="00D52381">
        <w:rPr>
          <w:rFonts w:asciiTheme="minorHAnsi" w:hAnsiTheme="minorHAnsi" w:cstheme="minorHAnsi"/>
          <w:color w:val="000000" w:themeColor="text1"/>
          <w:sz w:val="22"/>
          <w:szCs w:val="22"/>
        </w:rPr>
        <w:t xml:space="preserve">to deal with an incident I was involved with. I used Gibbs (1988) model </w:t>
      </w:r>
      <w:r w:rsidR="007D48D6">
        <w:rPr>
          <w:rFonts w:asciiTheme="minorHAnsi" w:hAnsiTheme="minorHAnsi" w:cstheme="minorHAnsi"/>
          <w:color w:val="000000" w:themeColor="text1"/>
          <w:sz w:val="22"/>
          <w:szCs w:val="22"/>
        </w:rPr>
        <w:t>to provide an overview of what the NDM is</w:t>
      </w:r>
      <w:r w:rsidR="002748C2">
        <w:rPr>
          <w:rFonts w:asciiTheme="minorHAnsi" w:hAnsiTheme="minorHAnsi" w:cstheme="minorHAnsi"/>
          <w:color w:val="000000" w:themeColor="text1"/>
          <w:sz w:val="22"/>
          <w:szCs w:val="22"/>
        </w:rPr>
        <w:t>,</w:t>
      </w:r>
      <w:r w:rsidR="007D48D6">
        <w:rPr>
          <w:rFonts w:asciiTheme="minorHAnsi" w:hAnsiTheme="minorHAnsi" w:cstheme="minorHAnsi"/>
          <w:color w:val="000000" w:themeColor="text1"/>
          <w:sz w:val="22"/>
          <w:szCs w:val="22"/>
        </w:rPr>
        <w:t xml:space="preserve"> its stages and what decisions I made</w:t>
      </w:r>
      <w:r w:rsidR="00653CBD">
        <w:rPr>
          <w:rFonts w:asciiTheme="minorHAnsi" w:hAnsiTheme="minorHAnsi" w:cstheme="minorHAnsi"/>
          <w:color w:val="000000" w:themeColor="text1"/>
          <w:sz w:val="22"/>
          <w:szCs w:val="22"/>
        </w:rPr>
        <w:t xml:space="preserve"> at each stage using my own discretion. This essay </w:t>
      </w:r>
      <w:r w:rsidRPr="002A5722">
        <w:rPr>
          <w:rFonts w:asciiTheme="minorHAnsi" w:hAnsiTheme="minorHAnsi" w:cstheme="minorHAnsi"/>
          <w:color w:val="000000" w:themeColor="text1"/>
          <w:sz w:val="22"/>
          <w:szCs w:val="22"/>
        </w:rPr>
        <w:t xml:space="preserve">emphasised the importance of the code of ethics </w:t>
      </w:r>
      <w:r w:rsidR="00653CBD">
        <w:rPr>
          <w:rFonts w:asciiTheme="minorHAnsi" w:hAnsiTheme="minorHAnsi" w:cstheme="minorHAnsi"/>
          <w:color w:val="000000" w:themeColor="text1"/>
          <w:sz w:val="22"/>
          <w:szCs w:val="22"/>
        </w:rPr>
        <w:t xml:space="preserve">shaping every decision </w:t>
      </w:r>
      <w:r w:rsidRPr="002A5722">
        <w:rPr>
          <w:rFonts w:asciiTheme="minorHAnsi" w:hAnsiTheme="minorHAnsi" w:cstheme="minorHAnsi"/>
          <w:color w:val="000000" w:themeColor="text1"/>
          <w:sz w:val="22"/>
          <w:szCs w:val="22"/>
        </w:rPr>
        <w:t>I made</w:t>
      </w:r>
      <w:r w:rsidR="002748C2">
        <w:rPr>
          <w:rFonts w:asciiTheme="minorHAnsi" w:hAnsiTheme="minorHAnsi" w:cstheme="minorHAnsi"/>
          <w:color w:val="000000" w:themeColor="text1"/>
          <w:sz w:val="22"/>
          <w:szCs w:val="22"/>
        </w:rPr>
        <w:t xml:space="preserve">. </w:t>
      </w:r>
      <w:r w:rsidRPr="002A5722">
        <w:rPr>
          <w:rFonts w:asciiTheme="minorHAnsi" w:hAnsiTheme="minorHAnsi" w:cstheme="minorHAnsi"/>
          <w:color w:val="000000" w:themeColor="text1"/>
          <w:sz w:val="22"/>
          <w:szCs w:val="22"/>
        </w:rPr>
        <w:t xml:space="preserve">This essay then discussed how I felt during these stages and what I ultimately decided to do </w:t>
      </w:r>
      <w:r w:rsidR="00653CBD">
        <w:rPr>
          <w:rFonts w:asciiTheme="minorHAnsi" w:hAnsiTheme="minorHAnsi" w:cstheme="minorHAnsi"/>
          <w:color w:val="000000" w:themeColor="text1"/>
          <w:sz w:val="22"/>
          <w:szCs w:val="22"/>
        </w:rPr>
        <w:t xml:space="preserve">which was to arrest the female </w:t>
      </w:r>
      <w:r w:rsidRPr="002A5722">
        <w:rPr>
          <w:rFonts w:asciiTheme="minorHAnsi" w:hAnsiTheme="minorHAnsi" w:cstheme="minorHAnsi"/>
          <w:color w:val="000000" w:themeColor="text1"/>
          <w:sz w:val="22"/>
          <w:szCs w:val="22"/>
        </w:rPr>
        <w:t xml:space="preserve">and reviewed my performance in terms of what worked and what I learnt from the incident. </w:t>
      </w:r>
      <w:r w:rsidR="00653CBD">
        <w:rPr>
          <w:rFonts w:asciiTheme="minorHAnsi" w:hAnsiTheme="minorHAnsi" w:cstheme="minorHAnsi"/>
          <w:color w:val="000000" w:themeColor="text1"/>
          <w:sz w:val="22"/>
          <w:szCs w:val="22"/>
        </w:rPr>
        <w:t xml:space="preserve">I ultimately learnt to exhaust all possible options before arresting someone. </w:t>
      </w:r>
      <w:r w:rsidRPr="002A5722">
        <w:rPr>
          <w:rFonts w:asciiTheme="minorHAnsi" w:hAnsiTheme="minorHAnsi" w:cstheme="minorHAnsi"/>
          <w:color w:val="000000" w:themeColor="text1"/>
          <w:sz w:val="22"/>
          <w:szCs w:val="22"/>
        </w:rPr>
        <w:t xml:space="preserve">This essay then discussed the CPIA, what it is, why </w:t>
      </w:r>
      <w:r w:rsidR="00D83905" w:rsidRPr="002A5722">
        <w:rPr>
          <w:rFonts w:asciiTheme="minorHAnsi" w:hAnsiTheme="minorHAnsi" w:cstheme="minorHAnsi"/>
          <w:color w:val="000000" w:themeColor="text1"/>
          <w:sz w:val="22"/>
          <w:szCs w:val="22"/>
        </w:rPr>
        <w:t>it’s</w:t>
      </w:r>
      <w:r w:rsidRPr="002A5722">
        <w:rPr>
          <w:rFonts w:asciiTheme="minorHAnsi" w:hAnsiTheme="minorHAnsi" w:cstheme="minorHAnsi"/>
          <w:color w:val="000000" w:themeColor="text1"/>
          <w:sz w:val="22"/>
          <w:szCs w:val="22"/>
        </w:rPr>
        <w:t xml:space="preserve"> important to prevent miscarriages of justice and my responsibilities going forward in the case</w:t>
      </w:r>
      <w:r w:rsidR="00653CBD">
        <w:rPr>
          <w:rFonts w:asciiTheme="minorHAnsi" w:hAnsiTheme="minorHAnsi" w:cstheme="minorHAnsi"/>
          <w:color w:val="000000" w:themeColor="text1"/>
          <w:sz w:val="22"/>
          <w:szCs w:val="22"/>
        </w:rPr>
        <w:t xml:space="preserve"> which are to disclose all relevant material to the CPS when this goes to trial so that the female can have a fair trial as per human rights laws.</w:t>
      </w:r>
    </w:p>
    <w:p w14:paraId="3A52FCAC" w14:textId="5AA4302E" w:rsidR="002748C2" w:rsidRPr="002748C2" w:rsidRDefault="002748C2" w:rsidP="00C26136">
      <w:pPr>
        <w:ind w:right="107"/>
        <w:rPr>
          <w:rFonts w:asciiTheme="minorHAnsi" w:hAnsiTheme="minorHAnsi" w:cstheme="minorHAnsi"/>
          <w:b/>
          <w:bCs/>
          <w:color w:val="000000" w:themeColor="text1"/>
          <w:sz w:val="22"/>
          <w:szCs w:val="22"/>
        </w:rPr>
      </w:pPr>
      <w:r w:rsidRPr="002748C2">
        <w:rPr>
          <w:rFonts w:asciiTheme="minorHAnsi" w:hAnsiTheme="minorHAnsi" w:cstheme="minorHAnsi"/>
          <w:b/>
          <w:bCs/>
          <w:color w:val="000000" w:themeColor="text1"/>
          <w:sz w:val="22"/>
          <w:szCs w:val="22"/>
        </w:rPr>
        <w:t>Words: 1925</w:t>
      </w:r>
    </w:p>
    <w:p w14:paraId="592CAEBA" w14:textId="6CFDCC57" w:rsidR="000F7ECD" w:rsidRPr="002748C2" w:rsidRDefault="000F7ECD" w:rsidP="002748C2">
      <w:pPr>
        <w:ind w:right="107"/>
        <w:sectPr w:rsidR="000F7ECD" w:rsidRPr="002748C2"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0FA9002C"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Andersen et al. (2015) ‘Applying resilience promotion training among special forces police officers’, </w:t>
      </w:r>
      <w:r w:rsidRPr="002748C2">
        <w:rPr>
          <w:rFonts w:asciiTheme="minorHAnsi" w:eastAsiaTheme="minorHAnsi" w:hAnsiTheme="minorHAnsi" w:cstheme="minorHAnsi"/>
          <w:i/>
          <w:color w:val="auto"/>
          <w:kern w:val="2"/>
          <w:sz w:val="22"/>
          <w:szCs w:val="22"/>
          <w:lang w:eastAsia="en-US"/>
          <w14:ligatures w14:val="standardContextual"/>
        </w:rPr>
        <w:t xml:space="preserve">SAGE Open, </w:t>
      </w:r>
      <w:r w:rsidRPr="002748C2">
        <w:rPr>
          <w:rFonts w:asciiTheme="minorHAnsi" w:eastAsiaTheme="minorHAnsi" w:hAnsiTheme="minorHAnsi" w:cstheme="minorHAnsi"/>
          <w:color w:val="auto"/>
          <w:kern w:val="2"/>
          <w:sz w:val="22"/>
          <w:szCs w:val="22"/>
          <w:lang w:eastAsia="en-US"/>
          <w14:ligatures w14:val="standardContextual"/>
        </w:rPr>
        <w:t xml:space="preserve">5(2), pp. 1-8. </w:t>
      </w:r>
    </w:p>
    <w:p w14:paraId="25305024" w14:textId="2E5311BA" w:rsidR="00BD7C76" w:rsidRPr="002748C2" w:rsidRDefault="00BD7C76" w:rsidP="00BD7C76">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Anderson, P., Sampson, D. and Gilroy, S. (2021) ‘Digital investigations: relevance and confidence in disclosure’, </w:t>
      </w:r>
      <w:r w:rsidR="006C56B2" w:rsidRPr="002748C2">
        <w:rPr>
          <w:rFonts w:asciiTheme="minorHAnsi" w:eastAsiaTheme="minorHAnsi" w:hAnsiTheme="minorHAnsi" w:cstheme="minorHAnsi"/>
          <w:i/>
          <w:iCs/>
          <w:color w:val="auto"/>
          <w:kern w:val="2"/>
          <w:sz w:val="22"/>
          <w:szCs w:val="22"/>
          <w:lang w:eastAsia="en-US"/>
          <w14:ligatures w14:val="standardContextual"/>
        </w:rPr>
        <w:t xml:space="preserve">ERA Forum, </w:t>
      </w:r>
      <w:r w:rsidRPr="002748C2">
        <w:rPr>
          <w:rFonts w:asciiTheme="minorHAnsi" w:eastAsiaTheme="minorHAnsi" w:hAnsiTheme="minorHAnsi" w:cstheme="minorHAnsi"/>
          <w:color w:val="auto"/>
          <w:kern w:val="2"/>
          <w:sz w:val="22"/>
          <w:szCs w:val="22"/>
          <w:lang w:eastAsia="en-US"/>
          <w14:ligatures w14:val="standardContextual"/>
        </w:rPr>
        <w:t xml:space="preserve">22(1), pp. 587-599. </w:t>
      </w:r>
    </w:p>
    <w:p w14:paraId="62D2DC20" w14:textId="5E1064B1" w:rsidR="008E0996" w:rsidRPr="002748C2" w:rsidRDefault="008E0996" w:rsidP="00BD7C76">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Attorney General’s Office (2013) </w:t>
      </w:r>
      <w:r w:rsidRPr="002748C2">
        <w:rPr>
          <w:rFonts w:asciiTheme="minorHAnsi" w:eastAsiaTheme="minorHAnsi" w:hAnsiTheme="minorHAnsi" w:cstheme="minorHAnsi"/>
          <w:i/>
          <w:iCs/>
          <w:color w:val="auto"/>
          <w:kern w:val="2"/>
          <w:sz w:val="22"/>
          <w:szCs w:val="22"/>
          <w:lang w:eastAsia="en-US"/>
          <w14:ligatures w14:val="standardContextual"/>
        </w:rPr>
        <w:t xml:space="preserve">Attorney Generals Guidelines on Disclosure. For investigators, prosecutors and defence practitioners’.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15" w:history="1">
        <w:r w:rsidRPr="002748C2">
          <w:rPr>
            <w:rFonts w:asciiTheme="minorHAnsi" w:eastAsiaTheme="minorHAnsi" w:hAnsiTheme="minorHAnsi" w:cstheme="minorHAnsi"/>
            <w:color w:val="0000FF"/>
            <w:kern w:val="2"/>
            <w:sz w:val="22"/>
            <w:szCs w:val="22"/>
            <w:u w:val="single"/>
            <w:lang w:eastAsia="en-US"/>
            <w14:ligatures w14:val="standardContextual"/>
          </w:rPr>
          <w:t>AG_Disclosure_Guidelines_-_December_2013.pdf (publishing.service.gov.uk)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02 June 2024). </w:t>
      </w:r>
    </w:p>
    <w:p w14:paraId="61784697"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t>Beehr</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T.A. and Newman, J.E. (1978) ‘Job stress, employee health and organisational effectiveness: A facet analysis, model and literature review 1’, </w:t>
      </w:r>
      <w:r w:rsidRPr="002748C2">
        <w:rPr>
          <w:rFonts w:asciiTheme="minorHAnsi" w:eastAsiaTheme="minorHAnsi" w:hAnsiTheme="minorHAnsi" w:cstheme="minorHAnsi"/>
          <w:i/>
          <w:color w:val="auto"/>
          <w:kern w:val="2"/>
          <w:sz w:val="22"/>
          <w:szCs w:val="22"/>
          <w:lang w:eastAsia="en-US"/>
          <w14:ligatures w14:val="standardContextual"/>
        </w:rPr>
        <w:t xml:space="preserve">Personnel Psychology, </w:t>
      </w:r>
      <w:r w:rsidRPr="002748C2">
        <w:rPr>
          <w:rFonts w:asciiTheme="minorHAnsi" w:eastAsiaTheme="minorHAnsi" w:hAnsiTheme="minorHAnsi" w:cstheme="minorHAnsi"/>
          <w:color w:val="auto"/>
          <w:kern w:val="2"/>
          <w:sz w:val="22"/>
          <w:szCs w:val="22"/>
          <w:lang w:eastAsia="en-US"/>
          <w14:ligatures w14:val="standardContextual"/>
        </w:rPr>
        <w:t xml:space="preserve">31(4), pp. 665-699. </w:t>
      </w:r>
    </w:p>
    <w:p w14:paraId="5E38E7F2"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Bonanno, G.A. (2004) ‘Loss, trauma and human resilience: Have we underestimated the human capacity to thrive after extremely aversive events?’, </w:t>
      </w:r>
      <w:r w:rsidRPr="002748C2">
        <w:rPr>
          <w:rFonts w:asciiTheme="minorHAnsi" w:eastAsiaTheme="minorHAnsi" w:hAnsiTheme="minorHAnsi" w:cstheme="minorHAnsi"/>
          <w:i/>
          <w:color w:val="auto"/>
          <w:kern w:val="2"/>
          <w:sz w:val="22"/>
          <w:szCs w:val="22"/>
          <w:lang w:eastAsia="en-US"/>
          <w14:ligatures w14:val="standardContextual"/>
        </w:rPr>
        <w:t xml:space="preserve">American Psychologist, </w:t>
      </w:r>
      <w:r w:rsidRPr="002748C2">
        <w:rPr>
          <w:rFonts w:asciiTheme="minorHAnsi" w:eastAsiaTheme="minorHAnsi" w:hAnsiTheme="minorHAnsi" w:cstheme="minorHAnsi"/>
          <w:color w:val="auto"/>
          <w:kern w:val="2"/>
          <w:sz w:val="22"/>
          <w:szCs w:val="22"/>
          <w:lang w:eastAsia="en-US"/>
          <w14:ligatures w14:val="standardContextual"/>
        </w:rPr>
        <w:t>59(1), pp. 20-28.</w:t>
      </w:r>
    </w:p>
    <w:p w14:paraId="637AD78B" w14:textId="1947B08D" w:rsidR="00F51E31" w:rsidRPr="002748C2" w:rsidRDefault="00F51E31"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Borton, T. (1970) Reach Touch and Teach. New York: McGraw-Hill Paperbacks.</w:t>
      </w:r>
    </w:p>
    <w:p w14:paraId="4A3EEFC9" w14:textId="7A7C5B43" w:rsidR="001E4BD9" w:rsidRPr="002748C2" w:rsidRDefault="001E4BD9" w:rsidP="001E4BD9">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Briones-Robinson, R., Powers, R.A. and Socia, K.M (2016) ‘Sexual orientation bias crimes: Examination of reporting, perception of police bias, and differential police response’, </w:t>
      </w:r>
      <w:r w:rsidRPr="002748C2">
        <w:rPr>
          <w:rFonts w:asciiTheme="minorHAnsi" w:eastAsiaTheme="minorHAnsi" w:hAnsiTheme="minorHAnsi" w:cstheme="minorHAnsi"/>
          <w:i/>
          <w:iCs/>
          <w:color w:val="auto"/>
          <w:kern w:val="2"/>
          <w:sz w:val="22"/>
          <w:szCs w:val="22"/>
          <w:lang w:eastAsia="en-US"/>
          <w14:ligatures w14:val="standardContextual"/>
        </w:rPr>
        <w:t xml:space="preserve">Criminal Justice and Behaviour, </w:t>
      </w:r>
      <w:r w:rsidRPr="002748C2">
        <w:rPr>
          <w:rFonts w:asciiTheme="minorHAnsi" w:eastAsiaTheme="minorHAnsi" w:hAnsiTheme="minorHAnsi" w:cstheme="minorHAnsi"/>
          <w:color w:val="auto"/>
          <w:kern w:val="2"/>
          <w:sz w:val="22"/>
          <w:szCs w:val="22"/>
          <w:lang w:eastAsia="en-US"/>
          <w14:ligatures w14:val="standardContextual"/>
        </w:rPr>
        <w:t>43(12), pp.</w:t>
      </w:r>
      <w:r w:rsidR="002D19A5" w:rsidRPr="002748C2">
        <w:rPr>
          <w:rFonts w:asciiTheme="minorHAnsi" w:eastAsiaTheme="minorHAnsi" w:hAnsiTheme="minorHAnsi" w:cstheme="minorHAnsi"/>
          <w:color w:val="auto"/>
          <w:kern w:val="2"/>
          <w:sz w:val="22"/>
          <w:szCs w:val="22"/>
          <w:lang w:eastAsia="en-US"/>
          <w14:ligatures w14:val="standardContextual"/>
        </w:rPr>
        <w:t xml:space="preserve"> </w:t>
      </w:r>
      <w:r w:rsidRPr="002748C2">
        <w:rPr>
          <w:rFonts w:asciiTheme="minorHAnsi" w:eastAsiaTheme="minorHAnsi" w:hAnsiTheme="minorHAnsi" w:cstheme="minorHAnsi"/>
          <w:color w:val="auto"/>
          <w:kern w:val="2"/>
          <w:sz w:val="22"/>
          <w:szCs w:val="22"/>
          <w:lang w:eastAsia="en-US"/>
          <w14:ligatures w14:val="standardContextual"/>
        </w:rPr>
        <w:t>1688-1709.</w:t>
      </w:r>
    </w:p>
    <w:p w14:paraId="3713FF83" w14:textId="53504B4C" w:rsidR="003F048E" w:rsidRPr="002748C2" w:rsidRDefault="003F048E" w:rsidP="001E4BD9">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t>Bronitt</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S.H. and Stenning, P. (2011) ‘Understanding discretion in modern policing’, </w:t>
      </w:r>
      <w:r w:rsidRPr="002748C2">
        <w:rPr>
          <w:rFonts w:asciiTheme="minorHAnsi" w:eastAsiaTheme="minorHAnsi" w:hAnsiTheme="minorHAnsi" w:cstheme="minorHAnsi"/>
          <w:i/>
          <w:iCs/>
          <w:color w:val="auto"/>
          <w:kern w:val="2"/>
          <w:sz w:val="22"/>
          <w:szCs w:val="22"/>
          <w:lang w:eastAsia="en-US"/>
          <w14:ligatures w14:val="standardContextual"/>
        </w:rPr>
        <w:t xml:space="preserve">Criminal Law Journal, </w:t>
      </w:r>
      <w:r w:rsidRPr="002748C2">
        <w:rPr>
          <w:rFonts w:asciiTheme="minorHAnsi" w:eastAsiaTheme="minorHAnsi" w:hAnsiTheme="minorHAnsi" w:cstheme="minorHAnsi"/>
          <w:color w:val="auto"/>
          <w:kern w:val="2"/>
          <w:sz w:val="22"/>
          <w:szCs w:val="22"/>
          <w:lang w:eastAsia="en-US"/>
          <w14:ligatures w14:val="standardContextual"/>
        </w:rPr>
        <w:t xml:space="preserve">35(6), pp. 319-332. </w:t>
      </w:r>
    </w:p>
    <w:p w14:paraId="51FD330B" w14:textId="77777777" w:rsidR="00771AFF" w:rsidRPr="002748C2" w:rsidRDefault="00771AFF" w:rsidP="00771AFF">
      <w:pPr>
        <w:tabs>
          <w:tab w:val="left" w:pos="1572"/>
        </w:tabs>
        <w:overflowPunct/>
        <w:autoSpaceDE/>
        <w:autoSpaceDN/>
        <w:adjustRightInd/>
        <w:spacing w:after="160" w:line="259" w:lineRule="auto"/>
        <w:textAlignment w:val="auto"/>
        <w:rPr>
          <w:rFonts w:asciiTheme="minorHAnsi" w:eastAsiaTheme="minorHAnsi" w:hAnsiTheme="minorHAnsi" w:cstheme="minorHAnsi"/>
          <w:bCs/>
          <w:color w:val="auto"/>
          <w:kern w:val="2"/>
          <w:sz w:val="22"/>
          <w:szCs w:val="22"/>
          <w:lang w:eastAsia="en-US"/>
          <w14:ligatures w14:val="standardContextual"/>
        </w:rPr>
      </w:pPr>
      <w:proofErr w:type="spellStart"/>
      <w:r w:rsidRPr="002748C2">
        <w:rPr>
          <w:rFonts w:asciiTheme="minorHAnsi" w:eastAsiaTheme="minorHAnsi" w:hAnsiTheme="minorHAnsi" w:cstheme="minorHAnsi"/>
          <w:bCs/>
          <w:color w:val="auto"/>
          <w:kern w:val="2"/>
          <w:sz w:val="22"/>
          <w:szCs w:val="22"/>
          <w:lang w:eastAsia="en-US"/>
          <w14:ligatures w14:val="standardContextual"/>
        </w:rPr>
        <w:t>Chavanis</w:t>
      </w:r>
      <w:proofErr w:type="spellEnd"/>
      <w:r w:rsidRPr="002748C2">
        <w:rPr>
          <w:rFonts w:asciiTheme="minorHAnsi" w:eastAsiaTheme="minorHAnsi" w:hAnsiTheme="minorHAnsi" w:cstheme="minorHAnsi"/>
          <w:bCs/>
          <w:color w:val="auto"/>
          <w:kern w:val="2"/>
          <w:sz w:val="22"/>
          <w:szCs w:val="22"/>
          <w:lang w:eastAsia="en-US"/>
          <w14:ligatures w14:val="standardContextual"/>
        </w:rPr>
        <w:t xml:space="preserve">, J.L. and Gava, M.J. (2014) </w:t>
      </w:r>
      <w:r w:rsidRPr="002748C2">
        <w:rPr>
          <w:rFonts w:asciiTheme="minorHAnsi" w:eastAsiaTheme="minorHAnsi" w:hAnsiTheme="minorHAnsi" w:cstheme="minorHAnsi"/>
          <w:bCs/>
          <w:i/>
          <w:iCs/>
          <w:color w:val="auto"/>
          <w:kern w:val="2"/>
          <w:sz w:val="22"/>
          <w:szCs w:val="22"/>
          <w:lang w:eastAsia="en-US"/>
          <w14:ligatures w14:val="standardContextual"/>
        </w:rPr>
        <w:t xml:space="preserve">Tools and practice of mediation. </w:t>
      </w:r>
      <w:r w:rsidRPr="002748C2">
        <w:rPr>
          <w:rFonts w:asciiTheme="minorHAnsi" w:eastAsiaTheme="minorHAnsi" w:hAnsiTheme="minorHAnsi" w:cstheme="minorHAnsi"/>
          <w:bCs/>
          <w:color w:val="auto"/>
          <w:kern w:val="2"/>
          <w:sz w:val="22"/>
          <w:szCs w:val="22"/>
          <w:lang w:eastAsia="en-US"/>
          <w14:ligatures w14:val="standardContextual"/>
        </w:rPr>
        <w:t xml:space="preserve">France: </w:t>
      </w:r>
      <w:proofErr w:type="spellStart"/>
      <w:r w:rsidRPr="002748C2">
        <w:rPr>
          <w:rFonts w:asciiTheme="minorHAnsi" w:eastAsiaTheme="minorHAnsi" w:hAnsiTheme="minorHAnsi" w:cstheme="minorHAnsi"/>
          <w:bCs/>
          <w:color w:val="auto"/>
          <w:kern w:val="2"/>
          <w:sz w:val="22"/>
          <w:szCs w:val="22"/>
          <w:lang w:eastAsia="en-US"/>
          <w14:ligatures w14:val="standardContextual"/>
        </w:rPr>
        <w:t>Dunod</w:t>
      </w:r>
      <w:proofErr w:type="spellEnd"/>
      <w:r w:rsidRPr="002748C2">
        <w:rPr>
          <w:rFonts w:asciiTheme="minorHAnsi" w:eastAsiaTheme="minorHAnsi" w:hAnsiTheme="minorHAnsi" w:cstheme="minorHAnsi"/>
          <w:bCs/>
          <w:color w:val="auto"/>
          <w:kern w:val="2"/>
          <w:sz w:val="22"/>
          <w:szCs w:val="22"/>
          <w:lang w:eastAsia="en-US"/>
          <w14:ligatures w14:val="standardContextual"/>
        </w:rPr>
        <w:t xml:space="preserve">. </w:t>
      </w:r>
    </w:p>
    <w:p w14:paraId="6F66F7A0" w14:textId="4F7A8F77" w:rsidR="00C61A70" w:rsidRPr="002748C2" w:rsidRDefault="00C61A70" w:rsidP="00C61A70">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COP (2013) </w:t>
      </w:r>
      <w:r w:rsidRPr="002748C2">
        <w:rPr>
          <w:rFonts w:asciiTheme="minorHAnsi" w:eastAsiaTheme="minorHAnsi" w:hAnsiTheme="minorHAnsi" w:cstheme="minorHAnsi"/>
          <w:i/>
          <w:color w:val="auto"/>
          <w:kern w:val="2"/>
          <w:sz w:val="22"/>
          <w:szCs w:val="22"/>
          <w:lang w:eastAsia="en-US"/>
          <w14:ligatures w14:val="standardContextual"/>
        </w:rPr>
        <w:t xml:space="preserve">National Decision Model.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16" w:history="1">
        <w:r w:rsidRPr="002748C2">
          <w:rPr>
            <w:rFonts w:asciiTheme="minorHAnsi" w:eastAsiaTheme="minorHAnsi" w:hAnsiTheme="minorHAnsi" w:cstheme="minorHAnsi"/>
            <w:color w:val="0000FF"/>
            <w:kern w:val="2"/>
            <w:sz w:val="22"/>
            <w:szCs w:val="22"/>
            <w:u w:val="single"/>
            <w:lang w:eastAsia="en-US"/>
            <w14:ligatures w14:val="standardContextual"/>
          </w:rPr>
          <w:t>National decision model | College of Policing</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15 May 2024). </w:t>
      </w:r>
    </w:p>
    <w:p w14:paraId="20D394C6" w14:textId="3F56F54F" w:rsidR="00802EA1" w:rsidRPr="002748C2" w:rsidRDefault="00802EA1" w:rsidP="00C61A70">
      <w:pPr>
        <w:overflowPunct/>
        <w:autoSpaceDE/>
        <w:autoSpaceDN/>
        <w:adjustRightInd/>
        <w:spacing w:after="160" w:line="259" w:lineRule="auto"/>
        <w:textAlignment w:val="auto"/>
        <w:rPr>
          <w:sz w:val="22"/>
          <w:szCs w:val="22"/>
        </w:rPr>
      </w:pPr>
      <w:r w:rsidRPr="002748C2">
        <w:rPr>
          <w:rFonts w:asciiTheme="minorHAnsi" w:eastAsiaTheme="minorHAnsi" w:hAnsiTheme="minorHAnsi" w:cstheme="minorHAnsi"/>
          <w:color w:val="auto"/>
          <w:kern w:val="2"/>
          <w:sz w:val="22"/>
          <w:szCs w:val="22"/>
          <w:lang w:eastAsia="en-US"/>
          <w14:ligatures w14:val="standardContextual"/>
        </w:rPr>
        <w:t xml:space="preserve">COP (2014) </w:t>
      </w:r>
      <w:r w:rsidRPr="002748C2">
        <w:rPr>
          <w:rFonts w:asciiTheme="minorHAnsi" w:eastAsiaTheme="minorHAnsi" w:hAnsiTheme="minorHAnsi" w:cstheme="minorHAnsi"/>
          <w:i/>
          <w:iCs/>
          <w:color w:val="auto"/>
          <w:kern w:val="2"/>
          <w:sz w:val="22"/>
          <w:szCs w:val="22"/>
          <w:lang w:eastAsia="en-US"/>
          <w14:ligatures w14:val="standardContextual"/>
        </w:rPr>
        <w:t xml:space="preserve">Code of ethics.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17" w:history="1">
        <w:r w:rsidR="006D3DC0" w:rsidRPr="002748C2">
          <w:rPr>
            <w:rStyle w:val="Hyperlink"/>
            <w:sz w:val="22"/>
            <w:szCs w:val="22"/>
          </w:rPr>
          <w:t>Code of Ethics 2014 (publishing.service.gov.uk)</w:t>
        </w:r>
      </w:hyperlink>
      <w:r w:rsidR="006D3DC0" w:rsidRPr="002748C2">
        <w:rPr>
          <w:sz w:val="22"/>
          <w:szCs w:val="22"/>
        </w:rPr>
        <w:t xml:space="preserve"> (Accessed: 30 June 2024). </w:t>
      </w:r>
    </w:p>
    <w:p w14:paraId="45006AB1" w14:textId="0D391771" w:rsidR="006D3DC0" w:rsidRPr="002748C2" w:rsidRDefault="006D3DC0" w:rsidP="00C61A70">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COP (2023) </w:t>
      </w:r>
      <w:r w:rsidRPr="002748C2">
        <w:rPr>
          <w:rFonts w:asciiTheme="minorHAnsi" w:eastAsiaTheme="minorHAnsi" w:hAnsiTheme="minorHAnsi" w:cstheme="minorHAnsi"/>
          <w:i/>
          <w:iCs/>
          <w:color w:val="auto"/>
          <w:kern w:val="2"/>
          <w:sz w:val="22"/>
          <w:szCs w:val="22"/>
          <w:lang w:eastAsia="en-US"/>
          <w14:ligatures w14:val="standardContextual"/>
        </w:rPr>
        <w:t xml:space="preserve">Victim and witness care.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18" w:history="1">
        <w:r w:rsidRPr="002748C2">
          <w:rPr>
            <w:rFonts w:asciiTheme="minorHAnsi" w:eastAsiaTheme="minorHAnsi" w:hAnsiTheme="minorHAnsi" w:cstheme="minorHAnsi"/>
            <w:color w:val="0000FF"/>
            <w:kern w:val="2"/>
            <w:sz w:val="22"/>
            <w:szCs w:val="22"/>
            <w:u w:val="single"/>
            <w:lang w:eastAsia="en-US"/>
            <w14:ligatures w14:val="standardContextual"/>
          </w:rPr>
          <w:t>Victim and witness care | College of Policing</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12 May 2024). </w:t>
      </w:r>
    </w:p>
    <w:p w14:paraId="4AA8DED8" w14:textId="0B9A0F44" w:rsidR="00484BD3" w:rsidRPr="002748C2" w:rsidRDefault="00484BD3" w:rsidP="00C61A70">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COP (2024</w:t>
      </w:r>
      <w:r w:rsidR="006C6AC2">
        <w:rPr>
          <w:rFonts w:asciiTheme="minorHAnsi" w:eastAsiaTheme="minorHAnsi" w:hAnsiTheme="minorHAnsi" w:cstheme="minorHAnsi"/>
          <w:color w:val="auto"/>
          <w:kern w:val="2"/>
          <w:sz w:val="22"/>
          <w:szCs w:val="22"/>
          <w:lang w:eastAsia="en-US"/>
          <w14:ligatures w14:val="standardContextual"/>
        </w:rPr>
        <w:t>a</w:t>
      </w:r>
      <w:r w:rsidRPr="002748C2">
        <w:rPr>
          <w:rFonts w:asciiTheme="minorHAnsi" w:eastAsiaTheme="minorHAnsi" w:hAnsiTheme="minorHAnsi" w:cstheme="minorHAnsi"/>
          <w:color w:val="auto"/>
          <w:kern w:val="2"/>
          <w:sz w:val="22"/>
          <w:szCs w:val="22"/>
          <w:lang w:eastAsia="en-US"/>
          <w14:ligatures w14:val="standardContextual"/>
        </w:rPr>
        <w:t xml:space="preserve">) </w:t>
      </w:r>
      <w:r w:rsidRPr="002748C2">
        <w:rPr>
          <w:rFonts w:asciiTheme="minorHAnsi" w:eastAsiaTheme="minorHAnsi" w:hAnsiTheme="minorHAnsi" w:cstheme="minorHAnsi"/>
          <w:i/>
          <w:iCs/>
          <w:color w:val="auto"/>
          <w:kern w:val="2"/>
          <w:sz w:val="22"/>
          <w:szCs w:val="22"/>
          <w:lang w:eastAsia="en-US"/>
          <w14:ligatures w14:val="standardContextual"/>
        </w:rPr>
        <w:t xml:space="preserve">Ethical Policing Principle.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19" w:history="1">
        <w:r w:rsidRPr="002748C2">
          <w:rPr>
            <w:rFonts w:asciiTheme="minorHAnsi" w:eastAsiaTheme="minorHAnsi" w:hAnsiTheme="minorHAnsi" w:cstheme="minorHAnsi"/>
            <w:color w:val="0000FF"/>
            <w:kern w:val="2"/>
            <w:sz w:val="22"/>
            <w:szCs w:val="22"/>
            <w:u w:val="single"/>
            <w:lang w:eastAsia="en-US"/>
            <w14:ligatures w14:val="standardContextual"/>
          </w:rPr>
          <w:t>Ethical policing principles | College of Policing</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02 June 2024). </w:t>
      </w:r>
    </w:p>
    <w:p w14:paraId="41D75DAE" w14:textId="30486C89" w:rsidR="004E7DBD" w:rsidRDefault="004E7DBD" w:rsidP="00C61A70">
      <w:pPr>
        <w:overflowPunct/>
        <w:autoSpaceDE/>
        <w:autoSpaceDN/>
        <w:adjustRightInd/>
        <w:spacing w:after="160" w:line="259" w:lineRule="auto"/>
        <w:textAlignment w:val="auto"/>
        <w:rPr>
          <w:rFonts w:asciiTheme="minorHAnsi" w:hAnsiTheme="minorHAnsi" w:cstheme="minorHAnsi"/>
          <w:sz w:val="22"/>
          <w:szCs w:val="22"/>
        </w:rPr>
      </w:pPr>
      <w:r w:rsidRPr="002748C2">
        <w:rPr>
          <w:rFonts w:asciiTheme="minorHAnsi" w:eastAsiaTheme="minorHAnsi" w:hAnsiTheme="minorHAnsi" w:cstheme="minorHAnsi"/>
          <w:color w:val="auto"/>
          <w:kern w:val="2"/>
          <w:sz w:val="22"/>
          <w:szCs w:val="22"/>
          <w:lang w:eastAsia="en-US"/>
          <w14:ligatures w14:val="standardContextual"/>
        </w:rPr>
        <w:t>COP (2024</w:t>
      </w:r>
      <w:r w:rsidR="006C6AC2">
        <w:rPr>
          <w:rFonts w:asciiTheme="minorHAnsi" w:eastAsiaTheme="minorHAnsi" w:hAnsiTheme="minorHAnsi" w:cstheme="minorHAnsi"/>
          <w:color w:val="auto"/>
          <w:kern w:val="2"/>
          <w:sz w:val="22"/>
          <w:szCs w:val="22"/>
          <w:lang w:eastAsia="en-US"/>
          <w14:ligatures w14:val="standardContextual"/>
        </w:rPr>
        <w:t>b</w:t>
      </w:r>
      <w:r w:rsidRPr="002748C2">
        <w:rPr>
          <w:rFonts w:asciiTheme="minorHAnsi" w:eastAsiaTheme="minorHAnsi" w:hAnsiTheme="minorHAnsi" w:cstheme="minorHAnsi"/>
          <w:color w:val="auto"/>
          <w:kern w:val="2"/>
          <w:sz w:val="22"/>
          <w:szCs w:val="22"/>
          <w:lang w:eastAsia="en-US"/>
          <w14:ligatures w14:val="standardContextual"/>
        </w:rPr>
        <w:t xml:space="preserve">) </w:t>
      </w:r>
      <w:r w:rsidRPr="002748C2">
        <w:rPr>
          <w:rFonts w:asciiTheme="minorHAnsi" w:eastAsiaTheme="minorHAnsi" w:hAnsiTheme="minorHAnsi" w:cstheme="minorHAnsi"/>
          <w:i/>
          <w:iCs/>
          <w:color w:val="auto"/>
          <w:kern w:val="2"/>
          <w:sz w:val="22"/>
          <w:szCs w:val="22"/>
          <w:lang w:eastAsia="en-US"/>
          <w14:ligatures w14:val="standardContextual"/>
        </w:rPr>
        <w:t xml:space="preserve">Arrest and other positive approaches.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20" w:history="1">
        <w:r w:rsidRPr="002748C2">
          <w:rPr>
            <w:rStyle w:val="Hyperlink"/>
            <w:rFonts w:asciiTheme="minorHAnsi" w:hAnsiTheme="minorHAnsi" w:cstheme="minorHAnsi"/>
            <w:sz w:val="22"/>
            <w:szCs w:val="22"/>
          </w:rPr>
          <w:t>Arrest and other positive approaches | College of Policing</w:t>
        </w:r>
      </w:hyperlink>
      <w:r w:rsidRPr="002748C2">
        <w:rPr>
          <w:rFonts w:asciiTheme="minorHAnsi" w:hAnsiTheme="minorHAnsi" w:cstheme="minorHAnsi"/>
          <w:sz w:val="22"/>
          <w:szCs w:val="22"/>
        </w:rPr>
        <w:t xml:space="preserve"> (Accessed: 30 June 2024). </w:t>
      </w:r>
    </w:p>
    <w:p w14:paraId="5A6325C3" w14:textId="28B3172E" w:rsidR="006C6AC2" w:rsidRPr="002748C2" w:rsidRDefault="006C6AC2" w:rsidP="006C6AC2">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Coute, L., O’Leary, N. and Brennan, I. (2023) ‘Police victims of domestic abuse: barriers to reporting victimisation’, </w:t>
      </w:r>
      <w:r w:rsidRPr="002748C2">
        <w:rPr>
          <w:rFonts w:asciiTheme="minorHAnsi" w:eastAsiaTheme="minorHAnsi" w:hAnsiTheme="minorHAnsi" w:cstheme="minorHAnsi"/>
          <w:i/>
          <w:iCs/>
          <w:color w:val="auto"/>
          <w:kern w:val="2"/>
          <w:sz w:val="22"/>
          <w:szCs w:val="22"/>
          <w:lang w:eastAsia="en-US"/>
          <w14:ligatures w14:val="standardContextual"/>
        </w:rPr>
        <w:t xml:space="preserve">Policing and Society, </w:t>
      </w:r>
      <w:r w:rsidRPr="002748C2">
        <w:rPr>
          <w:rFonts w:asciiTheme="minorHAnsi" w:eastAsiaTheme="minorHAnsi" w:hAnsiTheme="minorHAnsi" w:cstheme="minorHAnsi"/>
          <w:color w:val="auto"/>
          <w:kern w:val="2"/>
          <w:sz w:val="22"/>
          <w:szCs w:val="22"/>
          <w:lang w:eastAsia="en-US"/>
          <w14:ligatures w14:val="standardContextual"/>
        </w:rPr>
        <w:t xml:space="preserve">34(3), pp. 200-215. </w:t>
      </w:r>
    </w:p>
    <w:p w14:paraId="7B55B0E9" w14:textId="798D1713" w:rsidR="00200293" w:rsidRPr="002748C2" w:rsidRDefault="00200293" w:rsidP="00200293">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CPS (2022</w:t>
      </w:r>
      <w:r w:rsidR="006C6AC2">
        <w:rPr>
          <w:rFonts w:asciiTheme="minorHAnsi" w:eastAsiaTheme="minorHAnsi" w:hAnsiTheme="minorHAnsi" w:cstheme="minorHAnsi"/>
          <w:color w:val="auto"/>
          <w:kern w:val="2"/>
          <w:sz w:val="22"/>
          <w:szCs w:val="22"/>
          <w:lang w:eastAsia="en-US"/>
          <w14:ligatures w14:val="standardContextual"/>
        </w:rPr>
        <w:t>a</w:t>
      </w:r>
      <w:r w:rsidRPr="002748C2">
        <w:rPr>
          <w:rFonts w:asciiTheme="minorHAnsi" w:eastAsiaTheme="minorHAnsi" w:hAnsiTheme="minorHAnsi" w:cstheme="minorHAnsi"/>
          <w:color w:val="auto"/>
          <w:kern w:val="2"/>
          <w:sz w:val="22"/>
          <w:szCs w:val="22"/>
          <w:lang w:eastAsia="en-US"/>
          <w14:ligatures w14:val="standardContextual"/>
        </w:rPr>
        <w:t xml:space="preserve">) </w:t>
      </w:r>
      <w:r w:rsidRPr="002748C2">
        <w:rPr>
          <w:rFonts w:asciiTheme="minorHAnsi" w:eastAsiaTheme="minorHAnsi" w:hAnsiTheme="minorHAnsi" w:cstheme="minorHAnsi"/>
          <w:i/>
          <w:color w:val="auto"/>
          <w:kern w:val="2"/>
          <w:sz w:val="22"/>
          <w:szCs w:val="22"/>
          <w:lang w:eastAsia="en-US"/>
          <w14:ligatures w14:val="standardContextual"/>
        </w:rPr>
        <w:t xml:space="preserve">Hate Crime.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21" w:history="1">
        <w:r w:rsidRPr="002748C2">
          <w:rPr>
            <w:rFonts w:asciiTheme="minorHAnsi" w:eastAsiaTheme="minorHAnsi" w:hAnsiTheme="minorHAnsi" w:cstheme="minorHAnsi"/>
            <w:color w:val="0000FF"/>
            <w:kern w:val="2"/>
            <w:sz w:val="22"/>
            <w:szCs w:val="22"/>
            <w:u w:val="single"/>
            <w:lang w:eastAsia="en-US"/>
            <w14:ligatures w14:val="standardContextual"/>
          </w:rPr>
          <w:t>Hate crime | The Crown Prosecution Service (cps.gov.uk)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04 May 2024). </w:t>
      </w:r>
    </w:p>
    <w:p w14:paraId="5E0B8762" w14:textId="34BB2C2A" w:rsidR="00200293" w:rsidRPr="002748C2" w:rsidRDefault="00200293" w:rsidP="00200293">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lastRenderedPageBreak/>
        <w:t>CPS (2022</w:t>
      </w:r>
      <w:r w:rsidR="006C6AC2">
        <w:rPr>
          <w:rFonts w:asciiTheme="minorHAnsi" w:eastAsiaTheme="minorHAnsi" w:hAnsiTheme="minorHAnsi" w:cstheme="minorHAnsi"/>
          <w:color w:val="auto"/>
          <w:kern w:val="2"/>
          <w:sz w:val="22"/>
          <w:szCs w:val="22"/>
          <w:lang w:eastAsia="en-US"/>
          <w14:ligatures w14:val="standardContextual"/>
        </w:rPr>
        <w:t>b</w:t>
      </w:r>
      <w:r w:rsidRPr="002748C2">
        <w:rPr>
          <w:rFonts w:asciiTheme="minorHAnsi" w:eastAsiaTheme="minorHAnsi" w:hAnsiTheme="minorHAnsi" w:cstheme="minorHAnsi"/>
          <w:color w:val="auto"/>
          <w:kern w:val="2"/>
          <w:sz w:val="22"/>
          <w:szCs w:val="22"/>
          <w:lang w:eastAsia="en-US"/>
          <w14:ligatures w14:val="standardContextual"/>
        </w:rPr>
        <w:t xml:space="preserve">) </w:t>
      </w:r>
      <w:r w:rsidRPr="002748C2">
        <w:rPr>
          <w:rFonts w:asciiTheme="minorHAnsi" w:eastAsiaTheme="minorHAnsi" w:hAnsiTheme="minorHAnsi" w:cstheme="minorHAnsi"/>
          <w:i/>
          <w:iCs/>
          <w:color w:val="auto"/>
          <w:kern w:val="2"/>
          <w:sz w:val="22"/>
          <w:szCs w:val="22"/>
          <w:lang w:eastAsia="en-US"/>
          <w14:ligatures w14:val="standardContextual"/>
        </w:rPr>
        <w:t xml:space="preserve">Offences against the Person, incorporating the Charging Standard.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22" w:history="1">
        <w:r w:rsidRPr="002748C2">
          <w:rPr>
            <w:rStyle w:val="Hyperlink"/>
            <w:rFonts w:asciiTheme="minorHAnsi" w:eastAsiaTheme="minorHAnsi" w:hAnsiTheme="minorHAnsi" w:cstheme="minorHAnsi"/>
            <w:kern w:val="2"/>
            <w:sz w:val="22"/>
            <w:szCs w:val="22"/>
            <w:lang w:eastAsia="en-US"/>
            <w14:ligatures w14:val="standardContextual"/>
          </w:rPr>
          <w:t>Offences against the Person, incorporating the Charging Standard | The Crown Prosecution Service (cps.gov.uk)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29 May 2024). </w:t>
      </w:r>
    </w:p>
    <w:p w14:paraId="7DD8ACFB" w14:textId="2AE8AAA2" w:rsidR="0073349C" w:rsidRPr="002748C2" w:rsidRDefault="0073349C" w:rsidP="00F413CB">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CPS (2024) </w:t>
      </w:r>
      <w:r w:rsidRPr="002748C2">
        <w:rPr>
          <w:rFonts w:asciiTheme="minorHAnsi" w:eastAsiaTheme="minorHAnsi" w:hAnsiTheme="minorHAnsi" w:cstheme="minorHAnsi"/>
          <w:i/>
          <w:color w:val="auto"/>
          <w:kern w:val="2"/>
          <w:sz w:val="22"/>
          <w:szCs w:val="22"/>
          <w:lang w:eastAsia="en-US"/>
          <w14:ligatures w14:val="standardContextual"/>
        </w:rPr>
        <w:t xml:space="preserve">Code of Practice for Victims of Crime in England and Wales (Victims Code).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23" w:history="1">
        <w:r w:rsidRPr="002748C2">
          <w:rPr>
            <w:rFonts w:asciiTheme="minorHAnsi" w:eastAsiaTheme="minorHAnsi" w:hAnsiTheme="minorHAnsi" w:cstheme="minorHAnsi"/>
            <w:color w:val="0000FF"/>
            <w:kern w:val="2"/>
            <w:sz w:val="22"/>
            <w:szCs w:val="22"/>
            <w:u w:val="single"/>
            <w:lang w:eastAsia="en-US"/>
            <w14:ligatures w14:val="standardContextual"/>
          </w:rPr>
          <w:t>Code of Practice for Victims of Crime in England and Wales (Victims' Code) - GOV.UK (www.gov.uk)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12 May 2024). </w:t>
      </w:r>
    </w:p>
    <w:p w14:paraId="434F108C" w14:textId="1F3980FB" w:rsidR="008105DF" w:rsidRPr="002748C2" w:rsidRDefault="00AF480C" w:rsidP="00F413CB">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i/>
          <w:iCs/>
          <w:color w:val="auto"/>
          <w:kern w:val="2"/>
          <w:sz w:val="22"/>
          <w:szCs w:val="22"/>
          <w:lang w:eastAsia="en-US"/>
          <w14:ligatures w14:val="standardContextual"/>
        </w:rPr>
        <w:t xml:space="preserve">Criminal Procedure </w:t>
      </w:r>
      <w:r w:rsidR="00ED183F" w:rsidRPr="002748C2">
        <w:rPr>
          <w:rFonts w:asciiTheme="minorHAnsi" w:eastAsiaTheme="minorHAnsi" w:hAnsiTheme="minorHAnsi" w:cstheme="minorHAnsi"/>
          <w:i/>
          <w:iCs/>
          <w:color w:val="auto"/>
          <w:kern w:val="2"/>
          <w:sz w:val="22"/>
          <w:szCs w:val="22"/>
          <w:lang w:eastAsia="en-US"/>
          <w14:ligatures w14:val="standardContextual"/>
        </w:rPr>
        <w:t xml:space="preserve">and Investigations Act, c. 25. </w:t>
      </w:r>
      <w:r w:rsidR="00ED183F"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24" w:history="1">
        <w:r w:rsidR="0043660E" w:rsidRPr="002748C2">
          <w:rPr>
            <w:rStyle w:val="Hyperlink"/>
            <w:rFonts w:asciiTheme="minorHAnsi" w:hAnsiTheme="minorHAnsi" w:cstheme="minorHAnsi"/>
            <w:sz w:val="22"/>
            <w:szCs w:val="22"/>
          </w:rPr>
          <w:t>Criminal Procedure and Investigations Act 1996 (legislation.gov.uk)</w:t>
        </w:r>
      </w:hyperlink>
      <w:r w:rsidR="0043660E" w:rsidRPr="002748C2">
        <w:rPr>
          <w:rFonts w:asciiTheme="minorHAnsi" w:hAnsiTheme="minorHAnsi" w:cstheme="minorHAnsi"/>
          <w:sz w:val="22"/>
          <w:szCs w:val="22"/>
        </w:rPr>
        <w:t xml:space="preserve"> (Accessed: 30 June 2024).</w:t>
      </w:r>
      <w:r w:rsidR="0043660E" w:rsidRPr="002748C2">
        <w:rPr>
          <w:sz w:val="22"/>
          <w:szCs w:val="22"/>
        </w:rPr>
        <w:t xml:space="preserve"> </w:t>
      </w:r>
    </w:p>
    <w:p w14:paraId="0793B771" w14:textId="07006A0B" w:rsidR="00891BAA" w:rsidRPr="002748C2" w:rsidRDefault="00891BAA" w:rsidP="00F413CB">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Curry et al. (2019) ‘The effect of engaging in rapport-building behaviours on productivity and discretionary effort’, </w:t>
      </w:r>
      <w:r w:rsidRPr="002748C2">
        <w:rPr>
          <w:rFonts w:asciiTheme="minorHAnsi" w:eastAsiaTheme="minorHAnsi" w:hAnsiTheme="minorHAnsi" w:cstheme="minorHAnsi"/>
          <w:i/>
          <w:iCs/>
          <w:color w:val="auto"/>
          <w:kern w:val="2"/>
          <w:sz w:val="22"/>
          <w:szCs w:val="22"/>
          <w:lang w:eastAsia="en-US"/>
          <w14:ligatures w14:val="standardContextual"/>
        </w:rPr>
        <w:t>Journal of Organisational Behavioural Management</w:t>
      </w:r>
      <w:r w:rsidRPr="002748C2">
        <w:rPr>
          <w:rFonts w:asciiTheme="minorHAnsi" w:eastAsiaTheme="minorHAnsi" w:hAnsiTheme="minorHAnsi" w:cstheme="minorHAnsi"/>
          <w:color w:val="auto"/>
          <w:kern w:val="2"/>
          <w:sz w:val="22"/>
          <w:szCs w:val="22"/>
          <w:lang w:eastAsia="en-US"/>
          <w14:ligatures w14:val="standardContextual"/>
        </w:rPr>
        <w:t>, 39(3-4), pp. 213-226.</w:t>
      </w:r>
    </w:p>
    <w:p w14:paraId="69A7ACFC" w14:textId="63FE1F40" w:rsidR="002E3CAB" w:rsidRPr="002748C2" w:rsidRDefault="002E3CAB" w:rsidP="00F413CB">
      <w:pPr>
        <w:overflowPunct/>
        <w:autoSpaceDE/>
        <w:autoSpaceDN/>
        <w:adjustRightInd/>
        <w:spacing w:after="160" w:line="259" w:lineRule="auto"/>
        <w:textAlignment w:val="auto"/>
        <w:rPr>
          <w:rFonts w:asciiTheme="minorHAnsi" w:hAnsiTheme="minorHAnsi" w:cstheme="minorHAnsi"/>
          <w:sz w:val="22"/>
          <w:szCs w:val="22"/>
        </w:rPr>
      </w:pPr>
      <w:r w:rsidRPr="002748C2">
        <w:rPr>
          <w:rFonts w:asciiTheme="minorHAnsi" w:eastAsiaTheme="minorHAnsi" w:hAnsiTheme="minorHAnsi" w:cstheme="minorHAnsi"/>
          <w:color w:val="auto"/>
          <w:kern w:val="2"/>
          <w:sz w:val="22"/>
          <w:szCs w:val="22"/>
          <w:lang w:eastAsia="en-US"/>
          <w14:ligatures w14:val="standardContextual"/>
        </w:rPr>
        <w:t xml:space="preserve">Davies, K. (2017) </w:t>
      </w:r>
      <w:r w:rsidRPr="002748C2">
        <w:rPr>
          <w:rFonts w:asciiTheme="minorHAnsi" w:eastAsiaTheme="minorHAnsi" w:hAnsiTheme="minorHAnsi" w:cstheme="minorHAnsi"/>
          <w:i/>
          <w:iCs/>
          <w:color w:val="auto"/>
          <w:kern w:val="2"/>
          <w:sz w:val="22"/>
          <w:szCs w:val="22"/>
          <w:lang w:eastAsia="en-US"/>
          <w14:ligatures w14:val="standardContextual"/>
        </w:rPr>
        <w:t xml:space="preserve">Ten years after the death of Fiona </w:t>
      </w:r>
      <w:proofErr w:type="spellStart"/>
      <w:r w:rsidRPr="002748C2">
        <w:rPr>
          <w:rFonts w:asciiTheme="minorHAnsi" w:eastAsiaTheme="minorHAnsi" w:hAnsiTheme="minorHAnsi" w:cstheme="minorHAnsi"/>
          <w:i/>
          <w:iCs/>
          <w:color w:val="auto"/>
          <w:kern w:val="2"/>
          <w:sz w:val="22"/>
          <w:szCs w:val="22"/>
          <w:lang w:eastAsia="en-US"/>
          <w14:ligatures w14:val="standardContextual"/>
        </w:rPr>
        <w:t>Piikington</w:t>
      </w:r>
      <w:proofErr w:type="spellEnd"/>
      <w:r w:rsidRPr="002748C2">
        <w:rPr>
          <w:rFonts w:asciiTheme="minorHAnsi" w:eastAsiaTheme="minorHAnsi" w:hAnsiTheme="minorHAnsi" w:cstheme="minorHAnsi"/>
          <w:i/>
          <w:iCs/>
          <w:color w:val="auto"/>
          <w:kern w:val="2"/>
          <w:sz w:val="22"/>
          <w:szCs w:val="22"/>
          <w:lang w:eastAsia="en-US"/>
          <w14:ligatures w14:val="standardContextual"/>
        </w:rPr>
        <w:t xml:space="preserve">, have the police got better at tackling hate crime?.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25" w:history="1">
        <w:r w:rsidRPr="002748C2">
          <w:rPr>
            <w:rStyle w:val="Hyperlink"/>
            <w:rFonts w:asciiTheme="minorHAnsi" w:hAnsiTheme="minorHAnsi" w:cstheme="minorHAnsi"/>
            <w:sz w:val="22"/>
            <w:szCs w:val="22"/>
          </w:rPr>
          <w:t>Ten years after the death of Fiona Pilkington, have the police got better at tackling hate crime? | The Independent | The Independent</w:t>
        </w:r>
      </w:hyperlink>
      <w:r w:rsidRPr="002748C2">
        <w:rPr>
          <w:rFonts w:asciiTheme="minorHAnsi" w:hAnsiTheme="minorHAnsi" w:cstheme="minorHAnsi"/>
          <w:sz w:val="22"/>
          <w:szCs w:val="22"/>
        </w:rPr>
        <w:t xml:space="preserve"> (Accessed: 29 June 2024). </w:t>
      </w:r>
    </w:p>
    <w:p w14:paraId="3F329C85" w14:textId="34E1DB97" w:rsidR="009757E9" w:rsidRPr="002748C2" w:rsidRDefault="009757E9" w:rsidP="00F413CB">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hAnsiTheme="minorHAnsi" w:cstheme="minorHAnsi"/>
          <w:sz w:val="22"/>
          <w:szCs w:val="22"/>
        </w:rPr>
        <w:t>Dennis, I. (2018) ‘Prosecution disclosure: Are the problems insol</w:t>
      </w:r>
      <w:r w:rsidR="0022191F" w:rsidRPr="002748C2">
        <w:rPr>
          <w:rFonts w:asciiTheme="minorHAnsi" w:hAnsiTheme="minorHAnsi" w:cstheme="minorHAnsi"/>
          <w:sz w:val="22"/>
          <w:szCs w:val="22"/>
        </w:rPr>
        <w:t xml:space="preserve">uble’, </w:t>
      </w:r>
      <w:r w:rsidR="0022191F" w:rsidRPr="002748C2">
        <w:rPr>
          <w:rFonts w:asciiTheme="minorHAnsi" w:hAnsiTheme="minorHAnsi" w:cstheme="minorHAnsi"/>
          <w:i/>
          <w:iCs/>
          <w:sz w:val="22"/>
          <w:szCs w:val="22"/>
        </w:rPr>
        <w:t xml:space="preserve">Criminal Law Review, </w:t>
      </w:r>
      <w:r w:rsidR="0022191F" w:rsidRPr="002748C2">
        <w:rPr>
          <w:rFonts w:asciiTheme="minorHAnsi" w:hAnsiTheme="minorHAnsi" w:cstheme="minorHAnsi"/>
          <w:sz w:val="22"/>
          <w:szCs w:val="22"/>
        </w:rPr>
        <w:t xml:space="preserve">10(1), pp. 829-842. </w:t>
      </w:r>
    </w:p>
    <w:p w14:paraId="482707A1" w14:textId="418C5C3A"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Deuster, P.A. and Silverman, M.N. (2013) ‘Physical fitness: a pathway to health and resilience’, </w:t>
      </w:r>
      <w:r w:rsidRPr="002748C2">
        <w:rPr>
          <w:rFonts w:asciiTheme="minorHAnsi" w:eastAsiaTheme="minorHAnsi" w:hAnsiTheme="minorHAnsi" w:cstheme="minorHAnsi"/>
          <w:i/>
          <w:color w:val="auto"/>
          <w:kern w:val="2"/>
          <w:sz w:val="22"/>
          <w:szCs w:val="22"/>
          <w:lang w:eastAsia="en-US"/>
          <w14:ligatures w14:val="standardContextual"/>
        </w:rPr>
        <w:t xml:space="preserve">US Army Medical Department Journal, </w:t>
      </w:r>
      <w:r w:rsidRPr="002748C2">
        <w:rPr>
          <w:rFonts w:asciiTheme="minorHAnsi" w:eastAsiaTheme="minorHAnsi" w:hAnsiTheme="minorHAnsi" w:cstheme="minorHAnsi"/>
          <w:iCs/>
          <w:color w:val="auto"/>
          <w:kern w:val="2"/>
          <w:sz w:val="22"/>
          <w:szCs w:val="22"/>
          <w:lang w:eastAsia="en-US"/>
          <w14:ligatures w14:val="standardContextual"/>
        </w:rPr>
        <w:t>8(13),</w:t>
      </w:r>
      <w:r w:rsidRPr="002748C2">
        <w:rPr>
          <w:rFonts w:asciiTheme="minorHAnsi" w:eastAsiaTheme="minorHAnsi" w:hAnsiTheme="minorHAnsi" w:cstheme="minorHAnsi"/>
          <w:i/>
          <w:color w:val="auto"/>
          <w:kern w:val="2"/>
          <w:sz w:val="22"/>
          <w:szCs w:val="22"/>
          <w:lang w:eastAsia="en-US"/>
          <w14:ligatures w14:val="standardContextual"/>
        </w:rPr>
        <w:t xml:space="preserve"> </w:t>
      </w:r>
      <w:r w:rsidRPr="002748C2">
        <w:rPr>
          <w:rFonts w:asciiTheme="minorHAnsi" w:eastAsiaTheme="minorHAnsi" w:hAnsiTheme="minorHAnsi" w:cstheme="minorHAnsi"/>
          <w:color w:val="auto"/>
          <w:kern w:val="2"/>
          <w:sz w:val="22"/>
          <w:szCs w:val="22"/>
          <w:lang w:eastAsia="en-US"/>
          <w14:ligatures w14:val="standardContextual"/>
        </w:rPr>
        <w:t>pp. 24-35</w:t>
      </w:r>
      <w:r w:rsidR="002345E3" w:rsidRPr="002748C2">
        <w:rPr>
          <w:rFonts w:asciiTheme="minorHAnsi" w:eastAsiaTheme="minorHAnsi" w:hAnsiTheme="minorHAnsi" w:cstheme="minorHAnsi"/>
          <w:color w:val="auto"/>
          <w:kern w:val="2"/>
          <w:sz w:val="22"/>
          <w:szCs w:val="22"/>
          <w:lang w:eastAsia="en-US"/>
          <w14:ligatures w14:val="standardContextual"/>
        </w:rPr>
        <w:t>.</w:t>
      </w:r>
    </w:p>
    <w:p w14:paraId="1C5C87BA"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Folkman, S. (2010) </w:t>
      </w:r>
      <w:r w:rsidRPr="002748C2">
        <w:rPr>
          <w:rFonts w:asciiTheme="minorHAnsi" w:eastAsiaTheme="minorHAnsi" w:hAnsiTheme="minorHAnsi" w:cstheme="minorHAnsi"/>
          <w:b/>
          <w:color w:val="auto"/>
          <w:kern w:val="2"/>
          <w:sz w:val="22"/>
          <w:szCs w:val="22"/>
          <w:lang w:eastAsia="en-US"/>
          <w14:ligatures w14:val="standardContextual"/>
        </w:rPr>
        <w:t>‘</w:t>
      </w:r>
      <w:r w:rsidRPr="002748C2">
        <w:rPr>
          <w:rFonts w:asciiTheme="minorHAnsi" w:eastAsiaTheme="minorHAnsi" w:hAnsiTheme="minorHAnsi" w:cstheme="minorHAnsi"/>
          <w:color w:val="auto"/>
          <w:kern w:val="2"/>
          <w:sz w:val="22"/>
          <w:szCs w:val="22"/>
          <w:lang w:eastAsia="en-US"/>
          <w14:ligatures w14:val="standardContextual"/>
        </w:rPr>
        <w:t xml:space="preserve">Stress, coping and Hope. Psychological aspects of cancer’, </w:t>
      </w:r>
      <w:r w:rsidRPr="002748C2">
        <w:rPr>
          <w:rFonts w:asciiTheme="minorHAnsi" w:eastAsiaTheme="minorHAnsi" w:hAnsiTheme="minorHAnsi" w:cstheme="minorHAnsi"/>
          <w:i/>
          <w:color w:val="auto"/>
          <w:kern w:val="2"/>
          <w:sz w:val="22"/>
          <w:szCs w:val="22"/>
          <w:lang w:eastAsia="en-US"/>
          <w14:ligatures w14:val="standardContextual"/>
        </w:rPr>
        <w:t xml:space="preserve">Psycho-Oncology, </w:t>
      </w:r>
      <w:r w:rsidRPr="002748C2">
        <w:rPr>
          <w:rFonts w:asciiTheme="minorHAnsi" w:eastAsiaTheme="minorHAnsi" w:hAnsiTheme="minorHAnsi" w:cstheme="minorHAnsi"/>
          <w:color w:val="auto"/>
          <w:kern w:val="2"/>
          <w:sz w:val="22"/>
          <w:szCs w:val="22"/>
          <w:lang w:eastAsia="en-US"/>
          <w14:ligatures w14:val="standardContextual"/>
        </w:rPr>
        <w:t xml:space="preserve">19(1), pp. 901-908. </w:t>
      </w:r>
    </w:p>
    <w:p w14:paraId="1EFC638B" w14:textId="31329D81" w:rsidR="00140F58" w:rsidRPr="002748C2" w:rsidRDefault="00140F58"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Fu</w:t>
      </w:r>
      <w:r w:rsidR="00AF2F78" w:rsidRPr="002748C2">
        <w:rPr>
          <w:rFonts w:asciiTheme="minorHAnsi" w:eastAsiaTheme="minorHAnsi" w:hAnsiTheme="minorHAnsi" w:cstheme="minorHAnsi"/>
          <w:color w:val="auto"/>
          <w:kern w:val="2"/>
          <w:sz w:val="22"/>
          <w:szCs w:val="22"/>
          <w:lang w:eastAsia="en-US"/>
          <w14:ligatures w14:val="standardContextual"/>
        </w:rPr>
        <w:t xml:space="preserve">rlong, J. and Keefe, D.J. (2011) </w:t>
      </w:r>
      <w:r w:rsidR="00AF2F78" w:rsidRPr="002748C2">
        <w:rPr>
          <w:rFonts w:asciiTheme="minorHAnsi" w:eastAsiaTheme="minorHAnsi" w:hAnsiTheme="minorHAnsi" w:cstheme="minorHAnsi"/>
          <w:i/>
          <w:iCs/>
          <w:color w:val="auto"/>
          <w:kern w:val="2"/>
          <w:sz w:val="22"/>
          <w:szCs w:val="22"/>
          <w:lang w:eastAsia="en-US"/>
          <w14:ligatures w14:val="standardContextual"/>
        </w:rPr>
        <w:t xml:space="preserve">The Night the City Became a Stadium: Independent review of the 2011 Vancouver Stanley Cup </w:t>
      </w:r>
      <w:proofErr w:type="spellStart"/>
      <w:r w:rsidR="00AF2F78" w:rsidRPr="002748C2">
        <w:rPr>
          <w:rFonts w:asciiTheme="minorHAnsi" w:eastAsiaTheme="minorHAnsi" w:hAnsiTheme="minorHAnsi" w:cstheme="minorHAnsi"/>
          <w:i/>
          <w:iCs/>
          <w:color w:val="auto"/>
          <w:kern w:val="2"/>
          <w:sz w:val="22"/>
          <w:szCs w:val="22"/>
          <w:lang w:eastAsia="en-US"/>
          <w14:ligatures w14:val="standardContextual"/>
        </w:rPr>
        <w:t>Play off</w:t>
      </w:r>
      <w:proofErr w:type="spellEnd"/>
      <w:r w:rsidR="00AF2F78" w:rsidRPr="002748C2">
        <w:rPr>
          <w:rFonts w:asciiTheme="minorHAnsi" w:eastAsiaTheme="minorHAnsi" w:hAnsiTheme="minorHAnsi" w:cstheme="minorHAnsi"/>
          <w:i/>
          <w:iCs/>
          <w:color w:val="auto"/>
          <w:kern w:val="2"/>
          <w:sz w:val="22"/>
          <w:szCs w:val="22"/>
          <w:lang w:eastAsia="en-US"/>
          <w14:ligatures w14:val="standardContextual"/>
        </w:rPr>
        <w:t xml:space="preserve"> Riot. </w:t>
      </w:r>
      <w:r w:rsidR="00AF2F78" w:rsidRPr="002748C2">
        <w:rPr>
          <w:rFonts w:asciiTheme="minorHAnsi" w:eastAsiaTheme="minorHAnsi" w:hAnsiTheme="minorHAnsi" w:cstheme="minorHAnsi"/>
          <w:color w:val="auto"/>
          <w:kern w:val="2"/>
          <w:sz w:val="22"/>
          <w:szCs w:val="22"/>
          <w:lang w:eastAsia="en-US"/>
          <w14:ligatures w14:val="standardContextual"/>
        </w:rPr>
        <w:t xml:space="preserve">Available </w:t>
      </w:r>
      <w:hyperlink r:id="rId26" w:history="1">
        <w:r w:rsidR="00083FD5" w:rsidRPr="002748C2">
          <w:rPr>
            <w:rStyle w:val="Hyperlink"/>
            <w:rFonts w:asciiTheme="minorHAnsi" w:eastAsiaTheme="minorHAnsi" w:hAnsiTheme="minorHAnsi" w:cstheme="minorHAnsi"/>
            <w:kern w:val="2"/>
            <w:sz w:val="22"/>
            <w:szCs w:val="22"/>
            <w:lang w:eastAsia="en-US"/>
            <w14:ligatures w14:val="standardContextual"/>
          </w:rPr>
          <w:t>https://www.cbc.ca/bc/news/bc-110901-vancouver-riot-report.pdfat</w:t>
        </w:r>
      </w:hyperlink>
      <w:r w:rsidR="00083FD5" w:rsidRPr="002748C2">
        <w:rPr>
          <w:rFonts w:asciiTheme="minorHAnsi" w:eastAsiaTheme="minorHAnsi" w:hAnsiTheme="minorHAnsi" w:cstheme="minorHAnsi"/>
          <w:color w:val="auto"/>
          <w:kern w:val="2"/>
          <w:sz w:val="22"/>
          <w:szCs w:val="22"/>
          <w:lang w:eastAsia="en-US"/>
          <w14:ligatures w14:val="standardContextual"/>
        </w:rPr>
        <w:t xml:space="preserve"> (</w:t>
      </w:r>
      <w:r w:rsidR="00AF2F78" w:rsidRPr="002748C2">
        <w:rPr>
          <w:rFonts w:asciiTheme="minorHAnsi" w:eastAsiaTheme="minorHAnsi" w:hAnsiTheme="minorHAnsi" w:cstheme="minorHAnsi"/>
          <w:color w:val="auto"/>
          <w:kern w:val="2"/>
          <w:sz w:val="22"/>
          <w:szCs w:val="22"/>
          <w:lang w:eastAsia="en-US"/>
          <w14:ligatures w14:val="standardContextual"/>
        </w:rPr>
        <w:t xml:space="preserve">Accessed: 27 June 2024). </w:t>
      </w:r>
    </w:p>
    <w:p w14:paraId="24CFB50D"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Galanis, P., Fragkou, D. and </w:t>
      </w:r>
      <w:proofErr w:type="spellStart"/>
      <w:r w:rsidRPr="002748C2">
        <w:rPr>
          <w:rFonts w:asciiTheme="minorHAnsi" w:eastAsiaTheme="minorHAnsi" w:hAnsiTheme="minorHAnsi" w:cstheme="minorHAnsi"/>
          <w:color w:val="auto"/>
          <w:kern w:val="2"/>
          <w:sz w:val="22"/>
          <w:szCs w:val="22"/>
          <w:lang w:eastAsia="en-US"/>
          <w14:ligatures w14:val="standardContextual"/>
        </w:rPr>
        <w:t>Katsoulas</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T.A. (2021) ‘Risk factors for stress among police officers: A systematic literature review’, </w:t>
      </w:r>
      <w:r w:rsidRPr="002748C2">
        <w:rPr>
          <w:rFonts w:asciiTheme="minorHAnsi" w:eastAsiaTheme="minorHAnsi" w:hAnsiTheme="minorHAnsi" w:cstheme="minorHAnsi"/>
          <w:i/>
          <w:color w:val="auto"/>
          <w:kern w:val="2"/>
          <w:sz w:val="22"/>
          <w:szCs w:val="22"/>
          <w:lang w:eastAsia="en-US"/>
          <w14:ligatures w14:val="standardContextual"/>
        </w:rPr>
        <w:t xml:space="preserve">Work, </w:t>
      </w:r>
      <w:r w:rsidRPr="002748C2">
        <w:rPr>
          <w:rFonts w:asciiTheme="minorHAnsi" w:eastAsiaTheme="minorHAnsi" w:hAnsiTheme="minorHAnsi" w:cstheme="minorHAnsi"/>
          <w:color w:val="auto"/>
          <w:kern w:val="2"/>
          <w:sz w:val="22"/>
          <w:szCs w:val="22"/>
          <w:lang w:eastAsia="en-US"/>
          <w14:ligatures w14:val="standardContextual"/>
        </w:rPr>
        <w:t>68(4), pp. 1255-1272.</w:t>
      </w:r>
    </w:p>
    <w:p w14:paraId="4F617C54"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Gerber et al. (2010) ‘Do exercise and fitness buffer against stress among Swiss police and emergency response service officers?’, </w:t>
      </w:r>
      <w:r w:rsidRPr="002748C2">
        <w:rPr>
          <w:rFonts w:asciiTheme="minorHAnsi" w:eastAsiaTheme="minorHAnsi" w:hAnsiTheme="minorHAnsi" w:cstheme="minorHAnsi"/>
          <w:i/>
          <w:color w:val="auto"/>
          <w:kern w:val="2"/>
          <w:sz w:val="22"/>
          <w:szCs w:val="22"/>
          <w:lang w:eastAsia="en-US"/>
          <w14:ligatures w14:val="standardContextual"/>
        </w:rPr>
        <w:t xml:space="preserve">Psychology of Sport and Exercise, </w:t>
      </w:r>
      <w:r w:rsidRPr="002748C2">
        <w:rPr>
          <w:rFonts w:asciiTheme="minorHAnsi" w:eastAsiaTheme="minorHAnsi" w:hAnsiTheme="minorHAnsi" w:cstheme="minorHAnsi"/>
          <w:color w:val="auto"/>
          <w:kern w:val="2"/>
          <w:sz w:val="22"/>
          <w:szCs w:val="22"/>
          <w:lang w:eastAsia="en-US"/>
          <w14:ligatures w14:val="standardContextual"/>
        </w:rPr>
        <w:t xml:space="preserve">11(4), pp. 286-294.  </w:t>
      </w:r>
    </w:p>
    <w:p w14:paraId="34309389" w14:textId="0B69989F" w:rsidR="009D3DE9" w:rsidRPr="002748C2" w:rsidRDefault="00990B6C"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Gibbs, G. (1988) </w:t>
      </w:r>
      <w:r w:rsidRPr="002748C2">
        <w:rPr>
          <w:rFonts w:asciiTheme="minorHAnsi" w:eastAsiaTheme="minorHAnsi" w:hAnsiTheme="minorHAnsi" w:cstheme="minorHAnsi"/>
          <w:i/>
          <w:iCs/>
          <w:color w:val="auto"/>
          <w:kern w:val="2"/>
          <w:sz w:val="22"/>
          <w:szCs w:val="22"/>
          <w:lang w:eastAsia="en-US"/>
          <w14:ligatures w14:val="standardContextual"/>
        </w:rPr>
        <w:t>Learning by doing: A guide to teaching and learning methods.</w:t>
      </w:r>
      <w:r w:rsidRPr="002748C2">
        <w:rPr>
          <w:rFonts w:asciiTheme="minorHAnsi" w:eastAsiaTheme="minorHAnsi" w:hAnsiTheme="minorHAnsi" w:cstheme="minorHAnsi"/>
          <w:color w:val="auto"/>
          <w:kern w:val="2"/>
          <w:sz w:val="22"/>
          <w:szCs w:val="22"/>
          <w:lang w:eastAsia="en-US"/>
          <w14:ligatures w14:val="standardContextual"/>
        </w:rPr>
        <w:t xml:space="preserve"> London: Further Education Unit.</w:t>
      </w:r>
    </w:p>
    <w:p w14:paraId="69EB7CBA"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t>Goerling</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R.J. (2012) ‘Police officer resilience and community building’, </w:t>
      </w:r>
      <w:r w:rsidRPr="002748C2">
        <w:rPr>
          <w:rFonts w:asciiTheme="minorHAnsi" w:eastAsiaTheme="minorHAnsi" w:hAnsiTheme="minorHAnsi" w:cstheme="minorHAnsi"/>
          <w:i/>
          <w:color w:val="auto"/>
          <w:kern w:val="2"/>
          <w:sz w:val="22"/>
          <w:szCs w:val="22"/>
          <w:lang w:eastAsia="en-US"/>
          <w14:ligatures w14:val="standardContextual"/>
        </w:rPr>
        <w:t xml:space="preserve">ASBBS Proceedings, </w:t>
      </w:r>
      <w:r w:rsidRPr="002748C2">
        <w:rPr>
          <w:rFonts w:asciiTheme="minorHAnsi" w:eastAsiaTheme="minorHAnsi" w:hAnsiTheme="minorHAnsi" w:cstheme="minorHAnsi"/>
          <w:color w:val="auto"/>
          <w:kern w:val="2"/>
          <w:sz w:val="22"/>
          <w:szCs w:val="22"/>
          <w:lang w:eastAsia="en-US"/>
          <w14:ligatures w14:val="standardContextual"/>
        </w:rPr>
        <w:t xml:space="preserve">19(1), pp. 394-297. </w:t>
      </w:r>
    </w:p>
    <w:p w14:paraId="78801EAA" w14:textId="77777777" w:rsidR="00442EAD" w:rsidRPr="002748C2" w:rsidRDefault="00442EAD" w:rsidP="00442EAD">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iCs/>
          <w:color w:val="auto"/>
          <w:kern w:val="2"/>
          <w:sz w:val="22"/>
          <w:szCs w:val="22"/>
          <w:lang w:eastAsia="en-US"/>
          <w14:ligatures w14:val="standardContextual"/>
        </w:rPr>
        <w:t xml:space="preserve">GOV.UK (2012) </w:t>
      </w:r>
      <w:r w:rsidRPr="002748C2">
        <w:rPr>
          <w:rFonts w:asciiTheme="minorHAnsi" w:eastAsiaTheme="minorHAnsi" w:hAnsiTheme="minorHAnsi" w:cstheme="minorHAnsi"/>
          <w:i/>
          <w:iCs/>
          <w:color w:val="auto"/>
          <w:kern w:val="2"/>
          <w:sz w:val="22"/>
          <w:szCs w:val="22"/>
          <w:lang w:eastAsia="en-US"/>
          <w14:ligatures w14:val="standardContextual"/>
        </w:rPr>
        <w:t xml:space="preserve">New definition of Domestic Violence. </w:t>
      </w:r>
      <w:r w:rsidRPr="002748C2">
        <w:rPr>
          <w:rFonts w:asciiTheme="minorHAnsi" w:eastAsiaTheme="minorHAnsi" w:hAnsiTheme="minorHAnsi" w:cstheme="minorHAnsi"/>
          <w:iCs/>
          <w:color w:val="auto"/>
          <w:kern w:val="2"/>
          <w:sz w:val="22"/>
          <w:szCs w:val="22"/>
          <w:lang w:eastAsia="en-US"/>
          <w14:ligatures w14:val="standardContextual"/>
        </w:rPr>
        <w:t xml:space="preserve">Available at: </w:t>
      </w:r>
      <w:hyperlink r:id="rId27" w:history="1">
        <w:r w:rsidRPr="002748C2">
          <w:rPr>
            <w:rStyle w:val="Hyperlink"/>
            <w:rFonts w:asciiTheme="minorHAnsi" w:eastAsiaTheme="minorHAnsi" w:hAnsiTheme="minorHAnsi" w:cstheme="minorHAnsi"/>
            <w:kern w:val="2"/>
            <w:sz w:val="22"/>
            <w:szCs w:val="22"/>
            <w:lang w:eastAsia="en-US"/>
            <w14:ligatures w14:val="standardContextual"/>
          </w:rPr>
          <w:t>New definition of domestic violence - GOV.UK (www.gov.uk)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29 May 2024).</w:t>
      </w:r>
    </w:p>
    <w:p w14:paraId="486D9F17" w14:textId="3DCD3DC2" w:rsidR="00442EAD" w:rsidRPr="002748C2" w:rsidRDefault="00442EAD"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GOV.UK (2022) </w:t>
      </w:r>
      <w:r w:rsidRPr="002748C2">
        <w:rPr>
          <w:rFonts w:asciiTheme="minorHAnsi" w:eastAsiaTheme="minorHAnsi" w:hAnsiTheme="minorHAnsi" w:cstheme="minorHAnsi"/>
          <w:i/>
          <w:iCs/>
          <w:color w:val="auto"/>
          <w:kern w:val="2"/>
          <w:sz w:val="22"/>
          <w:szCs w:val="22"/>
          <w:lang w:eastAsia="en-US"/>
          <w14:ligatures w14:val="standardContextual"/>
        </w:rPr>
        <w:t xml:space="preserve">Domestic abuse victims in England and Wales to be given more time to report assault.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28" w:history="1">
        <w:r w:rsidRPr="002748C2">
          <w:rPr>
            <w:rStyle w:val="Hyperlink"/>
            <w:rFonts w:asciiTheme="minorHAnsi" w:eastAsiaTheme="minorHAnsi" w:hAnsiTheme="minorHAnsi" w:cstheme="minorHAnsi"/>
            <w:kern w:val="2"/>
            <w:sz w:val="22"/>
            <w:szCs w:val="22"/>
            <w:lang w:eastAsia="en-US"/>
            <w14:ligatures w14:val="standardContextual"/>
          </w:rPr>
          <w:t>Domestic abuse victims in England and Wales to be given more time to report assaults - GOV.UK (www.gov.uk)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24 May 2024). </w:t>
      </w:r>
    </w:p>
    <w:p w14:paraId="49CCBB05" w14:textId="1019F8E8" w:rsidR="00D625A7" w:rsidRPr="002748C2" w:rsidRDefault="00F17826" w:rsidP="00334AFF">
      <w:pPr>
        <w:overflowPunct/>
        <w:autoSpaceDE/>
        <w:autoSpaceDN/>
        <w:adjustRightInd/>
        <w:spacing w:after="160" w:line="259" w:lineRule="auto"/>
        <w:textAlignment w:val="auto"/>
        <w:rPr>
          <w:rFonts w:asciiTheme="minorHAnsi" w:hAnsiTheme="minorHAnsi" w:cstheme="minorHAnsi"/>
          <w:sz w:val="22"/>
          <w:szCs w:val="22"/>
        </w:rPr>
      </w:pPr>
      <w:r w:rsidRPr="002748C2">
        <w:rPr>
          <w:rFonts w:asciiTheme="minorHAnsi" w:eastAsiaTheme="minorHAnsi" w:hAnsiTheme="minorHAnsi" w:cstheme="minorHAnsi"/>
          <w:color w:val="auto"/>
          <w:kern w:val="2"/>
          <w:sz w:val="22"/>
          <w:szCs w:val="22"/>
          <w:lang w:eastAsia="en-US"/>
          <w14:ligatures w14:val="standardContextual"/>
        </w:rPr>
        <w:t xml:space="preserve"> </w:t>
      </w:r>
      <w:r w:rsidR="00D625A7" w:rsidRPr="002748C2">
        <w:rPr>
          <w:rFonts w:asciiTheme="minorHAnsi" w:eastAsiaTheme="minorHAnsi" w:hAnsiTheme="minorHAnsi" w:cstheme="minorHAnsi"/>
          <w:color w:val="auto"/>
          <w:kern w:val="2"/>
          <w:sz w:val="22"/>
          <w:szCs w:val="22"/>
          <w:lang w:eastAsia="en-US"/>
          <w14:ligatures w14:val="standardContextual"/>
        </w:rPr>
        <w:t xml:space="preserve">GOV.UK (2024) </w:t>
      </w:r>
      <w:r w:rsidR="00B05C1B" w:rsidRPr="002748C2">
        <w:rPr>
          <w:rFonts w:asciiTheme="minorHAnsi" w:eastAsiaTheme="minorHAnsi" w:hAnsiTheme="minorHAnsi" w:cstheme="minorHAnsi"/>
          <w:i/>
          <w:iCs/>
          <w:color w:val="auto"/>
          <w:kern w:val="2"/>
          <w:sz w:val="22"/>
          <w:szCs w:val="22"/>
          <w:lang w:eastAsia="en-US"/>
          <w14:ligatures w14:val="standardContextual"/>
        </w:rPr>
        <w:t xml:space="preserve">Code of Practice for Victims of Crime in England and Wales (Victims’ Code). </w:t>
      </w:r>
      <w:r w:rsidR="00B05C1B"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29" w:anchor="right-8-to-be-given-information-about-the-trial-trial-process-and-your-role-as-a-witness" w:history="1">
        <w:r w:rsidR="00B05C1B" w:rsidRPr="002748C2">
          <w:rPr>
            <w:rStyle w:val="Hyperlink"/>
            <w:rFonts w:asciiTheme="minorHAnsi" w:hAnsiTheme="minorHAnsi" w:cstheme="minorHAnsi"/>
            <w:sz w:val="22"/>
            <w:szCs w:val="22"/>
          </w:rPr>
          <w:t>Code of Practice for Victims of Crime in England and Wales (Victims' Code) - GOV.UK (www.gov.uk)</w:t>
        </w:r>
      </w:hyperlink>
      <w:r w:rsidR="00B05C1B" w:rsidRPr="002748C2">
        <w:rPr>
          <w:rFonts w:asciiTheme="minorHAnsi" w:hAnsiTheme="minorHAnsi" w:cstheme="minorHAnsi"/>
          <w:sz w:val="22"/>
          <w:szCs w:val="22"/>
        </w:rPr>
        <w:t xml:space="preserve"> (Accessed: 29 June 2024). </w:t>
      </w:r>
    </w:p>
    <w:p w14:paraId="239339A9" w14:textId="3C55491D" w:rsidR="003B5661" w:rsidRPr="002748C2" w:rsidRDefault="003B5661"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hAnsiTheme="minorHAnsi" w:cstheme="minorHAnsi"/>
          <w:sz w:val="22"/>
          <w:szCs w:val="22"/>
        </w:rPr>
        <w:t xml:space="preserve">Gwent Police (2024) </w:t>
      </w:r>
      <w:r w:rsidRPr="002748C2">
        <w:rPr>
          <w:rFonts w:asciiTheme="minorHAnsi" w:hAnsiTheme="minorHAnsi" w:cstheme="minorHAnsi"/>
          <w:i/>
          <w:iCs/>
          <w:sz w:val="22"/>
          <w:szCs w:val="22"/>
        </w:rPr>
        <w:t xml:space="preserve">Victims’ Right to Review Scheme. </w:t>
      </w:r>
      <w:r w:rsidRPr="002748C2">
        <w:rPr>
          <w:rFonts w:asciiTheme="minorHAnsi" w:hAnsiTheme="minorHAnsi" w:cstheme="minorHAnsi"/>
          <w:sz w:val="22"/>
          <w:szCs w:val="22"/>
        </w:rPr>
        <w:t xml:space="preserve">Available at: </w:t>
      </w:r>
      <w:hyperlink r:id="rId30" w:history="1">
        <w:r w:rsidRPr="002748C2">
          <w:rPr>
            <w:rStyle w:val="Hyperlink"/>
            <w:rFonts w:asciiTheme="minorHAnsi" w:hAnsiTheme="minorHAnsi" w:cstheme="minorHAnsi"/>
            <w:sz w:val="22"/>
            <w:szCs w:val="22"/>
          </w:rPr>
          <w:t>Victims' Right to Review Scheme | Gwent Police</w:t>
        </w:r>
      </w:hyperlink>
      <w:r w:rsidRPr="002748C2">
        <w:rPr>
          <w:rFonts w:asciiTheme="minorHAnsi" w:hAnsiTheme="minorHAnsi" w:cstheme="minorHAnsi"/>
          <w:sz w:val="22"/>
          <w:szCs w:val="22"/>
        </w:rPr>
        <w:t xml:space="preserve"> (Accessed: 29 June 2024). </w:t>
      </w:r>
    </w:p>
    <w:p w14:paraId="00E6419B" w14:textId="5A093F71" w:rsidR="00440C08" w:rsidRPr="002748C2" w:rsidRDefault="00440C08"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lastRenderedPageBreak/>
        <w:t xml:space="preserve">Hawker, L. (2000) ‘The Drama Triangle in the treatment of domestic violence’, </w:t>
      </w:r>
      <w:r w:rsidRPr="002748C2">
        <w:rPr>
          <w:rFonts w:asciiTheme="minorHAnsi" w:eastAsiaTheme="minorHAnsi" w:hAnsiTheme="minorHAnsi" w:cstheme="minorHAnsi"/>
          <w:i/>
          <w:iCs/>
          <w:color w:val="auto"/>
          <w:kern w:val="2"/>
          <w:sz w:val="22"/>
          <w:szCs w:val="22"/>
          <w:lang w:eastAsia="en-US"/>
          <w14:ligatures w14:val="standardContextual"/>
        </w:rPr>
        <w:t xml:space="preserve">Transactional Analysis Journal, </w:t>
      </w:r>
      <w:r w:rsidRPr="002748C2">
        <w:rPr>
          <w:rFonts w:asciiTheme="minorHAnsi" w:eastAsiaTheme="minorHAnsi" w:hAnsiTheme="minorHAnsi" w:cstheme="minorHAnsi"/>
          <w:color w:val="auto"/>
          <w:kern w:val="2"/>
          <w:sz w:val="22"/>
          <w:szCs w:val="22"/>
          <w:lang w:eastAsia="en-US"/>
          <w14:ligatures w14:val="standardContextual"/>
        </w:rPr>
        <w:t>30(</w:t>
      </w:r>
      <w:r w:rsidR="008517F5" w:rsidRPr="002748C2">
        <w:rPr>
          <w:rFonts w:asciiTheme="minorHAnsi" w:eastAsiaTheme="minorHAnsi" w:hAnsiTheme="minorHAnsi" w:cstheme="minorHAnsi"/>
          <w:color w:val="auto"/>
          <w:kern w:val="2"/>
          <w:sz w:val="22"/>
          <w:szCs w:val="22"/>
          <w:lang w:eastAsia="en-US"/>
          <w14:ligatures w14:val="standardContextual"/>
        </w:rPr>
        <w:t>2</w:t>
      </w:r>
      <w:r w:rsidRPr="002748C2">
        <w:rPr>
          <w:rFonts w:asciiTheme="minorHAnsi" w:eastAsiaTheme="minorHAnsi" w:hAnsiTheme="minorHAnsi" w:cstheme="minorHAnsi"/>
          <w:color w:val="auto"/>
          <w:kern w:val="2"/>
          <w:sz w:val="22"/>
          <w:szCs w:val="22"/>
          <w:lang w:eastAsia="en-US"/>
          <w14:ligatures w14:val="standardContextual"/>
        </w:rPr>
        <w:t xml:space="preserve">), pp. 139-144. </w:t>
      </w:r>
    </w:p>
    <w:p w14:paraId="5579A93D" w14:textId="79345AE2" w:rsidR="00CA0FBD" w:rsidRPr="002748C2" w:rsidRDefault="00CA0FBD"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Herek, G.M., Cogan, J.C. and Gillis, J.R. (2002) ‘Victim experiences in hate crimes based on sexual orientation’, </w:t>
      </w:r>
      <w:r w:rsidRPr="002748C2">
        <w:rPr>
          <w:rFonts w:asciiTheme="minorHAnsi" w:eastAsiaTheme="minorHAnsi" w:hAnsiTheme="minorHAnsi" w:cstheme="minorHAnsi"/>
          <w:i/>
          <w:color w:val="auto"/>
          <w:kern w:val="2"/>
          <w:sz w:val="22"/>
          <w:szCs w:val="22"/>
          <w:lang w:eastAsia="en-US"/>
          <w14:ligatures w14:val="standardContextual"/>
        </w:rPr>
        <w:t xml:space="preserve">Journal of Social Issues, </w:t>
      </w:r>
      <w:r w:rsidRPr="002748C2">
        <w:rPr>
          <w:rFonts w:asciiTheme="minorHAnsi" w:eastAsiaTheme="minorHAnsi" w:hAnsiTheme="minorHAnsi" w:cstheme="minorHAnsi"/>
          <w:color w:val="auto"/>
          <w:kern w:val="2"/>
          <w:sz w:val="22"/>
          <w:szCs w:val="22"/>
          <w:lang w:eastAsia="en-US"/>
          <w14:ligatures w14:val="standardContextual"/>
        </w:rPr>
        <w:t xml:space="preserve">58(1), pp. 319-339. </w:t>
      </w:r>
    </w:p>
    <w:p w14:paraId="597EAAF5" w14:textId="543C1229" w:rsidR="00777AA7" w:rsidRPr="002748C2" w:rsidRDefault="00777AA7"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Her Ma</w:t>
      </w:r>
      <w:r w:rsidR="00862010" w:rsidRPr="002748C2">
        <w:rPr>
          <w:rFonts w:asciiTheme="minorHAnsi" w:eastAsiaTheme="minorHAnsi" w:hAnsiTheme="minorHAnsi" w:cstheme="minorHAnsi"/>
          <w:color w:val="auto"/>
          <w:kern w:val="2"/>
          <w:sz w:val="22"/>
          <w:szCs w:val="22"/>
          <w:lang w:eastAsia="en-US"/>
          <w14:ligatures w14:val="standardContextual"/>
        </w:rPr>
        <w:t xml:space="preserve">jesty’s Inspectorate of Probation (2022) </w:t>
      </w:r>
      <w:r w:rsidR="00862010" w:rsidRPr="002748C2">
        <w:rPr>
          <w:rFonts w:asciiTheme="minorHAnsi" w:eastAsiaTheme="minorHAnsi" w:hAnsiTheme="minorHAnsi" w:cstheme="minorHAnsi"/>
          <w:i/>
          <w:iCs/>
          <w:color w:val="auto"/>
          <w:kern w:val="2"/>
          <w:sz w:val="22"/>
          <w:szCs w:val="22"/>
          <w:lang w:eastAsia="en-US"/>
          <w14:ligatures w14:val="standardContextual"/>
        </w:rPr>
        <w:t xml:space="preserve">Effective practice guide, mental health. </w:t>
      </w:r>
      <w:r w:rsidR="00862010"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31" w:anchor=":~:text=Entry%20into%20the%20CJS%20can%20provide%20a%20second,bring%20a%20person%20into%20contact%20with%20the%20CJS." w:history="1">
        <w:r w:rsidR="00862010" w:rsidRPr="002748C2">
          <w:rPr>
            <w:rStyle w:val="Hyperlink"/>
            <w:rFonts w:asciiTheme="minorHAnsi" w:hAnsiTheme="minorHAnsi" w:cstheme="minorHAnsi"/>
            <w:sz w:val="22"/>
            <w:szCs w:val="22"/>
          </w:rPr>
          <w:t>https://www.justiceinspectorates.gov.uk/hmiprobation/wp-content/uploads/sites/5/2022/02/v1.1-MH-EP-guide.pdf</w:t>
        </w:r>
      </w:hyperlink>
      <w:r w:rsidR="00862010" w:rsidRPr="002748C2">
        <w:rPr>
          <w:rFonts w:asciiTheme="minorHAnsi" w:hAnsiTheme="minorHAnsi" w:cstheme="minorHAnsi"/>
          <w:sz w:val="22"/>
          <w:szCs w:val="22"/>
        </w:rPr>
        <w:t xml:space="preserve"> (Accessed: 30 June 2024).</w:t>
      </w:r>
      <w:r w:rsidR="00862010" w:rsidRPr="002748C2">
        <w:rPr>
          <w:sz w:val="22"/>
          <w:szCs w:val="22"/>
        </w:rPr>
        <w:t xml:space="preserve"> </w:t>
      </w:r>
    </w:p>
    <w:p w14:paraId="6660D15D" w14:textId="4CED7702" w:rsidR="00E43F8A" w:rsidRPr="002748C2" w:rsidRDefault="00E43F8A"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HM</w:t>
      </w:r>
      <w:r w:rsidR="00102E87" w:rsidRPr="002748C2">
        <w:rPr>
          <w:rFonts w:asciiTheme="minorHAnsi" w:eastAsiaTheme="minorHAnsi" w:hAnsiTheme="minorHAnsi" w:cstheme="minorHAnsi"/>
          <w:color w:val="auto"/>
          <w:kern w:val="2"/>
          <w:sz w:val="22"/>
          <w:szCs w:val="22"/>
          <w:lang w:eastAsia="en-US"/>
          <w14:ligatures w14:val="standardContextual"/>
        </w:rPr>
        <w:t xml:space="preserve">ICFRS (2018) </w:t>
      </w:r>
      <w:r w:rsidR="00102E87" w:rsidRPr="002748C2">
        <w:rPr>
          <w:rFonts w:asciiTheme="minorHAnsi" w:eastAsiaTheme="minorHAnsi" w:hAnsiTheme="minorHAnsi" w:cstheme="minorHAnsi"/>
          <w:i/>
          <w:iCs/>
          <w:color w:val="auto"/>
          <w:kern w:val="2"/>
          <w:sz w:val="22"/>
          <w:szCs w:val="22"/>
          <w:lang w:eastAsia="en-US"/>
          <w14:ligatures w14:val="standardContextual"/>
        </w:rPr>
        <w:t xml:space="preserve">Understanding the difference. The initial response to hate crime. </w:t>
      </w:r>
      <w:r w:rsidR="00102E87" w:rsidRPr="002748C2">
        <w:rPr>
          <w:rFonts w:asciiTheme="minorHAnsi" w:eastAsiaTheme="minorHAnsi" w:hAnsiTheme="minorHAnsi" w:cstheme="minorHAnsi"/>
          <w:color w:val="auto"/>
          <w:kern w:val="2"/>
          <w:sz w:val="22"/>
          <w:szCs w:val="22"/>
          <w:lang w:eastAsia="en-US"/>
          <w14:ligatures w14:val="standardContextual"/>
        </w:rPr>
        <w:t>Available at:</w:t>
      </w:r>
      <w:r w:rsidR="00102E87" w:rsidRPr="002748C2">
        <w:rPr>
          <w:rFonts w:asciiTheme="minorHAnsi" w:hAnsiTheme="minorHAnsi" w:cstheme="minorHAnsi"/>
          <w:sz w:val="22"/>
          <w:szCs w:val="22"/>
        </w:rPr>
        <w:t xml:space="preserve"> </w:t>
      </w:r>
      <w:hyperlink r:id="rId32" w:history="1">
        <w:r w:rsidR="00102E87" w:rsidRPr="002748C2">
          <w:rPr>
            <w:rStyle w:val="Hyperlink"/>
            <w:rFonts w:asciiTheme="minorHAnsi" w:hAnsiTheme="minorHAnsi" w:cstheme="minorHAnsi"/>
            <w:sz w:val="22"/>
            <w:szCs w:val="22"/>
          </w:rPr>
          <w:t>understanding-the-difference-the-initial-police-response-to-hate-crime.pdf (justiceinspectorates.gov.uk)</w:t>
        </w:r>
      </w:hyperlink>
      <w:r w:rsidR="00102E87" w:rsidRPr="002748C2">
        <w:rPr>
          <w:rFonts w:asciiTheme="minorHAnsi" w:eastAsiaTheme="minorHAnsi" w:hAnsiTheme="minorHAnsi" w:cstheme="minorHAnsi"/>
          <w:color w:val="auto"/>
          <w:kern w:val="2"/>
          <w:sz w:val="22"/>
          <w:szCs w:val="22"/>
          <w:lang w:eastAsia="en-US"/>
          <w14:ligatures w14:val="standardContextual"/>
        </w:rPr>
        <w:t xml:space="preserve"> (Accessed: 29 June 2024). </w:t>
      </w:r>
    </w:p>
    <w:p w14:paraId="0DBB5150" w14:textId="60AFBE89" w:rsidR="00B027C2" w:rsidRPr="002748C2" w:rsidRDefault="00B027C2"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HMICFRS (2023) </w:t>
      </w:r>
      <w:r w:rsidRPr="002748C2">
        <w:rPr>
          <w:rFonts w:asciiTheme="minorHAnsi" w:eastAsiaTheme="minorHAnsi" w:hAnsiTheme="minorHAnsi" w:cstheme="minorHAnsi"/>
          <w:i/>
          <w:iCs/>
          <w:color w:val="auto"/>
          <w:kern w:val="2"/>
          <w:sz w:val="22"/>
          <w:szCs w:val="22"/>
          <w:lang w:eastAsia="en-US"/>
          <w14:ligatures w14:val="standardContextual"/>
        </w:rPr>
        <w:t xml:space="preserve">Code of Practice for Victims of Crime (The victims code).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33" w:history="1">
        <w:r w:rsidRPr="002748C2">
          <w:rPr>
            <w:rStyle w:val="Hyperlink"/>
            <w:rFonts w:asciiTheme="minorHAnsi" w:hAnsiTheme="minorHAnsi" w:cstheme="minorHAnsi"/>
            <w:sz w:val="22"/>
            <w:szCs w:val="22"/>
          </w:rPr>
          <w:t>Code of Practice for Victims of Crime ('the Victims' Code') (VCOP) - His Majesty’s Inspectorate of Constabulary and Fire &amp; Rescue Services (justiceinspectorates.gov.uk)</w:t>
        </w:r>
      </w:hyperlink>
      <w:r w:rsidRPr="002748C2">
        <w:rPr>
          <w:rFonts w:asciiTheme="minorHAnsi" w:hAnsiTheme="minorHAnsi" w:cstheme="minorHAnsi"/>
          <w:sz w:val="22"/>
          <w:szCs w:val="22"/>
        </w:rPr>
        <w:t xml:space="preserve"> (Accessed: 29 June 2024). </w:t>
      </w:r>
    </w:p>
    <w:p w14:paraId="5F487E4D" w14:textId="33A21C09" w:rsidR="009E36D1" w:rsidRPr="002748C2" w:rsidRDefault="009E36D1"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Hottes et al. (2016) ‘Lifetime prevalence of suicide attempts among sexual minority adults by study sampling strategies: A systematic review and meta-analysis’, </w:t>
      </w:r>
      <w:r w:rsidRPr="002748C2">
        <w:rPr>
          <w:rFonts w:asciiTheme="minorHAnsi" w:eastAsiaTheme="minorHAnsi" w:hAnsiTheme="minorHAnsi" w:cstheme="minorHAnsi"/>
          <w:i/>
          <w:color w:val="auto"/>
          <w:kern w:val="2"/>
          <w:sz w:val="22"/>
          <w:szCs w:val="22"/>
          <w:lang w:eastAsia="en-US"/>
          <w14:ligatures w14:val="standardContextual"/>
        </w:rPr>
        <w:t xml:space="preserve">American Journal of Public Health, </w:t>
      </w:r>
      <w:r w:rsidRPr="002748C2">
        <w:rPr>
          <w:rFonts w:asciiTheme="minorHAnsi" w:eastAsiaTheme="minorHAnsi" w:hAnsiTheme="minorHAnsi" w:cstheme="minorHAnsi"/>
          <w:color w:val="auto"/>
          <w:kern w:val="2"/>
          <w:sz w:val="22"/>
          <w:szCs w:val="22"/>
          <w:lang w:eastAsia="en-US"/>
          <w14:ligatures w14:val="standardContextual"/>
        </w:rPr>
        <w:t>106(5), pp. 1-12.</w:t>
      </w:r>
    </w:p>
    <w:p w14:paraId="413FEA9C" w14:textId="4139E00F" w:rsidR="00380A77" w:rsidRPr="002748C2" w:rsidRDefault="00380A77"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hAnsiTheme="minorHAnsi" w:cstheme="minorHAnsi"/>
          <w:sz w:val="22"/>
          <w:szCs w:val="22"/>
        </w:rPr>
        <w:t xml:space="preserve">Hough et al. (2018) ‘Misconduct by police leaders in England and Wales: an exploratory study’, </w:t>
      </w:r>
      <w:r w:rsidRPr="002748C2">
        <w:rPr>
          <w:rFonts w:asciiTheme="minorHAnsi" w:hAnsiTheme="minorHAnsi" w:cstheme="minorHAnsi"/>
          <w:i/>
          <w:iCs/>
          <w:sz w:val="22"/>
          <w:szCs w:val="22"/>
        </w:rPr>
        <w:t xml:space="preserve">Policing and society, </w:t>
      </w:r>
      <w:r w:rsidRPr="002748C2">
        <w:rPr>
          <w:rFonts w:asciiTheme="minorHAnsi" w:hAnsiTheme="minorHAnsi" w:cstheme="minorHAnsi"/>
          <w:sz w:val="22"/>
          <w:szCs w:val="22"/>
        </w:rPr>
        <w:t>28(5), pp. 541-552.</w:t>
      </w:r>
    </w:p>
    <w:p w14:paraId="15904455" w14:textId="655E448C" w:rsidR="00840991" w:rsidRPr="002748C2" w:rsidRDefault="00840991"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Hudson et al. (2005) ‘Conflict management, negotiation and effective communication: Essential kills for project managers’, </w:t>
      </w:r>
      <w:r w:rsidRPr="002748C2">
        <w:rPr>
          <w:rFonts w:asciiTheme="minorHAnsi" w:eastAsiaTheme="minorHAnsi" w:hAnsiTheme="minorHAnsi" w:cstheme="minorHAnsi"/>
          <w:i/>
          <w:iCs/>
          <w:color w:val="auto"/>
          <w:kern w:val="2"/>
          <w:sz w:val="22"/>
          <w:szCs w:val="22"/>
          <w:lang w:eastAsia="en-US"/>
          <w14:ligatures w14:val="standardContextual"/>
        </w:rPr>
        <w:t xml:space="preserve">Australian Project manager, </w:t>
      </w:r>
      <w:r w:rsidRPr="002748C2">
        <w:rPr>
          <w:rFonts w:asciiTheme="minorHAnsi" w:eastAsiaTheme="minorHAnsi" w:hAnsiTheme="minorHAnsi" w:cstheme="minorHAnsi"/>
          <w:color w:val="auto"/>
          <w:kern w:val="2"/>
          <w:sz w:val="22"/>
          <w:szCs w:val="22"/>
          <w:lang w:eastAsia="en-US"/>
          <w14:ligatures w14:val="standardContextual"/>
        </w:rPr>
        <w:t xml:space="preserve">25(4), pp. 25-27. </w:t>
      </w:r>
    </w:p>
    <w:p w14:paraId="669B1AC5" w14:textId="05B2FE60" w:rsidR="0020502D" w:rsidRPr="002748C2" w:rsidRDefault="0020502D" w:rsidP="00334A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Johnson, K. and Hohl, K. (</w:t>
      </w:r>
      <w:r w:rsidR="00E23E69" w:rsidRPr="002748C2">
        <w:rPr>
          <w:rFonts w:asciiTheme="minorHAnsi" w:eastAsiaTheme="minorHAnsi" w:hAnsiTheme="minorHAnsi" w:cstheme="minorHAnsi"/>
          <w:color w:val="auto"/>
          <w:kern w:val="2"/>
          <w:sz w:val="22"/>
          <w:szCs w:val="22"/>
          <w:lang w:eastAsia="en-US"/>
          <w14:ligatures w14:val="standardContextual"/>
        </w:rPr>
        <w:t xml:space="preserve">2023) ‘Police responses to domestic abuse during the COVID-19 pandemic: Positive action and police legitimacy’, </w:t>
      </w:r>
      <w:r w:rsidR="00E23E69" w:rsidRPr="002748C2">
        <w:rPr>
          <w:rFonts w:asciiTheme="minorHAnsi" w:eastAsiaTheme="minorHAnsi" w:hAnsiTheme="minorHAnsi" w:cstheme="minorHAnsi"/>
          <w:i/>
          <w:iCs/>
          <w:color w:val="auto"/>
          <w:kern w:val="2"/>
          <w:sz w:val="22"/>
          <w:szCs w:val="22"/>
          <w:lang w:eastAsia="en-US"/>
          <w14:ligatures w14:val="standardContextual"/>
        </w:rPr>
        <w:t xml:space="preserve">Policing: A Journal of Policy and Practice, </w:t>
      </w:r>
      <w:r w:rsidR="00E23E69" w:rsidRPr="002748C2">
        <w:rPr>
          <w:rFonts w:asciiTheme="minorHAnsi" w:eastAsiaTheme="minorHAnsi" w:hAnsiTheme="minorHAnsi" w:cstheme="minorHAnsi"/>
          <w:color w:val="auto"/>
          <w:kern w:val="2"/>
          <w:sz w:val="22"/>
          <w:szCs w:val="22"/>
          <w:lang w:eastAsia="en-US"/>
          <w14:ligatures w14:val="standardContextual"/>
        </w:rPr>
        <w:t xml:space="preserve">17(1), pp. </w:t>
      </w:r>
      <w:r w:rsidR="00096CCD" w:rsidRPr="002748C2">
        <w:rPr>
          <w:rFonts w:asciiTheme="minorHAnsi" w:eastAsiaTheme="minorHAnsi" w:hAnsiTheme="minorHAnsi" w:cstheme="minorHAnsi"/>
          <w:color w:val="auto"/>
          <w:kern w:val="2"/>
          <w:sz w:val="22"/>
          <w:szCs w:val="22"/>
          <w:lang w:eastAsia="en-US"/>
          <w14:ligatures w14:val="standardContextual"/>
        </w:rPr>
        <w:t>1-15.</w:t>
      </w:r>
    </w:p>
    <w:p w14:paraId="17A96CD6" w14:textId="102F870D" w:rsidR="002964AC" w:rsidRPr="002748C2" w:rsidRDefault="002964AC"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Jurczyk, M.B. (2022) ‘Security as a superior value at work with youth offenders: a new perspective for institutional social rehabilitation in the context of British practice approach’, </w:t>
      </w:r>
      <w:r w:rsidRPr="002748C2">
        <w:rPr>
          <w:rFonts w:asciiTheme="minorHAnsi" w:eastAsiaTheme="minorHAnsi" w:hAnsiTheme="minorHAnsi" w:cstheme="minorHAnsi"/>
          <w:i/>
          <w:iCs/>
          <w:color w:val="auto"/>
          <w:kern w:val="2"/>
          <w:sz w:val="22"/>
          <w:szCs w:val="22"/>
          <w:lang w:eastAsia="en-US"/>
          <w14:ligatures w14:val="standardContextual"/>
        </w:rPr>
        <w:t xml:space="preserve">Law-Education-Security, </w:t>
      </w:r>
      <w:r w:rsidRPr="002748C2">
        <w:rPr>
          <w:rFonts w:asciiTheme="minorHAnsi" w:eastAsiaTheme="minorHAnsi" w:hAnsiTheme="minorHAnsi" w:cstheme="minorHAnsi"/>
          <w:color w:val="auto"/>
          <w:kern w:val="2"/>
          <w:sz w:val="22"/>
          <w:szCs w:val="22"/>
          <w:lang w:eastAsia="en-US"/>
          <w14:ligatures w14:val="standardContextual"/>
        </w:rPr>
        <w:t xml:space="preserve">116(1), pp. 75-106. </w:t>
      </w:r>
    </w:p>
    <w:p w14:paraId="68A00B61" w14:textId="223E2DEF" w:rsidR="00BB1840" w:rsidRPr="002748C2" w:rsidRDefault="00BB1840"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Karpman, S. (1968) ‘Fairy Tales and Script Drama Analysis’, </w:t>
      </w:r>
      <w:r w:rsidRPr="002748C2">
        <w:rPr>
          <w:rFonts w:asciiTheme="minorHAnsi" w:eastAsiaTheme="minorHAnsi" w:hAnsiTheme="minorHAnsi" w:cstheme="minorHAnsi"/>
          <w:i/>
          <w:iCs/>
          <w:color w:val="auto"/>
          <w:kern w:val="2"/>
          <w:sz w:val="22"/>
          <w:szCs w:val="22"/>
          <w:lang w:eastAsia="en-US"/>
          <w14:ligatures w14:val="standardContextual"/>
        </w:rPr>
        <w:t>Transactional Analysis Bulletin</w:t>
      </w:r>
      <w:r w:rsidRPr="002748C2">
        <w:rPr>
          <w:rFonts w:asciiTheme="minorHAnsi" w:eastAsiaTheme="minorHAnsi" w:hAnsiTheme="minorHAnsi" w:cstheme="minorHAnsi"/>
          <w:color w:val="auto"/>
          <w:kern w:val="2"/>
          <w:sz w:val="22"/>
          <w:szCs w:val="22"/>
          <w:lang w:eastAsia="en-US"/>
          <w14:ligatures w14:val="standardContextual"/>
        </w:rPr>
        <w:t>, 7(26), pp 39-43.</w:t>
      </w:r>
    </w:p>
    <w:p w14:paraId="18FFAE9C" w14:textId="5AF781F6" w:rsidR="00F92C0B" w:rsidRPr="002748C2" w:rsidRDefault="00F92C0B"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Kassin et al. (2007) ‘Police interviewing and interrogation: A self-report survey of police practices and beliefs’, </w:t>
      </w:r>
      <w:r w:rsidRPr="002748C2">
        <w:rPr>
          <w:rFonts w:asciiTheme="minorHAnsi" w:eastAsiaTheme="minorHAnsi" w:hAnsiTheme="minorHAnsi" w:cstheme="minorHAnsi"/>
          <w:i/>
          <w:iCs/>
          <w:color w:val="auto"/>
          <w:kern w:val="2"/>
          <w:sz w:val="22"/>
          <w:szCs w:val="22"/>
          <w:lang w:eastAsia="en-US"/>
          <w14:ligatures w14:val="standardContextual"/>
        </w:rPr>
        <w:t xml:space="preserve">Law and human behaviour, </w:t>
      </w:r>
      <w:r w:rsidRPr="002748C2">
        <w:rPr>
          <w:rFonts w:asciiTheme="minorHAnsi" w:eastAsiaTheme="minorHAnsi" w:hAnsiTheme="minorHAnsi" w:cstheme="minorHAnsi"/>
          <w:color w:val="auto"/>
          <w:kern w:val="2"/>
          <w:sz w:val="22"/>
          <w:szCs w:val="22"/>
          <w:lang w:eastAsia="en-US"/>
          <w14:ligatures w14:val="standardContextual"/>
        </w:rPr>
        <w:t xml:space="preserve">31(1), pp. 381-400. </w:t>
      </w:r>
    </w:p>
    <w:p w14:paraId="0A1CE016"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Kim, J.H. and McKenzie, L.A. (2014) ‘The impacts of physical exercise on stress coping and well-being in university students in the context of leisure’, </w:t>
      </w:r>
      <w:r w:rsidRPr="002748C2">
        <w:rPr>
          <w:rFonts w:asciiTheme="minorHAnsi" w:eastAsiaTheme="minorHAnsi" w:hAnsiTheme="minorHAnsi" w:cstheme="minorHAnsi"/>
          <w:i/>
          <w:color w:val="auto"/>
          <w:kern w:val="2"/>
          <w:sz w:val="22"/>
          <w:szCs w:val="22"/>
          <w:lang w:eastAsia="en-US"/>
          <w14:ligatures w14:val="standardContextual"/>
        </w:rPr>
        <w:t xml:space="preserve">Health, </w:t>
      </w:r>
      <w:r w:rsidRPr="002748C2">
        <w:rPr>
          <w:rFonts w:asciiTheme="minorHAnsi" w:eastAsiaTheme="minorHAnsi" w:hAnsiTheme="minorHAnsi" w:cstheme="minorHAnsi"/>
          <w:color w:val="auto"/>
          <w:kern w:val="2"/>
          <w:sz w:val="22"/>
          <w:szCs w:val="22"/>
          <w:lang w:eastAsia="en-US"/>
          <w14:ligatures w14:val="standardContextual"/>
        </w:rPr>
        <w:t xml:space="preserve">6(19), pp.2570-2580. </w:t>
      </w:r>
    </w:p>
    <w:p w14:paraId="2AE06259" w14:textId="79D776D3" w:rsidR="000D2624" w:rsidRPr="002748C2" w:rsidRDefault="000D2624" w:rsidP="000D2624">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King et al. (2008) ‘A systematic review of mental disorder, suicide and deliberate self-harm in lesbian, gay and bisexual people’, </w:t>
      </w:r>
      <w:r w:rsidRPr="002748C2">
        <w:rPr>
          <w:rFonts w:asciiTheme="minorHAnsi" w:eastAsiaTheme="minorHAnsi" w:hAnsiTheme="minorHAnsi" w:cstheme="minorHAnsi"/>
          <w:i/>
          <w:color w:val="auto"/>
          <w:kern w:val="2"/>
          <w:sz w:val="22"/>
          <w:szCs w:val="22"/>
          <w:lang w:eastAsia="en-US"/>
          <w14:ligatures w14:val="standardContextual"/>
        </w:rPr>
        <w:t xml:space="preserve">BMC Psychiatry, </w:t>
      </w:r>
      <w:r w:rsidRPr="002748C2">
        <w:rPr>
          <w:rFonts w:asciiTheme="minorHAnsi" w:eastAsiaTheme="minorHAnsi" w:hAnsiTheme="minorHAnsi" w:cstheme="minorHAnsi"/>
          <w:color w:val="auto"/>
          <w:kern w:val="2"/>
          <w:sz w:val="22"/>
          <w:szCs w:val="22"/>
          <w:lang w:eastAsia="en-US"/>
          <w14:ligatures w14:val="standardContextual"/>
        </w:rPr>
        <w:t xml:space="preserve">8(1), pp. 70-86. </w:t>
      </w:r>
    </w:p>
    <w:p w14:paraId="39798760" w14:textId="64F57C59" w:rsidR="008B20BD" w:rsidRPr="002748C2" w:rsidRDefault="008B20BD" w:rsidP="000D2624">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t>L’Abate</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L. (2009) ‘The drama triangle: An attempt to resurrect a neglected pathogenic model in family therapy theory and practice’, </w:t>
      </w:r>
      <w:r w:rsidRPr="002748C2">
        <w:rPr>
          <w:rFonts w:asciiTheme="minorHAnsi" w:eastAsiaTheme="minorHAnsi" w:hAnsiTheme="minorHAnsi" w:cstheme="minorHAnsi"/>
          <w:i/>
          <w:iCs/>
          <w:color w:val="auto"/>
          <w:kern w:val="2"/>
          <w:sz w:val="22"/>
          <w:szCs w:val="22"/>
          <w:lang w:eastAsia="en-US"/>
          <w14:ligatures w14:val="standardContextual"/>
        </w:rPr>
        <w:t xml:space="preserve">The American Journal of Family Therapy, </w:t>
      </w:r>
      <w:r w:rsidRPr="002748C2">
        <w:rPr>
          <w:rFonts w:asciiTheme="minorHAnsi" w:eastAsiaTheme="minorHAnsi" w:hAnsiTheme="minorHAnsi" w:cstheme="minorHAnsi"/>
          <w:color w:val="auto"/>
          <w:kern w:val="2"/>
          <w:sz w:val="22"/>
          <w:szCs w:val="22"/>
          <w:lang w:eastAsia="en-US"/>
          <w14:ligatures w14:val="standardContextual"/>
        </w:rPr>
        <w:t xml:space="preserve">37(1), pp. 1-11. </w:t>
      </w:r>
    </w:p>
    <w:p w14:paraId="08697BA2" w14:textId="4B4280F7" w:rsidR="00B276B4" w:rsidRPr="002748C2" w:rsidRDefault="00B276B4" w:rsidP="000D2624">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Lac, A. and Donaldson, C.D. (2020) ‘Development and Validation of the Drama Triangle Scale: Are you a Victim, Rescuer or Persecutor?’, </w:t>
      </w:r>
      <w:r w:rsidRPr="002748C2">
        <w:rPr>
          <w:rFonts w:asciiTheme="minorHAnsi" w:eastAsiaTheme="minorHAnsi" w:hAnsiTheme="minorHAnsi" w:cstheme="minorHAnsi"/>
          <w:i/>
          <w:iCs/>
          <w:color w:val="auto"/>
          <w:kern w:val="2"/>
          <w:sz w:val="22"/>
          <w:szCs w:val="22"/>
          <w:lang w:eastAsia="en-US"/>
          <w14:ligatures w14:val="standardContextual"/>
        </w:rPr>
        <w:t xml:space="preserve">Journal of Interpersonal Violence, </w:t>
      </w:r>
      <w:r w:rsidR="00024628" w:rsidRPr="002748C2">
        <w:rPr>
          <w:rFonts w:asciiTheme="minorHAnsi" w:eastAsiaTheme="minorHAnsi" w:hAnsiTheme="minorHAnsi" w:cstheme="minorHAnsi"/>
          <w:color w:val="auto"/>
          <w:kern w:val="2"/>
          <w:sz w:val="22"/>
          <w:szCs w:val="22"/>
          <w:lang w:eastAsia="en-US"/>
          <w14:ligatures w14:val="standardContextual"/>
        </w:rPr>
        <w:t xml:space="preserve">37(7-8), pp. 1-25. </w:t>
      </w:r>
    </w:p>
    <w:p w14:paraId="10CD70C8"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Luthans, F. (2002) ‘The Need for and Meaning of Positive Organisational Behaviour’, </w:t>
      </w:r>
      <w:r w:rsidRPr="002748C2">
        <w:rPr>
          <w:rFonts w:asciiTheme="minorHAnsi" w:eastAsiaTheme="minorHAnsi" w:hAnsiTheme="minorHAnsi" w:cstheme="minorHAnsi"/>
          <w:i/>
          <w:color w:val="auto"/>
          <w:kern w:val="2"/>
          <w:sz w:val="22"/>
          <w:szCs w:val="22"/>
          <w:lang w:eastAsia="en-US"/>
          <w14:ligatures w14:val="standardContextual"/>
        </w:rPr>
        <w:t xml:space="preserve">Journal of Organisational Behaviour, </w:t>
      </w:r>
      <w:r w:rsidRPr="002748C2">
        <w:rPr>
          <w:rFonts w:asciiTheme="minorHAnsi" w:eastAsiaTheme="minorHAnsi" w:hAnsiTheme="minorHAnsi" w:cstheme="minorHAnsi"/>
          <w:color w:val="auto"/>
          <w:kern w:val="2"/>
          <w:sz w:val="22"/>
          <w:szCs w:val="22"/>
          <w:lang w:eastAsia="en-US"/>
          <w14:ligatures w14:val="standardContextual"/>
        </w:rPr>
        <w:t xml:space="preserve">23(6), pp. 695-706. </w:t>
      </w:r>
    </w:p>
    <w:p w14:paraId="32599120" w14:textId="16CA868A" w:rsidR="001B42B9" w:rsidRPr="002748C2" w:rsidRDefault="001B42B9" w:rsidP="001B42B9">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i/>
          <w:color w:val="auto"/>
          <w:kern w:val="2"/>
          <w:sz w:val="22"/>
          <w:szCs w:val="22"/>
          <w:lang w:eastAsia="en-US"/>
          <w14:ligatures w14:val="standardContextual"/>
        </w:rPr>
        <w:t xml:space="preserve">Malicious Communications Act 1988, </w:t>
      </w:r>
      <w:r w:rsidR="00BC1B86" w:rsidRPr="002748C2">
        <w:rPr>
          <w:rFonts w:asciiTheme="minorHAnsi" w:eastAsiaTheme="minorHAnsi" w:hAnsiTheme="minorHAnsi" w:cstheme="minorHAnsi"/>
          <w:i/>
          <w:color w:val="auto"/>
          <w:kern w:val="2"/>
          <w:sz w:val="22"/>
          <w:szCs w:val="22"/>
          <w:lang w:eastAsia="en-US"/>
          <w14:ligatures w14:val="standardContextual"/>
        </w:rPr>
        <w:t>c</w:t>
      </w:r>
      <w:r w:rsidR="00055CCC" w:rsidRPr="002748C2">
        <w:rPr>
          <w:rFonts w:asciiTheme="minorHAnsi" w:eastAsiaTheme="minorHAnsi" w:hAnsiTheme="minorHAnsi" w:cstheme="minorHAnsi"/>
          <w:i/>
          <w:color w:val="auto"/>
          <w:kern w:val="2"/>
          <w:sz w:val="22"/>
          <w:szCs w:val="22"/>
          <w:lang w:eastAsia="en-US"/>
          <w14:ligatures w14:val="standardContextual"/>
        </w:rPr>
        <w:t xml:space="preserve">. </w:t>
      </w:r>
      <w:r w:rsidRPr="002748C2">
        <w:rPr>
          <w:rFonts w:asciiTheme="minorHAnsi" w:eastAsiaTheme="minorHAnsi" w:hAnsiTheme="minorHAnsi" w:cstheme="minorHAnsi"/>
          <w:i/>
          <w:color w:val="auto"/>
          <w:kern w:val="2"/>
          <w:sz w:val="22"/>
          <w:szCs w:val="22"/>
          <w:lang w:eastAsia="en-US"/>
          <w14:ligatures w14:val="standardContextual"/>
        </w:rPr>
        <w:t xml:space="preserve">1.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34" w:history="1">
        <w:r w:rsidRPr="002748C2">
          <w:rPr>
            <w:rFonts w:asciiTheme="minorHAnsi" w:eastAsiaTheme="minorHAnsi" w:hAnsiTheme="minorHAnsi" w:cstheme="minorHAnsi"/>
            <w:color w:val="0000FF"/>
            <w:kern w:val="2"/>
            <w:sz w:val="22"/>
            <w:szCs w:val="22"/>
            <w:u w:val="single"/>
            <w:lang w:eastAsia="en-US"/>
            <w14:ligatures w14:val="standardContextual"/>
          </w:rPr>
          <w:t>Malicious Communications Act 1988 (legislation.gov.uk)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04 May 2024). </w:t>
      </w:r>
    </w:p>
    <w:p w14:paraId="701C7E21" w14:textId="52924E13" w:rsidR="001A449D" w:rsidRPr="002748C2" w:rsidRDefault="001A449D" w:rsidP="001B42B9">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lastRenderedPageBreak/>
        <w:t xml:space="preserve">McMahon, D. (2005) </w:t>
      </w:r>
      <w:r w:rsidR="003D1CA1" w:rsidRPr="002748C2">
        <w:rPr>
          <w:rFonts w:asciiTheme="minorHAnsi" w:eastAsiaTheme="minorHAnsi" w:hAnsiTheme="minorHAnsi" w:cstheme="minorHAnsi"/>
          <w:color w:val="auto"/>
          <w:kern w:val="2"/>
          <w:sz w:val="22"/>
          <w:szCs w:val="22"/>
          <w:lang w:eastAsia="en-US"/>
          <w14:ligatures w14:val="standardContextual"/>
        </w:rPr>
        <w:t>‘</w:t>
      </w:r>
      <w:r w:rsidR="00A4504A" w:rsidRPr="002748C2">
        <w:rPr>
          <w:rFonts w:asciiTheme="minorHAnsi" w:eastAsiaTheme="minorHAnsi" w:hAnsiTheme="minorHAnsi" w:cstheme="minorHAnsi"/>
          <w:color w:val="auto"/>
          <w:kern w:val="2"/>
          <w:sz w:val="22"/>
          <w:szCs w:val="22"/>
          <w:lang w:eastAsia="en-US"/>
          <w14:ligatures w14:val="standardContextual"/>
        </w:rPr>
        <w:t>The Drama Triangle</w:t>
      </w:r>
      <w:r w:rsidR="003D1CA1" w:rsidRPr="002748C2">
        <w:rPr>
          <w:rFonts w:asciiTheme="minorHAnsi" w:eastAsiaTheme="minorHAnsi" w:hAnsiTheme="minorHAnsi" w:cstheme="minorHAnsi"/>
          <w:color w:val="auto"/>
          <w:kern w:val="2"/>
          <w:sz w:val="22"/>
          <w:szCs w:val="22"/>
          <w:lang w:eastAsia="en-US"/>
          <w14:ligatures w14:val="standardContextual"/>
        </w:rPr>
        <w:t xml:space="preserve">’ in Schwarz et al. (ed.) </w:t>
      </w:r>
      <w:r w:rsidR="00C176C9" w:rsidRPr="002748C2">
        <w:rPr>
          <w:rFonts w:asciiTheme="minorHAnsi" w:eastAsiaTheme="minorHAnsi" w:hAnsiTheme="minorHAnsi" w:cstheme="minorHAnsi"/>
          <w:i/>
          <w:iCs/>
          <w:color w:val="auto"/>
          <w:kern w:val="2"/>
          <w:sz w:val="22"/>
          <w:szCs w:val="22"/>
          <w:lang w:eastAsia="en-US"/>
          <w14:ligatures w14:val="standardContextual"/>
        </w:rPr>
        <w:t xml:space="preserve">The skilled facilitator </w:t>
      </w:r>
      <w:r w:rsidR="003956B5" w:rsidRPr="002748C2">
        <w:rPr>
          <w:rFonts w:asciiTheme="minorHAnsi" w:eastAsiaTheme="minorHAnsi" w:hAnsiTheme="minorHAnsi" w:cstheme="minorHAnsi"/>
          <w:i/>
          <w:iCs/>
          <w:color w:val="auto"/>
          <w:kern w:val="2"/>
          <w:sz w:val="22"/>
          <w:szCs w:val="22"/>
          <w:lang w:eastAsia="en-US"/>
          <w14:ligatures w14:val="standardContextual"/>
        </w:rPr>
        <w:t>field book</w:t>
      </w:r>
      <w:r w:rsidR="00C176C9" w:rsidRPr="002748C2">
        <w:rPr>
          <w:rFonts w:asciiTheme="minorHAnsi" w:eastAsiaTheme="minorHAnsi" w:hAnsiTheme="minorHAnsi" w:cstheme="minorHAnsi"/>
          <w:i/>
          <w:iCs/>
          <w:color w:val="auto"/>
          <w:kern w:val="2"/>
          <w:sz w:val="22"/>
          <w:szCs w:val="22"/>
          <w:lang w:eastAsia="en-US"/>
          <w14:ligatures w14:val="standardContextual"/>
        </w:rPr>
        <w:t xml:space="preserve">: Tips, tools and tested methods for consultants, facilitators, managers, trainers and coaches. </w:t>
      </w:r>
    </w:p>
    <w:p w14:paraId="24F33DB9" w14:textId="11049B5A" w:rsidR="007E63E7" w:rsidRPr="002748C2" w:rsidRDefault="007E63E7"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McMains, M. and Mullins, W. (2014) </w:t>
      </w:r>
      <w:r w:rsidRPr="002748C2">
        <w:rPr>
          <w:rFonts w:asciiTheme="minorHAnsi" w:eastAsiaTheme="minorHAnsi" w:hAnsiTheme="minorHAnsi" w:cstheme="minorHAnsi"/>
          <w:i/>
          <w:iCs/>
          <w:color w:val="auto"/>
          <w:kern w:val="2"/>
          <w:sz w:val="22"/>
          <w:szCs w:val="22"/>
          <w:lang w:eastAsia="en-US"/>
          <w14:ligatures w14:val="standardContextual"/>
        </w:rPr>
        <w:t xml:space="preserve">Crisis negotiations: Managing critical incidents and hostage situations in law enforcement and corrections. </w:t>
      </w:r>
      <w:r w:rsidRPr="002748C2">
        <w:rPr>
          <w:rFonts w:asciiTheme="minorHAnsi" w:eastAsiaTheme="minorHAnsi" w:hAnsiTheme="minorHAnsi" w:cstheme="minorHAnsi"/>
          <w:color w:val="auto"/>
          <w:kern w:val="2"/>
          <w:sz w:val="22"/>
          <w:szCs w:val="22"/>
          <w:lang w:eastAsia="en-US"/>
          <w14:ligatures w14:val="standardContextual"/>
        </w:rPr>
        <w:t xml:space="preserve">New York: Routledge. </w:t>
      </w:r>
      <w:r w:rsidR="00876470" w:rsidRPr="002748C2">
        <w:rPr>
          <w:rFonts w:asciiTheme="minorHAnsi" w:eastAsiaTheme="minorHAnsi" w:hAnsiTheme="minorHAnsi" w:cstheme="minorHAnsi"/>
          <w:color w:val="auto"/>
          <w:kern w:val="2"/>
          <w:sz w:val="22"/>
          <w:szCs w:val="22"/>
          <w:lang w:eastAsia="en-US"/>
          <w14:ligatures w14:val="standardContextual"/>
        </w:rPr>
        <w:t xml:space="preserve">San Franciso: </w:t>
      </w:r>
      <w:r w:rsidR="00336745" w:rsidRPr="002748C2">
        <w:rPr>
          <w:rFonts w:asciiTheme="minorHAnsi" w:eastAsiaTheme="minorHAnsi" w:hAnsiTheme="minorHAnsi" w:cstheme="minorHAnsi"/>
          <w:color w:val="auto"/>
          <w:kern w:val="2"/>
          <w:sz w:val="22"/>
          <w:szCs w:val="22"/>
          <w:lang w:eastAsia="en-US"/>
          <w14:ligatures w14:val="standardContextual"/>
        </w:rPr>
        <w:t>John Wiley &amp; Sons</w:t>
      </w:r>
      <w:r w:rsidR="00876470" w:rsidRPr="002748C2">
        <w:rPr>
          <w:rFonts w:asciiTheme="minorHAnsi" w:eastAsiaTheme="minorHAnsi" w:hAnsiTheme="minorHAnsi" w:cstheme="minorHAnsi"/>
          <w:color w:val="auto"/>
          <w:kern w:val="2"/>
          <w:sz w:val="22"/>
          <w:szCs w:val="22"/>
          <w:lang w:eastAsia="en-US"/>
          <w14:ligatures w14:val="standardContextual"/>
        </w:rPr>
        <w:t>.</w:t>
      </w:r>
    </w:p>
    <w:p w14:paraId="55059CD0" w14:textId="62DC2FE3" w:rsidR="00BC6AFA" w:rsidRPr="002748C2" w:rsidRDefault="00BC6AFA" w:rsidP="00DA7834">
      <w:pPr>
        <w:tabs>
          <w:tab w:val="left" w:pos="1572"/>
        </w:tabs>
        <w:overflowPunct/>
        <w:autoSpaceDE/>
        <w:autoSpaceDN/>
        <w:adjustRightInd/>
        <w:spacing w:after="160" w:line="259" w:lineRule="auto"/>
        <w:textAlignment w:val="auto"/>
        <w:rPr>
          <w:sz w:val="22"/>
          <w:szCs w:val="22"/>
        </w:rPr>
      </w:pPr>
      <w:r w:rsidRPr="002748C2">
        <w:rPr>
          <w:rFonts w:asciiTheme="minorHAnsi" w:eastAsiaTheme="minorHAnsi" w:hAnsiTheme="minorHAnsi" w:cstheme="minorHAnsi"/>
          <w:i/>
          <w:iCs/>
          <w:color w:val="auto"/>
          <w:kern w:val="2"/>
          <w:sz w:val="22"/>
          <w:szCs w:val="22"/>
          <w:lang w:eastAsia="en-US"/>
          <w14:ligatures w14:val="standardContextual"/>
        </w:rPr>
        <w:t xml:space="preserve">Mental Health Act </w:t>
      </w:r>
      <w:r w:rsidR="00655761" w:rsidRPr="002748C2">
        <w:rPr>
          <w:rFonts w:asciiTheme="minorHAnsi" w:eastAsiaTheme="minorHAnsi" w:hAnsiTheme="minorHAnsi" w:cstheme="minorHAnsi"/>
          <w:i/>
          <w:iCs/>
          <w:color w:val="auto"/>
          <w:kern w:val="2"/>
          <w:sz w:val="22"/>
          <w:szCs w:val="22"/>
          <w:lang w:eastAsia="en-US"/>
          <w14:ligatures w14:val="standardContextual"/>
        </w:rPr>
        <w:t xml:space="preserve">1983, </w:t>
      </w:r>
      <w:r w:rsidR="00655761" w:rsidRPr="002748C2">
        <w:rPr>
          <w:rFonts w:asciiTheme="minorHAnsi" w:eastAsiaTheme="minorHAnsi" w:hAnsiTheme="minorHAnsi" w:cstheme="minorHAnsi"/>
          <w:color w:val="auto"/>
          <w:kern w:val="2"/>
          <w:sz w:val="22"/>
          <w:szCs w:val="22"/>
          <w:lang w:eastAsia="en-US"/>
          <w14:ligatures w14:val="standardContextual"/>
        </w:rPr>
        <w:t>c. 20. Available at:</w:t>
      </w:r>
      <w:r w:rsidR="00655761" w:rsidRPr="002748C2">
        <w:rPr>
          <w:sz w:val="22"/>
          <w:szCs w:val="22"/>
        </w:rPr>
        <w:t xml:space="preserve"> </w:t>
      </w:r>
      <w:hyperlink r:id="rId35" w:history="1">
        <w:r w:rsidR="00655761" w:rsidRPr="002748C2">
          <w:rPr>
            <w:rStyle w:val="Hyperlink"/>
            <w:rFonts w:asciiTheme="minorHAnsi" w:hAnsiTheme="minorHAnsi" w:cstheme="minorHAnsi"/>
            <w:sz w:val="22"/>
            <w:szCs w:val="22"/>
          </w:rPr>
          <w:t>Mental Health Act 1983 (legislation.gov.uk)</w:t>
        </w:r>
      </w:hyperlink>
      <w:r w:rsidR="00655761" w:rsidRPr="002748C2">
        <w:rPr>
          <w:rFonts w:asciiTheme="minorHAnsi" w:hAnsiTheme="minorHAnsi" w:cstheme="minorHAnsi"/>
          <w:sz w:val="22"/>
          <w:szCs w:val="22"/>
        </w:rPr>
        <w:t xml:space="preserve"> (Accessed: 30 June 2024).</w:t>
      </w:r>
      <w:r w:rsidR="00655761" w:rsidRPr="002748C2">
        <w:rPr>
          <w:sz w:val="22"/>
          <w:szCs w:val="22"/>
        </w:rPr>
        <w:t xml:space="preserve"> </w:t>
      </w:r>
    </w:p>
    <w:p w14:paraId="284E2A01" w14:textId="355A6AEC" w:rsidR="006E7D85" w:rsidRPr="002748C2" w:rsidRDefault="006E7D85"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hAnsiTheme="minorHAnsi" w:cstheme="minorHAnsi"/>
          <w:sz w:val="22"/>
          <w:szCs w:val="22"/>
        </w:rPr>
        <w:t xml:space="preserve">MOJ (2015) </w:t>
      </w:r>
      <w:r w:rsidR="00063F94" w:rsidRPr="002748C2">
        <w:rPr>
          <w:rFonts w:asciiTheme="minorHAnsi" w:hAnsiTheme="minorHAnsi" w:cstheme="minorHAnsi"/>
          <w:i/>
          <w:iCs/>
          <w:sz w:val="22"/>
          <w:szCs w:val="22"/>
        </w:rPr>
        <w:t xml:space="preserve">Criminal Procedure and Investigations Act 1996 (section 23(1)) Code of Practice. </w:t>
      </w:r>
      <w:r w:rsidR="00063F94" w:rsidRPr="002748C2">
        <w:rPr>
          <w:rFonts w:asciiTheme="minorHAnsi" w:hAnsiTheme="minorHAnsi" w:cstheme="minorHAnsi"/>
          <w:sz w:val="22"/>
          <w:szCs w:val="22"/>
        </w:rPr>
        <w:t xml:space="preserve">Available at: </w:t>
      </w:r>
      <w:hyperlink r:id="rId36" w:history="1">
        <w:r w:rsidR="00063F94" w:rsidRPr="002748C2">
          <w:rPr>
            <w:rStyle w:val="Hyperlink"/>
            <w:rFonts w:asciiTheme="minorHAnsi" w:hAnsiTheme="minorHAnsi" w:cstheme="minorHAnsi"/>
            <w:sz w:val="22"/>
            <w:szCs w:val="22"/>
          </w:rPr>
          <w:t>Criminal Procedure and Investigations Act 1996 (section 23(1)) Code of Practice (publishing.service.gov.uk)</w:t>
        </w:r>
      </w:hyperlink>
      <w:r w:rsidR="00063F94" w:rsidRPr="002748C2">
        <w:rPr>
          <w:rFonts w:asciiTheme="minorHAnsi" w:hAnsiTheme="minorHAnsi" w:cstheme="minorHAnsi"/>
          <w:sz w:val="22"/>
          <w:szCs w:val="22"/>
        </w:rPr>
        <w:t xml:space="preserve"> (Accessed: 30 June 2024). </w:t>
      </w:r>
    </w:p>
    <w:p w14:paraId="50CC5CC4" w14:textId="63B3DBE2" w:rsidR="007462FF" w:rsidRPr="002748C2" w:rsidRDefault="007462FF" w:rsidP="007462FF">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Myhill, A. and Johnson, K. (2016) ‘Police use of discretion in response to domestic violence’, </w:t>
      </w:r>
      <w:r w:rsidRPr="002748C2">
        <w:rPr>
          <w:rFonts w:asciiTheme="minorHAnsi" w:eastAsiaTheme="minorHAnsi" w:hAnsiTheme="minorHAnsi" w:cstheme="minorHAnsi"/>
          <w:i/>
          <w:iCs/>
          <w:color w:val="auto"/>
          <w:kern w:val="2"/>
          <w:sz w:val="22"/>
          <w:szCs w:val="22"/>
          <w:lang w:eastAsia="en-US"/>
          <w14:ligatures w14:val="standardContextual"/>
        </w:rPr>
        <w:t xml:space="preserve">Criminology and Criminal Justice, </w:t>
      </w:r>
      <w:r w:rsidRPr="002748C2">
        <w:rPr>
          <w:rFonts w:asciiTheme="minorHAnsi" w:eastAsiaTheme="minorHAnsi" w:hAnsiTheme="minorHAnsi" w:cstheme="minorHAnsi"/>
          <w:color w:val="auto"/>
          <w:kern w:val="2"/>
          <w:sz w:val="22"/>
          <w:szCs w:val="22"/>
          <w:lang w:eastAsia="en-US"/>
          <w14:ligatures w14:val="standardContextual"/>
        </w:rPr>
        <w:t xml:space="preserve">16(1), pp. 3-20. </w:t>
      </w:r>
    </w:p>
    <w:p w14:paraId="559AD35B" w14:textId="431619D7" w:rsidR="00CF6481" w:rsidRPr="002748C2" w:rsidRDefault="00CF6481" w:rsidP="00CF6481">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Nadal, K.L., Quintanilla, A., Goswick, A. and </w:t>
      </w:r>
      <w:proofErr w:type="spellStart"/>
      <w:r w:rsidRPr="002748C2">
        <w:rPr>
          <w:rFonts w:asciiTheme="minorHAnsi" w:eastAsiaTheme="minorHAnsi" w:hAnsiTheme="minorHAnsi" w:cstheme="minorHAnsi"/>
          <w:color w:val="auto"/>
          <w:kern w:val="2"/>
          <w:sz w:val="22"/>
          <w:szCs w:val="22"/>
          <w:lang w:eastAsia="en-US"/>
          <w14:ligatures w14:val="standardContextual"/>
        </w:rPr>
        <w:t>Sriken</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J. (2015) ‘Lesbian, gay, bisexual, and queer people's perceptions of the criminal justice system: Implications for social services’, </w:t>
      </w:r>
      <w:r w:rsidRPr="002748C2">
        <w:rPr>
          <w:rFonts w:asciiTheme="minorHAnsi" w:eastAsiaTheme="minorHAnsi" w:hAnsiTheme="minorHAnsi" w:cstheme="minorHAnsi"/>
          <w:i/>
          <w:iCs/>
          <w:color w:val="auto"/>
          <w:kern w:val="2"/>
          <w:sz w:val="22"/>
          <w:szCs w:val="22"/>
          <w:lang w:eastAsia="en-US"/>
          <w14:ligatures w14:val="standardContextual"/>
        </w:rPr>
        <w:t>Journal of Gay &amp; Lesbian Social Services</w:t>
      </w:r>
      <w:r w:rsidRPr="002748C2">
        <w:rPr>
          <w:rFonts w:asciiTheme="minorHAnsi" w:eastAsiaTheme="minorHAnsi" w:hAnsiTheme="minorHAnsi" w:cstheme="minorHAnsi"/>
          <w:color w:val="auto"/>
          <w:kern w:val="2"/>
          <w:sz w:val="22"/>
          <w:szCs w:val="22"/>
          <w:lang w:eastAsia="en-US"/>
          <w14:ligatures w14:val="standardContextual"/>
        </w:rPr>
        <w:t>, 27(4), pp.457-481.</w:t>
      </w:r>
    </w:p>
    <w:p w14:paraId="4B3508DB" w14:textId="374DCFE3" w:rsidR="00250C43" w:rsidRPr="002748C2" w:rsidRDefault="00250C43"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National Centre for Domestic Violence (2024) </w:t>
      </w:r>
      <w:r w:rsidRPr="002748C2">
        <w:rPr>
          <w:rFonts w:asciiTheme="minorHAnsi" w:eastAsiaTheme="minorHAnsi" w:hAnsiTheme="minorHAnsi" w:cstheme="minorHAnsi"/>
          <w:i/>
          <w:iCs/>
          <w:color w:val="auto"/>
          <w:kern w:val="2"/>
          <w:sz w:val="22"/>
          <w:szCs w:val="22"/>
          <w:lang w:eastAsia="en-US"/>
          <w14:ligatures w14:val="standardContextual"/>
        </w:rPr>
        <w:t xml:space="preserve">Domestic Abuse Statistics UK.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37" w:history="1">
        <w:r w:rsidRPr="002748C2">
          <w:rPr>
            <w:rStyle w:val="Hyperlink"/>
            <w:rFonts w:asciiTheme="minorHAnsi" w:eastAsiaTheme="minorHAnsi" w:hAnsiTheme="minorHAnsi" w:cstheme="minorHAnsi"/>
            <w:kern w:val="2"/>
            <w:sz w:val="22"/>
            <w:szCs w:val="22"/>
            <w:lang w:eastAsia="en-US"/>
            <w14:ligatures w14:val="standardContextual"/>
          </w:rPr>
          <w:t>Domestic Abuse Statistics UK • NCDV</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29 May 2024).</w:t>
      </w:r>
    </w:p>
    <w:p w14:paraId="46E7BAC1" w14:textId="77777777" w:rsidR="00891AD0" w:rsidRPr="002748C2" w:rsidRDefault="00891AD0" w:rsidP="00891AD0">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ONS (2023) </w:t>
      </w:r>
      <w:r w:rsidRPr="002748C2">
        <w:rPr>
          <w:rFonts w:asciiTheme="minorHAnsi" w:eastAsiaTheme="minorHAnsi" w:hAnsiTheme="minorHAnsi" w:cstheme="minorHAnsi"/>
          <w:i/>
          <w:iCs/>
          <w:color w:val="auto"/>
          <w:kern w:val="2"/>
          <w:sz w:val="22"/>
          <w:szCs w:val="22"/>
          <w:lang w:eastAsia="en-US"/>
          <w14:ligatures w14:val="standardContextual"/>
        </w:rPr>
        <w:t xml:space="preserve">Domestic Abuse in England and Wales Overview: November 2023. </w:t>
      </w:r>
      <w:r w:rsidRPr="002748C2">
        <w:rPr>
          <w:rFonts w:asciiTheme="minorHAnsi" w:eastAsiaTheme="minorHAnsi" w:hAnsiTheme="minorHAnsi" w:cstheme="minorHAnsi"/>
          <w:iCs/>
          <w:color w:val="auto"/>
          <w:kern w:val="2"/>
          <w:sz w:val="22"/>
          <w:szCs w:val="22"/>
          <w:lang w:eastAsia="en-US"/>
          <w14:ligatures w14:val="standardContextual"/>
        </w:rPr>
        <w:t xml:space="preserve">Available at: </w:t>
      </w:r>
      <w:hyperlink r:id="rId38" w:history="1">
        <w:r w:rsidRPr="002748C2">
          <w:rPr>
            <w:rStyle w:val="Hyperlink"/>
            <w:rFonts w:asciiTheme="minorHAnsi" w:eastAsiaTheme="minorHAnsi" w:hAnsiTheme="minorHAnsi" w:cstheme="minorHAnsi"/>
            <w:kern w:val="2"/>
            <w:sz w:val="22"/>
            <w:szCs w:val="22"/>
            <w:lang w:eastAsia="en-US"/>
            <w14:ligatures w14:val="standardContextual"/>
          </w:rPr>
          <w:t>Domestic abuse in England and Wales overview - Office for National Statistics (ons.gov.uk)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29 May 2024). </w:t>
      </w:r>
    </w:p>
    <w:p w14:paraId="14241288" w14:textId="466704BA" w:rsidR="00891AD0" w:rsidRPr="002748C2" w:rsidRDefault="00891AD0"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Oram, S., Khalifeh, H. and Howard, L.M. (2017) ‘ Violence against women and mental health’, </w:t>
      </w:r>
      <w:r w:rsidRPr="002748C2">
        <w:rPr>
          <w:rFonts w:asciiTheme="minorHAnsi" w:eastAsiaTheme="minorHAnsi" w:hAnsiTheme="minorHAnsi" w:cstheme="minorHAnsi"/>
          <w:i/>
          <w:iCs/>
          <w:color w:val="auto"/>
          <w:kern w:val="2"/>
          <w:sz w:val="22"/>
          <w:szCs w:val="22"/>
          <w:lang w:eastAsia="en-US"/>
          <w14:ligatures w14:val="standardContextual"/>
        </w:rPr>
        <w:t xml:space="preserve">The Lancet Psychiatry, </w:t>
      </w:r>
      <w:r w:rsidRPr="002748C2">
        <w:rPr>
          <w:rFonts w:asciiTheme="minorHAnsi" w:eastAsiaTheme="minorHAnsi" w:hAnsiTheme="minorHAnsi" w:cstheme="minorHAnsi"/>
          <w:color w:val="auto"/>
          <w:kern w:val="2"/>
          <w:sz w:val="22"/>
          <w:szCs w:val="22"/>
          <w:lang w:eastAsia="en-US"/>
          <w14:ligatures w14:val="standardContextual"/>
        </w:rPr>
        <w:t xml:space="preserve">4(2), pp. 159-170. </w:t>
      </w:r>
    </w:p>
    <w:p w14:paraId="3AA1A6D6"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Poerio, G.L. and </w:t>
      </w:r>
      <w:proofErr w:type="spellStart"/>
      <w:r w:rsidRPr="002748C2">
        <w:rPr>
          <w:rFonts w:asciiTheme="minorHAnsi" w:eastAsiaTheme="minorHAnsi" w:hAnsiTheme="minorHAnsi" w:cstheme="minorHAnsi"/>
          <w:color w:val="auto"/>
          <w:kern w:val="2"/>
          <w:sz w:val="22"/>
          <w:szCs w:val="22"/>
          <w:lang w:eastAsia="en-US"/>
          <w14:ligatures w14:val="standardContextual"/>
        </w:rPr>
        <w:t>Totterdell</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P. (2020) ‘The effect of fiction on the well-being of older adults: a longitudinal RCT intervention study using audiobooks’, </w:t>
      </w:r>
      <w:r w:rsidRPr="002748C2">
        <w:rPr>
          <w:rFonts w:asciiTheme="minorHAnsi" w:eastAsiaTheme="minorHAnsi" w:hAnsiTheme="minorHAnsi" w:cstheme="minorHAnsi"/>
          <w:i/>
          <w:iCs/>
          <w:color w:val="auto"/>
          <w:kern w:val="2"/>
          <w:sz w:val="22"/>
          <w:szCs w:val="22"/>
          <w:lang w:eastAsia="en-US"/>
          <w14:ligatures w14:val="standardContextual"/>
        </w:rPr>
        <w:t>Psychosocial Intervention</w:t>
      </w:r>
      <w:r w:rsidRPr="002748C2">
        <w:rPr>
          <w:rFonts w:asciiTheme="minorHAnsi" w:eastAsiaTheme="minorHAnsi" w:hAnsiTheme="minorHAnsi" w:cstheme="minorHAnsi"/>
          <w:color w:val="auto"/>
          <w:kern w:val="2"/>
          <w:sz w:val="22"/>
          <w:szCs w:val="22"/>
          <w:lang w:eastAsia="en-US"/>
          <w14:ligatures w14:val="standardContextual"/>
        </w:rPr>
        <w:t>, 29(1), pp.29-38.</w:t>
      </w:r>
    </w:p>
    <w:p w14:paraId="55DBB60E" w14:textId="7E6BDFA8" w:rsidR="00CD122D" w:rsidRPr="002748C2" w:rsidRDefault="00CD122D"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Prasad, M.S. (2013) ‘Negotiation skills during interview’, </w:t>
      </w:r>
      <w:r w:rsidRPr="002748C2">
        <w:rPr>
          <w:rFonts w:asciiTheme="minorHAnsi" w:eastAsiaTheme="minorHAnsi" w:hAnsiTheme="minorHAnsi" w:cstheme="minorHAnsi"/>
          <w:i/>
          <w:iCs/>
          <w:color w:val="auto"/>
          <w:kern w:val="2"/>
          <w:sz w:val="22"/>
          <w:szCs w:val="22"/>
          <w:lang w:eastAsia="en-US"/>
          <w14:ligatures w14:val="standardContextual"/>
        </w:rPr>
        <w:t xml:space="preserve">Research journal of English Language and Literature, </w:t>
      </w:r>
      <w:r w:rsidRPr="002748C2">
        <w:rPr>
          <w:rFonts w:asciiTheme="minorHAnsi" w:eastAsiaTheme="minorHAnsi" w:hAnsiTheme="minorHAnsi" w:cstheme="minorHAnsi"/>
          <w:color w:val="auto"/>
          <w:kern w:val="2"/>
          <w:sz w:val="22"/>
          <w:szCs w:val="22"/>
          <w:lang w:eastAsia="en-US"/>
          <w14:ligatures w14:val="standardContextual"/>
        </w:rPr>
        <w:t xml:space="preserve">1(3), pp. 245-246. </w:t>
      </w:r>
    </w:p>
    <w:p w14:paraId="668A37C8"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Rao et al. (2012) ‘Practice of physical activity among future doctors: A cross sectional analysis’, </w:t>
      </w:r>
      <w:r w:rsidRPr="002748C2">
        <w:rPr>
          <w:rFonts w:asciiTheme="minorHAnsi" w:eastAsiaTheme="minorHAnsi" w:hAnsiTheme="minorHAnsi" w:cstheme="minorHAnsi"/>
          <w:i/>
          <w:color w:val="auto"/>
          <w:kern w:val="2"/>
          <w:sz w:val="22"/>
          <w:szCs w:val="22"/>
          <w:lang w:eastAsia="en-US"/>
          <w14:ligatures w14:val="standardContextual"/>
        </w:rPr>
        <w:t xml:space="preserve">International Journal of preventive medicine’, </w:t>
      </w:r>
      <w:r w:rsidRPr="002748C2">
        <w:rPr>
          <w:rFonts w:asciiTheme="minorHAnsi" w:eastAsiaTheme="minorHAnsi" w:hAnsiTheme="minorHAnsi" w:cstheme="minorHAnsi"/>
          <w:color w:val="auto"/>
          <w:kern w:val="2"/>
          <w:sz w:val="22"/>
          <w:szCs w:val="22"/>
          <w:lang w:eastAsia="en-US"/>
          <w14:ligatures w14:val="standardContextual"/>
        </w:rPr>
        <w:t xml:space="preserve">3(5), pp. 365-369. </w:t>
      </w:r>
    </w:p>
    <w:p w14:paraId="41E0C6FE" w14:textId="400BAEDB" w:rsidR="00ED0C62" w:rsidRPr="002748C2" w:rsidRDefault="00ED0C62"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iCs/>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Royce, T. (2005) ‘The negotiator and the bomber: </w:t>
      </w:r>
      <w:r w:rsidR="0053515E" w:rsidRPr="002748C2">
        <w:rPr>
          <w:rFonts w:asciiTheme="minorHAnsi" w:eastAsiaTheme="minorHAnsi" w:hAnsiTheme="minorHAnsi" w:cstheme="minorHAnsi"/>
          <w:color w:val="auto"/>
          <w:kern w:val="2"/>
          <w:sz w:val="22"/>
          <w:szCs w:val="22"/>
          <w:lang w:eastAsia="en-US"/>
          <w14:ligatures w14:val="standardContextual"/>
        </w:rPr>
        <w:t>Analysing</w:t>
      </w:r>
      <w:r w:rsidRPr="002748C2">
        <w:rPr>
          <w:rFonts w:asciiTheme="minorHAnsi" w:eastAsiaTheme="minorHAnsi" w:hAnsiTheme="minorHAnsi" w:cstheme="minorHAnsi"/>
          <w:color w:val="auto"/>
          <w:kern w:val="2"/>
          <w:sz w:val="22"/>
          <w:szCs w:val="22"/>
          <w:lang w:eastAsia="en-US"/>
          <w14:ligatures w14:val="standardContextual"/>
        </w:rPr>
        <w:t xml:space="preserve"> the critical role of active listening in crisis negotiations’, </w:t>
      </w:r>
      <w:r w:rsidRPr="002748C2">
        <w:rPr>
          <w:rFonts w:asciiTheme="minorHAnsi" w:eastAsiaTheme="minorHAnsi" w:hAnsiTheme="minorHAnsi" w:cstheme="minorHAnsi"/>
          <w:i/>
          <w:color w:val="auto"/>
          <w:kern w:val="2"/>
          <w:sz w:val="22"/>
          <w:szCs w:val="22"/>
          <w:lang w:eastAsia="en-US"/>
          <w14:ligatures w14:val="standardContextual"/>
        </w:rPr>
        <w:t xml:space="preserve">Negotiation Journal, </w:t>
      </w:r>
      <w:r w:rsidRPr="002748C2">
        <w:rPr>
          <w:rFonts w:asciiTheme="minorHAnsi" w:eastAsiaTheme="minorHAnsi" w:hAnsiTheme="minorHAnsi" w:cstheme="minorHAnsi"/>
          <w:iCs/>
          <w:color w:val="auto"/>
          <w:kern w:val="2"/>
          <w:sz w:val="22"/>
          <w:szCs w:val="22"/>
          <w:lang w:eastAsia="en-US"/>
          <w14:ligatures w14:val="standardContextual"/>
        </w:rPr>
        <w:t>21(1), pp. 5-27.</w:t>
      </w:r>
    </w:p>
    <w:p w14:paraId="5A6DDE5B" w14:textId="1E6E8DCC" w:rsidR="009C6C84" w:rsidRPr="002748C2" w:rsidRDefault="009C6C84" w:rsidP="009C6C84">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t>Sallavaci</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O. (2018) ‘Crime and social media: Legal responses to offensive online communications and abuse’, in </w:t>
      </w:r>
      <w:proofErr w:type="spellStart"/>
      <w:r w:rsidRPr="002748C2">
        <w:rPr>
          <w:rFonts w:asciiTheme="minorHAnsi" w:eastAsiaTheme="minorHAnsi" w:hAnsiTheme="minorHAnsi" w:cstheme="minorHAnsi"/>
          <w:color w:val="auto"/>
          <w:kern w:val="2"/>
          <w:sz w:val="22"/>
          <w:szCs w:val="22"/>
          <w:lang w:eastAsia="en-US"/>
          <w14:ligatures w14:val="standardContextual"/>
        </w:rPr>
        <w:t>Jahankhani</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H. (ed.) </w:t>
      </w:r>
      <w:r w:rsidRPr="002748C2">
        <w:rPr>
          <w:rFonts w:asciiTheme="minorHAnsi" w:eastAsiaTheme="minorHAnsi" w:hAnsiTheme="minorHAnsi" w:cstheme="minorHAnsi"/>
          <w:i/>
          <w:iCs/>
          <w:color w:val="auto"/>
          <w:kern w:val="2"/>
          <w:sz w:val="22"/>
          <w:szCs w:val="22"/>
          <w:lang w:eastAsia="en-US"/>
          <w14:ligatures w14:val="standardContextual"/>
        </w:rPr>
        <w:t>Cyber Criminology.</w:t>
      </w:r>
      <w:r w:rsidRPr="002748C2">
        <w:rPr>
          <w:rFonts w:asciiTheme="minorHAnsi" w:eastAsiaTheme="minorHAnsi" w:hAnsiTheme="minorHAnsi" w:cstheme="minorHAnsi"/>
          <w:color w:val="auto"/>
          <w:kern w:val="2"/>
          <w:sz w:val="22"/>
          <w:szCs w:val="22"/>
          <w:lang w:eastAsia="en-US"/>
          <w14:ligatures w14:val="standardContextual"/>
        </w:rPr>
        <w:t xml:space="preserve"> London: Springer. </w:t>
      </w:r>
    </w:p>
    <w:p w14:paraId="5F8ADDE7"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t>Schabasser</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C. (2024) ‘Reading: A Solution for Stressed Managers?’, </w:t>
      </w:r>
      <w:r w:rsidRPr="002748C2">
        <w:rPr>
          <w:rFonts w:asciiTheme="minorHAnsi" w:eastAsiaTheme="minorHAnsi" w:hAnsiTheme="minorHAnsi" w:cstheme="minorHAnsi"/>
          <w:i/>
          <w:iCs/>
          <w:color w:val="auto"/>
          <w:kern w:val="2"/>
          <w:sz w:val="22"/>
          <w:szCs w:val="22"/>
          <w:lang w:eastAsia="en-US"/>
          <w14:ligatures w14:val="standardContextual"/>
        </w:rPr>
        <w:t>London Journal of Social Sciences</w:t>
      </w:r>
      <w:r w:rsidRPr="002748C2">
        <w:rPr>
          <w:rFonts w:asciiTheme="minorHAnsi" w:eastAsiaTheme="minorHAnsi" w:hAnsiTheme="minorHAnsi" w:cstheme="minorHAnsi"/>
          <w:color w:val="auto"/>
          <w:kern w:val="2"/>
          <w:sz w:val="22"/>
          <w:szCs w:val="22"/>
          <w:lang w:eastAsia="en-US"/>
          <w14:ligatures w14:val="standardContextual"/>
        </w:rPr>
        <w:t>, 7(1), pp.53-69.</w:t>
      </w:r>
    </w:p>
    <w:p w14:paraId="6D6FD67C"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t>Schultchen</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et al. (2019) ‘Bidirectional relationship of stress and affect with physical activity and healthy eating’, </w:t>
      </w:r>
      <w:r w:rsidRPr="002748C2">
        <w:rPr>
          <w:rFonts w:asciiTheme="minorHAnsi" w:eastAsiaTheme="minorHAnsi" w:hAnsiTheme="minorHAnsi" w:cstheme="minorHAnsi"/>
          <w:i/>
          <w:iCs/>
          <w:color w:val="auto"/>
          <w:kern w:val="2"/>
          <w:sz w:val="22"/>
          <w:szCs w:val="22"/>
          <w:lang w:eastAsia="en-US"/>
          <w14:ligatures w14:val="standardContextual"/>
        </w:rPr>
        <w:t>British journal of health psychology</w:t>
      </w:r>
      <w:r w:rsidRPr="002748C2">
        <w:rPr>
          <w:rFonts w:asciiTheme="minorHAnsi" w:eastAsiaTheme="minorHAnsi" w:hAnsiTheme="minorHAnsi" w:cstheme="minorHAnsi"/>
          <w:color w:val="auto"/>
          <w:kern w:val="2"/>
          <w:sz w:val="22"/>
          <w:szCs w:val="22"/>
          <w:lang w:eastAsia="en-US"/>
          <w14:ligatures w14:val="standardContextual"/>
        </w:rPr>
        <w:t>, 24(2), pp.315-333.</w:t>
      </w:r>
    </w:p>
    <w:p w14:paraId="76843EA4"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Sheard, I., Burnett, M. and St Clair-Thompson, H. (2019), ‘Psychological distress constructs in police with different roles’, </w:t>
      </w:r>
      <w:r w:rsidRPr="002748C2">
        <w:rPr>
          <w:rFonts w:asciiTheme="minorHAnsi" w:eastAsiaTheme="minorHAnsi" w:hAnsiTheme="minorHAnsi" w:cstheme="minorHAnsi"/>
          <w:i/>
          <w:color w:val="auto"/>
          <w:kern w:val="2"/>
          <w:sz w:val="22"/>
          <w:szCs w:val="22"/>
          <w:lang w:eastAsia="en-US"/>
          <w14:ligatures w14:val="standardContextual"/>
        </w:rPr>
        <w:t>International Journal of Emergency Services</w:t>
      </w:r>
      <w:r w:rsidRPr="002748C2">
        <w:rPr>
          <w:rFonts w:asciiTheme="minorHAnsi" w:eastAsiaTheme="minorHAnsi" w:hAnsiTheme="minorHAnsi" w:cstheme="minorHAnsi"/>
          <w:color w:val="auto"/>
          <w:kern w:val="2"/>
          <w:sz w:val="22"/>
          <w:szCs w:val="22"/>
          <w:lang w:eastAsia="en-US"/>
          <w14:ligatures w14:val="standardContextual"/>
        </w:rPr>
        <w:t>, 8(3), pp. 264-279.</w:t>
      </w:r>
    </w:p>
    <w:p w14:paraId="256F5DFD" w14:textId="52C33994" w:rsidR="0080369F" w:rsidRPr="002748C2" w:rsidRDefault="0080369F"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Shmelev, I. (2015) ‘Beyond the Drama Triangle: The overcoming self’, </w:t>
      </w:r>
      <w:r w:rsidRPr="002748C2">
        <w:rPr>
          <w:rFonts w:asciiTheme="minorHAnsi" w:eastAsiaTheme="minorHAnsi" w:hAnsiTheme="minorHAnsi" w:cstheme="minorHAnsi"/>
          <w:i/>
          <w:iCs/>
          <w:color w:val="auto"/>
          <w:kern w:val="2"/>
          <w:sz w:val="22"/>
          <w:szCs w:val="22"/>
          <w:lang w:eastAsia="en-US"/>
          <w14:ligatures w14:val="standardContextual"/>
        </w:rPr>
        <w:t xml:space="preserve">Journal of Higher School of Economics, </w:t>
      </w:r>
      <w:r w:rsidRPr="002748C2">
        <w:rPr>
          <w:rFonts w:asciiTheme="minorHAnsi" w:eastAsiaTheme="minorHAnsi" w:hAnsiTheme="minorHAnsi" w:cstheme="minorHAnsi"/>
          <w:color w:val="auto"/>
          <w:kern w:val="2"/>
          <w:sz w:val="22"/>
          <w:szCs w:val="22"/>
          <w:lang w:eastAsia="en-US"/>
          <w14:ligatures w14:val="standardContextual"/>
        </w:rPr>
        <w:t xml:space="preserve">12(2), pp. 133-149. </w:t>
      </w:r>
    </w:p>
    <w:p w14:paraId="6D532F1D" w14:textId="7B65B66F" w:rsidR="00594729" w:rsidRPr="002748C2" w:rsidRDefault="00594729" w:rsidP="00594729">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t>Silenzio</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et al. (2007) ‘Sexual orientation and risk factors for suicidal ideation and suicide attempts among adolescents and young adults’, </w:t>
      </w:r>
      <w:r w:rsidRPr="002748C2">
        <w:rPr>
          <w:rFonts w:asciiTheme="minorHAnsi" w:eastAsiaTheme="minorHAnsi" w:hAnsiTheme="minorHAnsi" w:cstheme="minorHAnsi"/>
          <w:i/>
          <w:color w:val="auto"/>
          <w:kern w:val="2"/>
          <w:sz w:val="22"/>
          <w:szCs w:val="22"/>
          <w:lang w:eastAsia="en-US"/>
          <w14:ligatures w14:val="standardContextual"/>
        </w:rPr>
        <w:t xml:space="preserve">American Journal of Public Health, </w:t>
      </w:r>
      <w:r w:rsidRPr="002748C2">
        <w:rPr>
          <w:rFonts w:asciiTheme="minorHAnsi" w:eastAsiaTheme="minorHAnsi" w:hAnsiTheme="minorHAnsi" w:cstheme="minorHAnsi"/>
          <w:color w:val="auto"/>
          <w:kern w:val="2"/>
          <w:sz w:val="22"/>
          <w:szCs w:val="22"/>
          <w:lang w:eastAsia="en-US"/>
          <w14:ligatures w14:val="standardContextual"/>
        </w:rPr>
        <w:t xml:space="preserve">97(11), pp.2017-2019. </w:t>
      </w:r>
    </w:p>
    <w:p w14:paraId="628BA92A" w14:textId="37A14D43" w:rsidR="00583CE1" w:rsidRPr="002748C2" w:rsidRDefault="00583CE1"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proofErr w:type="spellStart"/>
      <w:r w:rsidRPr="002748C2">
        <w:rPr>
          <w:rFonts w:asciiTheme="minorHAnsi" w:eastAsiaTheme="minorHAnsi" w:hAnsiTheme="minorHAnsi" w:cstheme="minorHAnsi"/>
          <w:color w:val="auto"/>
          <w:kern w:val="2"/>
          <w:sz w:val="22"/>
          <w:szCs w:val="22"/>
          <w:lang w:eastAsia="en-US"/>
          <w14:ligatures w14:val="standardContextual"/>
        </w:rPr>
        <w:lastRenderedPageBreak/>
        <w:t>Todak</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N. and White, M.D. (2019) ‘Expert officer perceptions of de-escalation in policing’, </w:t>
      </w:r>
      <w:r w:rsidRPr="002748C2">
        <w:rPr>
          <w:rFonts w:asciiTheme="minorHAnsi" w:eastAsiaTheme="minorHAnsi" w:hAnsiTheme="minorHAnsi" w:cstheme="minorHAnsi"/>
          <w:i/>
          <w:iCs/>
          <w:color w:val="auto"/>
          <w:kern w:val="2"/>
          <w:sz w:val="22"/>
          <w:szCs w:val="22"/>
          <w:lang w:eastAsia="en-US"/>
          <w14:ligatures w14:val="standardContextual"/>
        </w:rPr>
        <w:t xml:space="preserve">Policing: An international Journal, </w:t>
      </w:r>
      <w:r w:rsidRPr="002748C2">
        <w:rPr>
          <w:rFonts w:asciiTheme="minorHAnsi" w:eastAsiaTheme="minorHAnsi" w:hAnsiTheme="minorHAnsi" w:cstheme="minorHAnsi"/>
          <w:color w:val="auto"/>
          <w:kern w:val="2"/>
          <w:sz w:val="22"/>
          <w:szCs w:val="22"/>
          <w:lang w:eastAsia="en-US"/>
          <w14:ligatures w14:val="standardContextual"/>
        </w:rPr>
        <w:t xml:space="preserve">42(5), pp. 832-846. </w:t>
      </w:r>
    </w:p>
    <w:p w14:paraId="747933D0" w14:textId="6474F693" w:rsidR="00854025" w:rsidRPr="002748C2" w:rsidRDefault="00854025"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Trevillion et al. (2012) ‘Experiences of Domestic Violence and Mental Disorder: A Systematic Review and Meta-Analysis’, </w:t>
      </w:r>
      <w:proofErr w:type="spellStart"/>
      <w:r w:rsidRPr="002748C2">
        <w:rPr>
          <w:rFonts w:asciiTheme="minorHAnsi" w:eastAsiaTheme="minorHAnsi" w:hAnsiTheme="minorHAnsi" w:cstheme="minorHAnsi"/>
          <w:i/>
          <w:iCs/>
          <w:color w:val="auto"/>
          <w:kern w:val="2"/>
          <w:sz w:val="22"/>
          <w:szCs w:val="22"/>
          <w:lang w:eastAsia="en-US"/>
          <w14:ligatures w14:val="standardContextual"/>
        </w:rPr>
        <w:t>Plos</w:t>
      </w:r>
      <w:proofErr w:type="spellEnd"/>
      <w:r w:rsidRPr="002748C2">
        <w:rPr>
          <w:rFonts w:asciiTheme="minorHAnsi" w:eastAsiaTheme="minorHAnsi" w:hAnsiTheme="minorHAnsi" w:cstheme="minorHAnsi"/>
          <w:i/>
          <w:iCs/>
          <w:color w:val="auto"/>
          <w:kern w:val="2"/>
          <w:sz w:val="22"/>
          <w:szCs w:val="22"/>
          <w:lang w:eastAsia="en-US"/>
          <w14:ligatures w14:val="standardContextual"/>
        </w:rPr>
        <w:t xml:space="preserve"> one, </w:t>
      </w:r>
      <w:r w:rsidRPr="002748C2">
        <w:rPr>
          <w:rFonts w:asciiTheme="minorHAnsi" w:eastAsiaTheme="minorHAnsi" w:hAnsiTheme="minorHAnsi" w:cstheme="minorHAnsi"/>
          <w:color w:val="auto"/>
          <w:kern w:val="2"/>
          <w:sz w:val="22"/>
          <w:szCs w:val="22"/>
          <w:lang w:eastAsia="en-US"/>
          <w14:ligatures w14:val="standardContextual"/>
        </w:rPr>
        <w:t xml:space="preserve">7(12), pp. 1-12. </w:t>
      </w:r>
    </w:p>
    <w:p w14:paraId="5CE75586" w14:textId="788A561B" w:rsidR="007A7FFB" w:rsidRPr="002748C2" w:rsidRDefault="007A7FFB" w:rsidP="00DA7834">
      <w:pPr>
        <w:tabs>
          <w:tab w:val="left" w:pos="1572"/>
        </w:tabs>
        <w:overflowPunct/>
        <w:autoSpaceDE/>
        <w:autoSpaceDN/>
        <w:adjustRightInd/>
        <w:spacing w:after="160" w:line="259" w:lineRule="auto"/>
        <w:textAlignment w:val="auto"/>
        <w:rPr>
          <w:rFonts w:asciiTheme="minorHAnsi" w:hAnsiTheme="minorHAnsi" w:cstheme="minorHAnsi"/>
          <w:sz w:val="22"/>
          <w:szCs w:val="22"/>
        </w:rPr>
      </w:pPr>
      <w:r w:rsidRPr="002748C2">
        <w:rPr>
          <w:rFonts w:asciiTheme="minorHAnsi" w:eastAsiaTheme="minorHAnsi" w:hAnsiTheme="minorHAnsi" w:cstheme="minorHAnsi"/>
          <w:color w:val="auto"/>
          <w:kern w:val="2"/>
          <w:sz w:val="22"/>
          <w:szCs w:val="22"/>
          <w:lang w:eastAsia="en-US"/>
          <w14:ligatures w14:val="standardContextual"/>
        </w:rPr>
        <w:t xml:space="preserve">Victim Commissioner (2021) </w:t>
      </w:r>
      <w:r w:rsidR="00EE7E33" w:rsidRPr="002748C2">
        <w:rPr>
          <w:rFonts w:asciiTheme="minorHAnsi" w:eastAsiaTheme="minorHAnsi" w:hAnsiTheme="minorHAnsi" w:cstheme="minorHAnsi"/>
          <w:i/>
          <w:iCs/>
          <w:color w:val="auto"/>
          <w:kern w:val="2"/>
          <w:sz w:val="22"/>
          <w:szCs w:val="22"/>
          <w:lang w:eastAsia="en-US"/>
          <w14:ligatures w14:val="standardContextual"/>
        </w:rPr>
        <w:t xml:space="preserve">Victims’ Experience: Annual Survey. </w:t>
      </w:r>
      <w:r w:rsidR="00EE7E33"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39" w:history="1">
        <w:r w:rsidR="00EE7E33" w:rsidRPr="002748C2">
          <w:rPr>
            <w:rStyle w:val="Hyperlink"/>
            <w:rFonts w:asciiTheme="minorHAnsi" w:hAnsiTheme="minorHAnsi" w:cstheme="minorHAnsi"/>
            <w:sz w:val="22"/>
            <w:szCs w:val="22"/>
          </w:rPr>
          <w:t>VC-2021-survey-of-victims-_amended-27_9_21-1.pdf (cloud-platform-e218f50a4812967ba1215eaecede923f.s3.amazonaws.com)</w:t>
        </w:r>
      </w:hyperlink>
      <w:r w:rsidR="00EE7E33" w:rsidRPr="002748C2">
        <w:rPr>
          <w:rFonts w:asciiTheme="minorHAnsi" w:hAnsiTheme="minorHAnsi" w:cstheme="minorHAnsi"/>
          <w:sz w:val="22"/>
          <w:szCs w:val="22"/>
        </w:rPr>
        <w:t xml:space="preserve"> (Accessed: 29 June 2024). </w:t>
      </w:r>
    </w:p>
    <w:p w14:paraId="67A3AC86" w14:textId="4A993AEA" w:rsidR="00EE7E33" w:rsidRPr="002748C2" w:rsidRDefault="00EE7E33"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hAnsiTheme="minorHAnsi" w:cstheme="minorHAnsi"/>
          <w:sz w:val="22"/>
          <w:szCs w:val="22"/>
        </w:rPr>
        <w:t xml:space="preserve">Victim Commissioner (2023) </w:t>
      </w:r>
      <w:r w:rsidR="00EB5F32" w:rsidRPr="002748C2">
        <w:rPr>
          <w:rFonts w:asciiTheme="minorHAnsi" w:eastAsiaTheme="minorHAnsi" w:hAnsiTheme="minorHAnsi" w:cstheme="minorHAnsi"/>
          <w:i/>
          <w:iCs/>
          <w:color w:val="auto"/>
          <w:kern w:val="2"/>
          <w:sz w:val="22"/>
          <w:szCs w:val="22"/>
          <w:lang w:eastAsia="en-US"/>
          <w14:ligatures w14:val="standardContextual"/>
        </w:rPr>
        <w:t xml:space="preserve">Victims’ Experience: Annual Survey 2022. </w:t>
      </w:r>
      <w:r w:rsidR="00EB5F32"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40" w:history="1">
        <w:r w:rsidR="00EB5F32" w:rsidRPr="002748C2">
          <w:rPr>
            <w:rStyle w:val="Hyperlink"/>
            <w:rFonts w:asciiTheme="minorHAnsi" w:hAnsiTheme="minorHAnsi" w:cstheme="minorHAnsi"/>
            <w:sz w:val="22"/>
            <w:szCs w:val="22"/>
          </w:rPr>
          <w:t>Victim-Survey-2022.pdf (cloud-platform-e218f50a4812967ba1215eaecede923f.s3.amazonaws.com)</w:t>
        </w:r>
      </w:hyperlink>
      <w:r w:rsidR="00EB5F32" w:rsidRPr="002748C2">
        <w:rPr>
          <w:rFonts w:asciiTheme="minorHAnsi" w:hAnsiTheme="minorHAnsi" w:cstheme="minorHAnsi"/>
          <w:sz w:val="22"/>
          <w:szCs w:val="22"/>
        </w:rPr>
        <w:t xml:space="preserve"> (Accessed: 29 June 2024). </w:t>
      </w:r>
    </w:p>
    <w:p w14:paraId="3F977E07" w14:textId="4497460B" w:rsidR="00D75D8E" w:rsidRPr="002748C2" w:rsidRDefault="00D75D8E"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Victim Support (2018) </w:t>
      </w:r>
      <w:r w:rsidRPr="002748C2">
        <w:rPr>
          <w:rFonts w:asciiTheme="minorHAnsi" w:eastAsiaTheme="minorHAnsi" w:hAnsiTheme="minorHAnsi" w:cstheme="minorHAnsi"/>
          <w:i/>
          <w:iCs/>
          <w:color w:val="auto"/>
          <w:kern w:val="2"/>
          <w:sz w:val="22"/>
          <w:szCs w:val="22"/>
          <w:lang w:eastAsia="en-US"/>
          <w14:ligatures w14:val="standardContextual"/>
        </w:rPr>
        <w:t xml:space="preserve">How victims and survivors of domestic abuse experience the criminal justice system.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41" w:history="1">
        <w:r w:rsidRPr="002748C2">
          <w:rPr>
            <w:rStyle w:val="Hyperlink"/>
            <w:rFonts w:asciiTheme="minorHAnsi" w:eastAsiaTheme="minorHAnsi" w:hAnsiTheme="minorHAnsi" w:cstheme="minorHAnsi"/>
            <w:kern w:val="2"/>
            <w:sz w:val="22"/>
            <w:szCs w:val="22"/>
            <w:lang w:eastAsia="en-US"/>
            <w14:ligatures w14:val="standardContextual"/>
          </w:rPr>
          <w:t>How victims and survivors of DA experience the criminal justice system.pdf (victimsupport.org.uk)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29 May 2024). </w:t>
      </w:r>
    </w:p>
    <w:p w14:paraId="4A64137C" w14:textId="77777777" w:rsidR="00DA7834"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Vries et al. (2017) ‘Healing with books: A literature review of bibliotherapy used with children and youths who have experienced trauma’, </w:t>
      </w:r>
      <w:r w:rsidRPr="002748C2">
        <w:rPr>
          <w:rFonts w:asciiTheme="minorHAnsi" w:eastAsiaTheme="minorHAnsi" w:hAnsiTheme="minorHAnsi" w:cstheme="minorHAnsi"/>
          <w:i/>
          <w:iCs/>
          <w:color w:val="auto"/>
          <w:kern w:val="2"/>
          <w:sz w:val="22"/>
          <w:szCs w:val="22"/>
          <w:lang w:eastAsia="en-US"/>
          <w14:ligatures w14:val="standardContextual"/>
        </w:rPr>
        <w:t xml:space="preserve">Therapeutic Recreation Journal, </w:t>
      </w:r>
      <w:r w:rsidRPr="002748C2">
        <w:rPr>
          <w:rFonts w:asciiTheme="minorHAnsi" w:eastAsiaTheme="minorHAnsi" w:hAnsiTheme="minorHAnsi" w:cstheme="minorHAnsi"/>
          <w:color w:val="auto"/>
          <w:kern w:val="2"/>
          <w:sz w:val="22"/>
          <w:szCs w:val="22"/>
          <w:lang w:eastAsia="en-US"/>
          <w14:ligatures w14:val="standardContextual"/>
        </w:rPr>
        <w:t>51(1), pp. 48-74.</w:t>
      </w:r>
    </w:p>
    <w:p w14:paraId="39B5F7AE" w14:textId="16036BE9" w:rsidR="007F0D5E" w:rsidRPr="002748C2" w:rsidRDefault="007F0D5E"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Wall, I.R. (2019) ‘Policing atmosphere: Crowds, protest and </w:t>
      </w:r>
      <w:proofErr w:type="spellStart"/>
      <w:r w:rsidRPr="002748C2">
        <w:rPr>
          <w:rFonts w:asciiTheme="minorHAnsi" w:eastAsiaTheme="minorHAnsi" w:hAnsiTheme="minorHAnsi" w:cstheme="minorHAnsi"/>
          <w:color w:val="auto"/>
          <w:kern w:val="2"/>
          <w:sz w:val="22"/>
          <w:szCs w:val="22"/>
          <w:lang w:eastAsia="en-US"/>
          <w14:ligatures w14:val="standardContextual"/>
        </w:rPr>
        <w:t>atmotechnics</w:t>
      </w:r>
      <w:proofErr w:type="spellEnd"/>
      <w:r w:rsidRPr="002748C2">
        <w:rPr>
          <w:rFonts w:asciiTheme="minorHAnsi" w:eastAsiaTheme="minorHAnsi" w:hAnsiTheme="minorHAnsi" w:cstheme="minorHAnsi"/>
          <w:color w:val="auto"/>
          <w:kern w:val="2"/>
          <w:sz w:val="22"/>
          <w:szCs w:val="22"/>
          <w:lang w:eastAsia="en-US"/>
          <w14:ligatures w14:val="standardContextual"/>
        </w:rPr>
        <w:t xml:space="preserve">’, </w:t>
      </w:r>
      <w:r w:rsidRPr="002748C2">
        <w:rPr>
          <w:rFonts w:asciiTheme="minorHAnsi" w:eastAsiaTheme="minorHAnsi" w:hAnsiTheme="minorHAnsi" w:cstheme="minorHAnsi"/>
          <w:i/>
          <w:iCs/>
          <w:color w:val="auto"/>
          <w:kern w:val="2"/>
          <w:sz w:val="22"/>
          <w:szCs w:val="22"/>
          <w:lang w:eastAsia="en-US"/>
          <w14:ligatures w14:val="standardContextual"/>
        </w:rPr>
        <w:t>Theory, Culture and Society</w:t>
      </w:r>
      <w:r w:rsidRPr="002748C2">
        <w:rPr>
          <w:rFonts w:asciiTheme="minorHAnsi" w:eastAsiaTheme="minorHAnsi" w:hAnsiTheme="minorHAnsi" w:cstheme="minorHAnsi"/>
          <w:color w:val="auto"/>
          <w:kern w:val="2"/>
          <w:sz w:val="22"/>
          <w:szCs w:val="22"/>
          <w:lang w:eastAsia="en-US"/>
          <w14:ligatures w14:val="standardContextual"/>
        </w:rPr>
        <w:t>, 36(4), pp. 143-162.</w:t>
      </w:r>
    </w:p>
    <w:p w14:paraId="4F11800A" w14:textId="47415E53" w:rsidR="00055CCC" w:rsidRPr="002748C2" w:rsidRDefault="00DA7834"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Watson, E.M. (2016) ‘The importance of leisure reading to health sciences students: results of a survey’, </w:t>
      </w:r>
      <w:r w:rsidRPr="002748C2">
        <w:rPr>
          <w:rFonts w:asciiTheme="minorHAnsi" w:eastAsiaTheme="minorHAnsi" w:hAnsiTheme="minorHAnsi" w:cstheme="minorHAnsi"/>
          <w:i/>
          <w:iCs/>
          <w:color w:val="auto"/>
          <w:kern w:val="2"/>
          <w:sz w:val="22"/>
          <w:szCs w:val="22"/>
          <w:lang w:eastAsia="en-US"/>
          <w14:ligatures w14:val="standardContextual"/>
        </w:rPr>
        <w:t>Health Information &amp; Libraries Journal</w:t>
      </w:r>
      <w:r w:rsidRPr="002748C2">
        <w:rPr>
          <w:rFonts w:asciiTheme="minorHAnsi" w:eastAsiaTheme="minorHAnsi" w:hAnsiTheme="minorHAnsi" w:cstheme="minorHAnsi"/>
          <w:color w:val="auto"/>
          <w:kern w:val="2"/>
          <w:sz w:val="22"/>
          <w:szCs w:val="22"/>
          <w:lang w:eastAsia="en-US"/>
          <w14:ligatures w14:val="standardContextual"/>
        </w:rPr>
        <w:t>, 33(1), pp.33-48.</w:t>
      </w:r>
    </w:p>
    <w:p w14:paraId="4229F597" w14:textId="6766D3BD" w:rsidR="00545BDF" w:rsidRPr="002748C2" w:rsidRDefault="00545BDF" w:rsidP="00DA7834">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color w:val="auto"/>
          <w:kern w:val="2"/>
          <w:sz w:val="22"/>
          <w:szCs w:val="22"/>
          <w:lang w:eastAsia="en-US"/>
          <w14:ligatures w14:val="standardContextual"/>
        </w:rPr>
        <w:t xml:space="preserve">Welsh Government (2023) </w:t>
      </w:r>
      <w:r w:rsidRPr="002748C2">
        <w:rPr>
          <w:rFonts w:asciiTheme="minorHAnsi" w:eastAsiaTheme="minorHAnsi" w:hAnsiTheme="minorHAnsi" w:cstheme="minorHAnsi"/>
          <w:i/>
          <w:iCs/>
          <w:color w:val="auto"/>
          <w:kern w:val="2"/>
          <w:sz w:val="22"/>
          <w:szCs w:val="22"/>
          <w:lang w:eastAsia="en-US"/>
          <w14:ligatures w14:val="standardContextual"/>
        </w:rPr>
        <w:t xml:space="preserve">NHS ‘111 press 2’ a big step forward for access to urgent mental health support. </w:t>
      </w:r>
      <w:r w:rsidRPr="002748C2">
        <w:rPr>
          <w:rFonts w:asciiTheme="minorHAnsi" w:eastAsiaTheme="minorHAnsi" w:hAnsiTheme="minorHAnsi" w:cstheme="minorHAnsi"/>
          <w:color w:val="auto"/>
          <w:kern w:val="2"/>
          <w:sz w:val="22"/>
          <w:szCs w:val="22"/>
          <w:lang w:eastAsia="en-US"/>
          <w14:ligatures w14:val="standardContextual"/>
        </w:rPr>
        <w:t xml:space="preserve">Available at: </w:t>
      </w:r>
      <w:hyperlink r:id="rId42" w:history="1">
        <w:r w:rsidRPr="002748C2">
          <w:rPr>
            <w:rStyle w:val="Hyperlink"/>
            <w:rFonts w:asciiTheme="minorHAnsi" w:hAnsiTheme="minorHAnsi" w:cstheme="minorHAnsi"/>
            <w:sz w:val="22"/>
            <w:szCs w:val="22"/>
          </w:rPr>
          <w:t>NHS ‘111 press 2’ a big step forward for access to urgent mental health support | GOV.WALES</w:t>
        </w:r>
      </w:hyperlink>
      <w:r w:rsidRPr="002748C2">
        <w:rPr>
          <w:rFonts w:asciiTheme="minorHAnsi" w:hAnsiTheme="minorHAnsi" w:cstheme="minorHAnsi"/>
          <w:sz w:val="22"/>
          <w:szCs w:val="22"/>
        </w:rPr>
        <w:t xml:space="preserve"> (Accessed: 30 June 2024).</w:t>
      </w:r>
      <w:r w:rsidRPr="002748C2">
        <w:rPr>
          <w:sz w:val="22"/>
          <w:szCs w:val="22"/>
        </w:rPr>
        <w:t xml:space="preserve"> </w:t>
      </w:r>
    </w:p>
    <w:p w14:paraId="7F91D124" w14:textId="77777777" w:rsidR="00A54AE6" w:rsidRPr="002748C2" w:rsidRDefault="00A54AE6" w:rsidP="00A54AE6">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iCs/>
          <w:color w:val="auto"/>
          <w:kern w:val="2"/>
          <w:sz w:val="22"/>
          <w:szCs w:val="22"/>
          <w:lang w:eastAsia="en-US"/>
          <w14:ligatures w14:val="standardContextual"/>
        </w:rPr>
        <w:t xml:space="preserve">Women’s Aid (2023) </w:t>
      </w:r>
      <w:r w:rsidRPr="002748C2">
        <w:rPr>
          <w:rFonts w:asciiTheme="minorHAnsi" w:eastAsiaTheme="minorHAnsi" w:hAnsiTheme="minorHAnsi" w:cstheme="minorHAnsi"/>
          <w:i/>
          <w:color w:val="auto"/>
          <w:kern w:val="2"/>
          <w:sz w:val="22"/>
          <w:szCs w:val="22"/>
          <w:lang w:eastAsia="en-US"/>
          <w14:ligatures w14:val="standardContextual"/>
        </w:rPr>
        <w:t xml:space="preserve">The Domestic Abuse Report 2023. The Annual Audit. </w:t>
      </w:r>
      <w:r w:rsidRPr="002748C2">
        <w:rPr>
          <w:rFonts w:asciiTheme="minorHAnsi" w:eastAsiaTheme="minorHAnsi" w:hAnsiTheme="minorHAnsi" w:cstheme="minorHAnsi"/>
          <w:iCs/>
          <w:color w:val="auto"/>
          <w:kern w:val="2"/>
          <w:sz w:val="22"/>
          <w:szCs w:val="22"/>
          <w:lang w:eastAsia="en-US"/>
          <w14:ligatures w14:val="standardContextual"/>
        </w:rPr>
        <w:t xml:space="preserve">Available at: </w:t>
      </w:r>
      <w:hyperlink r:id="rId43" w:history="1">
        <w:r w:rsidRPr="002748C2">
          <w:rPr>
            <w:rStyle w:val="Hyperlink"/>
            <w:rFonts w:asciiTheme="minorHAnsi" w:eastAsiaTheme="minorHAnsi" w:hAnsiTheme="minorHAnsi" w:cstheme="minorHAnsi"/>
            <w:kern w:val="2"/>
            <w:sz w:val="22"/>
            <w:szCs w:val="22"/>
            <w:lang w:eastAsia="en-US"/>
            <w14:ligatures w14:val="standardContextual"/>
          </w:rPr>
          <w:t>The-Domestic-Abuse-Report-2023-The-Annual-Audit-FINAL.pdf (womensaid.org.uk)</w:t>
        </w:r>
      </w:hyperlink>
      <w:r w:rsidRPr="002748C2">
        <w:rPr>
          <w:rFonts w:asciiTheme="minorHAnsi" w:eastAsiaTheme="minorHAnsi" w:hAnsiTheme="minorHAnsi" w:cstheme="minorHAnsi"/>
          <w:color w:val="auto"/>
          <w:kern w:val="2"/>
          <w:sz w:val="22"/>
          <w:szCs w:val="22"/>
          <w:lang w:eastAsia="en-US"/>
          <w14:ligatures w14:val="standardContextual"/>
        </w:rPr>
        <w:t xml:space="preserve"> (Accessed: 29 May 2024). </w:t>
      </w:r>
    </w:p>
    <w:p w14:paraId="62971BC7" w14:textId="282F8194" w:rsidR="00536AE0" w:rsidRPr="002748C2" w:rsidRDefault="00B952E6" w:rsidP="007F74FC">
      <w:pPr>
        <w:tabs>
          <w:tab w:val="left" w:pos="1572"/>
        </w:tabs>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2748C2">
        <w:rPr>
          <w:rFonts w:asciiTheme="minorHAnsi" w:eastAsiaTheme="minorHAnsi" w:hAnsiTheme="minorHAnsi" w:cstheme="minorHAnsi"/>
          <w:i/>
          <w:iCs/>
          <w:color w:val="auto"/>
          <w:kern w:val="2"/>
          <w:sz w:val="22"/>
          <w:szCs w:val="22"/>
          <w:lang w:eastAsia="en-US"/>
          <w14:ligatures w14:val="standardContextual"/>
        </w:rPr>
        <w:t xml:space="preserve">Youth Justice and Criminal Evidence 19988, c. 23. </w:t>
      </w:r>
      <w:r w:rsidRPr="002748C2">
        <w:rPr>
          <w:rFonts w:asciiTheme="minorHAnsi" w:eastAsiaTheme="minorHAnsi" w:hAnsiTheme="minorHAnsi" w:cstheme="minorHAnsi"/>
          <w:color w:val="auto"/>
          <w:kern w:val="2"/>
          <w:sz w:val="22"/>
          <w:szCs w:val="22"/>
          <w:lang w:eastAsia="en-US"/>
          <w14:ligatures w14:val="standardContextual"/>
        </w:rPr>
        <w:t xml:space="preserve">Available at: (Accessed: 24 </w:t>
      </w:r>
      <w:proofErr w:type="gramStart"/>
      <w:r w:rsidRPr="002748C2">
        <w:rPr>
          <w:rFonts w:asciiTheme="minorHAnsi" w:eastAsiaTheme="minorHAnsi" w:hAnsiTheme="minorHAnsi" w:cstheme="minorHAnsi"/>
          <w:color w:val="auto"/>
          <w:kern w:val="2"/>
          <w:sz w:val="22"/>
          <w:szCs w:val="22"/>
          <w:lang w:eastAsia="en-US"/>
          <w14:ligatures w14:val="standardContextual"/>
        </w:rPr>
        <w:t>June,</w:t>
      </w:r>
      <w:proofErr w:type="gramEnd"/>
      <w:r w:rsidRPr="002748C2">
        <w:rPr>
          <w:rFonts w:asciiTheme="minorHAnsi" w:eastAsiaTheme="minorHAnsi" w:hAnsiTheme="minorHAnsi" w:cstheme="minorHAnsi"/>
          <w:color w:val="auto"/>
          <w:kern w:val="2"/>
          <w:sz w:val="22"/>
          <w:szCs w:val="22"/>
          <w:lang w:eastAsia="en-US"/>
          <w14:ligatures w14:val="standardContextual"/>
        </w:rPr>
        <w:t xml:space="preserve"> 2024).</w:t>
      </w:r>
    </w:p>
    <w:p w14:paraId="0C199BDD" w14:textId="77777777" w:rsidR="0080442F" w:rsidRDefault="0080442F" w:rsidP="00E6298B">
      <w:pPr>
        <w:overflowPunct/>
        <w:autoSpaceDE/>
        <w:autoSpaceDN/>
        <w:adjustRightInd/>
        <w:ind w:right="107"/>
        <w:textAlignment w:val="auto"/>
        <w:rPr>
          <w:b/>
          <w:sz w:val="24"/>
          <w:szCs w:val="24"/>
        </w:rPr>
      </w:pPr>
    </w:p>
    <w:p w14:paraId="10CD5792" w14:textId="77777777" w:rsidR="00145EF9" w:rsidRDefault="00145EF9" w:rsidP="00E6298B">
      <w:pPr>
        <w:overflowPunct/>
        <w:autoSpaceDE/>
        <w:autoSpaceDN/>
        <w:adjustRightInd/>
        <w:ind w:right="107"/>
        <w:textAlignment w:val="auto"/>
        <w:rPr>
          <w:b/>
          <w:sz w:val="24"/>
          <w:szCs w:val="24"/>
        </w:rPr>
      </w:pPr>
    </w:p>
    <w:p w14:paraId="4FABE3A1" w14:textId="77777777" w:rsidR="00145EF9" w:rsidRDefault="00145EF9" w:rsidP="00E6298B">
      <w:pPr>
        <w:overflowPunct/>
        <w:autoSpaceDE/>
        <w:autoSpaceDN/>
        <w:adjustRightInd/>
        <w:ind w:right="107"/>
        <w:textAlignment w:val="auto"/>
        <w:rPr>
          <w:b/>
          <w:sz w:val="24"/>
          <w:szCs w:val="24"/>
        </w:rPr>
      </w:pPr>
    </w:p>
    <w:p w14:paraId="45D19975" w14:textId="77777777" w:rsidR="00145EF9" w:rsidRDefault="00145EF9" w:rsidP="00E6298B">
      <w:pPr>
        <w:overflowPunct/>
        <w:autoSpaceDE/>
        <w:autoSpaceDN/>
        <w:adjustRightInd/>
        <w:ind w:right="107"/>
        <w:textAlignment w:val="auto"/>
        <w:rPr>
          <w:b/>
          <w:sz w:val="24"/>
          <w:szCs w:val="24"/>
        </w:rPr>
      </w:pPr>
    </w:p>
    <w:p w14:paraId="2B86BB8D" w14:textId="77777777" w:rsidR="00145EF9" w:rsidRDefault="00145EF9" w:rsidP="00E6298B">
      <w:pPr>
        <w:overflowPunct/>
        <w:autoSpaceDE/>
        <w:autoSpaceDN/>
        <w:adjustRightInd/>
        <w:ind w:right="107"/>
        <w:textAlignment w:val="auto"/>
        <w:rPr>
          <w:b/>
          <w:sz w:val="24"/>
          <w:szCs w:val="24"/>
        </w:rPr>
      </w:pPr>
    </w:p>
    <w:p w14:paraId="298FEFDC" w14:textId="77777777" w:rsidR="00145EF9" w:rsidRDefault="00145EF9" w:rsidP="00E6298B">
      <w:pPr>
        <w:overflowPunct/>
        <w:autoSpaceDE/>
        <w:autoSpaceDN/>
        <w:adjustRightInd/>
        <w:ind w:right="107"/>
        <w:textAlignment w:val="auto"/>
        <w:rPr>
          <w:b/>
          <w:sz w:val="24"/>
          <w:szCs w:val="24"/>
        </w:rPr>
      </w:pPr>
    </w:p>
    <w:p w14:paraId="7BD7FAB4" w14:textId="77777777" w:rsidR="00145EF9" w:rsidRDefault="00145EF9" w:rsidP="00E6298B">
      <w:pPr>
        <w:overflowPunct/>
        <w:autoSpaceDE/>
        <w:autoSpaceDN/>
        <w:adjustRightInd/>
        <w:ind w:right="107"/>
        <w:textAlignment w:val="auto"/>
        <w:rPr>
          <w:b/>
          <w:sz w:val="24"/>
          <w:szCs w:val="24"/>
        </w:rPr>
      </w:pPr>
    </w:p>
    <w:p w14:paraId="1A5A7F49" w14:textId="77777777" w:rsidR="00145EF9" w:rsidRDefault="00145EF9" w:rsidP="00E6298B">
      <w:pPr>
        <w:overflowPunct/>
        <w:autoSpaceDE/>
        <w:autoSpaceDN/>
        <w:adjustRightInd/>
        <w:ind w:right="107"/>
        <w:textAlignment w:val="auto"/>
        <w:rPr>
          <w:b/>
          <w:sz w:val="24"/>
          <w:szCs w:val="24"/>
        </w:rPr>
      </w:pPr>
    </w:p>
    <w:p w14:paraId="35CC21D2" w14:textId="77777777" w:rsidR="00145EF9" w:rsidRDefault="00145EF9" w:rsidP="00E6298B">
      <w:pPr>
        <w:overflowPunct/>
        <w:autoSpaceDE/>
        <w:autoSpaceDN/>
        <w:adjustRightInd/>
        <w:ind w:right="107"/>
        <w:textAlignment w:val="auto"/>
        <w:rPr>
          <w:b/>
          <w:sz w:val="24"/>
          <w:szCs w:val="24"/>
        </w:rPr>
      </w:pPr>
    </w:p>
    <w:p w14:paraId="1C627489" w14:textId="77777777" w:rsidR="00145EF9" w:rsidRDefault="00145EF9" w:rsidP="00E6298B">
      <w:pPr>
        <w:overflowPunct/>
        <w:autoSpaceDE/>
        <w:autoSpaceDN/>
        <w:adjustRightInd/>
        <w:ind w:right="107"/>
        <w:textAlignment w:val="auto"/>
        <w:rPr>
          <w:b/>
          <w:sz w:val="24"/>
          <w:szCs w:val="24"/>
        </w:rPr>
      </w:pPr>
    </w:p>
    <w:p w14:paraId="6E7C1046" w14:textId="77777777" w:rsidR="00145EF9" w:rsidRDefault="00145EF9" w:rsidP="00E6298B">
      <w:pPr>
        <w:overflowPunct/>
        <w:autoSpaceDE/>
        <w:autoSpaceDN/>
        <w:adjustRightInd/>
        <w:ind w:right="107"/>
        <w:textAlignment w:val="auto"/>
        <w:rPr>
          <w:b/>
          <w:sz w:val="24"/>
          <w:szCs w:val="24"/>
        </w:rPr>
      </w:pPr>
    </w:p>
    <w:p w14:paraId="34E76372" w14:textId="77777777" w:rsidR="00145EF9" w:rsidRDefault="00145EF9" w:rsidP="00E6298B">
      <w:pPr>
        <w:overflowPunct/>
        <w:autoSpaceDE/>
        <w:autoSpaceDN/>
        <w:adjustRightInd/>
        <w:ind w:right="107"/>
        <w:textAlignment w:val="auto"/>
        <w:rPr>
          <w:b/>
          <w:sz w:val="24"/>
          <w:szCs w:val="24"/>
        </w:rPr>
      </w:pPr>
    </w:p>
    <w:p w14:paraId="212B7DAD" w14:textId="77777777" w:rsidR="00145EF9" w:rsidRDefault="00145EF9" w:rsidP="00E6298B">
      <w:pPr>
        <w:overflowPunct/>
        <w:autoSpaceDE/>
        <w:autoSpaceDN/>
        <w:adjustRightInd/>
        <w:ind w:right="107"/>
        <w:textAlignment w:val="auto"/>
        <w:rPr>
          <w:b/>
          <w:sz w:val="24"/>
          <w:szCs w:val="24"/>
        </w:rPr>
      </w:pPr>
    </w:p>
    <w:p w14:paraId="1F189244" w14:textId="77777777" w:rsidR="00145EF9" w:rsidRDefault="00145EF9" w:rsidP="00E6298B">
      <w:pPr>
        <w:overflowPunct/>
        <w:autoSpaceDE/>
        <w:autoSpaceDN/>
        <w:adjustRightInd/>
        <w:ind w:right="107"/>
        <w:textAlignment w:val="auto"/>
        <w:rPr>
          <w:b/>
          <w:sz w:val="24"/>
          <w:szCs w:val="24"/>
        </w:rPr>
      </w:pPr>
    </w:p>
    <w:p w14:paraId="53CA1276" w14:textId="77777777" w:rsidR="00145EF9" w:rsidRDefault="00145EF9" w:rsidP="00E6298B">
      <w:pPr>
        <w:overflowPunct/>
        <w:autoSpaceDE/>
        <w:autoSpaceDN/>
        <w:adjustRightInd/>
        <w:ind w:right="107"/>
        <w:textAlignment w:val="auto"/>
        <w:rPr>
          <w:b/>
          <w:sz w:val="24"/>
          <w:szCs w:val="24"/>
        </w:rPr>
      </w:pPr>
    </w:p>
    <w:p w14:paraId="6E5CD513" w14:textId="77777777" w:rsidR="00B51B5E" w:rsidRDefault="00B51B5E" w:rsidP="00E6298B">
      <w:pPr>
        <w:overflowPunct/>
        <w:autoSpaceDE/>
        <w:autoSpaceDN/>
        <w:adjustRightInd/>
        <w:ind w:right="107"/>
        <w:textAlignment w:val="auto"/>
        <w:rPr>
          <w:b/>
          <w:sz w:val="24"/>
          <w:szCs w:val="24"/>
        </w:rPr>
      </w:pPr>
    </w:p>
    <w:p w14:paraId="6455592E" w14:textId="77777777" w:rsidR="00B51B5E" w:rsidRDefault="00B51B5E" w:rsidP="00E6298B">
      <w:pPr>
        <w:overflowPunct/>
        <w:autoSpaceDE/>
        <w:autoSpaceDN/>
        <w:adjustRightInd/>
        <w:ind w:right="107"/>
        <w:textAlignment w:val="auto"/>
        <w:rPr>
          <w:b/>
          <w:sz w:val="24"/>
          <w:szCs w:val="24"/>
        </w:rPr>
      </w:pPr>
    </w:p>
    <w:p w14:paraId="107ED6CB" w14:textId="77777777" w:rsidR="00B51B5E" w:rsidRDefault="00B51B5E" w:rsidP="00E6298B">
      <w:pPr>
        <w:overflowPunct/>
        <w:autoSpaceDE/>
        <w:autoSpaceDN/>
        <w:adjustRightInd/>
        <w:ind w:right="107"/>
        <w:textAlignment w:val="auto"/>
        <w:rPr>
          <w:b/>
          <w:sz w:val="24"/>
          <w:szCs w:val="24"/>
        </w:rPr>
      </w:pPr>
    </w:p>
    <w:p w14:paraId="24494A39" w14:textId="77777777" w:rsidR="00B51B5E" w:rsidRDefault="00B51B5E" w:rsidP="00E6298B">
      <w:pPr>
        <w:overflowPunct/>
        <w:autoSpaceDE/>
        <w:autoSpaceDN/>
        <w:adjustRightInd/>
        <w:ind w:right="107"/>
        <w:textAlignment w:val="auto"/>
        <w:rPr>
          <w:b/>
          <w:sz w:val="24"/>
          <w:szCs w:val="24"/>
        </w:rPr>
      </w:pPr>
    </w:p>
    <w:p w14:paraId="649818F7" w14:textId="77777777" w:rsidR="00145EF9" w:rsidRDefault="00145EF9" w:rsidP="00E6298B">
      <w:pPr>
        <w:overflowPunct/>
        <w:autoSpaceDE/>
        <w:autoSpaceDN/>
        <w:adjustRightInd/>
        <w:ind w:right="107"/>
        <w:textAlignment w:val="auto"/>
        <w:rPr>
          <w:b/>
          <w:sz w:val="24"/>
          <w:szCs w:val="24"/>
        </w:rPr>
      </w:pPr>
    </w:p>
    <w:p w14:paraId="15A2F4FE" w14:textId="77777777" w:rsidR="00145EF9" w:rsidRDefault="00145EF9" w:rsidP="00E6298B">
      <w:pPr>
        <w:overflowPunct/>
        <w:autoSpaceDE/>
        <w:autoSpaceDN/>
        <w:adjustRightInd/>
        <w:ind w:right="107"/>
        <w:textAlignment w:val="auto"/>
        <w:rPr>
          <w:b/>
          <w:sz w:val="24"/>
          <w:szCs w:val="24"/>
        </w:rPr>
      </w:pPr>
    </w:p>
    <w:p w14:paraId="5BFE29CB" w14:textId="77777777" w:rsidR="00145EF9" w:rsidRDefault="00145EF9"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848DFF6" w14:textId="343A6E73" w:rsidR="00AC4637"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w:t>
      </w:r>
      <w:r w:rsidR="002A5722">
        <w:rPr>
          <w:b/>
          <w:bCs/>
          <w:sz w:val="24"/>
          <w:szCs w:val="24"/>
        </w:rPr>
        <w:t xml:space="preserve">nitin </w:t>
      </w:r>
    </w:p>
    <w:p w14:paraId="5C7031B1" w14:textId="77777777" w:rsidR="002A5722" w:rsidRDefault="002A5722" w:rsidP="002A5722">
      <w:pPr>
        <w:rPr>
          <w:b/>
          <w:bCs/>
          <w:sz w:val="24"/>
          <w:szCs w:val="24"/>
        </w:rPr>
      </w:pPr>
    </w:p>
    <w:p w14:paraId="6984E2A6" w14:textId="77777777" w:rsidR="002A5722" w:rsidRDefault="002A5722" w:rsidP="002A5722">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29F7F4BD" w14:textId="77777777" w:rsidR="002A5722" w:rsidRDefault="002A5722" w:rsidP="002A5722">
      <w:pPr>
        <w:jc w:val="both"/>
        <w:rPr>
          <w:color w:val="000000" w:themeColor="text1"/>
          <w:sz w:val="24"/>
          <w:szCs w:val="24"/>
          <w:highlight w:val="yellow"/>
        </w:rPr>
      </w:pPr>
    </w:p>
    <w:p w14:paraId="2874C8DC" w14:textId="77777777" w:rsidR="002A5722" w:rsidRDefault="002A5722" w:rsidP="002A5722">
      <w:pPr>
        <w:jc w:val="both"/>
        <w:rPr>
          <w:color w:val="000000" w:themeColor="text1"/>
          <w:sz w:val="24"/>
          <w:szCs w:val="24"/>
          <w:highlight w:val="yellow"/>
        </w:rPr>
      </w:pPr>
      <w:r w:rsidRPr="366F6C5C">
        <w:rPr>
          <w:rFonts w:eastAsia="Arial"/>
          <w:color w:val="000000" w:themeColor="text1"/>
          <w:sz w:val="24"/>
          <w:szCs w:val="24"/>
          <w:highlight w:val="yellow"/>
        </w:rPr>
        <w:t>Signed: …...</w:t>
      </w:r>
      <w:r>
        <w:rPr>
          <w:rFonts w:eastAsia="Arial"/>
          <w:color w:val="000000" w:themeColor="text1"/>
          <w:sz w:val="24"/>
          <w:szCs w:val="24"/>
          <w:highlight w:val="yellow"/>
        </w:rPr>
        <w:t>CJONES</w:t>
      </w:r>
      <w:r w:rsidRPr="366F6C5C">
        <w:rPr>
          <w:rFonts w:eastAsia="Arial"/>
          <w:color w:val="000000" w:themeColor="text1"/>
          <w:sz w:val="24"/>
          <w:szCs w:val="24"/>
          <w:highlight w:val="yellow"/>
        </w:rPr>
        <w:t>................</w:t>
      </w:r>
    </w:p>
    <w:p w14:paraId="234A5D5D" w14:textId="77777777" w:rsidR="002A5722" w:rsidRDefault="002A5722" w:rsidP="002A5722">
      <w:pPr>
        <w:jc w:val="both"/>
        <w:rPr>
          <w:color w:val="000000" w:themeColor="text1"/>
          <w:sz w:val="24"/>
          <w:szCs w:val="24"/>
          <w:highlight w:val="yellow"/>
        </w:rPr>
      </w:pPr>
    </w:p>
    <w:p w14:paraId="76EC9086" w14:textId="58D56491" w:rsidR="002A5722" w:rsidRDefault="002A5722" w:rsidP="002A5722">
      <w:pPr>
        <w:jc w:val="both"/>
        <w:rPr>
          <w:color w:val="000000" w:themeColor="text1"/>
          <w:sz w:val="24"/>
          <w:szCs w:val="24"/>
          <w:highlight w:val="yellow"/>
        </w:rPr>
      </w:pPr>
      <w:r w:rsidRPr="366F6C5C">
        <w:rPr>
          <w:rFonts w:eastAsia="Arial"/>
          <w:color w:val="000000" w:themeColor="text1"/>
          <w:sz w:val="24"/>
          <w:szCs w:val="24"/>
          <w:highlight w:val="yellow"/>
        </w:rPr>
        <w:t>Date: …......</w:t>
      </w:r>
      <w:r w:rsidR="009E0E88">
        <w:rPr>
          <w:rFonts w:eastAsia="Arial"/>
          <w:color w:val="000000" w:themeColor="text1"/>
          <w:sz w:val="24"/>
          <w:szCs w:val="24"/>
          <w:highlight w:val="yellow"/>
        </w:rPr>
        <w:t>1</w:t>
      </w:r>
      <w:r>
        <w:rPr>
          <w:rFonts w:eastAsia="Arial"/>
          <w:color w:val="000000" w:themeColor="text1"/>
          <w:sz w:val="24"/>
          <w:szCs w:val="24"/>
          <w:highlight w:val="yellow"/>
        </w:rPr>
        <w:t>/0</w:t>
      </w:r>
      <w:r w:rsidR="009E0E88">
        <w:rPr>
          <w:rFonts w:eastAsia="Arial"/>
          <w:color w:val="000000" w:themeColor="text1"/>
          <w:sz w:val="24"/>
          <w:szCs w:val="24"/>
          <w:highlight w:val="yellow"/>
        </w:rPr>
        <w:t>7</w:t>
      </w:r>
      <w:r>
        <w:rPr>
          <w:rFonts w:eastAsia="Arial"/>
          <w:color w:val="000000" w:themeColor="text1"/>
          <w:sz w:val="24"/>
          <w:szCs w:val="24"/>
          <w:highlight w:val="yellow"/>
        </w:rPr>
        <w:t>/2024</w:t>
      </w:r>
      <w:r w:rsidRPr="366F6C5C">
        <w:rPr>
          <w:rFonts w:eastAsia="Arial"/>
          <w:color w:val="000000" w:themeColor="text1"/>
          <w:sz w:val="24"/>
          <w:szCs w:val="24"/>
          <w:highlight w:val="yellow"/>
        </w:rPr>
        <w:t>.................</w:t>
      </w:r>
    </w:p>
    <w:p w14:paraId="508EDDFA" w14:textId="4A3FB6D3" w:rsidR="002A5722" w:rsidRPr="002A5722" w:rsidRDefault="002A5722" w:rsidP="002A5722">
      <w:pPr>
        <w:sectPr w:rsidR="002A5722" w:rsidRPr="002A5722" w:rsidSect="005463F1">
          <w:pgSz w:w="11906" w:h="16838" w:code="9"/>
          <w:pgMar w:top="1021" w:right="1080" w:bottom="1021" w:left="1080" w:header="720" w:footer="720" w:gutter="0"/>
          <w:cols w:space="720"/>
          <w:docGrid w:linePitch="272"/>
        </w:sectPr>
      </w:pPr>
      <w:r w:rsidRPr="28A9B94D">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23C138" w14:textId="77777777" w:rsidR="00135CFD" w:rsidRDefault="00135CFD">
      <w:r>
        <w:separator/>
      </w:r>
    </w:p>
  </w:endnote>
  <w:endnote w:type="continuationSeparator" w:id="0">
    <w:p w14:paraId="243906A6" w14:textId="77777777" w:rsidR="00135CFD" w:rsidRDefault="00135C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F45A4F" w14:textId="77777777" w:rsidR="00135CFD" w:rsidRDefault="00135CFD">
      <w:r>
        <w:separator/>
      </w:r>
    </w:p>
  </w:footnote>
  <w:footnote w:type="continuationSeparator" w:id="0">
    <w:p w14:paraId="2D04941E" w14:textId="77777777" w:rsidR="00135CFD" w:rsidRDefault="00135CF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2B308A0"/>
    <w:multiLevelType w:val="hybridMultilevel"/>
    <w:tmpl w:val="2A20772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69301E16"/>
    <w:multiLevelType w:val="hybridMultilevel"/>
    <w:tmpl w:val="DBC0F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
  </w:num>
  <w:num w:numId="2" w16cid:durableId="1733890733">
    <w:abstractNumId w:val="2"/>
  </w:num>
  <w:num w:numId="3" w16cid:durableId="496265599">
    <w:abstractNumId w:val="0"/>
  </w:num>
  <w:num w:numId="4" w16cid:durableId="260382644">
    <w:abstractNumId w:val="5"/>
  </w:num>
  <w:num w:numId="5" w16cid:durableId="206718278">
    <w:abstractNumId w:val="1"/>
  </w:num>
  <w:num w:numId="6" w16cid:durableId="1751123930">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3"/>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80"/>
    <w:rsid w:val="00003990"/>
    <w:rsid w:val="000045B8"/>
    <w:rsid w:val="00020EEC"/>
    <w:rsid w:val="00024628"/>
    <w:rsid w:val="00025650"/>
    <w:rsid w:val="0002682E"/>
    <w:rsid w:val="00027B1F"/>
    <w:rsid w:val="0003088B"/>
    <w:rsid w:val="000325D9"/>
    <w:rsid w:val="00034C51"/>
    <w:rsid w:val="000368B4"/>
    <w:rsid w:val="000372B2"/>
    <w:rsid w:val="0004079F"/>
    <w:rsid w:val="00045B87"/>
    <w:rsid w:val="00045C07"/>
    <w:rsid w:val="00052F05"/>
    <w:rsid w:val="00054483"/>
    <w:rsid w:val="0005583B"/>
    <w:rsid w:val="00055CCC"/>
    <w:rsid w:val="00055D43"/>
    <w:rsid w:val="00056FAC"/>
    <w:rsid w:val="00057751"/>
    <w:rsid w:val="00062E39"/>
    <w:rsid w:val="00063F94"/>
    <w:rsid w:val="00080E58"/>
    <w:rsid w:val="00082668"/>
    <w:rsid w:val="00083D99"/>
    <w:rsid w:val="00083FD5"/>
    <w:rsid w:val="00084EA6"/>
    <w:rsid w:val="00085699"/>
    <w:rsid w:val="00087891"/>
    <w:rsid w:val="00090BA6"/>
    <w:rsid w:val="00091F52"/>
    <w:rsid w:val="00092235"/>
    <w:rsid w:val="00092970"/>
    <w:rsid w:val="00092BC7"/>
    <w:rsid w:val="00093720"/>
    <w:rsid w:val="000938E6"/>
    <w:rsid w:val="00093B3C"/>
    <w:rsid w:val="0009488C"/>
    <w:rsid w:val="00095C1B"/>
    <w:rsid w:val="00096CCD"/>
    <w:rsid w:val="00096DEA"/>
    <w:rsid w:val="000A4240"/>
    <w:rsid w:val="000A469A"/>
    <w:rsid w:val="000A4D11"/>
    <w:rsid w:val="000B1E96"/>
    <w:rsid w:val="000C378F"/>
    <w:rsid w:val="000C6892"/>
    <w:rsid w:val="000C6FFE"/>
    <w:rsid w:val="000D0BB6"/>
    <w:rsid w:val="000D2624"/>
    <w:rsid w:val="000D5C5F"/>
    <w:rsid w:val="000E1CD4"/>
    <w:rsid w:val="000E26B0"/>
    <w:rsid w:val="000F1599"/>
    <w:rsid w:val="000F1769"/>
    <w:rsid w:val="000F43CE"/>
    <w:rsid w:val="000F6196"/>
    <w:rsid w:val="000F7C2E"/>
    <w:rsid w:val="000F7ECD"/>
    <w:rsid w:val="00102E64"/>
    <w:rsid w:val="00102E87"/>
    <w:rsid w:val="0010312C"/>
    <w:rsid w:val="00106DC7"/>
    <w:rsid w:val="00112391"/>
    <w:rsid w:val="00112751"/>
    <w:rsid w:val="00114F52"/>
    <w:rsid w:val="0012379E"/>
    <w:rsid w:val="001347F8"/>
    <w:rsid w:val="00135CFD"/>
    <w:rsid w:val="00137BB5"/>
    <w:rsid w:val="00137E05"/>
    <w:rsid w:val="00140F58"/>
    <w:rsid w:val="001447F6"/>
    <w:rsid w:val="00145EF9"/>
    <w:rsid w:val="00147DE3"/>
    <w:rsid w:val="00150794"/>
    <w:rsid w:val="001608C4"/>
    <w:rsid w:val="00170590"/>
    <w:rsid w:val="00171418"/>
    <w:rsid w:val="00177000"/>
    <w:rsid w:val="001961CF"/>
    <w:rsid w:val="001A449D"/>
    <w:rsid w:val="001A51FA"/>
    <w:rsid w:val="001A59BB"/>
    <w:rsid w:val="001A6A51"/>
    <w:rsid w:val="001A79C4"/>
    <w:rsid w:val="001B331A"/>
    <w:rsid w:val="001B42B9"/>
    <w:rsid w:val="001B4FD2"/>
    <w:rsid w:val="001C0C77"/>
    <w:rsid w:val="001C0E74"/>
    <w:rsid w:val="001C289C"/>
    <w:rsid w:val="001D229F"/>
    <w:rsid w:val="001E4BD9"/>
    <w:rsid w:val="001F1A01"/>
    <w:rsid w:val="001F3B86"/>
    <w:rsid w:val="001F4552"/>
    <w:rsid w:val="00200293"/>
    <w:rsid w:val="002019EB"/>
    <w:rsid w:val="002030F2"/>
    <w:rsid w:val="0020502D"/>
    <w:rsid w:val="00205051"/>
    <w:rsid w:val="002059A8"/>
    <w:rsid w:val="00206319"/>
    <w:rsid w:val="00211F65"/>
    <w:rsid w:val="00213268"/>
    <w:rsid w:val="00220D06"/>
    <w:rsid w:val="0022191F"/>
    <w:rsid w:val="002246A0"/>
    <w:rsid w:val="00224A82"/>
    <w:rsid w:val="00224AF9"/>
    <w:rsid w:val="00230439"/>
    <w:rsid w:val="002320D3"/>
    <w:rsid w:val="002333C2"/>
    <w:rsid w:val="002345E3"/>
    <w:rsid w:val="00235176"/>
    <w:rsid w:val="00236061"/>
    <w:rsid w:val="0024100E"/>
    <w:rsid w:val="00241C1B"/>
    <w:rsid w:val="0024288B"/>
    <w:rsid w:val="00250C43"/>
    <w:rsid w:val="0025394E"/>
    <w:rsid w:val="00255D8E"/>
    <w:rsid w:val="002657E9"/>
    <w:rsid w:val="0026665E"/>
    <w:rsid w:val="00270EEB"/>
    <w:rsid w:val="0027147E"/>
    <w:rsid w:val="002748C2"/>
    <w:rsid w:val="002761F4"/>
    <w:rsid w:val="002775E1"/>
    <w:rsid w:val="00277844"/>
    <w:rsid w:val="00277979"/>
    <w:rsid w:val="002808EB"/>
    <w:rsid w:val="00291ADD"/>
    <w:rsid w:val="00293009"/>
    <w:rsid w:val="00294868"/>
    <w:rsid w:val="002949C2"/>
    <w:rsid w:val="00295CA1"/>
    <w:rsid w:val="002964AC"/>
    <w:rsid w:val="002A291A"/>
    <w:rsid w:val="002A5604"/>
    <w:rsid w:val="002A5722"/>
    <w:rsid w:val="002B1701"/>
    <w:rsid w:val="002B23C3"/>
    <w:rsid w:val="002B443A"/>
    <w:rsid w:val="002B5B35"/>
    <w:rsid w:val="002C256A"/>
    <w:rsid w:val="002C496D"/>
    <w:rsid w:val="002C5114"/>
    <w:rsid w:val="002D05EB"/>
    <w:rsid w:val="002D19A5"/>
    <w:rsid w:val="002D2F29"/>
    <w:rsid w:val="002E3CAB"/>
    <w:rsid w:val="002E7017"/>
    <w:rsid w:val="002F4F6E"/>
    <w:rsid w:val="003015C3"/>
    <w:rsid w:val="0030C684"/>
    <w:rsid w:val="0031350A"/>
    <w:rsid w:val="00316815"/>
    <w:rsid w:val="003168CA"/>
    <w:rsid w:val="00321255"/>
    <w:rsid w:val="0032230D"/>
    <w:rsid w:val="00322A0B"/>
    <w:rsid w:val="00334AFF"/>
    <w:rsid w:val="00335FC5"/>
    <w:rsid w:val="00336745"/>
    <w:rsid w:val="00345268"/>
    <w:rsid w:val="00346DAA"/>
    <w:rsid w:val="003516C0"/>
    <w:rsid w:val="00352E59"/>
    <w:rsid w:val="00354DBE"/>
    <w:rsid w:val="00355210"/>
    <w:rsid w:val="00365DF9"/>
    <w:rsid w:val="00372DB4"/>
    <w:rsid w:val="00375AF5"/>
    <w:rsid w:val="003761BD"/>
    <w:rsid w:val="00380A77"/>
    <w:rsid w:val="00385414"/>
    <w:rsid w:val="00390074"/>
    <w:rsid w:val="003945B7"/>
    <w:rsid w:val="003956B5"/>
    <w:rsid w:val="0039762B"/>
    <w:rsid w:val="003A0C37"/>
    <w:rsid w:val="003A1B6B"/>
    <w:rsid w:val="003A46C0"/>
    <w:rsid w:val="003A600E"/>
    <w:rsid w:val="003A6513"/>
    <w:rsid w:val="003B16C7"/>
    <w:rsid w:val="003B2A14"/>
    <w:rsid w:val="003B5661"/>
    <w:rsid w:val="003C19F1"/>
    <w:rsid w:val="003C4186"/>
    <w:rsid w:val="003C458C"/>
    <w:rsid w:val="003C4D7B"/>
    <w:rsid w:val="003C6185"/>
    <w:rsid w:val="003D0D2D"/>
    <w:rsid w:val="003D1CA1"/>
    <w:rsid w:val="003D4710"/>
    <w:rsid w:val="003E16D7"/>
    <w:rsid w:val="003E197E"/>
    <w:rsid w:val="003F048E"/>
    <w:rsid w:val="003F1A37"/>
    <w:rsid w:val="00402B05"/>
    <w:rsid w:val="004046F0"/>
    <w:rsid w:val="0040668F"/>
    <w:rsid w:val="00412677"/>
    <w:rsid w:val="00413251"/>
    <w:rsid w:val="004348AE"/>
    <w:rsid w:val="00435FFB"/>
    <w:rsid w:val="0043660E"/>
    <w:rsid w:val="004376C0"/>
    <w:rsid w:val="00440C08"/>
    <w:rsid w:val="0044223A"/>
    <w:rsid w:val="00442EAD"/>
    <w:rsid w:val="00450C83"/>
    <w:rsid w:val="00451851"/>
    <w:rsid w:val="00453343"/>
    <w:rsid w:val="004608B9"/>
    <w:rsid w:val="004649D4"/>
    <w:rsid w:val="00465947"/>
    <w:rsid w:val="00470BB1"/>
    <w:rsid w:val="004718F7"/>
    <w:rsid w:val="00473153"/>
    <w:rsid w:val="004743AF"/>
    <w:rsid w:val="00482C17"/>
    <w:rsid w:val="00484BD3"/>
    <w:rsid w:val="0048669E"/>
    <w:rsid w:val="004911B4"/>
    <w:rsid w:val="0049196A"/>
    <w:rsid w:val="004923DA"/>
    <w:rsid w:val="00493434"/>
    <w:rsid w:val="00495042"/>
    <w:rsid w:val="004962F9"/>
    <w:rsid w:val="004968E2"/>
    <w:rsid w:val="004A2A49"/>
    <w:rsid w:val="004B187C"/>
    <w:rsid w:val="004B3019"/>
    <w:rsid w:val="004B4C15"/>
    <w:rsid w:val="004B600B"/>
    <w:rsid w:val="004B6822"/>
    <w:rsid w:val="004B69F6"/>
    <w:rsid w:val="004C196C"/>
    <w:rsid w:val="004C2BCA"/>
    <w:rsid w:val="004C2D3A"/>
    <w:rsid w:val="004D03C4"/>
    <w:rsid w:val="004D0BF1"/>
    <w:rsid w:val="004D24D2"/>
    <w:rsid w:val="004D35A4"/>
    <w:rsid w:val="004D445F"/>
    <w:rsid w:val="004D65D9"/>
    <w:rsid w:val="004E087B"/>
    <w:rsid w:val="004E44A4"/>
    <w:rsid w:val="004E7B8B"/>
    <w:rsid w:val="004E7BDD"/>
    <w:rsid w:val="004E7DBD"/>
    <w:rsid w:val="004F07C5"/>
    <w:rsid w:val="004F103E"/>
    <w:rsid w:val="004F1E21"/>
    <w:rsid w:val="004F740D"/>
    <w:rsid w:val="004F7B8F"/>
    <w:rsid w:val="00500748"/>
    <w:rsid w:val="005011D6"/>
    <w:rsid w:val="0050167A"/>
    <w:rsid w:val="005042F1"/>
    <w:rsid w:val="00504B92"/>
    <w:rsid w:val="00513C7D"/>
    <w:rsid w:val="00517C34"/>
    <w:rsid w:val="00521123"/>
    <w:rsid w:val="00521221"/>
    <w:rsid w:val="0052653C"/>
    <w:rsid w:val="0053515E"/>
    <w:rsid w:val="00536AE0"/>
    <w:rsid w:val="00536FA9"/>
    <w:rsid w:val="005414F4"/>
    <w:rsid w:val="005417AF"/>
    <w:rsid w:val="00545BDF"/>
    <w:rsid w:val="00546187"/>
    <w:rsid w:val="005463F1"/>
    <w:rsid w:val="005556F5"/>
    <w:rsid w:val="00557D77"/>
    <w:rsid w:val="00560DC4"/>
    <w:rsid w:val="00562EAA"/>
    <w:rsid w:val="00563B58"/>
    <w:rsid w:val="005640C4"/>
    <w:rsid w:val="0056684C"/>
    <w:rsid w:val="00567D29"/>
    <w:rsid w:val="00574A0C"/>
    <w:rsid w:val="00574A3E"/>
    <w:rsid w:val="00575A8F"/>
    <w:rsid w:val="00576E4C"/>
    <w:rsid w:val="0057780F"/>
    <w:rsid w:val="00581E0A"/>
    <w:rsid w:val="00583CE1"/>
    <w:rsid w:val="0058593B"/>
    <w:rsid w:val="00586D89"/>
    <w:rsid w:val="005916B8"/>
    <w:rsid w:val="00594729"/>
    <w:rsid w:val="005A1B4C"/>
    <w:rsid w:val="005A22B0"/>
    <w:rsid w:val="005A43B9"/>
    <w:rsid w:val="005A545C"/>
    <w:rsid w:val="005C1567"/>
    <w:rsid w:val="005C6CE5"/>
    <w:rsid w:val="005C6E3A"/>
    <w:rsid w:val="005D3F07"/>
    <w:rsid w:val="005D6686"/>
    <w:rsid w:val="005E13EA"/>
    <w:rsid w:val="005E30C8"/>
    <w:rsid w:val="00606E27"/>
    <w:rsid w:val="006108C9"/>
    <w:rsid w:val="00616D7F"/>
    <w:rsid w:val="0062158D"/>
    <w:rsid w:val="00630F39"/>
    <w:rsid w:val="006326D1"/>
    <w:rsid w:val="00632E0A"/>
    <w:rsid w:val="00633165"/>
    <w:rsid w:val="00634C02"/>
    <w:rsid w:val="0064176F"/>
    <w:rsid w:val="006447DE"/>
    <w:rsid w:val="00647D16"/>
    <w:rsid w:val="0065276E"/>
    <w:rsid w:val="00653CBD"/>
    <w:rsid w:val="00654329"/>
    <w:rsid w:val="00654CEC"/>
    <w:rsid w:val="006553E4"/>
    <w:rsid w:val="00655507"/>
    <w:rsid w:val="00655761"/>
    <w:rsid w:val="00660CA3"/>
    <w:rsid w:val="006712A7"/>
    <w:rsid w:val="00674FC2"/>
    <w:rsid w:val="00677E42"/>
    <w:rsid w:val="00682334"/>
    <w:rsid w:val="00682C94"/>
    <w:rsid w:val="00684B16"/>
    <w:rsid w:val="006936EB"/>
    <w:rsid w:val="00696F65"/>
    <w:rsid w:val="006A48FF"/>
    <w:rsid w:val="006A7A6D"/>
    <w:rsid w:val="006B5E67"/>
    <w:rsid w:val="006B718C"/>
    <w:rsid w:val="006C2EB5"/>
    <w:rsid w:val="006C56B2"/>
    <w:rsid w:val="006C6AC2"/>
    <w:rsid w:val="006C7CA5"/>
    <w:rsid w:val="006D18A3"/>
    <w:rsid w:val="006D3DC0"/>
    <w:rsid w:val="006D4550"/>
    <w:rsid w:val="006D5970"/>
    <w:rsid w:val="006E481E"/>
    <w:rsid w:val="006E62C3"/>
    <w:rsid w:val="006E795F"/>
    <w:rsid w:val="006E7D85"/>
    <w:rsid w:val="006F6B26"/>
    <w:rsid w:val="006F7A0C"/>
    <w:rsid w:val="00700249"/>
    <w:rsid w:val="00702036"/>
    <w:rsid w:val="0070604C"/>
    <w:rsid w:val="007069CD"/>
    <w:rsid w:val="00711A70"/>
    <w:rsid w:val="00712E6F"/>
    <w:rsid w:val="00712E90"/>
    <w:rsid w:val="00713B7E"/>
    <w:rsid w:val="007204AE"/>
    <w:rsid w:val="0072678F"/>
    <w:rsid w:val="00727C4C"/>
    <w:rsid w:val="00732FB9"/>
    <w:rsid w:val="0073349C"/>
    <w:rsid w:val="00734809"/>
    <w:rsid w:val="00734E90"/>
    <w:rsid w:val="007406E1"/>
    <w:rsid w:val="00743E40"/>
    <w:rsid w:val="00745FDB"/>
    <w:rsid w:val="007462FF"/>
    <w:rsid w:val="00751263"/>
    <w:rsid w:val="0075704F"/>
    <w:rsid w:val="00763B2D"/>
    <w:rsid w:val="00771AFF"/>
    <w:rsid w:val="00772924"/>
    <w:rsid w:val="00772C15"/>
    <w:rsid w:val="00777AA7"/>
    <w:rsid w:val="007872F2"/>
    <w:rsid w:val="007908E0"/>
    <w:rsid w:val="00792181"/>
    <w:rsid w:val="00793EB3"/>
    <w:rsid w:val="00794205"/>
    <w:rsid w:val="007A1F6A"/>
    <w:rsid w:val="007A7FFB"/>
    <w:rsid w:val="007B0DE3"/>
    <w:rsid w:val="007B131D"/>
    <w:rsid w:val="007B491F"/>
    <w:rsid w:val="007B7191"/>
    <w:rsid w:val="007C1634"/>
    <w:rsid w:val="007C1D94"/>
    <w:rsid w:val="007C1E98"/>
    <w:rsid w:val="007C2879"/>
    <w:rsid w:val="007C6A87"/>
    <w:rsid w:val="007C705D"/>
    <w:rsid w:val="007D0A07"/>
    <w:rsid w:val="007D133D"/>
    <w:rsid w:val="007D3EB4"/>
    <w:rsid w:val="007D3F16"/>
    <w:rsid w:val="007D48D6"/>
    <w:rsid w:val="007E2CFD"/>
    <w:rsid w:val="007E3DE4"/>
    <w:rsid w:val="007E63E7"/>
    <w:rsid w:val="007F0232"/>
    <w:rsid w:val="007F0D5E"/>
    <w:rsid w:val="007F371B"/>
    <w:rsid w:val="007F3F7E"/>
    <w:rsid w:val="007F5497"/>
    <w:rsid w:val="007F74FC"/>
    <w:rsid w:val="00802EA1"/>
    <w:rsid w:val="0080369F"/>
    <w:rsid w:val="0080442F"/>
    <w:rsid w:val="008105DF"/>
    <w:rsid w:val="00811222"/>
    <w:rsid w:val="00813CEC"/>
    <w:rsid w:val="0081534C"/>
    <w:rsid w:val="008171E4"/>
    <w:rsid w:val="008171E6"/>
    <w:rsid w:val="008208EA"/>
    <w:rsid w:val="00821D07"/>
    <w:rsid w:val="00824E67"/>
    <w:rsid w:val="00825A64"/>
    <w:rsid w:val="00826F48"/>
    <w:rsid w:val="008308AE"/>
    <w:rsid w:val="0083163F"/>
    <w:rsid w:val="0083166E"/>
    <w:rsid w:val="00831DC3"/>
    <w:rsid w:val="008322C7"/>
    <w:rsid w:val="00834F1D"/>
    <w:rsid w:val="00836FEC"/>
    <w:rsid w:val="00840991"/>
    <w:rsid w:val="00841F9D"/>
    <w:rsid w:val="008420E1"/>
    <w:rsid w:val="00843D58"/>
    <w:rsid w:val="00844D98"/>
    <w:rsid w:val="00846D84"/>
    <w:rsid w:val="00850FB1"/>
    <w:rsid w:val="008517F5"/>
    <w:rsid w:val="0085230E"/>
    <w:rsid w:val="00854025"/>
    <w:rsid w:val="008550A1"/>
    <w:rsid w:val="00861038"/>
    <w:rsid w:val="00862010"/>
    <w:rsid w:val="00864BA8"/>
    <w:rsid w:val="00866B50"/>
    <w:rsid w:val="008708F1"/>
    <w:rsid w:val="00876470"/>
    <w:rsid w:val="00880539"/>
    <w:rsid w:val="00880B60"/>
    <w:rsid w:val="008859E8"/>
    <w:rsid w:val="0088737B"/>
    <w:rsid w:val="00891AD0"/>
    <w:rsid w:val="00891BAA"/>
    <w:rsid w:val="00892716"/>
    <w:rsid w:val="00893067"/>
    <w:rsid w:val="008933DE"/>
    <w:rsid w:val="00895FCE"/>
    <w:rsid w:val="00897F3E"/>
    <w:rsid w:val="008A21B4"/>
    <w:rsid w:val="008A4576"/>
    <w:rsid w:val="008B07DE"/>
    <w:rsid w:val="008B20BD"/>
    <w:rsid w:val="008B28E7"/>
    <w:rsid w:val="008B7B57"/>
    <w:rsid w:val="008C14C7"/>
    <w:rsid w:val="008C2FFB"/>
    <w:rsid w:val="008C6EEA"/>
    <w:rsid w:val="008D5813"/>
    <w:rsid w:val="008D634E"/>
    <w:rsid w:val="008D778A"/>
    <w:rsid w:val="008E0996"/>
    <w:rsid w:val="008E13ED"/>
    <w:rsid w:val="008E5680"/>
    <w:rsid w:val="008F22BD"/>
    <w:rsid w:val="008F2B5C"/>
    <w:rsid w:val="00907426"/>
    <w:rsid w:val="009079BD"/>
    <w:rsid w:val="00910B43"/>
    <w:rsid w:val="00912BD9"/>
    <w:rsid w:val="00920E5B"/>
    <w:rsid w:val="00926436"/>
    <w:rsid w:val="0093018C"/>
    <w:rsid w:val="00932AFF"/>
    <w:rsid w:val="009465FA"/>
    <w:rsid w:val="009544C0"/>
    <w:rsid w:val="00954FA4"/>
    <w:rsid w:val="00956AE9"/>
    <w:rsid w:val="00964CC6"/>
    <w:rsid w:val="009757E9"/>
    <w:rsid w:val="00990B6C"/>
    <w:rsid w:val="00991FDA"/>
    <w:rsid w:val="009927A1"/>
    <w:rsid w:val="00995A2F"/>
    <w:rsid w:val="009A2AC3"/>
    <w:rsid w:val="009A5F3B"/>
    <w:rsid w:val="009B0B61"/>
    <w:rsid w:val="009B28C0"/>
    <w:rsid w:val="009B32A9"/>
    <w:rsid w:val="009B7136"/>
    <w:rsid w:val="009B7806"/>
    <w:rsid w:val="009C3AC2"/>
    <w:rsid w:val="009C6C84"/>
    <w:rsid w:val="009D25B4"/>
    <w:rsid w:val="009D3DE9"/>
    <w:rsid w:val="009D4365"/>
    <w:rsid w:val="009D4E3B"/>
    <w:rsid w:val="009D7BC9"/>
    <w:rsid w:val="009E0E88"/>
    <w:rsid w:val="009E1982"/>
    <w:rsid w:val="009E253E"/>
    <w:rsid w:val="009E36D1"/>
    <w:rsid w:val="009E4D2C"/>
    <w:rsid w:val="009E58E3"/>
    <w:rsid w:val="009F0978"/>
    <w:rsid w:val="009F3AEC"/>
    <w:rsid w:val="00A00081"/>
    <w:rsid w:val="00A04788"/>
    <w:rsid w:val="00A065AA"/>
    <w:rsid w:val="00A10D56"/>
    <w:rsid w:val="00A11EB7"/>
    <w:rsid w:val="00A12AAE"/>
    <w:rsid w:val="00A15BF1"/>
    <w:rsid w:val="00A16DD1"/>
    <w:rsid w:val="00A22441"/>
    <w:rsid w:val="00A23F3B"/>
    <w:rsid w:val="00A24406"/>
    <w:rsid w:val="00A25F64"/>
    <w:rsid w:val="00A27CC2"/>
    <w:rsid w:val="00A32C4F"/>
    <w:rsid w:val="00A40ED6"/>
    <w:rsid w:val="00A4504A"/>
    <w:rsid w:val="00A470EE"/>
    <w:rsid w:val="00A47621"/>
    <w:rsid w:val="00A479CD"/>
    <w:rsid w:val="00A50CFC"/>
    <w:rsid w:val="00A54AE6"/>
    <w:rsid w:val="00A54D67"/>
    <w:rsid w:val="00A55A3F"/>
    <w:rsid w:val="00A56410"/>
    <w:rsid w:val="00A652F6"/>
    <w:rsid w:val="00A732EA"/>
    <w:rsid w:val="00A7489E"/>
    <w:rsid w:val="00A8015F"/>
    <w:rsid w:val="00A80BD2"/>
    <w:rsid w:val="00A810BA"/>
    <w:rsid w:val="00A85039"/>
    <w:rsid w:val="00A906AA"/>
    <w:rsid w:val="00A91641"/>
    <w:rsid w:val="00A94C5E"/>
    <w:rsid w:val="00AA241A"/>
    <w:rsid w:val="00AA252C"/>
    <w:rsid w:val="00AA37BB"/>
    <w:rsid w:val="00AA666E"/>
    <w:rsid w:val="00AB5518"/>
    <w:rsid w:val="00AC01D4"/>
    <w:rsid w:val="00AC4637"/>
    <w:rsid w:val="00AC4A04"/>
    <w:rsid w:val="00AD1E7A"/>
    <w:rsid w:val="00AD336F"/>
    <w:rsid w:val="00AD3550"/>
    <w:rsid w:val="00AD6ECE"/>
    <w:rsid w:val="00AE2564"/>
    <w:rsid w:val="00AE301F"/>
    <w:rsid w:val="00AE3302"/>
    <w:rsid w:val="00AE51E8"/>
    <w:rsid w:val="00AE7077"/>
    <w:rsid w:val="00AF1722"/>
    <w:rsid w:val="00AF2F78"/>
    <w:rsid w:val="00AF480C"/>
    <w:rsid w:val="00AF5609"/>
    <w:rsid w:val="00AF5D6A"/>
    <w:rsid w:val="00AF61C2"/>
    <w:rsid w:val="00AF6CC6"/>
    <w:rsid w:val="00B027C2"/>
    <w:rsid w:val="00B0296A"/>
    <w:rsid w:val="00B03185"/>
    <w:rsid w:val="00B05C1B"/>
    <w:rsid w:val="00B12295"/>
    <w:rsid w:val="00B137BE"/>
    <w:rsid w:val="00B17FA0"/>
    <w:rsid w:val="00B24344"/>
    <w:rsid w:val="00B26769"/>
    <w:rsid w:val="00B276B4"/>
    <w:rsid w:val="00B312F9"/>
    <w:rsid w:val="00B31C91"/>
    <w:rsid w:val="00B3472F"/>
    <w:rsid w:val="00B3747F"/>
    <w:rsid w:val="00B43194"/>
    <w:rsid w:val="00B43FE4"/>
    <w:rsid w:val="00B47734"/>
    <w:rsid w:val="00B50FBA"/>
    <w:rsid w:val="00B51B5E"/>
    <w:rsid w:val="00B51CD0"/>
    <w:rsid w:val="00B558EB"/>
    <w:rsid w:val="00B577D3"/>
    <w:rsid w:val="00B60466"/>
    <w:rsid w:val="00B611B5"/>
    <w:rsid w:val="00B6548F"/>
    <w:rsid w:val="00B740FA"/>
    <w:rsid w:val="00B7502A"/>
    <w:rsid w:val="00B77305"/>
    <w:rsid w:val="00B8124D"/>
    <w:rsid w:val="00B82CC2"/>
    <w:rsid w:val="00B8403E"/>
    <w:rsid w:val="00B84A89"/>
    <w:rsid w:val="00B92BEF"/>
    <w:rsid w:val="00B952E6"/>
    <w:rsid w:val="00B9689A"/>
    <w:rsid w:val="00BA73CC"/>
    <w:rsid w:val="00BB06CB"/>
    <w:rsid w:val="00BB0EFE"/>
    <w:rsid w:val="00BB1840"/>
    <w:rsid w:val="00BB261F"/>
    <w:rsid w:val="00BB2887"/>
    <w:rsid w:val="00BB5EAA"/>
    <w:rsid w:val="00BB5F11"/>
    <w:rsid w:val="00BC0069"/>
    <w:rsid w:val="00BC04FA"/>
    <w:rsid w:val="00BC1B86"/>
    <w:rsid w:val="00BC1C22"/>
    <w:rsid w:val="00BC460B"/>
    <w:rsid w:val="00BC5725"/>
    <w:rsid w:val="00BC6AFA"/>
    <w:rsid w:val="00BC6CCB"/>
    <w:rsid w:val="00BD30B1"/>
    <w:rsid w:val="00BD7C76"/>
    <w:rsid w:val="00BE0F7B"/>
    <w:rsid w:val="00BE10C2"/>
    <w:rsid w:val="00C01D14"/>
    <w:rsid w:val="00C025B4"/>
    <w:rsid w:val="00C14CDA"/>
    <w:rsid w:val="00C161FD"/>
    <w:rsid w:val="00C176C9"/>
    <w:rsid w:val="00C23F17"/>
    <w:rsid w:val="00C26136"/>
    <w:rsid w:val="00C26D0D"/>
    <w:rsid w:val="00C27C95"/>
    <w:rsid w:val="00C300D2"/>
    <w:rsid w:val="00C3270F"/>
    <w:rsid w:val="00C3278B"/>
    <w:rsid w:val="00C33375"/>
    <w:rsid w:val="00C34C23"/>
    <w:rsid w:val="00C42005"/>
    <w:rsid w:val="00C44446"/>
    <w:rsid w:val="00C4664D"/>
    <w:rsid w:val="00C472AA"/>
    <w:rsid w:val="00C50A05"/>
    <w:rsid w:val="00C53D99"/>
    <w:rsid w:val="00C54AED"/>
    <w:rsid w:val="00C571E3"/>
    <w:rsid w:val="00C61A70"/>
    <w:rsid w:val="00C63D00"/>
    <w:rsid w:val="00C6441B"/>
    <w:rsid w:val="00C64DD8"/>
    <w:rsid w:val="00C7067D"/>
    <w:rsid w:val="00C7108B"/>
    <w:rsid w:val="00C74602"/>
    <w:rsid w:val="00C8089F"/>
    <w:rsid w:val="00C836CC"/>
    <w:rsid w:val="00C87A74"/>
    <w:rsid w:val="00C92C71"/>
    <w:rsid w:val="00C93F8F"/>
    <w:rsid w:val="00CA0FBD"/>
    <w:rsid w:val="00CA28C7"/>
    <w:rsid w:val="00CA3593"/>
    <w:rsid w:val="00CB143A"/>
    <w:rsid w:val="00CB258E"/>
    <w:rsid w:val="00CB3C8F"/>
    <w:rsid w:val="00CC02F1"/>
    <w:rsid w:val="00CC11A6"/>
    <w:rsid w:val="00CC135E"/>
    <w:rsid w:val="00CC4414"/>
    <w:rsid w:val="00CC66CB"/>
    <w:rsid w:val="00CD122D"/>
    <w:rsid w:val="00CD5D3F"/>
    <w:rsid w:val="00CD6DA5"/>
    <w:rsid w:val="00CF3DB3"/>
    <w:rsid w:val="00CF6481"/>
    <w:rsid w:val="00D052BC"/>
    <w:rsid w:val="00D07026"/>
    <w:rsid w:val="00D1119C"/>
    <w:rsid w:val="00D11888"/>
    <w:rsid w:val="00D22C8F"/>
    <w:rsid w:val="00D33491"/>
    <w:rsid w:val="00D41A93"/>
    <w:rsid w:val="00D41E31"/>
    <w:rsid w:val="00D44F8E"/>
    <w:rsid w:val="00D52381"/>
    <w:rsid w:val="00D54FE6"/>
    <w:rsid w:val="00D607EF"/>
    <w:rsid w:val="00D60F88"/>
    <w:rsid w:val="00D625A7"/>
    <w:rsid w:val="00D625E7"/>
    <w:rsid w:val="00D646BD"/>
    <w:rsid w:val="00D7018A"/>
    <w:rsid w:val="00D71201"/>
    <w:rsid w:val="00D720C7"/>
    <w:rsid w:val="00D74A8C"/>
    <w:rsid w:val="00D75D8E"/>
    <w:rsid w:val="00D83575"/>
    <w:rsid w:val="00D83905"/>
    <w:rsid w:val="00D876E6"/>
    <w:rsid w:val="00D90BE6"/>
    <w:rsid w:val="00D939C9"/>
    <w:rsid w:val="00D95DC2"/>
    <w:rsid w:val="00DA1025"/>
    <w:rsid w:val="00DA22EC"/>
    <w:rsid w:val="00DA5860"/>
    <w:rsid w:val="00DA7834"/>
    <w:rsid w:val="00DB2767"/>
    <w:rsid w:val="00DC4729"/>
    <w:rsid w:val="00DD2921"/>
    <w:rsid w:val="00DE24A7"/>
    <w:rsid w:val="00E17160"/>
    <w:rsid w:val="00E23A5E"/>
    <w:rsid w:val="00E23E69"/>
    <w:rsid w:val="00E343EB"/>
    <w:rsid w:val="00E35BEC"/>
    <w:rsid w:val="00E4165E"/>
    <w:rsid w:val="00E4383B"/>
    <w:rsid w:val="00E43F8A"/>
    <w:rsid w:val="00E45BED"/>
    <w:rsid w:val="00E50821"/>
    <w:rsid w:val="00E51F91"/>
    <w:rsid w:val="00E52CE6"/>
    <w:rsid w:val="00E6298B"/>
    <w:rsid w:val="00E7086E"/>
    <w:rsid w:val="00E7374A"/>
    <w:rsid w:val="00E73C41"/>
    <w:rsid w:val="00E7598F"/>
    <w:rsid w:val="00E7657B"/>
    <w:rsid w:val="00E76F60"/>
    <w:rsid w:val="00E83D90"/>
    <w:rsid w:val="00E83F28"/>
    <w:rsid w:val="00E83F91"/>
    <w:rsid w:val="00E871CF"/>
    <w:rsid w:val="00E9107A"/>
    <w:rsid w:val="00E91F62"/>
    <w:rsid w:val="00E929FD"/>
    <w:rsid w:val="00E93240"/>
    <w:rsid w:val="00E9479B"/>
    <w:rsid w:val="00EA10DA"/>
    <w:rsid w:val="00EA4D48"/>
    <w:rsid w:val="00EA7CAA"/>
    <w:rsid w:val="00EB2173"/>
    <w:rsid w:val="00EB47F4"/>
    <w:rsid w:val="00EB5F32"/>
    <w:rsid w:val="00EB62E6"/>
    <w:rsid w:val="00EC116C"/>
    <w:rsid w:val="00EC6125"/>
    <w:rsid w:val="00ED0C62"/>
    <w:rsid w:val="00ED183F"/>
    <w:rsid w:val="00ED1B30"/>
    <w:rsid w:val="00ED250E"/>
    <w:rsid w:val="00ED6516"/>
    <w:rsid w:val="00EE1AC1"/>
    <w:rsid w:val="00EE392C"/>
    <w:rsid w:val="00EE39D6"/>
    <w:rsid w:val="00EE52AD"/>
    <w:rsid w:val="00EE7E33"/>
    <w:rsid w:val="00EE7E46"/>
    <w:rsid w:val="00F01F92"/>
    <w:rsid w:val="00F06BD6"/>
    <w:rsid w:val="00F10A08"/>
    <w:rsid w:val="00F12F80"/>
    <w:rsid w:val="00F17826"/>
    <w:rsid w:val="00F22AC5"/>
    <w:rsid w:val="00F254D1"/>
    <w:rsid w:val="00F32B82"/>
    <w:rsid w:val="00F3449F"/>
    <w:rsid w:val="00F34784"/>
    <w:rsid w:val="00F4043E"/>
    <w:rsid w:val="00F40AC1"/>
    <w:rsid w:val="00F413CB"/>
    <w:rsid w:val="00F41BBC"/>
    <w:rsid w:val="00F43B9D"/>
    <w:rsid w:val="00F444F0"/>
    <w:rsid w:val="00F50033"/>
    <w:rsid w:val="00F50847"/>
    <w:rsid w:val="00F51E31"/>
    <w:rsid w:val="00F53F27"/>
    <w:rsid w:val="00F546D1"/>
    <w:rsid w:val="00F66272"/>
    <w:rsid w:val="00F709C0"/>
    <w:rsid w:val="00F72CFD"/>
    <w:rsid w:val="00F927A1"/>
    <w:rsid w:val="00F92C0B"/>
    <w:rsid w:val="00F92E4D"/>
    <w:rsid w:val="00F93392"/>
    <w:rsid w:val="00FA2BC2"/>
    <w:rsid w:val="00FA3764"/>
    <w:rsid w:val="00FA48CD"/>
    <w:rsid w:val="00FA56ED"/>
    <w:rsid w:val="00FB4993"/>
    <w:rsid w:val="00FB5FA6"/>
    <w:rsid w:val="00FC1310"/>
    <w:rsid w:val="00FC2467"/>
    <w:rsid w:val="00FC2FF3"/>
    <w:rsid w:val="00FC3263"/>
    <w:rsid w:val="00FC51F9"/>
    <w:rsid w:val="00FC5B40"/>
    <w:rsid w:val="00FC5FF8"/>
    <w:rsid w:val="00FD2614"/>
    <w:rsid w:val="00FD3622"/>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71A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prosecution-and-case-management/victim-and-witness-care" TargetMode="External"/><Relationship Id="rId26" Type="http://schemas.openxmlformats.org/officeDocument/2006/relationships/hyperlink" Target="https://www.cbc.ca/bc/news/bc-110901-vancouver-riot-report.pdfat" TargetMode="External"/><Relationship Id="rId39" Type="http://schemas.openxmlformats.org/officeDocument/2006/relationships/hyperlink" Target="https://cloud-platform-e218f50a4812967ba1215eaecede923f.s3.amazonaws.com/uploads/sites/6/2021/12/VC-2021-survey-of-victims-_amended-27_9_21-1.pdf" TargetMode="External"/><Relationship Id="rId3" Type="http://schemas.openxmlformats.org/officeDocument/2006/relationships/customXml" Target="../customXml/item3.xml"/><Relationship Id="rId21" Type="http://schemas.openxmlformats.org/officeDocument/2006/relationships/hyperlink" Target="https://www.cps.gov.uk/crime-info/hate-crime" TargetMode="External"/><Relationship Id="rId34" Type="http://schemas.openxmlformats.org/officeDocument/2006/relationships/hyperlink" Target="https://www.legislation.gov.uk/ukpga/1988/27/section/1" TargetMode="External"/><Relationship Id="rId42" Type="http://schemas.openxmlformats.org/officeDocument/2006/relationships/hyperlink" Target="https://www.gov.wales/nhs-111-press-2-big-step-forward-access-urgent-mental-health-suppor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media/5a7d867140f0b65084e75b94/Code_of_Ethics_2014_Web_Accessible.pdf" TargetMode="External"/><Relationship Id="rId25" Type="http://schemas.openxmlformats.org/officeDocument/2006/relationships/hyperlink" Target="https://www.independent.co.uk/news/long_reads/fiona-pilkington-frankie-pilkington-suicide-learning-disabilities-bullying-hate-crime-a8004526.html" TargetMode="External"/><Relationship Id="rId33" Type="http://schemas.openxmlformats.org/officeDocument/2006/relationships/hyperlink" Target="https://hmicfrs.justiceinspectorates.gov.uk/glossary/code-of-practice-for-victims-of-crime-the-victims-code/" TargetMode="External"/><Relationship Id="rId38" Type="http://schemas.openxmlformats.org/officeDocument/2006/relationships/hyperlink" Target="https://www.ons.gov.uk/peoplepopulationandcommunity/crimeandjustice/bulletins/domesticabuseinenglandandwalesoverview/november2023" TargetMode="External"/><Relationship Id="rId46"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ollege.police.uk/app/national-decision-model" TargetMode="External"/><Relationship Id="rId20" Type="http://schemas.openxmlformats.org/officeDocument/2006/relationships/hyperlink" Target="https://www.college.police.uk/app/major-investigation-and-public-protection/domestic-abuse/arrest-and-other-positive-approaches" TargetMode="External"/><Relationship Id="rId29" Type="http://schemas.openxmlformats.org/officeDocument/2006/relationships/hyperlink" Target="https://www.gov.uk/government/publications/the-code-of-practice-for-victims-of-crime/code-of-practice-for-victims-of-crime-in-england-and-wales-victims-code" TargetMode="External"/><Relationship Id="rId41" Type="http://schemas.openxmlformats.org/officeDocument/2006/relationships/hyperlink" Target="https://www.victimsupport.org.uk/wp-content/uploads/documents/files/How%20victims%20and%20survivors%20of%20DA%20experience%20the%20criminal%20justice%20system.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6/25/contents" TargetMode="External"/><Relationship Id="rId32" Type="http://schemas.openxmlformats.org/officeDocument/2006/relationships/hyperlink" Target="https://assets-hmicfrs.justiceinspectorates.gov.uk/uploads/understanding-the-difference-the-initial-police-response-to-hate-crime.pdf" TargetMode="External"/><Relationship Id="rId37" Type="http://schemas.openxmlformats.org/officeDocument/2006/relationships/hyperlink" Target="https://www.ncdv.org.uk/domestic-abuse-statistics-uk/" TargetMode="External"/><Relationship Id="rId40" Type="http://schemas.openxmlformats.org/officeDocument/2006/relationships/hyperlink" Target="https://cloud-platform-e218f50a4812967ba1215eaecede923f.s3.amazonaws.com/uploads/sites/6/2023/11/Victim-Survey-2022.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sets.publishing.service.gov.uk/media/5a7cb15a40f0b65b3de0a948/AG_Disclosure_Guidelines_-_December_2013.pdf" TargetMode="External"/><Relationship Id="rId23" Type="http://schemas.openxmlformats.org/officeDocument/2006/relationships/hyperlink" Target="https://www.gov.uk/government/publications/the-code-of-practice-for-victims-of-crime/code-of-practice-for-victims-of-crime-in-england-and-wales-victims-code" TargetMode="External"/><Relationship Id="rId28" Type="http://schemas.openxmlformats.org/officeDocument/2006/relationships/hyperlink" Target="https://www.gov.uk/government/news/domestic-abuse-victims-in-england-and-wales-to-be-given-more-time-to-report-assaults" TargetMode="External"/><Relationship Id="rId36" Type="http://schemas.openxmlformats.org/officeDocument/2006/relationships/hyperlink" Target="https://assets.publishing.service.gov.uk/media/5a80d491e5274a2e8ab5267c/code-of-practice-approved.pdf" TargetMode="External"/><Relationship Id="rId10" Type="http://schemas.openxmlformats.org/officeDocument/2006/relationships/endnotes" Target="endnotes.xml"/><Relationship Id="rId19" Type="http://schemas.openxmlformats.org/officeDocument/2006/relationships/hyperlink" Target="https://www.college.police.uk/ethics/code-of-ethics/principles" TargetMode="External"/><Relationship Id="rId31" Type="http://schemas.openxmlformats.org/officeDocument/2006/relationships/hyperlink" Target="https://www.justiceinspectorates.gov.uk/hmiprobation/wp-content/uploads/sites/5/2022/02/v1.1-MH-EP-guide.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ps.gov.uk/legal-guidance/offences-against-person-incorporating-charging-standard" TargetMode="External"/><Relationship Id="rId27" Type="http://schemas.openxmlformats.org/officeDocument/2006/relationships/hyperlink" Target="https://www.gov.uk/government/news/new-definition-of-domestic-violence" TargetMode="External"/><Relationship Id="rId30" Type="http://schemas.openxmlformats.org/officeDocument/2006/relationships/hyperlink" Target="https://www.gwent.police.uk/advice/advice-and-information/victim-support/victims-right-review-scheme/" TargetMode="External"/><Relationship Id="rId35" Type="http://schemas.openxmlformats.org/officeDocument/2006/relationships/hyperlink" Target="https://www.legislation.gov.uk/ukpga/1983/20/contents" TargetMode="External"/><Relationship Id="rId43" Type="http://schemas.openxmlformats.org/officeDocument/2006/relationships/hyperlink" Target="https://www.womensaid.org.uk/wp-content/uploads/2023/01/The-Domestic-Abuse-Report-2023-The-Annual-Audit-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1ecf5648-3750-43f5-867d-bfaa16e6e17e"/>
    <ds:schemaRef ds:uri="http://purl.org/dc/elements/1.1/"/>
    <ds:schemaRef ds:uri="http://purl.org/dc/dcmitype/"/>
    <ds:schemaRef ds:uri="2e89cfda-a374-4413-9f0d-8b601eddeb70"/>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26</Pages>
  <Words>10411</Words>
  <Characters>59652</Characters>
  <Application>Microsoft Office Word</Application>
  <DocSecurity>0</DocSecurity>
  <Lines>497</Lines>
  <Paragraphs>139</Paragraphs>
  <ScaleCrop>false</ScaleCrop>
  <Company>Powys County Council</Company>
  <LinksUpToDate>false</LinksUpToDate>
  <CharactersWithSpaces>69924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Cerys</cp:lastModifiedBy>
  <cp:revision>240</cp:revision>
  <cp:lastPrinted>2019-08-13T11:47:00Z</cp:lastPrinted>
  <dcterms:created xsi:type="dcterms:W3CDTF">2024-03-25T07:29:00Z</dcterms:created>
  <dcterms:modified xsi:type="dcterms:W3CDTF">2024-07-01T08:08:00Z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2024-03-25T07:29:11Z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ec87bab4-7b25-4707-ae3a-859e9b3e3728</vt:lpwstr>
  </property>
  <property fmtid="{D5CDD505-2E9C-101B-9397-08002B2CF9AE}" pid="9" name="MSIP_Label_f2acd28b-79a3-4a0f-b0ff-4b75658b1549_ContentBits">
    <vt:lpwstr>0</vt:lpwstr>
  </property>
</Properties>
</file>