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35969" w14:textId="744F30FA" w:rsidR="00FC13EA" w:rsidRPr="00244E7B" w:rsidRDefault="00FC13EA">
      <w:pPr>
        <w:rPr>
          <w:sz w:val="48"/>
          <w:szCs w:val="48"/>
        </w:rPr>
      </w:pPr>
    </w:p>
    <w:p w14:paraId="78143AFB" w14:textId="77777777" w:rsidR="00244E7B" w:rsidRDefault="00244E7B" w:rsidP="00531201">
      <w:pPr>
        <w:jc w:val="center"/>
        <w:rPr>
          <w:sz w:val="48"/>
          <w:szCs w:val="48"/>
        </w:rPr>
      </w:pPr>
    </w:p>
    <w:p w14:paraId="79A61B8F" w14:textId="77777777" w:rsidR="00244E7B" w:rsidRDefault="00244E7B" w:rsidP="00531201">
      <w:pPr>
        <w:jc w:val="center"/>
        <w:rPr>
          <w:sz w:val="48"/>
          <w:szCs w:val="48"/>
        </w:rPr>
      </w:pPr>
    </w:p>
    <w:p w14:paraId="5A20D6EC" w14:textId="77777777" w:rsidR="00244E7B" w:rsidRDefault="00244E7B" w:rsidP="00531201">
      <w:pPr>
        <w:jc w:val="center"/>
        <w:rPr>
          <w:sz w:val="48"/>
          <w:szCs w:val="48"/>
        </w:rPr>
      </w:pPr>
    </w:p>
    <w:p w14:paraId="1D16D677" w14:textId="747C283E" w:rsidR="00531201" w:rsidRPr="00244E7B" w:rsidRDefault="00531201" w:rsidP="00531201">
      <w:pPr>
        <w:jc w:val="center"/>
        <w:rPr>
          <w:sz w:val="48"/>
          <w:szCs w:val="48"/>
        </w:rPr>
      </w:pPr>
      <w:r w:rsidRPr="00244E7B">
        <w:rPr>
          <w:sz w:val="48"/>
          <w:szCs w:val="48"/>
        </w:rPr>
        <w:t xml:space="preserve">1910766 </w:t>
      </w:r>
    </w:p>
    <w:p w14:paraId="3589C62B" w14:textId="38E1F413" w:rsidR="00531201" w:rsidRDefault="00531201" w:rsidP="00531201">
      <w:pPr>
        <w:jc w:val="center"/>
        <w:rPr>
          <w:sz w:val="48"/>
          <w:szCs w:val="48"/>
        </w:rPr>
      </w:pPr>
      <w:r w:rsidRPr="00244E7B">
        <w:rPr>
          <w:sz w:val="48"/>
          <w:szCs w:val="48"/>
        </w:rPr>
        <w:t xml:space="preserve">05/07/2021 </w:t>
      </w:r>
    </w:p>
    <w:p w14:paraId="4F5D5CA9" w14:textId="4BB89E7A" w:rsidR="00244E7B" w:rsidRDefault="00244E7B" w:rsidP="00531201">
      <w:pPr>
        <w:jc w:val="center"/>
        <w:rPr>
          <w:sz w:val="48"/>
          <w:szCs w:val="48"/>
        </w:rPr>
      </w:pPr>
    </w:p>
    <w:p w14:paraId="04A49B6B" w14:textId="0F77AD7B" w:rsidR="00244E7B" w:rsidRDefault="00244E7B" w:rsidP="008319B0">
      <w:pPr>
        <w:rPr>
          <w:sz w:val="48"/>
          <w:szCs w:val="48"/>
        </w:rPr>
      </w:pPr>
    </w:p>
    <w:p w14:paraId="0BD107F8" w14:textId="6D2B7082" w:rsidR="00244E7B" w:rsidRDefault="00244E7B" w:rsidP="00531201">
      <w:pPr>
        <w:jc w:val="center"/>
        <w:rPr>
          <w:sz w:val="48"/>
          <w:szCs w:val="48"/>
        </w:rPr>
      </w:pPr>
    </w:p>
    <w:p w14:paraId="36882D01" w14:textId="213349EB" w:rsidR="00244E7B" w:rsidRDefault="00244E7B" w:rsidP="00531201">
      <w:pPr>
        <w:jc w:val="center"/>
        <w:rPr>
          <w:sz w:val="48"/>
          <w:szCs w:val="48"/>
        </w:rPr>
      </w:pPr>
    </w:p>
    <w:p w14:paraId="47A78BF2" w14:textId="01B09903" w:rsidR="00244E7B" w:rsidRDefault="00244E7B" w:rsidP="00531201">
      <w:pPr>
        <w:jc w:val="center"/>
        <w:rPr>
          <w:sz w:val="48"/>
          <w:szCs w:val="48"/>
        </w:rPr>
      </w:pPr>
    </w:p>
    <w:p w14:paraId="6EEAB040" w14:textId="3C786EE1" w:rsidR="00244E7B" w:rsidRDefault="00244E7B" w:rsidP="00531201">
      <w:pPr>
        <w:jc w:val="center"/>
        <w:rPr>
          <w:sz w:val="48"/>
          <w:szCs w:val="48"/>
        </w:rPr>
      </w:pPr>
    </w:p>
    <w:p w14:paraId="7342803B" w14:textId="593E571C" w:rsidR="00244E7B" w:rsidRDefault="00244E7B" w:rsidP="00531201">
      <w:pPr>
        <w:jc w:val="center"/>
        <w:rPr>
          <w:sz w:val="48"/>
          <w:szCs w:val="48"/>
        </w:rPr>
      </w:pPr>
    </w:p>
    <w:p w14:paraId="47A0BACB" w14:textId="7C2ACD9E" w:rsidR="00244E7B" w:rsidRDefault="00244E7B" w:rsidP="00531201">
      <w:pPr>
        <w:jc w:val="center"/>
        <w:rPr>
          <w:sz w:val="48"/>
          <w:szCs w:val="48"/>
        </w:rPr>
      </w:pPr>
    </w:p>
    <w:p w14:paraId="111F185E" w14:textId="70F68C43" w:rsidR="00244E7B" w:rsidRDefault="00244E7B" w:rsidP="00531201">
      <w:pPr>
        <w:jc w:val="center"/>
        <w:rPr>
          <w:sz w:val="48"/>
          <w:szCs w:val="48"/>
        </w:rPr>
      </w:pPr>
    </w:p>
    <w:p w14:paraId="3D6FD66F" w14:textId="06822FFA" w:rsidR="00244E7B" w:rsidRDefault="00244E7B" w:rsidP="00531201">
      <w:pPr>
        <w:jc w:val="center"/>
        <w:rPr>
          <w:sz w:val="48"/>
          <w:szCs w:val="48"/>
        </w:rPr>
      </w:pPr>
    </w:p>
    <w:p w14:paraId="70AC7B88" w14:textId="006297C1" w:rsidR="000F31FF" w:rsidRDefault="000F31FF" w:rsidP="000F31FF">
      <w:pPr>
        <w:rPr>
          <w:sz w:val="48"/>
          <w:szCs w:val="48"/>
        </w:rPr>
      </w:pPr>
    </w:p>
    <w:p w14:paraId="3A02539E" w14:textId="77777777" w:rsidR="00EB7943" w:rsidRDefault="00EB7943" w:rsidP="009D6A83">
      <w:pPr>
        <w:spacing w:line="360" w:lineRule="auto"/>
        <w:rPr>
          <w:b/>
          <w:bCs/>
          <w:i/>
          <w:iCs/>
          <w:sz w:val="48"/>
          <w:szCs w:val="48"/>
          <w:u w:val="single"/>
        </w:rPr>
      </w:pPr>
    </w:p>
    <w:p w14:paraId="3B22DC51" w14:textId="3E1B57C1" w:rsidR="00EB4720" w:rsidRPr="00757410" w:rsidRDefault="00EB4720" w:rsidP="009D6A83">
      <w:pPr>
        <w:spacing w:line="360" w:lineRule="auto"/>
        <w:rPr>
          <w:rFonts w:cstheme="minorHAnsi"/>
          <w:b/>
          <w:bCs/>
          <w:i/>
          <w:iCs/>
          <w:sz w:val="20"/>
          <w:szCs w:val="20"/>
          <w:u w:val="single"/>
        </w:rPr>
      </w:pPr>
      <w:r w:rsidRPr="00757410">
        <w:rPr>
          <w:rFonts w:eastAsia="Calibri" w:cstheme="minorHAnsi"/>
          <w:b/>
          <w:bCs/>
          <w:i/>
          <w:iCs/>
          <w:sz w:val="20"/>
          <w:szCs w:val="20"/>
          <w:u w:val="single"/>
        </w:rPr>
        <w:t>1000 words - Understanding the role of Constable/Maintaining Professional Standards</w:t>
      </w:r>
    </w:p>
    <w:p w14:paraId="436AE0A6" w14:textId="464E09E7" w:rsidR="00EB4720" w:rsidRPr="00757410" w:rsidRDefault="00EB4720" w:rsidP="009D6A83">
      <w:pPr>
        <w:spacing w:line="360" w:lineRule="auto"/>
        <w:rPr>
          <w:rFonts w:eastAsia="Calibri" w:cstheme="minorHAnsi"/>
          <w:b/>
          <w:bCs/>
          <w:i/>
          <w:iCs/>
          <w:sz w:val="20"/>
          <w:szCs w:val="20"/>
          <w:u w:val="single"/>
        </w:rPr>
      </w:pPr>
      <w:r w:rsidRPr="00757410">
        <w:rPr>
          <w:rFonts w:eastAsia="Calibri" w:cstheme="minorHAnsi"/>
          <w:b/>
          <w:bCs/>
          <w:i/>
          <w:iCs/>
          <w:sz w:val="20"/>
          <w:szCs w:val="20"/>
          <w:u w:val="single"/>
        </w:rPr>
        <w:t xml:space="preserve">Critically evaluate the concept of ‘the professionalisation of the police service’ considering how ‘Maintaining Professional Standards’ ‘ethical and inclusive’ and ‘Coaching and Mentoring’ approaches contribute to this. </w:t>
      </w:r>
    </w:p>
    <w:p w14:paraId="1080132F" w14:textId="7B9376EF" w:rsidR="00FD64E7" w:rsidRPr="000E4AE1" w:rsidRDefault="00FD64E7" w:rsidP="009D6A83">
      <w:pPr>
        <w:spacing w:line="360" w:lineRule="auto"/>
      </w:pPr>
      <w:r w:rsidRPr="000E4AE1">
        <w:t xml:space="preserve">In this essay I shall critically evaluate the professionalisation of the police service. In doing so I will consider three </w:t>
      </w:r>
      <w:r w:rsidR="00547AF2" w:rsidRPr="000E4AE1">
        <w:t>areas</w:t>
      </w:r>
      <w:r w:rsidRPr="000E4AE1">
        <w:t xml:space="preserve"> which contribute to this professionalisation, namely, professional standards, ethical and inclusive provisions and mentoring approaches. </w:t>
      </w:r>
    </w:p>
    <w:p w14:paraId="1C6CA2B5" w14:textId="77777777" w:rsidR="00FD64E7" w:rsidRPr="000E4AE1" w:rsidRDefault="00FD64E7" w:rsidP="009D6A83">
      <w:pPr>
        <w:spacing w:line="360" w:lineRule="auto"/>
      </w:pPr>
      <w:r w:rsidRPr="000E4AE1">
        <w:t>The professionalisation of the Police has been an ongoing debate for over a century (</w:t>
      </w:r>
      <w:proofErr w:type="spellStart"/>
      <w:r w:rsidRPr="000E4AE1">
        <w:t>Rojek</w:t>
      </w:r>
      <w:proofErr w:type="spellEnd"/>
      <w:r w:rsidRPr="000E4AE1">
        <w:t xml:space="preserve">, Alpert and Smith, 2012). According to Green and Gates, (2014), professionalisation is defined as the transformation of an occupation into a profession, where a profession is seen to be diverse, contested and constantly evolving (Green and Gates, 2014) </w:t>
      </w:r>
    </w:p>
    <w:p w14:paraId="0EAAA8D0" w14:textId="60C0486F" w:rsidR="00FD64E7" w:rsidRPr="000E4AE1" w:rsidRDefault="00FD64E7" w:rsidP="009D6A83">
      <w:pPr>
        <w:spacing w:line="360" w:lineRule="auto"/>
      </w:pPr>
      <w:r w:rsidRPr="000E4AE1">
        <w:t xml:space="preserve">Traditionally, only four professions were classified as professions, Law, Medicine, members of the Church and the Military (Bryant, Bryant and Blackburn, 2018). There are now </w:t>
      </w:r>
      <w:proofErr w:type="gramStart"/>
      <w:r w:rsidRPr="000E4AE1">
        <w:t>a number of</w:t>
      </w:r>
      <w:proofErr w:type="gramEnd"/>
      <w:r w:rsidRPr="000E4AE1">
        <w:t xml:space="preserve"> occupations that have become a profession, such as teaching, for example. In the literature there are </w:t>
      </w:r>
      <w:r w:rsidR="00547AF2" w:rsidRPr="000E4AE1">
        <w:t>several</w:t>
      </w:r>
      <w:r w:rsidRPr="000E4AE1">
        <w:t xml:space="preserve"> factors which contribute to an occupation becoming a profession, these are listed by Bryant, Bryant and Blackburn, (2018):</w:t>
      </w:r>
    </w:p>
    <w:p w14:paraId="441AE9BC" w14:textId="1F77F112" w:rsidR="00FD64E7" w:rsidRPr="000E4AE1" w:rsidRDefault="00FD64E7" w:rsidP="009D6A83">
      <w:pPr>
        <w:spacing w:line="360" w:lineRule="auto"/>
      </w:pPr>
      <w:r w:rsidRPr="000E4AE1">
        <w:t xml:space="preserve">Corpus of knowledge and theory; when applying this to the Police Service, this would involve an understanding of the law, and the policies and values which are taught and learnt throughout a police officer's </w:t>
      </w:r>
      <w:r w:rsidR="00BC1B32">
        <w:t xml:space="preserve">initial </w:t>
      </w:r>
      <w:r w:rsidRPr="000E4AE1">
        <w:t>training and his or her career.</w:t>
      </w:r>
    </w:p>
    <w:p w14:paraId="5785B7A6" w14:textId="77777777" w:rsidR="00FD64E7" w:rsidRPr="000E4AE1" w:rsidRDefault="00FD64E7" w:rsidP="009D6A83">
      <w:pPr>
        <w:spacing w:line="360" w:lineRule="auto"/>
      </w:pPr>
      <w:r w:rsidRPr="000E4AE1">
        <w:t xml:space="preserve">Control on Entry to the profession and continuing professional development; within the police service, this would relate to the assessment centre which officers are required to pass to enter the Police service and the DHEP/PCDA programme which is required as a continuous professional development programme. </w:t>
      </w:r>
    </w:p>
    <w:p w14:paraId="3FE339CA" w14:textId="77777777" w:rsidR="00FD64E7" w:rsidRPr="000E4AE1" w:rsidRDefault="00FD64E7" w:rsidP="009D6A83">
      <w:pPr>
        <w:spacing w:line="360" w:lineRule="auto"/>
      </w:pPr>
      <w:r w:rsidRPr="000E4AE1">
        <w:t xml:space="preserve">Autonomy, discretion and self-regulation; this relates to a body which regulates an organisation. For example, the General Medical Council regulate medical doctors (Bryant, Bryant and Blackburn, 2018). In relation to the Police Service, there is the College of Policing and the National Police Chiefs’ Council (Bryant, Bryant and Blackburn, 2018). </w:t>
      </w:r>
    </w:p>
    <w:p w14:paraId="0B2CD619" w14:textId="77777777" w:rsidR="00FD64E7" w:rsidRPr="000E4AE1" w:rsidRDefault="00FD64E7" w:rsidP="009D6A83">
      <w:pPr>
        <w:spacing w:line="360" w:lineRule="auto"/>
      </w:pPr>
      <w:r w:rsidRPr="000E4AE1">
        <w:t xml:space="preserve">Vocational Calling: according to Bryant, Bryant and Blackburn, (2018), a Police Officer's role is one that is difficult, and it can affect a person’s life on many different fronts. A police officer would therefore be seen to view his work as a vocation as opposed to merely a job. </w:t>
      </w:r>
    </w:p>
    <w:p w14:paraId="521E3D25" w14:textId="77777777" w:rsidR="00FD64E7" w:rsidRPr="000E4AE1" w:rsidRDefault="00FD64E7" w:rsidP="009D6A83">
      <w:pPr>
        <w:spacing w:line="360" w:lineRule="auto"/>
      </w:pPr>
      <w:r w:rsidRPr="000E4AE1">
        <w:lastRenderedPageBreak/>
        <w:t>Code of Ethics; there is a code of ethics within the Police Service which sets out standards of behaviour that are expected of the Police by the public (GOV.UK, 2014). There are ten standards of behaviour and it originates from the ‘Principles of Public Life’ which was first introduced in 1995 (GOV.UK, 2014).</w:t>
      </w:r>
    </w:p>
    <w:p w14:paraId="6D1C99E4" w14:textId="77777777" w:rsidR="00FD64E7" w:rsidRPr="00757410" w:rsidRDefault="00FD64E7" w:rsidP="009D6A83">
      <w:pPr>
        <w:spacing w:line="360" w:lineRule="auto"/>
        <w:rPr>
          <w:i/>
          <w:iCs/>
        </w:rPr>
      </w:pPr>
      <w:r w:rsidRPr="00757410">
        <w:rPr>
          <w:i/>
          <w:iCs/>
        </w:rPr>
        <w:t>Professional Standards;</w:t>
      </w:r>
    </w:p>
    <w:p w14:paraId="7D48BDC7" w14:textId="77777777" w:rsidR="00FD64E7" w:rsidRPr="000E4AE1" w:rsidRDefault="00FD64E7" w:rsidP="009D6A83">
      <w:pPr>
        <w:spacing w:line="360" w:lineRule="auto"/>
      </w:pPr>
      <w:r w:rsidRPr="000E4AE1">
        <w:t xml:space="preserve"> The code of ethics was introduced by the College of Policing in July 2014. (Bryant, Bryant and Blackburn, (2018). The Code of Ethics was introduced under s29</w:t>
      </w:r>
      <w:proofErr w:type="gramStart"/>
      <w:r w:rsidRPr="000E4AE1">
        <w:t>a(</w:t>
      </w:r>
      <w:proofErr w:type="gramEnd"/>
      <w:r w:rsidRPr="000E4AE1">
        <w:t xml:space="preserve">5) of the Police Act 1996 and this Code plays a significant part in the professionalisation of the police service (Bryant, Bryant and Blackburn, 2018). Included within the Code of Ethics are the standards of professional behaviour, policing principles and the National Decision Model (Bryant, Bryant and Blackburn, 2018). </w:t>
      </w:r>
    </w:p>
    <w:p w14:paraId="6AA58888" w14:textId="77777777" w:rsidR="00FD64E7" w:rsidRPr="000E4AE1" w:rsidRDefault="00FD64E7" w:rsidP="009D6A83">
      <w:pPr>
        <w:spacing w:line="360" w:lineRule="auto"/>
      </w:pPr>
      <w:r w:rsidRPr="000E4AE1">
        <w:t xml:space="preserve">Every Police Officer must work honestly and ethically (College of Policing, 2014). Members of the public expect police officers to do the right thing in the right way and any police officer must act and conduct himself or herself by reference to the ten principles of professional behaviour. These are: </w:t>
      </w:r>
    </w:p>
    <w:p w14:paraId="6B73B261" w14:textId="77777777" w:rsidR="00FD64E7" w:rsidRDefault="00FD64E7" w:rsidP="009D6A83">
      <w:pPr>
        <w:spacing w:line="360" w:lineRule="auto"/>
      </w:pPr>
      <w:r>
        <w:t>1.</w:t>
      </w:r>
      <w:r>
        <w:tab/>
        <w:t xml:space="preserve">Honesty and integrity </w:t>
      </w:r>
    </w:p>
    <w:p w14:paraId="508F1F6F" w14:textId="77777777" w:rsidR="00FD64E7" w:rsidRDefault="00FD64E7" w:rsidP="009D6A83">
      <w:pPr>
        <w:spacing w:line="360" w:lineRule="auto"/>
      </w:pPr>
      <w:r>
        <w:t>2.</w:t>
      </w:r>
      <w:r>
        <w:tab/>
        <w:t>Authority, respect and courtesy</w:t>
      </w:r>
    </w:p>
    <w:p w14:paraId="1DB5CA41" w14:textId="77777777" w:rsidR="00FD64E7" w:rsidRDefault="00FD64E7" w:rsidP="009D6A83">
      <w:pPr>
        <w:spacing w:line="360" w:lineRule="auto"/>
      </w:pPr>
      <w:r>
        <w:t>3.</w:t>
      </w:r>
      <w:r>
        <w:tab/>
        <w:t xml:space="preserve">Equality and diversity  </w:t>
      </w:r>
    </w:p>
    <w:p w14:paraId="621CECCA" w14:textId="77777777" w:rsidR="00FD64E7" w:rsidRDefault="00FD64E7" w:rsidP="009D6A83">
      <w:pPr>
        <w:spacing w:line="360" w:lineRule="auto"/>
      </w:pPr>
      <w:r>
        <w:t>4.</w:t>
      </w:r>
      <w:r>
        <w:tab/>
        <w:t xml:space="preserve">Use of force </w:t>
      </w:r>
    </w:p>
    <w:p w14:paraId="0AB4DEAC" w14:textId="77777777" w:rsidR="00FD64E7" w:rsidRDefault="00FD64E7" w:rsidP="009D6A83">
      <w:pPr>
        <w:spacing w:line="360" w:lineRule="auto"/>
      </w:pPr>
      <w:r>
        <w:t>5.</w:t>
      </w:r>
      <w:r>
        <w:tab/>
        <w:t xml:space="preserve">Orders and instructions </w:t>
      </w:r>
    </w:p>
    <w:p w14:paraId="57CF256E" w14:textId="77777777" w:rsidR="00FD64E7" w:rsidRDefault="00FD64E7" w:rsidP="009D6A83">
      <w:pPr>
        <w:spacing w:line="360" w:lineRule="auto"/>
      </w:pPr>
      <w:r>
        <w:t>6.</w:t>
      </w:r>
      <w:r>
        <w:tab/>
        <w:t xml:space="preserve">Duties and responsibilities </w:t>
      </w:r>
    </w:p>
    <w:p w14:paraId="40DBC899" w14:textId="77777777" w:rsidR="00FD64E7" w:rsidRDefault="00FD64E7" w:rsidP="009D6A83">
      <w:pPr>
        <w:spacing w:line="360" w:lineRule="auto"/>
      </w:pPr>
      <w:r>
        <w:t>7.</w:t>
      </w:r>
      <w:r>
        <w:tab/>
        <w:t xml:space="preserve">Confidentiality </w:t>
      </w:r>
    </w:p>
    <w:p w14:paraId="4AAB750A" w14:textId="77777777" w:rsidR="00FD64E7" w:rsidRDefault="00FD64E7" w:rsidP="009D6A83">
      <w:pPr>
        <w:spacing w:line="360" w:lineRule="auto"/>
      </w:pPr>
      <w:r>
        <w:t>8.</w:t>
      </w:r>
      <w:r>
        <w:tab/>
        <w:t xml:space="preserve">Fitness for work </w:t>
      </w:r>
    </w:p>
    <w:p w14:paraId="2EB5EA35" w14:textId="77777777" w:rsidR="00FD64E7" w:rsidRDefault="00FD64E7" w:rsidP="009D6A83">
      <w:pPr>
        <w:spacing w:line="360" w:lineRule="auto"/>
      </w:pPr>
      <w:r>
        <w:t>9.</w:t>
      </w:r>
      <w:r>
        <w:tab/>
        <w:t xml:space="preserve">Conduct </w:t>
      </w:r>
    </w:p>
    <w:p w14:paraId="13E6CA79" w14:textId="77777777" w:rsidR="00FD64E7" w:rsidRDefault="00FD64E7" w:rsidP="009D6A83">
      <w:pPr>
        <w:spacing w:line="360" w:lineRule="auto"/>
      </w:pPr>
      <w:r>
        <w:t>10.</w:t>
      </w:r>
      <w:r>
        <w:tab/>
        <w:t xml:space="preserve">Challenging and reporting improper behaviour </w:t>
      </w:r>
    </w:p>
    <w:p w14:paraId="17F247EB" w14:textId="77777777" w:rsidR="00FD64E7" w:rsidRDefault="00FD64E7" w:rsidP="009D6A83">
      <w:pPr>
        <w:spacing w:line="360" w:lineRule="auto"/>
      </w:pPr>
      <w:r>
        <w:t>(College of Policing, 2014).</w:t>
      </w:r>
    </w:p>
    <w:p w14:paraId="44BDD28B" w14:textId="77777777" w:rsidR="00FD64E7" w:rsidRDefault="00FD64E7" w:rsidP="009D6A83">
      <w:pPr>
        <w:spacing w:line="360" w:lineRule="auto"/>
      </w:pPr>
      <w:r>
        <w:t xml:space="preserve">It is certainly a strong argument that the Police Service is moving towards becoming a profession with the adoption of the Code of Ethics. When considering the profession of a medical doctor, doctors also have a Code of Ethics which requires that all doctors prioritise above all else the care that they provide to their patients and that they always show respect to their patients (Bryant, </w:t>
      </w:r>
      <w:r>
        <w:lastRenderedPageBreak/>
        <w:t xml:space="preserve">Bryant and Blackburn, 2018). These duties mirror some of the standards of behaviour which are required of and adopted by Police forces across the country. </w:t>
      </w:r>
    </w:p>
    <w:p w14:paraId="414305F9" w14:textId="77777777" w:rsidR="00FD64E7" w:rsidRDefault="00FD64E7" w:rsidP="009D6A83">
      <w:pPr>
        <w:spacing w:line="360" w:lineRule="auto"/>
      </w:pPr>
      <w:r>
        <w:t xml:space="preserve">Diversity is a very important part of policing as society is becoming increasingly more diverse (Bryant, Bryant and Blackburn, 2018). Considering the powerful position Police officers hold within society, it is important that they promote diversity and equality and ensure that their own prejudices to not lead to discrimination (Bryant, Bryant and Blackburn, 2018). This is also embedded into the standards of professional behaviour expected of police officers due to past failings </w:t>
      </w:r>
      <w:proofErr w:type="gramStart"/>
      <w:r>
        <w:t>with regard to</w:t>
      </w:r>
      <w:proofErr w:type="gramEnd"/>
      <w:r>
        <w:t xml:space="preserve"> minority groups. (Bryant, Bryant and Blackburn, 2018). This image that the Police's mission is to promote equality strengthens public confidence in the police and provides a higher social acceptance of police work (</w:t>
      </w:r>
      <w:proofErr w:type="spellStart"/>
      <w:r>
        <w:t>Stergioulis</w:t>
      </w:r>
      <w:proofErr w:type="spellEnd"/>
      <w:r>
        <w:t xml:space="preserve">, 2017). </w:t>
      </w:r>
    </w:p>
    <w:p w14:paraId="4348F560" w14:textId="77777777" w:rsidR="00FD64E7" w:rsidRDefault="00FD64E7" w:rsidP="009D6A83">
      <w:pPr>
        <w:spacing w:line="360" w:lineRule="auto"/>
      </w:pPr>
      <w:r>
        <w:t xml:space="preserve">Coaching involves a person developing their skills and knowledge with the goal of achieving organisational objectives (CIPD, 2019). Mentoring is a process whereby a more experienced person supports another’s developments (CIPD, 2019). It could be argued that </w:t>
      </w:r>
      <w:proofErr w:type="gramStart"/>
      <w:r>
        <w:t>both of these</w:t>
      </w:r>
      <w:proofErr w:type="gramEnd"/>
      <w:r>
        <w:t xml:space="preserve"> take place within the Police service. A person </w:t>
      </w:r>
      <w:proofErr w:type="gramStart"/>
      <w:r>
        <w:t>has the opportunity to</w:t>
      </w:r>
      <w:proofErr w:type="gramEnd"/>
      <w:r>
        <w:t xml:space="preserve"> progress their personal development and officers are able to seek promotion. This varies from force to force but can be achieved by either experience or qualifications (Bryant, Bryant and Blackburn, 2018). The mentoring stage in the training process are deployed in the Professional Development Units (PDUs) Mentors within the PDU are experienced officers with the required skills in both coaching and assessment (Bryant, Bryant and Blackburn, 2018).</w:t>
      </w:r>
    </w:p>
    <w:p w14:paraId="60FA4E7F" w14:textId="77777777" w:rsidR="00FD64E7" w:rsidRDefault="00FD64E7" w:rsidP="009D6A83">
      <w:pPr>
        <w:spacing w:line="360" w:lineRule="auto"/>
      </w:pPr>
      <w:r>
        <w:t xml:space="preserve">To conclude, there are aspects of a profession within the Police service. According to Bryant, Bryant and Blackburn, (2018), however, there are some missing elements such as the maintaining of professional development and the requirement, such as in the case of solicitors, to renew their practising certificates every year. However, this is now being addressed. Senior detectives now </w:t>
      </w:r>
      <w:proofErr w:type="gramStart"/>
      <w:r>
        <w:t>have to</w:t>
      </w:r>
      <w:proofErr w:type="gramEnd"/>
      <w:r>
        <w:t xml:space="preserve"> be registered on the SIO register (Bryant, Bryant and Blackburn, 2018). In the case of new officers there are programmes available with the PCDA which enables new recruits to progress within their role as a police officer and develop their knowledge and skills through academic teaching at the same time (Bryant, Bryant and Blackburn, 2018). </w:t>
      </w:r>
    </w:p>
    <w:p w14:paraId="3ADECD8B" w14:textId="1F97DCB3" w:rsidR="00FD64E7" w:rsidRDefault="00FD64E7" w:rsidP="009D6A83">
      <w:pPr>
        <w:spacing w:line="360" w:lineRule="auto"/>
      </w:pPr>
      <w:r>
        <w:t xml:space="preserve">Policing becoming a profession would further enable the development of the knowledge and skills required for modern-day policing. It would protect the rights of the police and improve public confidence in the work of the police (Bryant, Bryant and Blackburn, 2018). As in the case of doctors regulated by the British Medical Association and solicitors regulated by the Solicitors Regulation Authority, the police have established a disapproved register, which lists police officers that have been dismissed (Bryant, Bryant and Blackburn, 2018). The establishment of this register again helps </w:t>
      </w:r>
      <w:r>
        <w:lastRenderedPageBreak/>
        <w:t>to build the confidence of the public and maintain the Code of ethics and standards of professional behaviour.</w:t>
      </w:r>
    </w:p>
    <w:p w14:paraId="0084797D" w14:textId="504F44EC" w:rsidR="005546BA" w:rsidRPr="00547AF2" w:rsidRDefault="00547AF2" w:rsidP="009D6A83">
      <w:pPr>
        <w:spacing w:line="360" w:lineRule="auto"/>
        <w:rPr>
          <w:rFonts w:eastAsia="Calibri" w:cstheme="minorHAnsi"/>
          <w:b/>
          <w:bCs/>
          <w:i/>
          <w:iCs/>
          <w:sz w:val="20"/>
          <w:szCs w:val="20"/>
        </w:rPr>
      </w:pPr>
      <w:r w:rsidRPr="00547AF2">
        <w:rPr>
          <w:rFonts w:eastAsia="Calibri" w:cstheme="minorHAnsi"/>
          <w:b/>
          <w:bCs/>
          <w:i/>
          <w:iCs/>
          <w:sz w:val="20"/>
          <w:szCs w:val="20"/>
        </w:rPr>
        <w:t>Word Count- 1100</w:t>
      </w:r>
    </w:p>
    <w:p w14:paraId="1C2365B0" w14:textId="1500D93F" w:rsidR="005546BA" w:rsidRDefault="005546BA" w:rsidP="009D6A83">
      <w:pPr>
        <w:spacing w:line="360" w:lineRule="auto"/>
        <w:rPr>
          <w:rFonts w:eastAsia="Calibri" w:cstheme="minorHAnsi"/>
          <w:sz w:val="20"/>
          <w:szCs w:val="20"/>
        </w:rPr>
      </w:pPr>
    </w:p>
    <w:p w14:paraId="5C9B043A" w14:textId="41FE03B4" w:rsidR="005546BA" w:rsidRDefault="005546BA" w:rsidP="009D6A83">
      <w:pPr>
        <w:spacing w:line="360" w:lineRule="auto"/>
        <w:rPr>
          <w:rFonts w:eastAsia="Calibri" w:cstheme="minorHAnsi"/>
          <w:sz w:val="20"/>
          <w:szCs w:val="20"/>
        </w:rPr>
      </w:pPr>
    </w:p>
    <w:p w14:paraId="48E0FA0A" w14:textId="79E52FD1" w:rsidR="005546BA" w:rsidRDefault="005546BA" w:rsidP="009D6A83">
      <w:pPr>
        <w:spacing w:line="360" w:lineRule="auto"/>
        <w:rPr>
          <w:rFonts w:eastAsia="Calibri" w:cstheme="minorHAnsi"/>
          <w:sz w:val="20"/>
          <w:szCs w:val="20"/>
        </w:rPr>
      </w:pPr>
    </w:p>
    <w:p w14:paraId="68684B20" w14:textId="0417018A" w:rsidR="005546BA" w:rsidRDefault="005546BA" w:rsidP="009D6A83">
      <w:pPr>
        <w:spacing w:line="360" w:lineRule="auto"/>
        <w:rPr>
          <w:rFonts w:eastAsia="Calibri" w:cstheme="minorHAnsi"/>
          <w:sz w:val="20"/>
          <w:szCs w:val="20"/>
        </w:rPr>
      </w:pPr>
    </w:p>
    <w:p w14:paraId="01A2C8BA" w14:textId="5CFB46E2" w:rsidR="005546BA" w:rsidRDefault="005546BA" w:rsidP="009D6A83">
      <w:pPr>
        <w:spacing w:line="360" w:lineRule="auto"/>
        <w:rPr>
          <w:rFonts w:eastAsia="Calibri" w:cstheme="minorHAnsi"/>
          <w:sz w:val="20"/>
          <w:szCs w:val="20"/>
        </w:rPr>
      </w:pPr>
    </w:p>
    <w:p w14:paraId="2EDB389A" w14:textId="2B172B7C" w:rsidR="005546BA" w:rsidRDefault="005546BA" w:rsidP="009D6A83">
      <w:pPr>
        <w:spacing w:line="360" w:lineRule="auto"/>
        <w:rPr>
          <w:rFonts w:eastAsia="Calibri" w:cstheme="minorHAnsi"/>
          <w:sz w:val="20"/>
          <w:szCs w:val="20"/>
        </w:rPr>
      </w:pPr>
    </w:p>
    <w:p w14:paraId="32EC0F16" w14:textId="250B8D12" w:rsidR="005546BA" w:rsidRDefault="005546BA" w:rsidP="009D6A83">
      <w:pPr>
        <w:spacing w:line="360" w:lineRule="auto"/>
        <w:rPr>
          <w:rFonts w:eastAsia="Calibri" w:cstheme="minorHAnsi"/>
          <w:sz w:val="20"/>
          <w:szCs w:val="20"/>
        </w:rPr>
      </w:pPr>
    </w:p>
    <w:p w14:paraId="472FA95B" w14:textId="0A80DC48" w:rsidR="005546BA" w:rsidRDefault="005546BA" w:rsidP="009D6A83">
      <w:pPr>
        <w:spacing w:line="360" w:lineRule="auto"/>
        <w:rPr>
          <w:rFonts w:eastAsia="Calibri" w:cstheme="minorHAnsi"/>
          <w:sz w:val="20"/>
          <w:szCs w:val="20"/>
        </w:rPr>
      </w:pPr>
    </w:p>
    <w:p w14:paraId="0C8F6FEE" w14:textId="5FBF95DC" w:rsidR="005546BA" w:rsidRDefault="005546BA" w:rsidP="009D6A83">
      <w:pPr>
        <w:spacing w:line="360" w:lineRule="auto"/>
        <w:rPr>
          <w:rFonts w:eastAsia="Calibri" w:cstheme="minorHAnsi"/>
          <w:sz w:val="20"/>
          <w:szCs w:val="20"/>
        </w:rPr>
      </w:pPr>
    </w:p>
    <w:p w14:paraId="53E51321" w14:textId="161BBCA5" w:rsidR="00757410" w:rsidRDefault="00757410" w:rsidP="009D6A83">
      <w:pPr>
        <w:spacing w:line="360" w:lineRule="auto"/>
        <w:rPr>
          <w:rFonts w:eastAsia="Calibri" w:cstheme="minorHAnsi"/>
          <w:sz w:val="20"/>
          <w:szCs w:val="20"/>
        </w:rPr>
      </w:pPr>
    </w:p>
    <w:p w14:paraId="4120CFBF" w14:textId="22CEA902" w:rsidR="00757410" w:rsidRDefault="00757410" w:rsidP="009D6A83">
      <w:pPr>
        <w:spacing w:line="360" w:lineRule="auto"/>
        <w:rPr>
          <w:rFonts w:eastAsia="Calibri" w:cstheme="minorHAnsi"/>
          <w:sz w:val="20"/>
          <w:szCs w:val="20"/>
        </w:rPr>
      </w:pPr>
    </w:p>
    <w:p w14:paraId="6D36644D" w14:textId="5AB2CF1D" w:rsidR="00757410" w:rsidRDefault="00757410" w:rsidP="009D6A83">
      <w:pPr>
        <w:spacing w:line="360" w:lineRule="auto"/>
        <w:rPr>
          <w:rFonts w:eastAsia="Calibri" w:cstheme="minorHAnsi"/>
          <w:sz w:val="20"/>
          <w:szCs w:val="20"/>
        </w:rPr>
      </w:pPr>
    </w:p>
    <w:p w14:paraId="18C0702B" w14:textId="299BD2ED" w:rsidR="00757410" w:rsidRDefault="00757410" w:rsidP="009D6A83">
      <w:pPr>
        <w:spacing w:line="360" w:lineRule="auto"/>
        <w:rPr>
          <w:rFonts w:eastAsia="Calibri" w:cstheme="minorHAnsi"/>
          <w:sz w:val="20"/>
          <w:szCs w:val="20"/>
        </w:rPr>
      </w:pPr>
    </w:p>
    <w:p w14:paraId="59F79581" w14:textId="0A2F53AD" w:rsidR="00757410" w:rsidRDefault="00757410" w:rsidP="009D6A83">
      <w:pPr>
        <w:spacing w:line="360" w:lineRule="auto"/>
        <w:rPr>
          <w:rFonts w:eastAsia="Calibri" w:cstheme="minorHAnsi"/>
          <w:sz w:val="20"/>
          <w:szCs w:val="20"/>
        </w:rPr>
      </w:pPr>
    </w:p>
    <w:p w14:paraId="54A9D735" w14:textId="12B1F169" w:rsidR="00757410" w:rsidRDefault="00757410" w:rsidP="009D6A83">
      <w:pPr>
        <w:spacing w:line="360" w:lineRule="auto"/>
        <w:rPr>
          <w:rFonts w:eastAsia="Calibri" w:cstheme="minorHAnsi"/>
          <w:sz w:val="20"/>
          <w:szCs w:val="20"/>
        </w:rPr>
      </w:pPr>
    </w:p>
    <w:p w14:paraId="01A9101A" w14:textId="77777777" w:rsidR="00757410" w:rsidRDefault="00757410" w:rsidP="009D6A83">
      <w:pPr>
        <w:spacing w:line="360" w:lineRule="auto"/>
        <w:rPr>
          <w:rFonts w:eastAsia="Calibri" w:cstheme="minorHAnsi"/>
          <w:sz w:val="20"/>
          <w:szCs w:val="20"/>
        </w:rPr>
      </w:pPr>
    </w:p>
    <w:p w14:paraId="6D7EE712" w14:textId="77777777" w:rsidR="00EB4720" w:rsidRPr="00EB4720" w:rsidRDefault="00EB4720" w:rsidP="009D6A83">
      <w:pPr>
        <w:spacing w:line="360" w:lineRule="auto"/>
        <w:rPr>
          <w:rFonts w:cstheme="minorHAnsi"/>
          <w:sz w:val="20"/>
          <w:szCs w:val="20"/>
        </w:rPr>
      </w:pPr>
    </w:p>
    <w:p w14:paraId="001E1E6A" w14:textId="65D3BD89" w:rsidR="00826425" w:rsidRDefault="00826425" w:rsidP="009D6A83">
      <w:pPr>
        <w:spacing w:line="360" w:lineRule="auto"/>
        <w:rPr>
          <w:sz w:val="48"/>
          <w:szCs w:val="48"/>
        </w:rPr>
      </w:pPr>
    </w:p>
    <w:p w14:paraId="5566C09D" w14:textId="77777777" w:rsidR="009D6A83" w:rsidRDefault="009D6A83" w:rsidP="009D6A83">
      <w:pPr>
        <w:spacing w:line="360" w:lineRule="auto"/>
        <w:rPr>
          <w:rFonts w:eastAsia="Calibri" w:cstheme="minorHAnsi"/>
          <w:b/>
          <w:bCs/>
          <w:i/>
          <w:iCs/>
          <w:u w:val="single"/>
        </w:rPr>
      </w:pPr>
    </w:p>
    <w:p w14:paraId="105D2FEB" w14:textId="77777777" w:rsidR="00EB7943" w:rsidRDefault="00EB7943" w:rsidP="009D6A83">
      <w:pPr>
        <w:spacing w:line="360" w:lineRule="auto"/>
        <w:rPr>
          <w:rFonts w:eastAsia="Calibri" w:cstheme="minorHAnsi"/>
          <w:b/>
          <w:bCs/>
          <w:i/>
          <w:iCs/>
          <w:u w:val="single"/>
        </w:rPr>
      </w:pPr>
    </w:p>
    <w:p w14:paraId="4DF1E238" w14:textId="77777777" w:rsidR="00EB7943" w:rsidRDefault="00EB7943" w:rsidP="009D6A83">
      <w:pPr>
        <w:spacing w:line="360" w:lineRule="auto"/>
        <w:rPr>
          <w:rFonts w:eastAsia="Calibri" w:cstheme="minorHAnsi"/>
          <w:b/>
          <w:bCs/>
          <w:i/>
          <w:iCs/>
          <w:u w:val="single"/>
        </w:rPr>
      </w:pPr>
    </w:p>
    <w:p w14:paraId="74694AC0" w14:textId="77777777" w:rsidR="00547AF2" w:rsidRDefault="00547AF2" w:rsidP="009D6A83">
      <w:pPr>
        <w:spacing w:line="360" w:lineRule="auto"/>
        <w:rPr>
          <w:rFonts w:eastAsia="Calibri" w:cstheme="minorHAnsi"/>
          <w:b/>
          <w:bCs/>
          <w:i/>
          <w:iCs/>
          <w:u w:val="single"/>
        </w:rPr>
      </w:pPr>
    </w:p>
    <w:p w14:paraId="313C658A" w14:textId="0665A509" w:rsidR="00CD5ADD" w:rsidRPr="00783BEB" w:rsidRDefault="00CD5ADD" w:rsidP="009D6A83">
      <w:pPr>
        <w:spacing w:line="360" w:lineRule="auto"/>
        <w:rPr>
          <w:rFonts w:cstheme="minorHAnsi"/>
          <w:b/>
          <w:bCs/>
          <w:i/>
          <w:iCs/>
          <w:u w:val="single"/>
        </w:rPr>
      </w:pPr>
      <w:r w:rsidRPr="00783BEB">
        <w:rPr>
          <w:rFonts w:eastAsia="Calibri" w:cstheme="minorHAnsi"/>
          <w:b/>
          <w:bCs/>
          <w:i/>
          <w:iCs/>
          <w:u w:val="single"/>
        </w:rPr>
        <w:lastRenderedPageBreak/>
        <w:t>1000 words - Community/Response Policing/Policing roads/Conducting Investigations /Digital Policing</w:t>
      </w:r>
    </w:p>
    <w:p w14:paraId="751023B0" w14:textId="77777777" w:rsidR="00CD5ADD" w:rsidRPr="00783BEB" w:rsidRDefault="00CD5ADD" w:rsidP="009D6A83">
      <w:pPr>
        <w:spacing w:line="360" w:lineRule="auto"/>
        <w:rPr>
          <w:rFonts w:cstheme="minorHAnsi"/>
          <w:b/>
          <w:bCs/>
          <w:i/>
          <w:iCs/>
          <w:u w:val="single"/>
        </w:rPr>
      </w:pPr>
      <w:r w:rsidRPr="00783BEB">
        <w:rPr>
          <w:rFonts w:eastAsia="Calibri" w:cstheme="minorHAnsi"/>
          <w:b/>
          <w:bCs/>
          <w:i/>
          <w:iCs/>
          <w:u w:val="single"/>
        </w:rPr>
        <w:t>Critically evaluate the role of the police in one of the following areas:</w:t>
      </w:r>
    </w:p>
    <w:p w14:paraId="07361EDC" w14:textId="472DBCD9" w:rsidR="00CD5ADD" w:rsidRPr="00783BEB" w:rsidRDefault="00CD5ADD" w:rsidP="009D6A83">
      <w:pPr>
        <w:numPr>
          <w:ilvl w:val="0"/>
          <w:numId w:val="1"/>
        </w:numPr>
        <w:spacing w:after="0" w:line="360" w:lineRule="auto"/>
        <w:contextualSpacing/>
        <w:rPr>
          <w:rFonts w:cstheme="minorHAnsi"/>
          <w:b/>
          <w:bCs/>
          <w:i/>
          <w:iCs/>
          <w:u w:val="single"/>
        </w:rPr>
      </w:pPr>
      <w:r w:rsidRPr="00783BEB">
        <w:rPr>
          <w:rFonts w:eastAsia="Arial" w:cstheme="minorHAnsi"/>
          <w:b/>
          <w:bCs/>
          <w:i/>
          <w:iCs/>
          <w:u w:val="single"/>
        </w:rPr>
        <w:t>Community policing (strategies and incentives)</w:t>
      </w:r>
    </w:p>
    <w:p w14:paraId="40B2B469" w14:textId="22C00959" w:rsidR="00EE419B" w:rsidRDefault="00EE419B" w:rsidP="009D6A83">
      <w:pPr>
        <w:spacing w:after="0" w:line="360" w:lineRule="auto"/>
        <w:contextualSpacing/>
        <w:rPr>
          <w:rFonts w:ascii="Calibri" w:eastAsia="Arial" w:hAnsi="Calibri" w:cs="Calibri"/>
          <w:sz w:val="28"/>
          <w:szCs w:val="28"/>
        </w:rPr>
      </w:pPr>
    </w:p>
    <w:p w14:paraId="1785AB52" w14:textId="23A6ACD1" w:rsidR="00EE419B" w:rsidRDefault="00EE419B" w:rsidP="009D6A83">
      <w:pPr>
        <w:spacing w:line="360" w:lineRule="auto"/>
        <w:rPr>
          <w:rFonts w:eastAsia="Arial" w:cstheme="minorHAnsi"/>
        </w:rPr>
      </w:pPr>
      <w:r>
        <w:rPr>
          <w:rFonts w:eastAsia="Arial" w:cstheme="minorHAnsi"/>
        </w:rPr>
        <w:t xml:space="preserve">In this essay I shall critically evaluate the role of the police service by reference to community policing. I shall consider the strategies which are in place to encourage community policing, that </w:t>
      </w:r>
      <w:r w:rsidR="00C13FFD">
        <w:rPr>
          <w:rFonts w:eastAsia="Arial" w:cstheme="minorHAnsi"/>
        </w:rPr>
        <w:t>is, community</w:t>
      </w:r>
      <w:r>
        <w:rPr>
          <w:rFonts w:eastAsia="Arial" w:cstheme="minorHAnsi"/>
        </w:rPr>
        <w:t xml:space="preserve"> engagement and neighbourhood policing. I will look at the effectiveness of these strategies; the importance of community policing and its effect on crime. </w:t>
      </w:r>
    </w:p>
    <w:p w14:paraId="68F04013" w14:textId="77777777" w:rsidR="00EE419B" w:rsidRPr="00297400" w:rsidRDefault="00EE419B" w:rsidP="009D6A83">
      <w:pPr>
        <w:spacing w:line="360" w:lineRule="auto"/>
        <w:rPr>
          <w:rFonts w:eastAsia="Arial" w:cstheme="minorHAnsi"/>
          <w:color w:val="FF0000"/>
        </w:rPr>
      </w:pPr>
      <w:r w:rsidRPr="00C13FFD">
        <w:rPr>
          <w:rFonts w:eastAsia="Arial" w:cstheme="minorHAnsi"/>
        </w:rPr>
        <w:t xml:space="preserve">Community policing and community engagement can be traced back to the middle ages </w:t>
      </w:r>
      <w:r w:rsidRPr="00C13FFD">
        <w:rPr>
          <w:rFonts w:cstheme="minorHAnsi"/>
          <w:shd w:val="clear" w:color="auto" w:fill="FFFFFF"/>
        </w:rPr>
        <w:t>(</w:t>
      </w:r>
      <w:proofErr w:type="spellStart"/>
      <w:r w:rsidRPr="00C13FFD">
        <w:rPr>
          <w:rFonts w:cstheme="minorHAnsi"/>
          <w:shd w:val="clear" w:color="auto" w:fill="FFFFFF"/>
        </w:rPr>
        <w:t>Myhill</w:t>
      </w:r>
      <w:proofErr w:type="spellEnd"/>
      <w:r w:rsidRPr="00C13FFD">
        <w:rPr>
          <w:rFonts w:cstheme="minorHAnsi"/>
          <w:shd w:val="clear" w:color="auto" w:fill="FFFFFF"/>
        </w:rPr>
        <w:t>, 2012). According to Mayhill, (2012), Anglo-Saxons placed certain obligations on the community, for example, what was known as the ‘hue or cry’ which required community assistance to pursue and detain an offender (</w:t>
      </w:r>
      <w:proofErr w:type="spellStart"/>
      <w:r w:rsidRPr="00C13FFD">
        <w:rPr>
          <w:rFonts w:cstheme="minorHAnsi"/>
          <w:shd w:val="clear" w:color="auto" w:fill="FFFFFF"/>
        </w:rPr>
        <w:t>Myhill</w:t>
      </w:r>
      <w:proofErr w:type="spellEnd"/>
      <w:r w:rsidRPr="00C13FFD">
        <w:rPr>
          <w:rFonts w:cstheme="minorHAnsi"/>
          <w:shd w:val="clear" w:color="auto" w:fill="FFFFFF"/>
        </w:rPr>
        <w:t xml:space="preserve">, 2012). This continued with men of the community being required to guard entrances to the town and patrol </w:t>
      </w:r>
      <w:r>
        <w:rPr>
          <w:rFonts w:cstheme="minorHAnsi"/>
          <w:color w:val="000000"/>
          <w:shd w:val="clear" w:color="auto" w:fill="FFFFFF"/>
        </w:rPr>
        <w:t>the street to maintain order and prevent offences (</w:t>
      </w:r>
      <w:proofErr w:type="spellStart"/>
      <w:r>
        <w:rPr>
          <w:rFonts w:cstheme="minorHAnsi"/>
          <w:color w:val="000000"/>
          <w:shd w:val="clear" w:color="auto" w:fill="FFFFFF"/>
        </w:rPr>
        <w:t>Myhill</w:t>
      </w:r>
      <w:proofErr w:type="spellEnd"/>
      <w:r>
        <w:rPr>
          <w:rFonts w:cstheme="minorHAnsi"/>
          <w:color w:val="000000"/>
          <w:shd w:val="clear" w:color="auto" w:fill="FFFFFF"/>
        </w:rPr>
        <w:t>, 2012). In 1829 the first Police service was established, the Metropolitan Police Service. Community engagement and relationship building continued into the twentieth century (</w:t>
      </w:r>
      <w:proofErr w:type="spellStart"/>
      <w:r>
        <w:rPr>
          <w:rFonts w:cstheme="minorHAnsi"/>
          <w:color w:val="000000"/>
          <w:shd w:val="clear" w:color="auto" w:fill="FFFFFF"/>
        </w:rPr>
        <w:t>Myhill</w:t>
      </w:r>
      <w:proofErr w:type="spellEnd"/>
      <w:r>
        <w:rPr>
          <w:rFonts w:cstheme="minorHAnsi"/>
          <w:color w:val="000000"/>
          <w:shd w:val="clear" w:color="auto" w:fill="FFFFFF"/>
        </w:rPr>
        <w:t xml:space="preserve">, 2012). </w:t>
      </w:r>
      <w:r>
        <w:rPr>
          <w:rFonts w:eastAsia="Arial" w:cstheme="minorHAnsi"/>
        </w:rPr>
        <w:t xml:space="preserve">The Home Office at the time </w:t>
      </w:r>
      <w:r w:rsidRPr="00C13FFD">
        <w:rPr>
          <w:rFonts w:eastAsia="Arial" w:cstheme="minorHAnsi"/>
        </w:rPr>
        <w:t xml:space="preserve">wanted fewer foot patrols and more motorised patrols which enabled officers to attend more calls which, in turn, improved the relationship between the police and the community </w:t>
      </w:r>
      <w:r w:rsidRPr="00C13FFD">
        <w:rPr>
          <w:rFonts w:cstheme="minorHAnsi"/>
          <w:shd w:val="clear" w:color="auto" w:fill="FFFFFF"/>
        </w:rPr>
        <w:t>(</w:t>
      </w:r>
      <w:proofErr w:type="spellStart"/>
      <w:r w:rsidRPr="00C13FFD">
        <w:rPr>
          <w:rFonts w:cstheme="minorHAnsi"/>
          <w:shd w:val="clear" w:color="auto" w:fill="FFFFFF"/>
        </w:rPr>
        <w:t>Myhill</w:t>
      </w:r>
      <w:proofErr w:type="spellEnd"/>
      <w:r w:rsidRPr="00C13FFD">
        <w:rPr>
          <w:rFonts w:cstheme="minorHAnsi"/>
          <w:shd w:val="clear" w:color="auto" w:fill="FFFFFF"/>
        </w:rPr>
        <w:t xml:space="preserve">, 2012). It could be argued that a similar situation is in place today by reason of services such as the neighbourhood policing teams and Police community support officers. Responding to calls by vehicle ensures that attendance is timely, and that service is delivered promptly and effectively to victims and members of the public. </w:t>
      </w:r>
    </w:p>
    <w:p w14:paraId="4B391185" w14:textId="5DC964B5" w:rsidR="00EE419B" w:rsidRPr="00297400" w:rsidRDefault="00EE419B" w:rsidP="009D6A83">
      <w:pPr>
        <w:spacing w:line="360" w:lineRule="auto"/>
        <w:rPr>
          <w:rFonts w:cstheme="minorHAnsi"/>
          <w:color w:val="FF0000"/>
          <w:shd w:val="clear" w:color="auto" w:fill="FFFFFF"/>
        </w:rPr>
      </w:pPr>
      <w:r>
        <w:rPr>
          <w:rFonts w:cstheme="minorHAnsi"/>
          <w:color w:val="000000"/>
          <w:shd w:val="clear" w:color="auto" w:fill="FFFFFF"/>
        </w:rPr>
        <w:t xml:space="preserve">As reported by </w:t>
      </w:r>
      <w:proofErr w:type="spellStart"/>
      <w:r>
        <w:rPr>
          <w:rFonts w:cstheme="minorHAnsi"/>
          <w:color w:val="000000"/>
          <w:shd w:val="clear" w:color="auto" w:fill="FFFFFF"/>
        </w:rPr>
        <w:t>Myhill</w:t>
      </w:r>
      <w:proofErr w:type="spellEnd"/>
      <w:r>
        <w:rPr>
          <w:rFonts w:cstheme="minorHAnsi"/>
          <w:color w:val="000000"/>
          <w:shd w:val="clear" w:color="auto" w:fill="FFFFFF"/>
        </w:rPr>
        <w:t xml:space="preserve"> (2012), the lack of engagement between communities and the police was first </w:t>
      </w:r>
      <w:r w:rsidRPr="006F7BD7">
        <w:rPr>
          <w:rFonts w:cstheme="minorHAnsi"/>
          <w:shd w:val="clear" w:color="auto" w:fill="FFFFFF"/>
        </w:rPr>
        <w:t>identified by the Police Service in the United States of America</w:t>
      </w:r>
      <w:r w:rsidR="0047123A" w:rsidRPr="006F7BD7">
        <w:rPr>
          <w:rFonts w:cstheme="minorHAnsi"/>
          <w:shd w:val="clear" w:color="auto" w:fill="FFFFFF"/>
        </w:rPr>
        <w:t xml:space="preserve">. Furthermore, it has been accepted that community policing </w:t>
      </w:r>
      <w:r w:rsidR="00AE7FD2" w:rsidRPr="006F7BD7">
        <w:rPr>
          <w:rFonts w:cstheme="minorHAnsi"/>
          <w:shd w:val="clear" w:color="auto" w:fill="FFFFFF"/>
        </w:rPr>
        <w:t xml:space="preserve">and engagement helps reduce fear and there is a higher perception of safety </w:t>
      </w:r>
      <w:r w:rsidR="006F7BD7" w:rsidRPr="006F7BD7">
        <w:rPr>
          <w:rFonts w:cstheme="minorHAnsi"/>
          <w:shd w:val="clear" w:color="auto" w:fill="FFFFFF"/>
        </w:rPr>
        <w:t>(</w:t>
      </w:r>
      <w:proofErr w:type="spellStart"/>
      <w:r w:rsidR="006F7BD7" w:rsidRPr="006F7BD7">
        <w:rPr>
          <w:rFonts w:cstheme="minorHAnsi"/>
          <w:shd w:val="clear" w:color="auto" w:fill="FFFFFF"/>
        </w:rPr>
        <w:t>Myhill</w:t>
      </w:r>
      <w:proofErr w:type="spellEnd"/>
      <w:r w:rsidR="006F7BD7" w:rsidRPr="006F7BD7">
        <w:rPr>
          <w:rFonts w:cstheme="minorHAnsi"/>
          <w:shd w:val="clear" w:color="auto" w:fill="FFFFFF"/>
        </w:rPr>
        <w:t>, 2012).</w:t>
      </w:r>
      <w:r w:rsidRPr="006F7BD7">
        <w:rPr>
          <w:rFonts w:cstheme="minorHAnsi"/>
          <w:shd w:val="clear" w:color="auto" w:fill="FFFFFF"/>
        </w:rPr>
        <w:t xml:space="preserve"> When considering England and Wales the lack of engagement and relationship between police and the </w:t>
      </w:r>
      <w:r w:rsidR="00156E0E" w:rsidRPr="006F7BD7">
        <w:rPr>
          <w:rFonts w:cstheme="minorHAnsi"/>
          <w:shd w:val="clear" w:color="auto" w:fill="FFFFFF"/>
        </w:rPr>
        <w:t>community has</w:t>
      </w:r>
      <w:r w:rsidRPr="006F7BD7">
        <w:rPr>
          <w:rFonts w:cstheme="minorHAnsi"/>
          <w:shd w:val="clear" w:color="auto" w:fill="FFFFFF"/>
        </w:rPr>
        <w:t xml:space="preserve"> clearly been tested when looking back in history</w:t>
      </w:r>
      <w:r>
        <w:rPr>
          <w:rFonts w:cstheme="minorHAnsi"/>
          <w:color w:val="000000"/>
          <w:shd w:val="clear" w:color="auto" w:fill="FFFFFF"/>
        </w:rPr>
        <w:t xml:space="preserve">. One of the most well-known examples is the Brixton Riots which took place in 1981. A concern about ongoing street </w:t>
      </w:r>
      <w:r w:rsidR="00156E0E">
        <w:rPr>
          <w:rFonts w:cstheme="minorHAnsi"/>
          <w:color w:val="000000"/>
          <w:shd w:val="clear" w:color="auto" w:fill="FFFFFF"/>
        </w:rPr>
        <w:t>robberies resulted</w:t>
      </w:r>
      <w:r>
        <w:rPr>
          <w:rFonts w:cstheme="minorHAnsi"/>
          <w:color w:val="000000"/>
          <w:shd w:val="clear" w:color="auto" w:fill="FFFFFF"/>
        </w:rPr>
        <w:t xml:space="preserve"> in ‘operation swamp’ whereby a thousand stop searches were </w:t>
      </w:r>
      <w:r w:rsidR="00C13FFD">
        <w:rPr>
          <w:rFonts w:cstheme="minorHAnsi"/>
          <w:color w:val="000000"/>
          <w:shd w:val="clear" w:color="auto" w:fill="FFFFFF"/>
        </w:rPr>
        <w:t>conducted,</w:t>
      </w:r>
      <w:r>
        <w:rPr>
          <w:rFonts w:cstheme="minorHAnsi"/>
          <w:color w:val="000000"/>
          <w:shd w:val="clear" w:color="auto" w:fill="FFFFFF"/>
        </w:rPr>
        <w:t xml:space="preserve"> and a hundred and fifty young black males were arrested (Jefferson and Grimshaw, 1984).</w:t>
      </w:r>
      <w:r>
        <w:rPr>
          <w:rFonts w:ascii="Arial" w:hAnsi="Arial" w:cs="Arial"/>
          <w:color w:val="000000"/>
          <w:shd w:val="clear" w:color="auto" w:fill="FFFFFF"/>
        </w:rPr>
        <w:t xml:space="preserve"> T</w:t>
      </w:r>
      <w:r w:rsidRPr="00297400">
        <w:rPr>
          <w:rFonts w:cstheme="minorHAnsi"/>
          <w:color w:val="000000"/>
          <w:shd w:val="clear" w:color="auto" w:fill="FFFFFF"/>
        </w:rPr>
        <w:t xml:space="preserve">he ten days of stop </w:t>
      </w:r>
      <w:r w:rsidRPr="00156E0E">
        <w:rPr>
          <w:rFonts w:cstheme="minorHAnsi"/>
          <w:shd w:val="clear" w:color="auto" w:fill="FFFFFF"/>
        </w:rPr>
        <w:t xml:space="preserve">searches and arrests were followed by two days of unrest between members of the public and the police. As reported by Jefferson (2011), the Lord Scarman report concluded in November 1981 that the riots were the result of built-up anger and resentment of young black </w:t>
      </w:r>
      <w:r w:rsidRPr="00156E0E">
        <w:rPr>
          <w:rFonts w:cstheme="minorHAnsi"/>
          <w:shd w:val="clear" w:color="auto" w:fill="FFFFFF"/>
        </w:rPr>
        <w:lastRenderedPageBreak/>
        <w:t>people towards the Police and recommended the recruitment of more ethnic minorities and changes in training</w:t>
      </w:r>
      <w:r w:rsidR="00156E0E" w:rsidRPr="00156E0E">
        <w:rPr>
          <w:rFonts w:cstheme="minorHAnsi"/>
          <w:shd w:val="clear" w:color="auto" w:fill="FFFFFF"/>
        </w:rPr>
        <w:t xml:space="preserve"> </w:t>
      </w:r>
      <w:r w:rsidRPr="00156E0E">
        <w:rPr>
          <w:rFonts w:cstheme="minorHAnsi"/>
          <w:shd w:val="clear" w:color="auto" w:fill="FFFFFF"/>
        </w:rPr>
        <w:t>(Jefferson 2011)</w:t>
      </w:r>
      <w:r w:rsidR="00156E0E" w:rsidRPr="00156E0E">
        <w:rPr>
          <w:rFonts w:cstheme="minorHAnsi"/>
          <w:shd w:val="clear" w:color="auto" w:fill="FFFFFF"/>
        </w:rPr>
        <w:t>.</w:t>
      </w:r>
    </w:p>
    <w:p w14:paraId="32B3A077" w14:textId="1C4A1572" w:rsidR="00EE419B" w:rsidRDefault="00EE419B" w:rsidP="009D6A83">
      <w:pPr>
        <w:spacing w:line="360" w:lineRule="auto"/>
        <w:rPr>
          <w:rFonts w:eastAsia="Arial" w:cstheme="minorHAnsi"/>
          <w:i/>
          <w:iCs/>
        </w:rPr>
      </w:pPr>
      <w:r>
        <w:rPr>
          <w:rFonts w:eastAsia="Arial" w:cstheme="minorHAnsi"/>
          <w:i/>
          <w:iCs/>
        </w:rPr>
        <w:t>What strategies are used in community polic</w:t>
      </w:r>
      <w:r w:rsidR="00164AD2">
        <w:rPr>
          <w:rFonts w:eastAsia="Arial" w:cstheme="minorHAnsi"/>
          <w:i/>
          <w:iCs/>
        </w:rPr>
        <w:t>ing?</w:t>
      </w:r>
    </w:p>
    <w:p w14:paraId="4D694D74" w14:textId="77777777" w:rsidR="00EE419B" w:rsidRPr="00164AD2" w:rsidRDefault="00EE419B" w:rsidP="009D6A83">
      <w:pPr>
        <w:spacing w:line="360" w:lineRule="auto"/>
        <w:rPr>
          <w:rFonts w:cstheme="minorHAnsi"/>
          <w:shd w:val="clear" w:color="auto" w:fill="FFFFFF"/>
        </w:rPr>
      </w:pPr>
      <w:r w:rsidRPr="00164AD2">
        <w:rPr>
          <w:rFonts w:eastAsia="Arial" w:cstheme="minorHAnsi"/>
        </w:rPr>
        <w:t xml:space="preserve">As per </w:t>
      </w:r>
      <w:r w:rsidRPr="00164AD2">
        <w:rPr>
          <w:rFonts w:cstheme="minorHAnsi"/>
          <w:shd w:val="clear" w:color="auto" w:fill="FFFFFF"/>
        </w:rPr>
        <w:t xml:space="preserve">Bryant, Bryant and Blackburn, (2018), there are several policing approaches used by police forces in England and Wales. For example, there is intelligence-led policing, problem-oriented policing and the one which I shall be discussing in this essay, community-based policing. These different approaches are prioritised when considering the most pressing policing problems and what means are available in tackling them (Bryant, Bryant and Blackburn, 2018). The community-based policing model is based on consideration being given, when looking at criminal activity and disorder, to the area and the community in which it is happening (Bryant, Bryant and Blackburn, 2018). </w:t>
      </w:r>
    </w:p>
    <w:p w14:paraId="6D227413" w14:textId="74C321BA" w:rsidR="00EE419B" w:rsidRDefault="00EE419B" w:rsidP="009D6A83">
      <w:pPr>
        <w:spacing w:line="360" w:lineRule="auto"/>
        <w:rPr>
          <w:rFonts w:cstheme="minorHAnsi"/>
          <w:color w:val="000000"/>
          <w:shd w:val="clear" w:color="auto" w:fill="FFFFFF"/>
        </w:rPr>
      </w:pPr>
      <w:r>
        <w:rPr>
          <w:rFonts w:cstheme="minorHAnsi"/>
          <w:color w:val="000000"/>
          <w:shd w:val="clear" w:color="auto" w:fill="FFFFFF"/>
        </w:rPr>
        <w:t xml:space="preserve">One of the key areas of policing </w:t>
      </w:r>
      <w:r w:rsidRPr="00231E0C">
        <w:rPr>
          <w:rFonts w:cstheme="minorHAnsi"/>
          <w:shd w:val="clear" w:color="auto" w:fill="FFFFFF"/>
        </w:rPr>
        <w:t xml:space="preserve">is collecting, developing and dissemination of intelligence (Intelligence cycle, 2015). The collection of intelligence is used to protect life and property, preserve order and to prevent the commission of offences (Intelligence cycle, 2015). There are intelligence collection plans which look at intelligence requirements and the information which is collected varies depending on the type of information that is required (Intelligence cycle, 2015), Furthermore, this information allows decisions to be made about priorities within the community. This information may come from open and closed sources within the community, such as, in the case of open sources, information which has been received from a community meeting. Gathering information and intelligence enables us to gather information on the community we are policing </w:t>
      </w:r>
      <w:r>
        <w:rPr>
          <w:rFonts w:cstheme="minorHAnsi"/>
          <w:color w:val="000000"/>
          <w:shd w:val="clear" w:color="auto" w:fill="FFFFFF"/>
        </w:rPr>
        <w:t xml:space="preserve">(Intelligence Cycle, 2015). This could involve information on offenders and/or crime patterns. </w:t>
      </w:r>
    </w:p>
    <w:p w14:paraId="7266ECD5" w14:textId="77777777" w:rsidR="00EE419B" w:rsidRDefault="00EE419B" w:rsidP="009D6A83">
      <w:pPr>
        <w:spacing w:line="360" w:lineRule="auto"/>
        <w:rPr>
          <w:rFonts w:cstheme="minorHAnsi"/>
          <w:color w:val="000000"/>
          <w:shd w:val="clear" w:color="auto" w:fill="FFFFFF"/>
        </w:rPr>
      </w:pPr>
      <w:r>
        <w:rPr>
          <w:rFonts w:cstheme="minorHAnsi"/>
          <w:color w:val="000000"/>
          <w:shd w:val="clear" w:color="auto" w:fill="FFFFFF"/>
        </w:rPr>
        <w:t xml:space="preserve">As already stated, information allows us to understand the community and another strategy of community policing is the tension monitoring system. Community tension </w:t>
      </w:r>
      <w:proofErr w:type="gramStart"/>
      <w:r>
        <w:rPr>
          <w:rFonts w:cstheme="minorHAnsi"/>
          <w:color w:val="000000"/>
          <w:shd w:val="clear" w:color="auto" w:fill="FFFFFF"/>
        </w:rPr>
        <w:t>is described as being</w:t>
      </w:r>
      <w:proofErr w:type="gramEnd"/>
      <w:r>
        <w:rPr>
          <w:rFonts w:cstheme="minorHAnsi"/>
          <w:color w:val="000000"/>
          <w:shd w:val="clear" w:color="auto" w:fill="FFFFFF"/>
        </w:rPr>
        <w:t xml:space="preserve"> dynamic within a community and it could lead to disorder (Institute of community cohesion, 2010). Relationships can come under pressure in certain communities. The sharing of information between communities and partner agencies allows for community tensions to be monitored, actions taken to prevent tensions from escalating and thereby reducing risk to life and property (Institute of community cohesion, 2010). The tension monitoring system also enables the Police service and partner organisations to understand community dynamics and to anticipate future problems. The guide will also help partner agencies to work with communities to manage certain situations in ways which are ‘collaborative, sensitive and effective’ (Institute of community cohesion, 2010, p. 2). </w:t>
      </w:r>
    </w:p>
    <w:p w14:paraId="0830F327" w14:textId="00310CC2" w:rsidR="00EE419B" w:rsidRDefault="00EE419B" w:rsidP="009D6A83">
      <w:pPr>
        <w:spacing w:line="360" w:lineRule="auto"/>
        <w:rPr>
          <w:rFonts w:cstheme="minorHAnsi"/>
          <w:color w:val="000000"/>
          <w:shd w:val="clear" w:color="auto" w:fill="FFFFFF"/>
        </w:rPr>
      </w:pPr>
      <w:r>
        <w:rPr>
          <w:rFonts w:cstheme="minorHAnsi"/>
          <w:color w:val="000000"/>
          <w:shd w:val="clear" w:color="auto" w:fill="FFFFFF"/>
        </w:rPr>
        <w:t xml:space="preserve">Problem Orientated Policing also known as POP, was developed by Herman Goldstein (Bryant, Bryant and Blackburn, 2018). This form of policing is an approach to develop targeted interventions </w:t>
      </w:r>
      <w:r>
        <w:rPr>
          <w:rFonts w:cstheme="minorHAnsi"/>
          <w:color w:val="000000"/>
          <w:shd w:val="clear" w:color="auto" w:fill="FFFFFF"/>
        </w:rPr>
        <w:lastRenderedPageBreak/>
        <w:t xml:space="preserve">in the community (Problem-orientated policing, 2020). Police analyse the calls from the public to discover the main causes of these calls (Bryant, Bryant and Blackburn, 2018). A key model within problem orientated policing is the SARA model. The SARA Model has four stages, Scanning, Analysis, Response and Assessment (Problem-orientated policing, 2020). This enables us to understand the root cause of a problem and thereby devise and develop an effective solution, with the overlying purpose of reducing crime and disorder (Problem-orientated policing, 2020). </w:t>
      </w:r>
    </w:p>
    <w:p w14:paraId="116249B8" w14:textId="018477FA" w:rsidR="00EE419B" w:rsidRDefault="00EE419B" w:rsidP="009D6A83">
      <w:pPr>
        <w:spacing w:line="360" w:lineRule="auto"/>
        <w:rPr>
          <w:rFonts w:cstheme="minorHAnsi"/>
        </w:rPr>
      </w:pPr>
      <w:r>
        <w:rPr>
          <w:rFonts w:cstheme="minorHAnsi"/>
          <w:color w:val="000000"/>
          <w:shd w:val="clear" w:color="auto" w:fill="FFFFFF"/>
        </w:rPr>
        <w:t xml:space="preserve">To conclude, the importance of community policing and these strategies are to safeguard the continuing relationship between the police and the community. The importance of this relationship is to ensure the transparency, trust and respect between community members and the police (Mvorganizing.org, 2021). The National Police Chiefs’ Council (NPCC) has developed the Policing Vision 2025. One of the five priorities mentioned is local community policing, which it is stated remains the bedrock of policing to reduce the demand on policing (NPCC, 2016.) In looking to the future, the Police Foundation has created ‘The Future of Neighbourhood Policing’ report, which is a framework for delivering proactive, preventative local policing (Higgins, 2018) to ensure that community policing is achieved with </w:t>
      </w:r>
      <w:bookmarkStart w:id="0" w:name="_GoBack"/>
      <w:bookmarkEnd w:id="0"/>
      <w:r>
        <w:rPr>
          <w:rFonts w:cstheme="minorHAnsi"/>
          <w:color w:val="000000"/>
          <w:shd w:val="clear" w:color="auto" w:fill="FFFFFF"/>
        </w:rPr>
        <w:t xml:space="preserve">the resources that are available. </w:t>
      </w:r>
    </w:p>
    <w:p w14:paraId="02B2CF5F" w14:textId="79422E4A" w:rsidR="00EE419B" w:rsidRPr="005B3579" w:rsidRDefault="005B3579" w:rsidP="009D6A83">
      <w:pPr>
        <w:spacing w:line="360" w:lineRule="auto"/>
        <w:rPr>
          <w:rFonts w:cstheme="minorHAnsi"/>
          <w:b/>
          <w:bCs/>
          <w:color w:val="000000"/>
          <w:sz w:val="20"/>
          <w:szCs w:val="20"/>
          <w:shd w:val="clear" w:color="auto" w:fill="FFFFFF"/>
        </w:rPr>
      </w:pPr>
      <w:r w:rsidRPr="005B3579">
        <w:rPr>
          <w:rFonts w:cstheme="minorHAnsi"/>
          <w:b/>
          <w:bCs/>
          <w:color w:val="000000"/>
          <w:sz w:val="20"/>
          <w:szCs w:val="20"/>
          <w:shd w:val="clear" w:color="auto" w:fill="FFFFFF"/>
        </w:rPr>
        <w:t xml:space="preserve">Word Count- 1046 </w:t>
      </w:r>
    </w:p>
    <w:p w14:paraId="3C334FB5" w14:textId="31324628" w:rsidR="00EE419B" w:rsidRDefault="00EE419B" w:rsidP="009D6A83">
      <w:pPr>
        <w:spacing w:after="0" w:line="360" w:lineRule="auto"/>
        <w:contextualSpacing/>
        <w:rPr>
          <w:rFonts w:ascii="Calibri" w:hAnsi="Calibri" w:cs="Calibri"/>
          <w:sz w:val="28"/>
          <w:szCs w:val="28"/>
        </w:rPr>
      </w:pPr>
    </w:p>
    <w:p w14:paraId="70BA30DD" w14:textId="31F1814D" w:rsidR="00EE419B" w:rsidRDefault="00EE419B" w:rsidP="009D6A83">
      <w:pPr>
        <w:spacing w:after="0" w:line="360" w:lineRule="auto"/>
        <w:contextualSpacing/>
        <w:rPr>
          <w:rFonts w:ascii="Calibri" w:hAnsi="Calibri" w:cs="Calibri"/>
          <w:sz w:val="28"/>
          <w:szCs w:val="28"/>
        </w:rPr>
      </w:pPr>
    </w:p>
    <w:p w14:paraId="18FA39EC" w14:textId="528CC922" w:rsidR="00EE419B" w:rsidRDefault="00EE419B" w:rsidP="009D6A83">
      <w:pPr>
        <w:spacing w:after="0" w:line="360" w:lineRule="auto"/>
        <w:contextualSpacing/>
        <w:rPr>
          <w:rFonts w:ascii="Calibri" w:hAnsi="Calibri" w:cs="Calibri"/>
          <w:sz w:val="28"/>
          <w:szCs w:val="28"/>
        </w:rPr>
      </w:pPr>
    </w:p>
    <w:p w14:paraId="69A3FBD5" w14:textId="77777777" w:rsidR="005B1EFB" w:rsidRDefault="005B1EFB" w:rsidP="009D6A83">
      <w:pPr>
        <w:spacing w:line="360" w:lineRule="auto"/>
        <w:rPr>
          <w:rFonts w:ascii="Calibri" w:hAnsi="Calibri" w:cs="Calibri"/>
          <w:sz w:val="28"/>
          <w:szCs w:val="28"/>
        </w:rPr>
      </w:pPr>
    </w:p>
    <w:p w14:paraId="53AAC2A7" w14:textId="77777777" w:rsidR="00783BEB" w:rsidRDefault="00783BEB" w:rsidP="009D6A83">
      <w:pPr>
        <w:spacing w:line="360" w:lineRule="auto"/>
        <w:rPr>
          <w:rFonts w:ascii="Calibri" w:eastAsia="Calibri" w:hAnsi="Calibri" w:cs="Calibri"/>
          <w:b/>
          <w:bCs/>
          <w:sz w:val="28"/>
          <w:szCs w:val="28"/>
        </w:rPr>
      </w:pPr>
    </w:p>
    <w:p w14:paraId="7F2B2494" w14:textId="77777777" w:rsidR="00EB7943" w:rsidRDefault="00EB7943" w:rsidP="009D6A83">
      <w:pPr>
        <w:spacing w:line="360" w:lineRule="auto"/>
        <w:rPr>
          <w:rFonts w:ascii="Calibri" w:eastAsia="Calibri" w:hAnsi="Calibri" w:cs="Calibri"/>
          <w:b/>
          <w:bCs/>
          <w:i/>
          <w:iCs/>
          <w:sz w:val="20"/>
          <w:szCs w:val="20"/>
          <w:u w:val="single"/>
        </w:rPr>
      </w:pPr>
    </w:p>
    <w:p w14:paraId="3B93D604" w14:textId="77777777" w:rsidR="00EB7943" w:rsidRDefault="00EB7943" w:rsidP="009D6A83">
      <w:pPr>
        <w:spacing w:line="360" w:lineRule="auto"/>
        <w:rPr>
          <w:rFonts w:ascii="Calibri" w:eastAsia="Calibri" w:hAnsi="Calibri" w:cs="Calibri"/>
          <w:b/>
          <w:bCs/>
          <w:i/>
          <w:iCs/>
          <w:sz w:val="20"/>
          <w:szCs w:val="20"/>
          <w:u w:val="single"/>
        </w:rPr>
      </w:pPr>
    </w:p>
    <w:p w14:paraId="015D9B9B" w14:textId="77777777" w:rsidR="00EB7943" w:rsidRDefault="00EB7943" w:rsidP="009D6A83">
      <w:pPr>
        <w:spacing w:line="360" w:lineRule="auto"/>
        <w:rPr>
          <w:rFonts w:ascii="Calibri" w:eastAsia="Calibri" w:hAnsi="Calibri" w:cs="Calibri"/>
          <w:b/>
          <w:bCs/>
          <w:i/>
          <w:iCs/>
          <w:sz w:val="20"/>
          <w:szCs w:val="20"/>
          <w:u w:val="single"/>
        </w:rPr>
      </w:pPr>
    </w:p>
    <w:p w14:paraId="21170864" w14:textId="77777777" w:rsidR="00EB7943" w:rsidRDefault="00EB7943" w:rsidP="009D6A83">
      <w:pPr>
        <w:spacing w:line="360" w:lineRule="auto"/>
        <w:rPr>
          <w:rFonts w:ascii="Calibri" w:eastAsia="Calibri" w:hAnsi="Calibri" w:cs="Calibri"/>
          <w:b/>
          <w:bCs/>
          <w:i/>
          <w:iCs/>
          <w:sz w:val="20"/>
          <w:szCs w:val="20"/>
          <w:u w:val="single"/>
        </w:rPr>
      </w:pPr>
    </w:p>
    <w:p w14:paraId="06A42F52" w14:textId="77777777" w:rsidR="00EB7943" w:rsidRDefault="00EB7943" w:rsidP="009D6A83">
      <w:pPr>
        <w:spacing w:line="360" w:lineRule="auto"/>
        <w:rPr>
          <w:rFonts w:ascii="Calibri" w:eastAsia="Calibri" w:hAnsi="Calibri" w:cs="Calibri"/>
          <w:b/>
          <w:bCs/>
          <w:i/>
          <w:iCs/>
          <w:sz w:val="20"/>
          <w:szCs w:val="20"/>
          <w:u w:val="single"/>
        </w:rPr>
      </w:pPr>
    </w:p>
    <w:p w14:paraId="24DC6ED4" w14:textId="77777777" w:rsidR="00EB7943" w:rsidRDefault="00EB7943" w:rsidP="009D6A83">
      <w:pPr>
        <w:spacing w:line="360" w:lineRule="auto"/>
        <w:rPr>
          <w:rFonts w:ascii="Calibri" w:eastAsia="Calibri" w:hAnsi="Calibri" w:cs="Calibri"/>
          <w:b/>
          <w:bCs/>
          <w:i/>
          <w:iCs/>
          <w:sz w:val="20"/>
          <w:szCs w:val="20"/>
          <w:u w:val="single"/>
        </w:rPr>
      </w:pPr>
    </w:p>
    <w:p w14:paraId="57F1C052" w14:textId="77777777" w:rsidR="00EB7943" w:rsidRDefault="00EB7943" w:rsidP="009D6A83">
      <w:pPr>
        <w:spacing w:line="360" w:lineRule="auto"/>
        <w:rPr>
          <w:rFonts w:ascii="Calibri" w:eastAsia="Calibri" w:hAnsi="Calibri" w:cs="Calibri"/>
          <w:b/>
          <w:bCs/>
          <w:i/>
          <w:iCs/>
          <w:sz w:val="20"/>
          <w:szCs w:val="20"/>
          <w:u w:val="single"/>
        </w:rPr>
      </w:pPr>
    </w:p>
    <w:p w14:paraId="750B748A" w14:textId="77777777" w:rsidR="00EB7943" w:rsidRDefault="00EB7943" w:rsidP="009D6A83">
      <w:pPr>
        <w:spacing w:line="360" w:lineRule="auto"/>
        <w:rPr>
          <w:rFonts w:ascii="Calibri" w:eastAsia="Calibri" w:hAnsi="Calibri" w:cs="Calibri"/>
          <w:b/>
          <w:bCs/>
          <w:i/>
          <w:iCs/>
          <w:sz w:val="20"/>
          <w:szCs w:val="20"/>
          <w:u w:val="single"/>
        </w:rPr>
      </w:pPr>
    </w:p>
    <w:p w14:paraId="6B5A02C5" w14:textId="706BDD08" w:rsidR="00783BEB" w:rsidRPr="00783BEB" w:rsidRDefault="00783BEB" w:rsidP="009D6A83">
      <w:pPr>
        <w:spacing w:line="360" w:lineRule="auto"/>
        <w:rPr>
          <w:rFonts w:ascii="Calibri" w:hAnsi="Calibri" w:cs="Calibri"/>
          <w:b/>
          <w:bCs/>
          <w:i/>
          <w:iCs/>
          <w:sz w:val="20"/>
          <w:szCs w:val="20"/>
          <w:u w:val="single"/>
        </w:rPr>
      </w:pPr>
      <w:r w:rsidRPr="00783BEB">
        <w:rPr>
          <w:rFonts w:ascii="Calibri" w:eastAsia="Calibri" w:hAnsi="Calibri" w:cs="Calibri"/>
          <w:b/>
          <w:bCs/>
          <w:i/>
          <w:iCs/>
          <w:sz w:val="20"/>
          <w:szCs w:val="20"/>
          <w:u w:val="single"/>
        </w:rPr>
        <w:lastRenderedPageBreak/>
        <w:t>1000 words - Information and Intelligence/Communication Skills</w:t>
      </w:r>
    </w:p>
    <w:p w14:paraId="066EEECE" w14:textId="5242D9A2" w:rsidR="00826425" w:rsidRPr="00783BEB" w:rsidRDefault="00826425" w:rsidP="009D6A83">
      <w:pPr>
        <w:spacing w:line="360" w:lineRule="auto"/>
        <w:rPr>
          <w:rFonts w:cstheme="minorHAnsi"/>
          <w:b/>
          <w:bCs/>
          <w:i/>
          <w:iCs/>
          <w:sz w:val="20"/>
          <w:szCs w:val="20"/>
          <w:u w:val="single"/>
        </w:rPr>
      </w:pPr>
      <w:r w:rsidRPr="00783BEB">
        <w:rPr>
          <w:rFonts w:eastAsia="Calibri" w:cstheme="minorHAnsi"/>
          <w:b/>
          <w:bCs/>
          <w:i/>
          <w:iCs/>
          <w:sz w:val="20"/>
          <w:szCs w:val="20"/>
          <w:u w:val="single"/>
        </w:rPr>
        <w:t xml:space="preserve">Critically evaluate the methods used by police in gathering information and intelligence, how information contributes to the ‘tasking and coordinating’ process and how information and intelligence is communicated. </w:t>
      </w:r>
    </w:p>
    <w:p w14:paraId="76E9A677" w14:textId="1E816AC1" w:rsidR="000F31FF" w:rsidRPr="000F31FF" w:rsidRDefault="000F31FF" w:rsidP="009D6A83">
      <w:pPr>
        <w:spacing w:line="360" w:lineRule="auto"/>
      </w:pPr>
      <w:r>
        <w:t xml:space="preserve">In this essay I shall critically evaluate the methods used by the Police Service to gather information and intelligence; how this information and intelligence is communicated and how it contributes to </w:t>
      </w:r>
      <w:r w:rsidRPr="000F31FF">
        <w:t xml:space="preserve">the tasking and coordinating process. </w:t>
      </w:r>
    </w:p>
    <w:p w14:paraId="7CA41365" w14:textId="77777777" w:rsidR="000F31FF" w:rsidRPr="000F31FF" w:rsidRDefault="000F31FF" w:rsidP="009D6A83">
      <w:pPr>
        <w:spacing w:line="360" w:lineRule="auto"/>
      </w:pPr>
      <w:r w:rsidRPr="000F31FF">
        <w:t xml:space="preserve">According to Innes and </w:t>
      </w:r>
      <w:proofErr w:type="spellStart"/>
      <w:r w:rsidRPr="000F31FF">
        <w:t>Sheptycki</w:t>
      </w:r>
      <w:proofErr w:type="spellEnd"/>
      <w:r w:rsidRPr="000F31FF">
        <w:t xml:space="preserve">, (2004), the use of information and intelligence became increasingly established throughout the country by the year 2000. Information is viewed as being bits of data gathered from a number of different sources which when combined produces intelligence which is then used to inform what decisions are made and what actions are taken by the Police service (Innes and </w:t>
      </w:r>
      <w:proofErr w:type="spellStart"/>
      <w:r w:rsidRPr="000F31FF">
        <w:t>Sheptycki</w:t>
      </w:r>
      <w:proofErr w:type="spellEnd"/>
      <w:r w:rsidRPr="000F31FF">
        <w:t xml:space="preserve">, 2004). </w:t>
      </w:r>
    </w:p>
    <w:p w14:paraId="3D8906BF" w14:textId="77777777" w:rsidR="000F31FF" w:rsidRPr="000F31FF" w:rsidRDefault="000F31FF" w:rsidP="009D6A83">
      <w:pPr>
        <w:spacing w:line="360" w:lineRule="auto"/>
      </w:pPr>
      <w:r w:rsidRPr="000F31FF">
        <w:t xml:space="preserve">The National Intelligence Model (NIM) provides the framework in a police investigation which allows the information to be processed to provide intelligence which can then be acted upon (Innes and </w:t>
      </w:r>
      <w:proofErr w:type="spellStart"/>
      <w:r w:rsidRPr="000F31FF">
        <w:t>Sheptycki</w:t>
      </w:r>
      <w:proofErr w:type="spellEnd"/>
      <w:r w:rsidRPr="000F31FF">
        <w:t xml:space="preserve">, 2004). The National Intelligence Model (NIM) is designed to assist Chief Officers within the Police Service as it is of specific benefit to them (NCIS, 2000). It enables these officers to analyse and consider intelligence thereby allowing an in-depth review for both strategic and tactical purposes (NCIS, 2000). This intelligence model provides the ability for Police services to drive an effective strategy, not only involving criminal activity but also organisational needs relating to organised crime and road safety (NCIS, 2000). </w:t>
      </w:r>
    </w:p>
    <w:p w14:paraId="4CD4AD5F" w14:textId="77777777" w:rsidR="000F31FF" w:rsidRDefault="000F31FF" w:rsidP="009D6A83">
      <w:pPr>
        <w:spacing w:line="360" w:lineRule="auto"/>
      </w:pPr>
      <w:r>
        <w:t xml:space="preserve">The police service gathers information that is required for a policing purpose. CENTREX, (2007). This purpose may include protecting life and property or preventing offences being committed. This information is gathered from a wide range of sources and could be information which is widely available or information which has been obtained covertly (CENTREX, 2007). Some of the sources of information are' victims and witnesses’, from, for example, </w:t>
      </w:r>
      <w:proofErr w:type="spellStart"/>
      <w:r>
        <w:t>Crimestoppers</w:t>
      </w:r>
      <w:proofErr w:type="spellEnd"/>
      <w:r>
        <w:t xml:space="preserve">, CCTV or ANPR (CENTREX, 2007). This information which is collected requires an accurate assessment and a timely analysis for effective and efficient policing (College of Policing, 2019). </w:t>
      </w:r>
    </w:p>
    <w:p w14:paraId="160BE324" w14:textId="240C0406" w:rsidR="000F31FF" w:rsidRDefault="000F31FF" w:rsidP="009D6A83">
      <w:pPr>
        <w:spacing w:line="360" w:lineRule="auto"/>
      </w:pPr>
      <w:r>
        <w:t xml:space="preserve">There are </w:t>
      </w:r>
      <w:proofErr w:type="gramStart"/>
      <w:r>
        <w:t>a number of</w:t>
      </w:r>
      <w:proofErr w:type="gramEnd"/>
      <w:r>
        <w:t xml:space="preserve"> ways in which information can be obtained. CENTREX (2007) provided three key forms of information gathering which are also supported by the College of Policing: </w:t>
      </w:r>
    </w:p>
    <w:p w14:paraId="61159672" w14:textId="77777777" w:rsidR="000F31FF" w:rsidRDefault="000F31FF" w:rsidP="009D6A83">
      <w:pPr>
        <w:spacing w:line="360" w:lineRule="auto"/>
      </w:pPr>
      <w:r>
        <w:t xml:space="preserve">Routine collection: This form of information gathering is information which is collected during the routine operational policing phase and focuses on known intelligence (CENTREX, 2007). </w:t>
      </w:r>
      <w:proofErr w:type="gramStart"/>
      <w:r>
        <w:t>The majority of</w:t>
      </w:r>
      <w:proofErr w:type="gramEnd"/>
      <w:r>
        <w:t xml:space="preserve"> this information is relevant for routine police operations and is generated from a range of policing </w:t>
      </w:r>
      <w:r>
        <w:lastRenderedPageBreak/>
        <w:t xml:space="preserve">duties, for example, responding to 999 or 101 calls, arrested persons, targeted patrols and stop and search (College of Policing, 2019). </w:t>
      </w:r>
    </w:p>
    <w:p w14:paraId="1439805D" w14:textId="77777777" w:rsidR="000F31FF" w:rsidRDefault="000F31FF" w:rsidP="009D6A83">
      <w:pPr>
        <w:spacing w:line="360" w:lineRule="auto"/>
      </w:pPr>
      <w:r>
        <w:t xml:space="preserve">Volunteered information: Information is gathered from and offered by general members of the public (CENTREX, 2007). Furthermore, this information is not specific and can be collected at any time and in any format (College of Policing, 2019). For example, this information may be collected when members of the public have any form of contact with the Police service, say, the control room (College of Policing, 2019). It can also be information which is gathered by organisations such as neighbourhood watch, crime stoppers, social services or anti-terrorism hotline (College of Policing, 2019).  </w:t>
      </w:r>
    </w:p>
    <w:p w14:paraId="7CFE274E" w14:textId="77777777" w:rsidR="000F31FF" w:rsidRDefault="000F31FF" w:rsidP="009D6A83">
      <w:pPr>
        <w:spacing w:line="360" w:lineRule="auto"/>
      </w:pPr>
      <w:r>
        <w:t xml:space="preserve">Finally, tasked information: This information is collected and obtained from problems and subjects which have been identified in the community (CENTREX, 2007). This information has been sourced from internal and external databases, such as, CCTV systems, ANPR (College of Policing, 2019).    </w:t>
      </w:r>
    </w:p>
    <w:p w14:paraId="3D36CC07" w14:textId="6EBAF18E" w:rsidR="000F31FF" w:rsidRPr="00CB5099" w:rsidRDefault="000F31FF" w:rsidP="009D6A83">
      <w:pPr>
        <w:spacing w:line="360" w:lineRule="auto"/>
      </w:pPr>
      <w:r>
        <w:t xml:space="preserve">The information which is </w:t>
      </w:r>
      <w:r w:rsidRPr="00CB5099">
        <w:t xml:space="preserve">collected is considered by an intelligence officer who analyses and collates the information to provide intelligence. Bryant, Bryant and Blackburn, (2018). According to Paige </w:t>
      </w:r>
      <w:proofErr w:type="spellStart"/>
      <w:r w:rsidRPr="00CB5099">
        <w:t>Keningdale</w:t>
      </w:r>
      <w:proofErr w:type="spellEnd"/>
      <w:r w:rsidRPr="00CB5099">
        <w:t xml:space="preserve"> (2020) in her article on the National Intelligence Model "As analysts their job is to make sense of the information and form a report that others can act on." The analyser will also examine the intelligence to determine the modus operandi of the offence and to determine any crime patterns. </w:t>
      </w:r>
    </w:p>
    <w:p w14:paraId="7A3E0992" w14:textId="77777777" w:rsidR="000F31FF" w:rsidRDefault="000F31FF" w:rsidP="009D6A83">
      <w:pPr>
        <w:spacing w:line="360" w:lineRule="auto"/>
      </w:pPr>
      <w:r w:rsidRPr="00CB5099">
        <w:t xml:space="preserve">The National Intelligence Model sets out four stages for intelligence analysis (Bryant, Bryant and </w:t>
      </w:r>
      <w:r>
        <w:t>Blackburn, 2018), namely, problem profiling which looks at crime hotspots in the area; subject profiling which looks at building intelligence on certain nominals and their associates; tactical assessment which looks at resourcing and recommendations on the gathered intelligence; and finally, strategic assessment which involves the consideration of future developments in criminal activity, such as, the use of new and developing technology (Bryant, Bryant and Blackburn, 2018).</w:t>
      </w:r>
    </w:p>
    <w:p w14:paraId="39022EDC" w14:textId="77777777" w:rsidR="000F31FF" w:rsidRPr="000F31FF" w:rsidRDefault="000F31FF" w:rsidP="009D6A83">
      <w:pPr>
        <w:spacing w:line="360" w:lineRule="auto"/>
      </w:pPr>
      <w:r>
        <w:t xml:space="preserve">The key stage in </w:t>
      </w:r>
      <w:r w:rsidRPr="000F31FF">
        <w:t>the National Intelligence Model according to Bryant, Bryant and Blackburn, 2018) is the tasking and coordinating process (Bryant, Bryant and Blackburn, 2018). The tasking and coordinating process is overseen by teams who determine the operational response to crime and disorder (Bryant, Bryant and Blackburn, 2018). The teams which oversee this stage of the National Intelligence Model hold tactical meetings, every six months or so, and they decide how to allocate resources effectively (</w:t>
      </w:r>
      <w:proofErr w:type="spellStart"/>
      <w:r w:rsidRPr="000F31FF">
        <w:t>Kleiven</w:t>
      </w:r>
      <w:proofErr w:type="spellEnd"/>
      <w:r w:rsidRPr="000F31FF">
        <w:t>, 2007). The meetings which take place are used to set strategies at local force level (</w:t>
      </w:r>
      <w:proofErr w:type="spellStart"/>
      <w:r w:rsidRPr="000F31FF">
        <w:t>Kleiven</w:t>
      </w:r>
      <w:proofErr w:type="spellEnd"/>
      <w:r w:rsidRPr="000F31FF">
        <w:t xml:space="preserve">, 2007). The Tasking and Coordinating Process involves three levels: </w:t>
      </w:r>
    </w:p>
    <w:p w14:paraId="23CC7B7A" w14:textId="77777777" w:rsidR="000F31FF" w:rsidRPr="000F31FF" w:rsidRDefault="000F31FF" w:rsidP="009D6A83">
      <w:pPr>
        <w:spacing w:line="360" w:lineRule="auto"/>
      </w:pPr>
      <w:r w:rsidRPr="000F31FF">
        <w:lastRenderedPageBreak/>
        <w:t xml:space="preserve">Level 1: Level 1 relates to crimes that are being conducted locally and </w:t>
      </w:r>
      <w:proofErr w:type="gramStart"/>
      <w:r w:rsidRPr="000F31FF">
        <w:t>are able to</w:t>
      </w:r>
      <w:proofErr w:type="gramEnd"/>
      <w:r w:rsidRPr="000F31FF">
        <w:t xml:space="preserve"> be resourced locally (Bryant, Bryant and Blackburn (2018), such as, anti-social behaviour. This can be prevented and detected by local officers such as the neighbourhood team. </w:t>
      </w:r>
    </w:p>
    <w:p w14:paraId="76A9AAB8" w14:textId="77777777" w:rsidR="000F31FF" w:rsidRPr="000F31FF" w:rsidRDefault="000F31FF" w:rsidP="009D6A83">
      <w:pPr>
        <w:spacing w:line="360" w:lineRule="auto"/>
      </w:pPr>
      <w:r w:rsidRPr="000F31FF">
        <w:t>Level 2: Level 2 is inter-force and regional criminal activity which usually requires more resourcing (Bryant, Bryant and Blackburn, 2018).</w:t>
      </w:r>
    </w:p>
    <w:p w14:paraId="660745E9" w14:textId="77777777" w:rsidR="000F31FF" w:rsidRPr="000F31FF" w:rsidRDefault="000F31FF" w:rsidP="009D6A83">
      <w:pPr>
        <w:spacing w:line="360" w:lineRule="auto"/>
      </w:pPr>
      <w:r w:rsidRPr="000F31FF">
        <w:t>Level 3: Level 3 relates to the more serious crimes and to organised crime which require further resources and also require forces to link with national agencies such as the NCA to develop strategies to deal with and prevent these types of crimes (Bryant, Bryant and Blackburn, 2018).</w:t>
      </w:r>
    </w:p>
    <w:p w14:paraId="4011D93B" w14:textId="77777777" w:rsidR="000F31FF" w:rsidRDefault="000F31FF" w:rsidP="009D6A83">
      <w:pPr>
        <w:spacing w:line="360" w:lineRule="auto"/>
      </w:pPr>
      <w:proofErr w:type="spellStart"/>
      <w:r w:rsidRPr="000F31FF">
        <w:t>Kleiven</w:t>
      </w:r>
      <w:proofErr w:type="spellEnd"/>
      <w:r w:rsidRPr="000F31FF">
        <w:t xml:space="preserve"> (2007), states that intelligence fuels the tasking and coordinating process. As provided at the beginning of this essay, the information which is gathered is used to build an </w:t>
      </w:r>
      <w:r>
        <w:t xml:space="preserve">overview of crimes within the area. The meetings which take place in the tasking and coordinating process use this information to allow for a control strategy which will determine what intelligence is required and set out an “agenda for prevention, intelligence and enforcement priorities” (Bryant, Bryant and Blackburn, 2018, p. 531). </w:t>
      </w:r>
    </w:p>
    <w:p w14:paraId="07C78142" w14:textId="2B052CFE" w:rsidR="000F31FF" w:rsidRDefault="000F31FF" w:rsidP="009D6A83">
      <w:pPr>
        <w:spacing w:line="360" w:lineRule="auto"/>
      </w:pPr>
      <w:r>
        <w:t>When considering the impact of the NIM and the tasking and coordinating process and how this is used to mould the day-to-day work and duties of a police constable, it could be argued that it is the engine room of the police service (Bryant, Bryant and Blackburn, 2018). The communication between local officers and the teams within the tasking and coordinating process allows officers at a local level to be coordinated, specific and focused (Bryant, Bryant and Blackburn, 2018). These operational decisions improve both the management of crime and the local community (Bryant, Bryant and Blackburn, 2018).</w:t>
      </w:r>
    </w:p>
    <w:p w14:paraId="009BC8D2" w14:textId="593FE98C" w:rsidR="00577FE5" w:rsidRPr="00582818" w:rsidRDefault="00582818" w:rsidP="009D6A83">
      <w:pPr>
        <w:spacing w:line="360" w:lineRule="auto"/>
        <w:rPr>
          <w:b/>
          <w:bCs/>
        </w:rPr>
      </w:pPr>
      <w:r w:rsidRPr="00582818">
        <w:rPr>
          <w:b/>
          <w:bCs/>
        </w:rPr>
        <w:t xml:space="preserve">Word count- 1082 </w:t>
      </w:r>
    </w:p>
    <w:p w14:paraId="03277816" w14:textId="2746F11B" w:rsidR="00244E7B" w:rsidRDefault="00244E7B" w:rsidP="009D6A83">
      <w:pPr>
        <w:spacing w:line="360" w:lineRule="auto"/>
      </w:pPr>
    </w:p>
    <w:p w14:paraId="599BA3B7" w14:textId="77777777" w:rsidR="00EB7943" w:rsidRDefault="00EB7943" w:rsidP="009D6A83">
      <w:pPr>
        <w:spacing w:line="360" w:lineRule="auto"/>
        <w:rPr>
          <w:rFonts w:ascii="Calibri" w:eastAsia="Calibri" w:hAnsi="Calibri" w:cs="Calibri"/>
          <w:b/>
          <w:bCs/>
          <w:i/>
          <w:iCs/>
          <w:sz w:val="20"/>
          <w:szCs w:val="20"/>
          <w:u w:val="single"/>
        </w:rPr>
      </w:pPr>
    </w:p>
    <w:p w14:paraId="568DF795" w14:textId="77777777" w:rsidR="00EB7943" w:rsidRDefault="00EB7943" w:rsidP="009D6A83">
      <w:pPr>
        <w:spacing w:line="360" w:lineRule="auto"/>
        <w:rPr>
          <w:rFonts w:ascii="Calibri" w:eastAsia="Calibri" w:hAnsi="Calibri" w:cs="Calibri"/>
          <w:b/>
          <w:bCs/>
          <w:i/>
          <w:iCs/>
          <w:sz w:val="20"/>
          <w:szCs w:val="20"/>
          <w:u w:val="single"/>
        </w:rPr>
      </w:pPr>
    </w:p>
    <w:p w14:paraId="41927490" w14:textId="77777777" w:rsidR="00EB7943" w:rsidRDefault="00EB7943" w:rsidP="009D6A83">
      <w:pPr>
        <w:spacing w:line="360" w:lineRule="auto"/>
        <w:rPr>
          <w:rFonts w:ascii="Calibri" w:eastAsia="Calibri" w:hAnsi="Calibri" w:cs="Calibri"/>
          <w:b/>
          <w:bCs/>
          <w:i/>
          <w:iCs/>
          <w:sz w:val="20"/>
          <w:szCs w:val="20"/>
          <w:u w:val="single"/>
        </w:rPr>
      </w:pPr>
    </w:p>
    <w:p w14:paraId="3944E274" w14:textId="77777777" w:rsidR="00EB7943" w:rsidRDefault="00EB7943" w:rsidP="009D6A83">
      <w:pPr>
        <w:spacing w:line="360" w:lineRule="auto"/>
        <w:rPr>
          <w:rFonts w:ascii="Calibri" w:eastAsia="Calibri" w:hAnsi="Calibri" w:cs="Calibri"/>
          <w:b/>
          <w:bCs/>
          <w:i/>
          <w:iCs/>
          <w:sz w:val="20"/>
          <w:szCs w:val="20"/>
          <w:u w:val="single"/>
        </w:rPr>
      </w:pPr>
    </w:p>
    <w:p w14:paraId="629A2773" w14:textId="77777777" w:rsidR="00EB7943" w:rsidRDefault="00EB7943" w:rsidP="009D6A83">
      <w:pPr>
        <w:spacing w:line="360" w:lineRule="auto"/>
        <w:rPr>
          <w:rFonts w:ascii="Calibri" w:eastAsia="Calibri" w:hAnsi="Calibri" w:cs="Calibri"/>
          <w:b/>
          <w:bCs/>
          <w:i/>
          <w:iCs/>
          <w:sz w:val="20"/>
          <w:szCs w:val="20"/>
          <w:u w:val="single"/>
        </w:rPr>
      </w:pPr>
    </w:p>
    <w:p w14:paraId="3F0C5EAF" w14:textId="77777777" w:rsidR="00EB7943" w:rsidRDefault="00EB7943" w:rsidP="009D6A83">
      <w:pPr>
        <w:spacing w:line="360" w:lineRule="auto"/>
        <w:rPr>
          <w:rFonts w:ascii="Calibri" w:eastAsia="Calibri" w:hAnsi="Calibri" w:cs="Calibri"/>
          <w:b/>
          <w:bCs/>
          <w:i/>
          <w:iCs/>
          <w:sz w:val="20"/>
          <w:szCs w:val="20"/>
          <w:u w:val="single"/>
        </w:rPr>
      </w:pPr>
    </w:p>
    <w:p w14:paraId="0750DF4C" w14:textId="77777777" w:rsidR="00EB7943" w:rsidRDefault="00EB7943" w:rsidP="009D6A83">
      <w:pPr>
        <w:spacing w:line="360" w:lineRule="auto"/>
        <w:rPr>
          <w:rFonts w:ascii="Calibri" w:eastAsia="Calibri" w:hAnsi="Calibri" w:cs="Calibri"/>
          <w:b/>
          <w:bCs/>
          <w:i/>
          <w:iCs/>
          <w:sz w:val="20"/>
          <w:szCs w:val="20"/>
          <w:u w:val="single"/>
        </w:rPr>
      </w:pPr>
    </w:p>
    <w:p w14:paraId="631456B7" w14:textId="58992C99" w:rsidR="00DA7524" w:rsidRPr="005A55BF" w:rsidRDefault="00DA7524" w:rsidP="009D6A83">
      <w:pPr>
        <w:spacing w:line="360" w:lineRule="auto"/>
        <w:rPr>
          <w:rFonts w:ascii="Calibri" w:hAnsi="Calibri" w:cs="Calibri"/>
          <w:b/>
          <w:bCs/>
          <w:i/>
          <w:iCs/>
          <w:sz w:val="20"/>
          <w:szCs w:val="20"/>
          <w:u w:val="single"/>
        </w:rPr>
      </w:pPr>
      <w:r w:rsidRPr="005A55BF">
        <w:rPr>
          <w:rFonts w:ascii="Calibri" w:eastAsia="Calibri" w:hAnsi="Calibri" w:cs="Calibri"/>
          <w:b/>
          <w:bCs/>
          <w:i/>
          <w:iCs/>
          <w:sz w:val="20"/>
          <w:szCs w:val="20"/>
          <w:u w:val="single"/>
        </w:rPr>
        <w:lastRenderedPageBreak/>
        <w:t>1000 words - Public Protection</w:t>
      </w:r>
    </w:p>
    <w:p w14:paraId="1E4FA631" w14:textId="77777777" w:rsidR="00DA7524" w:rsidRPr="005A55BF" w:rsidRDefault="00DA7524" w:rsidP="009D6A83">
      <w:pPr>
        <w:spacing w:line="360" w:lineRule="auto"/>
        <w:rPr>
          <w:rFonts w:ascii="Calibri" w:hAnsi="Calibri" w:cs="Calibri"/>
          <w:b/>
          <w:bCs/>
          <w:i/>
          <w:iCs/>
          <w:sz w:val="20"/>
          <w:szCs w:val="20"/>
          <w:u w:val="single"/>
        </w:rPr>
      </w:pPr>
      <w:r w:rsidRPr="005A55BF">
        <w:rPr>
          <w:rFonts w:ascii="Calibri" w:eastAsia="Calibri" w:hAnsi="Calibri" w:cs="Calibri"/>
          <w:b/>
          <w:bCs/>
          <w:i/>
          <w:iCs/>
          <w:sz w:val="20"/>
          <w:szCs w:val="20"/>
          <w:u w:val="single"/>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9C30226" w14:textId="77777777" w:rsidR="00147622" w:rsidRPr="00400836" w:rsidRDefault="00147622" w:rsidP="009D6A83">
      <w:pPr>
        <w:spacing w:line="360" w:lineRule="auto"/>
        <w:rPr>
          <w:rFonts w:cstheme="minorHAnsi"/>
        </w:rPr>
      </w:pPr>
      <w:r w:rsidRPr="00400836">
        <w:rPr>
          <w:rFonts w:cstheme="minorHAnsi"/>
        </w:rPr>
        <w:t xml:space="preserve">A United Nations Declaration defined a 'victim' as a person or persons who has or have suffered harm, whether as an individual or as a group, where that harm is physical, mental, emotional, or financial and caused by reason of a  crime </w:t>
      </w:r>
      <w:r w:rsidRPr="00400836">
        <w:rPr>
          <w:rFonts w:cstheme="minorHAnsi"/>
          <w:shd w:val="clear" w:color="auto" w:fill="FFFFFF"/>
        </w:rPr>
        <w:t xml:space="preserve">(United Nations, 1985). </w:t>
      </w:r>
    </w:p>
    <w:p w14:paraId="09362BCC" w14:textId="76AFCF7A" w:rsidR="00147622" w:rsidRPr="00400836" w:rsidRDefault="00147622" w:rsidP="009D6A83">
      <w:pPr>
        <w:spacing w:line="360" w:lineRule="auto"/>
        <w:rPr>
          <w:rFonts w:cstheme="minorHAnsi"/>
        </w:rPr>
      </w:pPr>
      <w:r w:rsidRPr="00400836">
        <w:rPr>
          <w:rFonts w:cstheme="minorHAnsi"/>
        </w:rPr>
        <w:t xml:space="preserve">There are short and long-term effects of abuse on victims. There is the short-term impact such as shock, anger, fear. According to Victim Support (Victim Support </w:t>
      </w:r>
      <w:proofErr w:type="spellStart"/>
      <w:r w:rsidRPr="00400836">
        <w:rPr>
          <w:rFonts w:cstheme="minorHAnsi"/>
        </w:rPr>
        <w:t>n.d</w:t>
      </w:r>
      <w:proofErr w:type="spellEnd"/>
      <w:r w:rsidRPr="00400836">
        <w:rPr>
          <w:rFonts w:cstheme="minorHAnsi"/>
        </w:rPr>
        <w:t>) there could also be physical symptoms such as feeling unwell and being unable to sleep. Victim Support also identifies longer term effects such depression, anxiety and even post-traumatic stress disorder</w:t>
      </w:r>
      <w:r w:rsidR="005003A0">
        <w:rPr>
          <w:rFonts w:cstheme="minorHAnsi"/>
        </w:rPr>
        <w:t xml:space="preserve"> </w:t>
      </w:r>
      <w:r w:rsidRPr="00400836">
        <w:rPr>
          <w:rFonts w:cstheme="minorHAnsi"/>
        </w:rPr>
        <w:t xml:space="preserve">(Victim Support, </w:t>
      </w:r>
      <w:proofErr w:type="spellStart"/>
      <w:r w:rsidRPr="00400836">
        <w:rPr>
          <w:rFonts w:cstheme="minorHAnsi"/>
        </w:rPr>
        <w:t>n.d</w:t>
      </w:r>
      <w:proofErr w:type="spellEnd"/>
      <w:r w:rsidRPr="00400836">
        <w:rPr>
          <w:rFonts w:cstheme="minorHAnsi"/>
        </w:rPr>
        <w:t xml:space="preserve">) For example, in the case of domestic abuse victims, the effects of the abuse on a victim can be mental, emotional, physical, social and financial. (Women's Aid </w:t>
      </w:r>
      <w:proofErr w:type="spellStart"/>
      <w:r w:rsidRPr="00400836">
        <w:rPr>
          <w:rFonts w:cstheme="minorHAnsi"/>
        </w:rPr>
        <w:t>n.d</w:t>
      </w:r>
      <w:proofErr w:type="spellEnd"/>
      <w:r w:rsidRPr="00400836">
        <w:rPr>
          <w:rFonts w:cstheme="minorHAnsi"/>
        </w:rPr>
        <w:t xml:space="preserve">). There are the effects on the individual victim and his or her family but there are also wider effects of the financial cost of the police responding to the crime; the costs of caring for the health of the victim and the financial costs of the victims being unable to work (Women's Aid </w:t>
      </w:r>
      <w:proofErr w:type="spellStart"/>
      <w:r w:rsidRPr="00400836">
        <w:rPr>
          <w:rFonts w:cstheme="minorHAnsi"/>
        </w:rPr>
        <w:t>n.d</w:t>
      </w:r>
      <w:proofErr w:type="spellEnd"/>
      <w:r w:rsidRPr="00400836">
        <w:rPr>
          <w:rFonts w:cstheme="minorHAnsi"/>
        </w:rPr>
        <w:t>).</w:t>
      </w:r>
      <w:r>
        <w:rPr>
          <w:rFonts w:cstheme="minorHAnsi"/>
        </w:rPr>
        <w:t xml:space="preserve"> </w:t>
      </w:r>
    </w:p>
    <w:p w14:paraId="7E3AE93A" w14:textId="51B764AB" w:rsidR="00147622" w:rsidRPr="00E97165" w:rsidRDefault="00147622" w:rsidP="009D6A83">
      <w:pPr>
        <w:spacing w:line="360" w:lineRule="auto"/>
        <w:rPr>
          <w:rFonts w:cstheme="minorHAnsi"/>
          <w:color w:val="FF0000"/>
        </w:rPr>
      </w:pPr>
      <w:r w:rsidRPr="00E97165">
        <w:rPr>
          <w:rFonts w:cstheme="minorHAnsi"/>
        </w:rPr>
        <w:t>A 2015 survey stated</w:t>
      </w:r>
      <w:r w:rsidR="0047060B">
        <w:rPr>
          <w:rFonts w:cstheme="minorHAnsi"/>
        </w:rPr>
        <w:t>,</w:t>
      </w:r>
      <w:r w:rsidRPr="00E97165">
        <w:rPr>
          <w:rFonts w:cstheme="minorHAnsi"/>
        </w:rPr>
        <w:t xml:space="preserve"> that compared to women that had very little experience of abuse and violence, 36% of women in the 'extensive physical and sexual violence' group had tried to commit suicide; were eight times more likely to be dependent on drugs and twice as likely to have problems with alcohol</w:t>
      </w:r>
      <w:r>
        <w:rPr>
          <w:rFonts w:cstheme="minorHAnsi"/>
        </w:rPr>
        <w:t xml:space="preserve"> </w:t>
      </w:r>
      <w:r>
        <w:rPr>
          <w:rFonts w:ascii="Arial" w:hAnsi="Arial" w:cs="Arial"/>
          <w:color w:val="000000"/>
          <w:sz w:val="20"/>
          <w:szCs w:val="20"/>
          <w:shd w:val="clear" w:color="auto" w:fill="FFFFFF"/>
        </w:rPr>
        <w:t xml:space="preserve">(McManus and Scott, 2016). </w:t>
      </w:r>
    </w:p>
    <w:p w14:paraId="35125826" w14:textId="218D499F" w:rsidR="00147622" w:rsidRPr="00E97165" w:rsidRDefault="00147622" w:rsidP="009D6A83">
      <w:pPr>
        <w:spacing w:line="360" w:lineRule="auto"/>
        <w:rPr>
          <w:rFonts w:cstheme="minorHAnsi"/>
          <w:u w:val="single"/>
        </w:rPr>
      </w:pPr>
      <w:r w:rsidRPr="00E97165">
        <w:rPr>
          <w:rFonts w:cstheme="minorHAnsi"/>
        </w:rPr>
        <w:t xml:space="preserve">It is the responsibility of the police service to protect the public, but it is not always able to do so acting alone. The Criminal Justice Act 2003 (CJA) established Multi-Agency Public Protection Arrangements </w:t>
      </w:r>
      <w:r>
        <w:rPr>
          <w:rFonts w:ascii="Arial" w:hAnsi="Arial" w:cs="Arial"/>
          <w:color w:val="000000"/>
          <w:sz w:val="20"/>
          <w:szCs w:val="20"/>
          <w:shd w:val="clear" w:color="auto" w:fill="FFFFFF"/>
        </w:rPr>
        <w:t xml:space="preserve">(MAPPA, 2012). </w:t>
      </w:r>
      <w:r w:rsidRPr="00E97165">
        <w:rPr>
          <w:rFonts w:cstheme="minorHAnsi"/>
        </w:rPr>
        <w:t>The purpose of MAPPA is to protect the public to include victims of crime from serious harm by sexual and violent offenders</w:t>
      </w:r>
      <w:r>
        <w:rPr>
          <w:rFonts w:cstheme="minorHAnsi"/>
          <w:color w:val="C00000"/>
          <w:u w:val="single"/>
        </w:rPr>
        <w:t xml:space="preserve"> </w:t>
      </w:r>
      <w:r>
        <w:rPr>
          <w:rFonts w:ascii="Arial" w:hAnsi="Arial" w:cs="Arial"/>
          <w:color w:val="000000"/>
          <w:sz w:val="20"/>
          <w:szCs w:val="20"/>
          <w:shd w:val="clear" w:color="auto" w:fill="FFFFFF"/>
        </w:rPr>
        <w:t xml:space="preserve">(MAPPA, 2012). </w:t>
      </w:r>
      <w:r w:rsidRPr="00E97165">
        <w:rPr>
          <w:rFonts w:cstheme="minorHAnsi"/>
        </w:rPr>
        <w:t>Under MAPPA</w:t>
      </w:r>
      <w:r w:rsidR="0095062E">
        <w:rPr>
          <w:rFonts w:cstheme="minorHAnsi"/>
        </w:rPr>
        <w:t>,</w:t>
      </w:r>
      <w:r w:rsidRPr="00E97165">
        <w:rPr>
          <w:rFonts w:cstheme="minorHAnsi"/>
        </w:rPr>
        <w:t xml:space="preserve"> criminal justice agencies and other bodies dealing with offenders co-operate and work together in managing these offenders</w:t>
      </w:r>
      <w:r>
        <w:rPr>
          <w:rFonts w:cstheme="minorHAnsi"/>
        </w:rPr>
        <w:t xml:space="preserve"> </w:t>
      </w:r>
      <w:r>
        <w:rPr>
          <w:rFonts w:ascii="Arial" w:hAnsi="Arial" w:cs="Arial"/>
          <w:color w:val="000000"/>
          <w:sz w:val="20"/>
          <w:szCs w:val="20"/>
          <w:shd w:val="clear" w:color="auto" w:fill="FFFFFF"/>
        </w:rPr>
        <w:t xml:space="preserve">(MAPPA, 2012). </w:t>
      </w:r>
      <w:r w:rsidRPr="00E97165">
        <w:rPr>
          <w:rFonts w:cstheme="minorHAnsi"/>
        </w:rPr>
        <w:t>MAPPA work by 'component bodies' working through an agreed process with MAPPA offenders.  'The Responsible Authority' is the primary agency for MAPPA which is the police, prison and Probation Trust all working together in each area</w:t>
      </w:r>
      <w:r w:rsidR="008457DB">
        <w:rPr>
          <w:rFonts w:cstheme="minorHAnsi"/>
        </w:rPr>
        <w:t xml:space="preserve"> </w:t>
      </w:r>
      <w:r>
        <w:rPr>
          <w:rFonts w:ascii="Arial" w:hAnsi="Arial" w:cs="Arial"/>
          <w:color w:val="000000"/>
          <w:sz w:val="20"/>
          <w:szCs w:val="20"/>
          <w:shd w:val="clear" w:color="auto" w:fill="FFFFFF"/>
        </w:rPr>
        <w:t>(MAPPA, 2012).</w:t>
      </w:r>
    </w:p>
    <w:p w14:paraId="1BCC69DF" w14:textId="77777777" w:rsidR="00147622" w:rsidRPr="00E97165" w:rsidRDefault="00147622" w:rsidP="009D6A83">
      <w:pPr>
        <w:spacing w:line="360" w:lineRule="auto"/>
        <w:rPr>
          <w:rFonts w:cstheme="minorHAnsi"/>
        </w:rPr>
      </w:pPr>
      <w:r w:rsidRPr="00E97165">
        <w:rPr>
          <w:rFonts w:cstheme="minorHAnsi"/>
        </w:rPr>
        <w:t>Offenders under MAPPA are placed into three main categories:</w:t>
      </w:r>
    </w:p>
    <w:p w14:paraId="0C064F1B" w14:textId="77777777" w:rsidR="00147622" w:rsidRPr="00E97165" w:rsidRDefault="00147622" w:rsidP="009D6A83">
      <w:pPr>
        <w:spacing w:line="360" w:lineRule="auto"/>
        <w:rPr>
          <w:rFonts w:cstheme="minorHAnsi"/>
        </w:rPr>
      </w:pPr>
      <w:r w:rsidRPr="00E97165">
        <w:rPr>
          <w:rFonts w:cstheme="minorHAnsi"/>
        </w:rPr>
        <w:t>Level 1 - most offenders are managed at Level 1 which requires the sharing of information but does not require meetings between the various agencies</w:t>
      </w:r>
    </w:p>
    <w:p w14:paraId="69157009" w14:textId="77777777" w:rsidR="00147622" w:rsidRPr="00E97165" w:rsidRDefault="00147622" w:rsidP="009D6A83">
      <w:pPr>
        <w:spacing w:line="360" w:lineRule="auto"/>
        <w:rPr>
          <w:rFonts w:cstheme="minorHAnsi"/>
        </w:rPr>
      </w:pPr>
      <w:r w:rsidRPr="00E97165">
        <w:rPr>
          <w:rFonts w:cstheme="minorHAnsi"/>
        </w:rPr>
        <w:t xml:space="preserve">Level 2 - where multi-agency meetings are needed in order to properly manage the offender </w:t>
      </w:r>
    </w:p>
    <w:p w14:paraId="7677F011" w14:textId="77777777" w:rsidR="00147622" w:rsidRPr="00E97165" w:rsidRDefault="00147622" w:rsidP="009D6A83">
      <w:pPr>
        <w:spacing w:line="360" w:lineRule="auto"/>
        <w:rPr>
          <w:rFonts w:cstheme="minorHAnsi"/>
          <w:color w:val="FF0000"/>
        </w:rPr>
      </w:pPr>
      <w:r w:rsidRPr="00E97165">
        <w:rPr>
          <w:rFonts w:cstheme="minorHAnsi"/>
        </w:rPr>
        <w:lastRenderedPageBreak/>
        <w:t xml:space="preserve">Level 3 - like Level 2 where regular MAPPA meetings are required but where senior officers in the agencies are also involved in order to authorise special resources and to provide ongoing senior management supervision </w:t>
      </w:r>
      <w:r>
        <w:rPr>
          <w:rFonts w:ascii="Arial" w:hAnsi="Arial" w:cs="Arial"/>
          <w:color w:val="000000"/>
          <w:sz w:val="20"/>
          <w:szCs w:val="20"/>
          <w:shd w:val="clear" w:color="auto" w:fill="FFFFFF"/>
        </w:rPr>
        <w:t>(MAPPA, 2012).</w:t>
      </w:r>
    </w:p>
    <w:p w14:paraId="7241C478" w14:textId="77777777" w:rsidR="00147622" w:rsidRPr="00E97165" w:rsidRDefault="00147622" w:rsidP="009D6A83">
      <w:pPr>
        <w:spacing w:line="360" w:lineRule="auto"/>
        <w:rPr>
          <w:rFonts w:cstheme="minorHAnsi"/>
        </w:rPr>
      </w:pPr>
      <w:r w:rsidRPr="00E97165">
        <w:rPr>
          <w:rFonts w:cstheme="minorHAnsi"/>
        </w:rPr>
        <w:t>The first stage of the MAPPA process is to identify those offenders who may be liable to management under MAPPA when considering their offence or sentence. There are three MAPPA categories, namely:  </w:t>
      </w:r>
    </w:p>
    <w:p w14:paraId="601B1904" w14:textId="77777777" w:rsidR="00147622" w:rsidRPr="00E97165" w:rsidRDefault="00147622" w:rsidP="009D6A83">
      <w:pPr>
        <w:spacing w:line="360" w:lineRule="auto"/>
        <w:rPr>
          <w:rFonts w:cstheme="minorHAnsi"/>
        </w:rPr>
      </w:pPr>
      <w:r w:rsidRPr="00E97165">
        <w:rPr>
          <w:rFonts w:cstheme="minorHAnsi"/>
        </w:rPr>
        <w:t>Category 1 - Registered sex offenders</w:t>
      </w:r>
    </w:p>
    <w:p w14:paraId="0A9B9E2D" w14:textId="77777777" w:rsidR="00147622" w:rsidRPr="00E97165" w:rsidRDefault="00147622" w:rsidP="009D6A83">
      <w:pPr>
        <w:spacing w:line="360" w:lineRule="auto"/>
        <w:rPr>
          <w:rFonts w:cstheme="minorHAnsi"/>
        </w:rPr>
      </w:pPr>
      <w:r w:rsidRPr="00E97165">
        <w:rPr>
          <w:rFonts w:cstheme="minorHAnsi"/>
        </w:rPr>
        <w:t>Category 2 - Violent offenders who have been detained under hospital orders or who have been sentenced to prison for 12 months or more. Category 2 also includes sexual offenders who are not registered under Category 1.</w:t>
      </w:r>
    </w:p>
    <w:p w14:paraId="0F0FD128" w14:textId="77777777" w:rsidR="00147622" w:rsidRPr="00E97165" w:rsidRDefault="00147622" w:rsidP="009D6A83">
      <w:pPr>
        <w:spacing w:line="360" w:lineRule="auto"/>
        <w:rPr>
          <w:rFonts w:cstheme="minorHAnsi"/>
        </w:rPr>
      </w:pPr>
      <w:r w:rsidRPr="00E97165">
        <w:rPr>
          <w:rFonts w:cstheme="minorHAnsi"/>
        </w:rPr>
        <w:t>Category 3 - Other dangerous offenders who pose a risk of serious harm who require management but do not qualify under Categories 1 and 2</w:t>
      </w:r>
      <w:r>
        <w:rPr>
          <w:rFonts w:cstheme="minorHAnsi"/>
        </w:rPr>
        <w:t xml:space="preserve"> </w:t>
      </w:r>
      <w:r>
        <w:rPr>
          <w:rFonts w:ascii="Arial" w:hAnsi="Arial" w:cs="Arial"/>
          <w:color w:val="000000"/>
          <w:sz w:val="20"/>
          <w:szCs w:val="20"/>
          <w:shd w:val="clear" w:color="auto" w:fill="FFFFFF"/>
        </w:rPr>
        <w:t xml:space="preserve">(MAPPA, 2012). </w:t>
      </w:r>
    </w:p>
    <w:p w14:paraId="6CD7B6D5" w14:textId="77777777" w:rsidR="00147622" w:rsidRPr="00E97165" w:rsidRDefault="00147622" w:rsidP="009D6A83">
      <w:pPr>
        <w:spacing w:line="360" w:lineRule="auto"/>
        <w:rPr>
          <w:rFonts w:cstheme="minorHAnsi"/>
          <w:color w:val="C00000"/>
        </w:rPr>
      </w:pPr>
      <w:r w:rsidRPr="00E97165">
        <w:rPr>
          <w:rFonts w:cstheme="minorHAnsi"/>
        </w:rPr>
        <w:t>The police are responsible for notifying the MAPPA co-ordinator of sexual offenders in Category 1 and become the lead agency when those offenders are no longer supervised by the National Probation Services</w:t>
      </w:r>
      <w:r>
        <w:rPr>
          <w:rFonts w:cstheme="minorHAnsi"/>
        </w:rPr>
        <w:t xml:space="preserve"> </w:t>
      </w:r>
      <w:r>
        <w:rPr>
          <w:rFonts w:ascii="Arial" w:hAnsi="Arial" w:cs="Arial"/>
          <w:color w:val="000000"/>
          <w:sz w:val="20"/>
          <w:szCs w:val="20"/>
          <w:shd w:val="clear" w:color="auto" w:fill="FFFFFF"/>
        </w:rPr>
        <w:t xml:space="preserve">(MAPPA, 2012). </w:t>
      </w:r>
      <w:r w:rsidRPr="00E97165">
        <w:rPr>
          <w:rFonts w:cstheme="minorHAnsi"/>
        </w:rPr>
        <w:t xml:space="preserve">The police will ensure that these offenders register as is required and that their details are entered on VISOR. VISOR is a central database with current information which can be accessed by the police, the Prison Service and Probation Service </w:t>
      </w:r>
      <w:r>
        <w:rPr>
          <w:rFonts w:ascii="Arial" w:hAnsi="Arial" w:cs="Arial"/>
          <w:color w:val="000000"/>
          <w:sz w:val="20"/>
          <w:szCs w:val="20"/>
          <w:shd w:val="clear" w:color="auto" w:fill="FFFFFF"/>
        </w:rPr>
        <w:t>(MAPPA, 2012).</w:t>
      </w:r>
      <w:r w:rsidRPr="00E97165">
        <w:rPr>
          <w:rFonts w:cstheme="minorHAnsi"/>
          <w:color w:val="C00000"/>
        </w:rPr>
        <w:t xml:space="preserve"> </w:t>
      </w:r>
      <w:r w:rsidRPr="00E97165">
        <w:rPr>
          <w:rFonts w:cstheme="minorHAnsi"/>
        </w:rPr>
        <w:t xml:space="preserve">It is a secure and confidential database which shares risk assessment and risk management information on those offenders who are a serious risk to the general public </w:t>
      </w:r>
      <w:r>
        <w:rPr>
          <w:rFonts w:ascii="Arial" w:hAnsi="Arial" w:cs="Arial"/>
          <w:color w:val="000000"/>
          <w:sz w:val="20"/>
          <w:szCs w:val="20"/>
          <w:shd w:val="clear" w:color="auto" w:fill="FFFFFF"/>
        </w:rPr>
        <w:t xml:space="preserve">(MAPPA, 2012). </w:t>
      </w:r>
      <w:r w:rsidRPr="00E97165">
        <w:rPr>
          <w:rFonts w:cstheme="minorHAnsi"/>
        </w:rPr>
        <w:t>VISOR also provides a way of transferring information to different police forces when offenders move to different areas, again therefore protecting the public</w:t>
      </w:r>
      <w:r>
        <w:rPr>
          <w:rFonts w:cstheme="minorHAnsi"/>
          <w:color w:val="C00000"/>
        </w:rPr>
        <w:t xml:space="preserve"> </w:t>
      </w:r>
      <w:r>
        <w:rPr>
          <w:rFonts w:ascii="Arial" w:hAnsi="Arial" w:cs="Arial"/>
          <w:color w:val="000000"/>
          <w:sz w:val="20"/>
          <w:szCs w:val="20"/>
          <w:shd w:val="clear" w:color="auto" w:fill="FFFFFF"/>
        </w:rPr>
        <w:t xml:space="preserve">(MAPPA, 2012). </w:t>
      </w:r>
    </w:p>
    <w:p w14:paraId="2A8DF846" w14:textId="77777777" w:rsidR="00147622" w:rsidRPr="00E97165" w:rsidRDefault="00147622" w:rsidP="009D6A83">
      <w:pPr>
        <w:spacing w:line="360" w:lineRule="auto"/>
        <w:rPr>
          <w:rFonts w:cstheme="minorHAnsi"/>
          <w:u w:val="single"/>
        </w:rPr>
      </w:pPr>
      <w:r w:rsidRPr="00592A3A">
        <w:rPr>
          <w:rFonts w:cstheme="minorHAnsi"/>
        </w:rPr>
        <w:t xml:space="preserve">According to Bryant, Bryant and Blackburn,( 2018) when protecting the public it </w:t>
      </w:r>
      <w:r w:rsidRPr="00E97165">
        <w:rPr>
          <w:rFonts w:cstheme="minorHAnsi"/>
        </w:rPr>
        <w:t xml:space="preserve">is also important that police officers do not allow their own prejudices and life experiences to lead to discrimination which is harmful to members of the public </w:t>
      </w:r>
      <w:r>
        <w:rPr>
          <w:rFonts w:cstheme="minorHAnsi"/>
        </w:rPr>
        <w:t>(</w:t>
      </w:r>
      <w:r w:rsidRPr="00592A3A">
        <w:rPr>
          <w:rFonts w:cstheme="minorHAnsi"/>
        </w:rPr>
        <w:t>Bryant, Bryant and Blackburn,</w:t>
      </w:r>
      <w:r>
        <w:rPr>
          <w:rFonts w:cstheme="minorHAnsi"/>
        </w:rPr>
        <w:t xml:space="preserve"> </w:t>
      </w:r>
      <w:r w:rsidRPr="00592A3A">
        <w:rPr>
          <w:rFonts w:cstheme="minorHAnsi"/>
        </w:rPr>
        <w:t>2018)</w:t>
      </w:r>
      <w:r>
        <w:rPr>
          <w:rFonts w:cstheme="minorHAnsi"/>
        </w:rPr>
        <w:t xml:space="preserve">. </w:t>
      </w:r>
      <w:r w:rsidRPr="00E97165">
        <w:rPr>
          <w:rFonts w:cstheme="minorHAnsi"/>
        </w:rPr>
        <w:t>Police officers need to be able to manage how they speak and act when interacting with members of the public Showing equality when dealing with members of the public is an important part of professional behaviour standards</w:t>
      </w:r>
      <w:r>
        <w:rPr>
          <w:rFonts w:cstheme="minorHAnsi"/>
          <w:color w:val="FF0000"/>
        </w:rPr>
        <w:t xml:space="preserve"> </w:t>
      </w:r>
      <w:r>
        <w:rPr>
          <w:rFonts w:cstheme="minorHAnsi"/>
        </w:rPr>
        <w:t>(</w:t>
      </w:r>
      <w:r w:rsidRPr="00592A3A">
        <w:rPr>
          <w:rFonts w:cstheme="minorHAnsi"/>
        </w:rPr>
        <w:t>Bryant, Bryant and Blackburn,</w:t>
      </w:r>
      <w:r>
        <w:rPr>
          <w:rFonts w:cstheme="minorHAnsi"/>
        </w:rPr>
        <w:t xml:space="preserve"> </w:t>
      </w:r>
      <w:r w:rsidRPr="00592A3A">
        <w:rPr>
          <w:rFonts w:cstheme="minorHAnsi"/>
        </w:rPr>
        <w:t>2018)</w:t>
      </w:r>
    </w:p>
    <w:p w14:paraId="237A68AD" w14:textId="77777777" w:rsidR="00147622" w:rsidRPr="00E97165" w:rsidRDefault="00147622" w:rsidP="009D6A83">
      <w:pPr>
        <w:spacing w:line="360" w:lineRule="auto"/>
        <w:rPr>
          <w:rFonts w:cstheme="minorHAnsi"/>
          <w:color w:val="FF0000"/>
        </w:rPr>
      </w:pPr>
      <w:r w:rsidRPr="00E97165">
        <w:rPr>
          <w:rFonts w:cstheme="minorHAnsi"/>
        </w:rPr>
        <w:t>Serious organised crime also poses a risk to the public. These include child sexual abuse, modern slavery and human trafficking, illegal drugs, immigration crimes and financial crimes, such as, money-laundering and fraud</w:t>
      </w:r>
      <w:r>
        <w:rPr>
          <w:rFonts w:cstheme="minorHAnsi"/>
        </w:rPr>
        <w:t xml:space="preserve"> </w:t>
      </w:r>
      <w:r>
        <w:rPr>
          <w:rFonts w:ascii="Arial" w:hAnsi="Arial" w:cs="Arial"/>
          <w:color w:val="000000"/>
          <w:sz w:val="20"/>
          <w:szCs w:val="20"/>
          <w:shd w:val="clear" w:color="auto" w:fill="FFFFFF"/>
        </w:rPr>
        <w:t xml:space="preserve">(NCA, 2019). </w:t>
      </w:r>
      <w:r w:rsidRPr="00E97165">
        <w:rPr>
          <w:rFonts w:cstheme="minorHAnsi"/>
        </w:rPr>
        <w:t>According to N</w:t>
      </w:r>
      <w:r>
        <w:rPr>
          <w:rFonts w:cstheme="minorHAnsi"/>
        </w:rPr>
        <w:t>C</w:t>
      </w:r>
      <w:r w:rsidRPr="00E97165">
        <w:rPr>
          <w:rFonts w:cstheme="minorHAnsi"/>
        </w:rPr>
        <w:t xml:space="preserve">A </w:t>
      </w:r>
      <w:r>
        <w:rPr>
          <w:rFonts w:cstheme="minorHAnsi"/>
        </w:rPr>
        <w:t>(</w:t>
      </w:r>
      <w:r w:rsidRPr="00E97165">
        <w:rPr>
          <w:rFonts w:cstheme="minorHAnsi"/>
        </w:rPr>
        <w:t>2019</w:t>
      </w:r>
      <w:r>
        <w:rPr>
          <w:rFonts w:cstheme="minorHAnsi"/>
        </w:rPr>
        <w:t>)</w:t>
      </w:r>
      <w:r w:rsidRPr="00E97165">
        <w:rPr>
          <w:rFonts w:cstheme="minorHAnsi"/>
        </w:rPr>
        <w:t xml:space="preserve"> there are in the region of 300,000 individuals in the UK which pose a risk of committing sexual offences against children either in person or online. There were also 6,933 referrals in 2018 of possible human trafficking incidents </w:t>
      </w:r>
      <w:r w:rsidRPr="00E97165">
        <w:rPr>
          <w:rFonts w:cstheme="minorHAnsi"/>
        </w:rPr>
        <w:lastRenderedPageBreak/>
        <w:t>with a 48% increase in those involving children from 2017</w:t>
      </w:r>
      <w:r>
        <w:rPr>
          <w:rFonts w:cstheme="minorHAnsi"/>
          <w:color w:val="C00000"/>
        </w:rPr>
        <w:t xml:space="preserve"> </w:t>
      </w:r>
      <w:r>
        <w:rPr>
          <w:rFonts w:ascii="Arial" w:hAnsi="Arial" w:cs="Arial"/>
          <w:color w:val="000000"/>
          <w:sz w:val="20"/>
          <w:szCs w:val="20"/>
          <w:shd w:val="clear" w:color="auto" w:fill="FFFFFF"/>
        </w:rPr>
        <w:t>(NCA, 2019).</w:t>
      </w:r>
      <w:r w:rsidRPr="00E97165">
        <w:rPr>
          <w:rFonts w:cstheme="minorHAnsi"/>
          <w:color w:val="0070C0"/>
        </w:rPr>
        <w:t xml:space="preserve"> </w:t>
      </w:r>
      <w:r w:rsidRPr="00E97165">
        <w:rPr>
          <w:rFonts w:cstheme="minorHAnsi"/>
        </w:rPr>
        <w:t>According to the National Crime Agency there were 800 police operations against organised crime groups in 2019</w:t>
      </w:r>
      <w:r w:rsidRPr="00E97165">
        <w:rPr>
          <w:rFonts w:cstheme="minorHAnsi"/>
          <w:color w:val="0070C0"/>
        </w:rPr>
        <w:t xml:space="preserve"> </w:t>
      </w:r>
      <w:r>
        <w:rPr>
          <w:rFonts w:ascii="Arial" w:hAnsi="Arial" w:cs="Arial"/>
          <w:color w:val="000000"/>
          <w:sz w:val="20"/>
          <w:szCs w:val="20"/>
          <w:shd w:val="clear" w:color="auto" w:fill="FFFFFF"/>
        </w:rPr>
        <w:t xml:space="preserve">(NCA, 2019). </w:t>
      </w:r>
      <w:r w:rsidRPr="00E97165">
        <w:rPr>
          <w:rFonts w:cstheme="minorHAnsi"/>
        </w:rPr>
        <w:t>During 2019 to 2020 a multi-agency law enforcement initiative was set up across the UK and abroad called Project AIDANT. This was overseen by the National Crime Agency and resulted in over 150 arrests and 230 possible victims were safeguarded</w:t>
      </w:r>
      <w:r>
        <w:rPr>
          <w:rFonts w:cstheme="minorHAnsi"/>
        </w:rPr>
        <w:t xml:space="preserve"> </w:t>
      </w:r>
      <w:r>
        <w:rPr>
          <w:rFonts w:ascii="Arial" w:hAnsi="Arial" w:cs="Arial"/>
          <w:color w:val="000000"/>
          <w:sz w:val="20"/>
          <w:szCs w:val="20"/>
          <w:shd w:val="clear" w:color="auto" w:fill="FFFFFF"/>
        </w:rPr>
        <w:t xml:space="preserve">(NCA, 2019). </w:t>
      </w:r>
    </w:p>
    <w:p w14:paraId="2A0E871F" w14:textId="77777777" w:rsidR="00147622" w:rsidRPr="00E97165" w:rsidRDefault="00147622" w:rsidP="009D6A83">
      <w:pPr>
        <w:spacing w:line="360" w:lineRule="auto"/>
        <w:rPr>
          <w:rFonts w:cstheme="minorHAnsi"/>
        </w:rPr>
      </w:pPr>
      <w:r w:rsidRPr="00E97165">
        <w:rPr>
          <w:rFonts w:cstheme="minorHAnsi"/>
        </w:rPr>
        <w:t xml:space="preserve">The Serious Organised Crime Strategy 2018 </w:t>
      </w:r>
      <w:r>
        <w:rPr>
          <w:rFonts w:ascii="Arial" w:hAnsi="Arial" w:cs="Arial"/>
          <w:color w:val="000000"/>
          <w:sz w:val="20"/>
          <w:szCs w:val="20"/>
          <w:shd w:val="clear" w:color="auto" w:fill="FFFFFF"/>
        </w:rPr>
        <w:t xml:space="preserve">(HM Government, 2018), </w:t>
      </w:r>
      <w:r w:rsidRPr="00E97165">
        <w:rPr>
          <w:rFonts w:cstheme="minorHAnsi"/>
        </w:rPr>
        <w:t>sets out four main aims and objectives in relation to organised crime, namely:</w:t>
      </w:r>
    </w:p>
    <w:p w14:paraId="0A6274AD" w14:textId="77777777" w:rsidR="00147622" w:rsidRPr="00E97165" w:rsidRDefault="00147622" w:rsidP="009D6A83">
      <w:pPr>
        <w:spacing w:line="360" w:lineRule="auto"/>
        <w:rPr>
          <w:rFonts w:cstheme="minorHAnsi"/>
        </w:rPr>
      </w:pPr>
      <w:r w:rsidRPr="00E97165">
        <w:rPr>
          <w:rFonts w:cstheme="minorHAnsi"/>
        </w:rPr>
        <w:t>1. Targeted actions against serious organised criminals and networks</w:t>
      </w:r>
    </w:p>
    <w:p w14:paraId="7E22BE1A" w14:textId="77777777" w:rsidR="00147622" w:rsidRPr="00E97165" w:rsidRDefault="00147622" w:rsidP="009D6A83">
      <w:pPr>
        <w:spacing w:line="360" w:lineRule="auto"/>
        <w:rPr>
          <w:rFonts w:cstheme="minorHAnsi"/>
        </w:rPr>
      </w:pPr>
      <w:r w:rsidRPr="00E97165">
        <w:rPr>
          <w:rFonts w:cstheme="minorHAnsi"/>
        </w:rPr>
        <w:t>2. Improving the protection of vulnerable people more likely to be targeted by organised crime.</w:t>
      </w:r>
    </w:p>
    <w:p w14:paraId="15E3E090" w14:textId="77777777" w:rsidR="00147622" w:rsidRPr="00E97165" w:rsidRDefault="00147622" w:rsidP="009D6A83">
      <w:pPr>
        <w:spacing w:line="360" w:lineRule="auto"/>
        <w:rPr>
          <w:rFonts w:cstheme="minorHAnsi"/>
        </w:rPr>
      </w:pPr>
      <w:r w:rsidRPr="00E97165">
        <w:rPr>
          <w:rFonts w:cstheme="minorHAnsi"/>
        </w:rPr>
        <w:t>3. Stopping the problem at source by preventing offenders from entering a life of organised crime in the first place.</w:t>
      </w:r>
    </w:p>
    <w:p w14:paraId="142B8A84" w14:textId="08AE662B" w:rsidR="00244E7B" w:rsidRDefault="00147622" w:rsidP="009D6A83">
      <w:pPr>
        <w:spacing w:line="360" w:lineRule="auto"/>
        <w:rPr>
          <w:rFonts w:ascii="Arial" w:hAnsi="Arial" w:cs="Arial"/>
          <w:color w:val="000000"/>
          <w:sz w:val="20"/>
          <w:szCs w:val="20"/>
          <w:shd w:val="clear" w:color="auto" w:fill="FFFFFF"/>
        </w:rPr>
      </w:pPr>
      <w:r w:rsidRPr="00E97165">
        <w:rPr>
          <w:rFonts w:cstheme="minorHAnsi"/>
        </w:rPr>
        <w:t>4. Establishing a single approach at "local, regional, national and international lev</w:t>
      </w:r>
      <w:r>
        <w:rPr>
          <w:rFonts w:cstheme="minorHAnsi"/>
        </w:rPr>
        <w:t xml:space="preserve">el </w:t>
      </w:r>
      <w:r>
        <w:rPr>
          <w:rFonts w:ascii="Arial" w:hAnsi="Arial" w:cs="Arial"/>
          <w:color w:val="000000"/>
          <w:sz w:val="20"/>
          <w:szCs w:val="20"/>
          <w:shd w:val="clear" w:color="auto" w:fill="FFFFFF"/>
        </w:rPr>
        <w:t>(HM Government, 2018)</w:t>
      </w:r>
    </w:p>
    <w:p w14:paraId="3C53D312" w14:textId="38420EB6" w:rsidR="00244E7B" w:rsidRPr="00684025" w:rsidRDefault="00684025" w:rsidP="00684025">
      <w:pPr>
        <w:spacing w:line="360" w:lineRule="auto"/>
        <w:rPr>
          <w:b/>
          <w:bCs/>
          <w:sz w:val="48"/>
          <w:szCs w:val="48"/>
        </w:rPr>
      </w:pPr>
      <w:r w:rsidRPr="00684025">
        <w:rPr>
          <w:b/>
          <w:bCs/>
        </w:rPr>
        <w:t xml:space="preserve">Word count- 996 </w:t>
      </w:r>
    </w:p>
    <w:p w14:paraId="1CD106BB" w14:textId="19FBE3BE" w:rsidR="00927E6C" w:rsidRDefault="00927E6C" w:rsidP="009D6A83">
      <w:pPr>
        <w:spacing w:line="360" w:lineRule="auto"/>
        <w:jc w:val="center"/>
        <w:rPr>
          <w:sz w:val="48"/>
          <w:szCs w:val="48"/>
        </w:rPr>
      </w:pPr>
    </w:p>
    <w:p w14:paraId="6F5C9F27" w14:textId="4F527EAC" w:rsidR="00927E6C" w:rsidRDefault="00927E6C" w:rsidP="009D6A83">
      <w:pPr>
        <w:spacing w:line="360" w:lineRule="auto"/>
        <w:jc w:val="center"/>
        <w:rPr>
          <w:sz w:val="48"/>
          <w:szCs w:val="48"/>
        </w:rPr>
      </w:pPr>
    </w:p>
    <w:p w14:paraId="5C6A97FF" w14:textId="77777777" w:rsidR="00EB7943" w:rsidRDefault="00EB7943" w:rsidP="009D6A83">
      <w:pPr>
        <w:spacing w:line="360" w:lineRule="auto"/>
        <w:rPr>
          <w:rFonts w:ascii="Calibri" w:eastAsia="Calibri" w:hAnsi="Calibri" w:cs="Calibri"/>
          <w:b/>
          <w:bCs/>
          <w:i/>
          <w:iCs/>
          <w:sz w:val="20"/>
          <w:szCs w:val="20"/>
          <w:u w:val="single"/>
        </w:rPr>
      </w:pPr>
    </w:p>
    <w:p w14:paraId="7D1D4322" w14:textId="77777777" w:rsidR="00EB7943" w:rsidRDefault="00EB7943" w:rsidP="009D6A83">
      <w:pPr>
        <w:spacing w:line="360" w:lineRule="auto"/>
        <w:rPr>
          <w:rFonts w:ascii="Calibri" w:eastAsia="Calibri" w:hAnsi="Calibri" w:cs="Calibri"/>
          <w:b/>
          <w:bCs/>
          <w:i/>
          <w:iCs/>
          <w:sz w:val="20"/>
          <w:szCs w:val="20"/>
          <w:u w:val="single"/>
        </w:rPr>
      </w:pPr>
    </w:p>
    <w:p w14:paraId="72C125A2" w14:textId="77777777" w:rsidR="00EB7943" w:rsidRDefault="00EB7943" w:rsidP="009D6A83">
      <w:pPr>
        <w:spacing w:line="360" w:lineRule="auto"/>
        <w:rPr>
          <w:rFonts w:ascii="Calibri" w:eastAsia="Calibri" w:hAnsi="Calibri" w:cs="Calibri"/>
          <w:b/>
          <w:bCs/>
          <w:i/>
          <w:iCs/>
          <w:sz w:val="20"/>
          <w:szCs w:val="20"/>
          <w:u w:val="single"/>
        </w:rPr>
      </w:pPr>
    </w:p>
    <w:p w14:paraId="4D122325" w14:textId="77777777" w:rsidR="00EB7943" w:rsidRDefault="00EB7943" w:rsidP="009D6A83">
      <w:pPr>
        <w:spacing w:line="360" w:lineRule="auto"/>
        <w:rPr>
          <w:rFonts w:ascii="Calibri" w:eastAsia="Calibri" w:hAnsi="Calibri" w:cs="Calibri"/>
          <w:b/>
          <w:bCs/>
          <w:i/>
          <w:iCs/>
          <w:sz w:val="20"/>
          <w:szCs w:val="20"/>
          <w:u w:val="single"/>
        </w:rPr>
      </w:pPr>
    </w:p>
    <w:p w14:paraId="31A4B323" w14:textId="77777777" w:rsidR="00EB7943" w:rsidRDefault="00EB7943" w:rsidP="009D6A83">
      <w:pPr>
        <w:spacing w:line="360" w:lineRule="auto"/>
        <w:rPr>
          <w:rFonts w:ascii="Calibri" w:eastAsia="Calibri" w:hAnsi="Calibri" w:cs="Calibri"/>
          <w:b/>
          <w:bCs/>
          <w:i/>
          <w:iCs/>
          <w:sz w:val="20"/>
          <w:szCs w:val="20"/>
          <w:u w:val="single"/>
        </w:rPr>
      </w:pPr>
    </w:p>
    <w:p w14:paraId="3E972973" w14:textId="77777777" w:rsidR="00EB7943" w:rsidRDefault="00EB7943" w:rsidP="009D6A83">
      <w:pPr>
        <w:spacing w:line="360" w:lineRule="auto"/>
        <w:rPr>
          <w:rFonts w:ascii="Calibri" w:eastAsia="Calibri" w:hAnsi="Calibri" w:cs="Calibri"/>
          <w:b/>
          <w:bCs/>
          <w:i/>
          <w:iCs/>
          <w:sz w:val="20"/>
          <w:szCs w:val="20"/>
          <w:u w:val="single"/>
        </w:rPr>
      </w:pPr>
    </w:p>
    <w:p w14:paraId="40D3D4B1" w14:textId="77777777" w:rsidR="00EB7943" w:rsidRDefault="00EB7943" w:rsidP="009D6A83">
      <w:pPr>
        <w:spacing w:line="360" w:lineRule="auto"/>
        <w:rPr>
          <w:rFonts w:ascii="Calibri" w:eastAsia="Calibri" w:hAnsi="Calibri" w:cs="Calibri"/>
          <w:b/>
          <w:bCs/>
          <w:i/>
          <w:iCs/>
          <w:sz w:val="20"/>
          <w:szCs w:val="20"/>
          <w:u w:val="single"/>
        </w:rPr>
      </w:pPr>
    </w:p>
    <w:p w14:paraId="64C9BFF7" w14:textId="77777777" w:rsidR="00EB7943" w:rsidRDefault="00EB7943" w:rsidP="009D6A83">
      <w:pPr>
        <w:spacing w:line="360" w:lineRule="auto"/>
        <w:rPr>
          <w:rFonts w:ascii="Calibri" w:eastAsia="Calibri" w:hAnsi="Calibri" w:cs="Calibri"/>
          <w:b/>
          <w:bCs/>
          <w:i/>
          <w:iCs/>
          <w:sz w:val="20"/>
          <w:szCs w:val="20"/>
          <w:u w:val="single"/>
        </w:rPr>
      </w:pPr>
    </w:p>
    <w:p w14:paraId="4BBAB5E8" w14:textId="77777777" w:rsidR="00684025" w:rsidRDefault="00684025" w:rsidP="009D6A83">
      <w:pPr>
        <w:spacing w:line="360" w:lineRule="auto"/>
        <w:rPr>
          <w:rFonts w:ascii="Calibri" w:eastAsia="Calibri" w:hAnsi="Calibri" w:cs="Calibri"/>
          <w:b/>
          <w:bCs/>
          <w:i/>
          <w:iCs/>
          <w:sz w:val="20"/>
          <w:szCs w:val="20"/>
          <w:u w:val="single"/>
        </w:rPr>
      </w:pPr>
    </w:p>
    <w:p w14:paraId="63788C0A" w14:textId="77777777" w:rsidR="00684025" w:rsidRDefault="00684025" w:rsidP="009D6A83">
      <w:pPr>
        <w:spacing w:line="360" w:lineRule="auto"/>
        <w:rPr>
          <w:rFonts w:ascii="Calibri" w:eastAsia="Calibri" w:hAnsi="Calibri" w:cs="Calibri"/>
          <w:b/>
          <w:bCs/>
          <w:i/>
          <w:iCs/>
          <w:sz w:val="20"/>
          <w:szCs w:val="20"/>
          <w:u w:val="single"/>
        </w:rPr>
      </w:pPr>
    </w:p>
    <w:p w14:paraId="6E0CFE87" w14:textId="54E154A1" w:rsidR="00C1493D" w:rsidRPr="00C1493D" w:rsidRDefault="00C1493D" w:rsidP="009D6A83">
      <w:pPr>
        <w:spacing w:line="360" w:lineRule="auto"/>
        <w:rPr>
          <w:rFonts w:ascii="Calibri" w:hAnsi="Calibri" w:cs="Calibri"/>
          <w:b/>
          <w:bCs/>
          <w:i/>
          <w:iCs/>
          <w:sz w:val="20"/>
          <w:szCs w:val="20"/>
          <w:u w:val="single"/>
        </w:rPr>
      </w:pPr>
      <w:r w:rsidRPr="00C1493D">
        <w:rPr>
          <w:rFonts w:ascii="Calibri" w:eastAsia="Calibri" w:hAnsi="Calibri" w:cs="Calibri"/>
          <w:b/>
          <w:bCs/>
          <w:i/>
          <w:iCs/>
          <w:sz w:val="20"/>
          <w:szCs w:val="20"/>
          <w:u w:val="single"/>
        </w:rPr>
        <w:lastRenderedPageBreak/>
        <w:t>1000 words - Evidence based policing/criminology and crime prevention/criminal Justice</w:t>
      </w:r>
    </w:p>
    <w:p w14:paraId="6491FB07" w14:textId="576B1CA2" w:rsidR="00C1493D" w:rsidRPr="00C1493D" w:rsidRDefault="00C1493D" w:rsidP="009D6A83">
      <w:pPr>
        <w:spacing w:line="360" w:lineRule="auto"/>
        <w:rPr>
          <w:rFonts w:ascii="Calibri" w:eastAsia="Calibri" w:hAnsi="Calibri" w:cs="Calibri"/>
          <w:b/>
          <w:bCs/>
          <w:i/>
          <w:iCs/>
          <w:sz w:val="20"/>
          <w:szCs w:val="20"/>
          <w:u w:val="single"/>
        </w:rPr>
      </w:pPr>
      <w:r w:rsidRPr="00C1493D">
        <w:rPr>
          <w:rFonts w:ascii="Calibri" w:eastAsia="Calibri" w:hAnsi="Calibri" w:cs="Calibri"/>
          <w:b/>
          <w:bCs/>
          <w:i/>
          <w:iCs/>
          <w:sz w:val="20"/>
          <w:szCs w:val="20"/>
          <w:u w:val="single"/>
        </w:rPr>
        <w:t>Critically analyse the concept of evidence-based policing and ‘what works’ in policing evaluating crime prevention theories and strategies and considering the options open to reduce re</w:t>
      </w:r>
      <w:r w:rsidRPr="00C1493D">
        <w:rPr>
          <w:rFonts w:ascii="Calibri" w:eastAsia="Calibri" w:hAnsi="Calibri" w:cs="Calibri"/>
          <w:b/>
          <w:bCs/>
          <w:i/>
          <w:iCs/>
          <w:sz w:val="20"/>
          <w:szCs w:val="20"/>
          <w:u w:val="single"/>
        </w:rPr>
        <w:t>-</w:t>
      </w:r>
      <w:r w:rsidRPr="00C1493D">
        <w:rPr>
          <w:rFonts w:ascii="Calibri" w:eastAsia="Calibri" w:hAnsi="Calibri" w:cs="Calibri"/>
          <w:b/>
          <w:bCs/>
          <w:i/>
          <w:iCs/>
          <w:sz w:val="20"/>
          <w:szCs w:val="20"/>
          <w:u w:val="single"/>
        </w:rPr>
        <w:t>offending</w:t>
      </w:r>
      <w:r w:rsidRPr="00C1493D">
        <w:rPr>
          <w:rFonts w:ascii="Calibri" w:eastAsia="Calibri" w:hAnsi="Calibri" w:cs="Calibri"/>
          <w:b/>
          <w:bCs/>
          <w:i/>
          <w:iCs/>
          <w:sz w:val="20"/>
          <w:szCs w:val="20"/>
          <w:u w:val="single"/>
        </w:rPr>
        <w:t xml:space="preserve">. </w:t>
      </w:r>
    </w:p>
    <w:p w14:paraId="229915BD" w14:textId="50E7B830" w:rsidR="00725AB3" w:rsidRPr="00B76118" w:rsidRDefault="00725AB3" w:rsidP="009D6A83">
      <w:pPr>
        <w:spacing w:line="360" w:lineRule="auto"/>
        <w:rPr>
          <w:rFonts w:cstheme="minorHAnsi"/>
        </w:rPr>
      </w:pPr>
      <w:r w:rsidRPr="00B76118">
        <w:rPr>
          <w:rFonts w:cstheme="minorHAnsi"/>
        </w:rPr>
        <w:t>In this essay I shall analyse evidence-based policing and 'what works' in policing. I shall evaluate crime prevention theories and strategies and methods of reducing re-offending.</w:t>
      </w:r>
    </w:p>
    <w:p w14:paraId="030F28D0" w14:textId="78031339" w:rsidR="00725AB3" w:rsidRPr="00B76118" w:rsidRDefault="00725AB3" w:rsidP="009D6A83">
      <w:pPr>
        <w:spacing w:line="360" w:lineRule="auto"/>
        <w:rPr>
          <w:rFonts w:cstheme="minorHAnsi"/>
        </w:rPr>
      </w:pPr>
      <w:r w:rsidRPr="00B76118">
        <w:rPr>
          <w:rFonts w:cstheme="minorHAnsi"/>
        </w:rPr>
        <w:t xml:space="preserve">According to Sherman (1998) </w:t>
      </w:r>
      <w:r w:rsidRPr="00B76118">
        <w:rPr>
          <w:rFonts w:cstheme="minorHAnsi"/>
          <w:iCs/>
        </w:rPr>
        <w:t>“Evidence-based policing is the use of the best available research on the outcomes of police work to implement guidelines and evaluate agencies, units and officers.”</w:t>
      </w:r>
      <w:r w:rsidRPr="00B76118">
        <w:rPr>
          <w:rFonts w:cstheme="minorHAnsi"/>
        </w:rPr>
        <w:t xml:space="preserve">  The research to collect the evidence is usually collected by police staff, with assistance being provided by colleges and other institutions. The ATLAS model was also developed by The College of Policing (</w:t>
      </w:r>
      <w:proofErr w:type="spellStart"/>
      <w:r>
        <w:rPr>
          <w:rFonts w:cstheme="minorHAnsi"/>
        </w:rPr>
        <w:t>n.d</w:t>
      </w:r>
      <w:proofErr w:type="spellEnd"/>
      <w:r w:rsidRPr="00B76118">
        <w:rPr>
          <w:rFonts w:cstheme="minorHAnsi"/>
        </w:rPr>
        <w:t>) and this advises police officers and other staff to:</w:t>
      </w:r>
    </w:p>
    <w:p w14:paraId="779D7546" w14:textId="77777777" w:rsidR="00725AB3" w:rsidRPr="00B76118" w:rsidRDefault="00725AB3" w:rsidP="009D6A83">
      <w:pPr>
        <w:autoSpaceDE w:val="0"/>
        <w:autoSpaceDN w:val="0"/>
        <w:adjustRightInd w:val="0"/>
        <w:spacing w:line="360" w:lineRule="auto"/>
        <w:ind w:left="720"/>
        <w:rPr>
          <w:rFonts w:cstheme="minorHAnsi"/>
          <w:iCs/>
        </w:rPr>
      </w:pPr>
      <w:r w:rsidRPr="00B76118">
        <w:rPr>
          <w:rFonts w:cstheme="minorHAnsi"/>
          <w:iCs/>
        </w:rPr>
        <w:t>“(1) Ask questions that challenge current practices.</w:t>
      </w:r>
    </w:p>
    <w:p w14:paraId="6EA8E3BC" w14:textId="77777777" w:rsidR="00725AB3" w:rsidRPr="00B76118" w:rsidRDefault="00725AB3" w:rsidP="009D6A83">
      <w:pPr>
        <w:autoSpaceDE w:val="0"/>
        <w:autoSpaceDN w:val="0"/>
        <w:adjustRightInd w:val="0"/>
        <w:spacing w:line="360" w:lineRule="auto"/>
        <w:ind w:left="720"/>
        <w:rPr>
          <w:rFonts w:cstheme="minorHAnsi"/>
          <w:iCs/>
        </w:rPr>
      </w:pPr>
      <w:r w:rsidRPr="00B76118">
        <w:rPr>
          <w:rFonts w:cstheme="minorHAnsi"/>
          <w:iCs/>
        </w:rPr>
        <w:t>(2) Test and critically evaluate existing research and new ideas.</w:t>
      </w:r>
    </w:p>
    <w:p w14:paraId="60358407" w14:textId="77777777" w:rsidR="00725AB3" w:rsidRPr="00B76118" w:rsidRDefault="00725AB3" w:rsidP="009D6A83">
      <w:pPr>
        <w:autoSpaceDE w:val="0"/>
        <w:autoSpaceDN w:val="0"/>
        <w:adjustRightInd w:val="0"/>
        <w:spacing w:line="360" w:lineRule="auto"/>
        <w:ind w:left="720"/>
        <w:rPr>
          <w:rFonts w:cstheme="minorHAnsi"/>
          <w:iCs/>
        </w:rPr>
      </w:pPr>
      <w:r w:rsidRPr="00B76118">
        <w:rPr>
          <w:rFonts w:cstheme="minorHAnsi"/>
          <w:iCs/>
        </w:rPr>
        <w:t>(3) Learn from existing approaches and new ideas while considering how they work in</w:t>
      </w:r>
    </w:p>
    <w:p w14:paraId="0016ED91" w14:textId="77777777" w:rsidR="00725AB3" w:rsidRPr="00B76118" w:rsidRDefault="00725AB3" w:rsidP="009D6A83">
      <w:pPr>
        <w:autoSpaceDE w:val="0"/>
        <w:autoSpaceDN w:val="0"/>
        <w:adjustRightInd w:val="0"/>
        <w:spacing w:line="360" w:lineRule="auto"/>
        <w:ind w:left="720"/>
        <w:rPr>
          <w:rFonts w:cstheme="minorHAnsi"/>
          <w:iCs/>
        </w:rPr>
      </w:pPr>
      <w:r w:rsidRPr="00B76118">
        <w:rPr>
          <w:rFonts w:cstheme="minorHAnsi"/>
          <w:iCs/>
        </w:rPr>
        <w:t>workplace practices.</w:t>
      </w:r>
    </w:p>
    <w:p w14:paraId="0AA4922B" w14:textId="77777777" w:rsidR="00725AB3" w:rsidRPr="00B76118" w:rsidRDefault="00725AB3" w:rsidP="009D6A83">
      <w:pPr>
        <w:autoSpaceDE w:val="0"/>
        <w:autoSpaceDN w:val="0"/>
        <w:adjustRightInd w:val="0"/>
        <w:spacing w:line="360" w:lineRule="auto"/>
        <w:ind w:left="720"/>
        <w:rPr>
          <w:rFonts w:cstheme="minorHAnsi"/>
          <w:iCs/>
        </w:rPr>
      </w:pPr>
      <w:r w:rsidRPr="00B76118">
        <w:rPr>
          <w:rFonts w:cstheme="minorHAnsi"/>
          <w:iCs/>
        </w:rPr>
        <w:t>(4) Adapt practices and policies using the best evidence available.</w:t>
      </w:r>
    </w:p>
    <w:p w14:paraId="668841D4" w14:textId="77777777" w:rsidR="00725AB3" w:rsidRDefault="00725AB3" w:rsidP="009D6A83">
      <w:pPr>
        <w:spacing w:line="360" w:lineRule="auto"/>
        <w:ind w:left="720"/>
        <w:rPr>
          <w:rFonts w:cstheme="minorHAnsi"/>
          <w:iCs/>
          <w:color w:val="FF0000"/>
        </w:rPr>
      </w:pPr>
      <w:r w:rsidRPr="00B76118">
        <w:rPr>
          <w:rFonts w:cstheme="minorHAnsi"/>
          <w:iCs/>
        </w:rPr>
        <w:t xml:space="preserve">(5) Share the outcomes across the service.” </w:t>
      </w:r>
    </w:p>
    <w:p w14:paraId="34FD4595" w14:textId="77777777" w:rsidR="00725AB3" w:rsidRPr="00E62BA4" w:rsidRDefault="00725AB3" w:rsidP="004F3EDF">
      <w:pPr>
        <w:spacing w:line="360" w:lineRule="auto"/>
        <w:rPr>
          <w:rFonts w:cstheme="minorHAnsi"/>
          <w:iCs/>
        </w:rPr>
      </w:pPr>
      <w:r>
        <w:rPr>
          <w:rFonts w:cstheme="minorHAnsi"/>
          <w:iCs/>
        </w:rPr>
        <w:t xml:space="preserve">(College of Policing, </w:t>
      </w:r>
      <w:proofErr w:type="spellStart"/>
      <w:r>
        <w:rPr>
          <w:rFonts w:cstheme="minorHAnsi"/>
          <w:iCs/>
        </w:rPr>
        <w:t>n.d</w:t>
      </w:r>
      <w:proofErr w:type="spellEnd"/>
      <w:r>
        <w:rPr>
          <w:rFonts w:cstheme="minorHAnsi"/>
          <w:iCs/>
        </w:rPr>
        <w:t xml:space="preserve">). </w:t>
      </w:r>
    </w:p>
    <w:p w14:paraId="3EAAA1D7" w14:textId="665B1F0B" w:rsidR="00725AB3" w:rsidRPr="00B76118" w:rsidRDefault="00725AB3" w:rsidP="009D6A83">
      <w:pPr>
        <w:spacing w:line="360" w:lineRule="auto"/>
        <w:jc w:val="both"/>
        <w:rPr>
          <w:rFonts w:cstheme="minorHAnsi"/>
        </w:rPr>
      </w:pPr>
      <w:r w:rsidRPr="00B76118">
        <w:rPr>
          <w:rFonts w:cstheme="minorHAnsi"/>
        </w:rPr>
        <w:t xml:space="preserve">Ratcliffe (2019) states that some forms of evidence are better than others to show “what works” in policing. Ratcliffe created a table </w:t>
      </w:r>
      <w:r w:rsidRPr="00490075">
        <w:rPr>
          <w:rFonts w:cstheme="minorHAnsi"/>
        </w:rPr>
        <w:t>called Evidence Hierarchy for policy decision making which</w:t>
      </w:r>
      <w:r w:rsidRPr="00B76118">
        <w:rPr>
          <w:rFonts w:cstheme="minorHAnsi"/>
        </w:rPr>
        <w:t xml:space="preserve"> sets out in table form the different types of evidence that may be considered when carrying out evidence</w:t>
      </w:r>
      <w:r>
        <w:rPr>
          <w:rFonts w:cstheme="minorHAnsi"/>
        </w:rPr>
        <w:t>-</w:t>
      </w:r>
      <w:r w:rsidRPr="00B76118">
        <w:rPr>
          <w:rFonts w:cstheme="minorHAnsi"/>
        </w:rPr>
        <w:t>based policing. According to Ratcliff evidence which is at level 5 in the Table is to be considered as the “gold standard” when carrying out evidence</w:t>
      </w:r>
      <w:r>
        <w:rPr>
          <w:rFonts w:cstheme="minorHAnsi"/>
        </w:rPr>
        <w:t>-</w:t>
      </w:r>
      <w:r w:rsidRPr="00B76118">
        <w:rPr>
          <w:rFonts w:cstheme="minorHAnsi"/>
        </w:rPr>
        <w:t>based policing and is the best at showing “what works” in policing (Ratcliffe</w:t>
      </w:r>
      <w:r w:rsidR="00490075">
        <w:rPr>
          <w:rFonts w:cstheme="minorHAnsi"/>
        </w:rPr>
        <w:t xml:space="preserve">, </w:t>
      </w:r>
      <w:r w:rsidRPr="00B76118">
        <w:rPr>
          <w:rFonts w:cstheme="minorHAnsi"/>
        </w:rPr>
        <w:t xml:space="preserve">2019). </w:t>
      </w:r>
    </w:p>
    <w:p w14:paraId="74CF43E5" w14:textId="27C9D7CE" w:rsidR="00725AB3" w:rsidRPr="00B76118" w:rsidRDefault="00725AB3" w:rsidP="009D6A83">
      <w:pPr>
        <w:spacing w:line="360" w:lineRule="auto"/>
        <w:jc w:val="both"/>
        <w:rPr>
          <w:rFonts w:cstheme="minorHAnsi"/>
        </w:rPr>
      </w:pPr>
      <w:r w:rsidRPr="00B76118">
        <w:rPr>
          <w:rFonts w:cstheme="minorHAnsi"/>
        </w:rPr>
        <w:t>The CoP has also developed a Crime Reduction Toolkit which is available on their website. The Toolkit is a list of the different strategies being used to reduce crime. By using the EMMIE framework below, the Toolkit rates each strategy for reducing crime according to:</w:t>
      </w:r>
    </w:p>
    <w:p w14:paraId="4E6CAF70" w14:textId="77777777" w:rsidR="00725AB3" w:rsidRPr="00B76118" w:rsidRDefault="00725AB3" w:rsidP="009D6A83">
      <w:pPr>
        <w:spacing w:line="360" w:lineRule="auto"/>
        <w:jc w:val="both"/>
        <w:rPr>
          <w:rFonts w:cstheme="minorHAnsi"/>
        </w:rPr>
      </w:pPr>
    </w:p>
    <w:p w14:paraId="3A933048" w14:textId="77777777" w:rsidR="00725AB3" w:rsidRPr="00B76118" w:rsidRDefault="00725AB3" w:rsidP="009D6A83">
      <w:pPr>
        <w:pStyle w:val="ListParagraph"/>
        <w:numPr>
          <w:ilvl w:val="0"/>
          <w:numId w:val="2"/>
        </w:numPr>
        <w:spacing w:after="0" w:line="360" w:lineRule="auto"/>
        <w:jc w:val="both"/>
        <w:rPr>
          <w:rFonts w:cstheme="minorHAnsi"/>
        </w:rPr>
      </w:pPr>
      <w:r w:rsidRPr="00B76118">
        <w:rPr>
          <w:rFonts w:cstheme="minorHAnsi"/>
        </w:rPr>
        <w:t>Effect – impact on crime</w:t>
      </w:r>
    </w:p>
    <w:p w14:paraId="3BB016C5" w14:textId="77777777" w:rsidR="00725AB3" w:rsidRPr="00B76118" w:rsidRDefault="00725AB3" w:rsidP="009D6A83">
      <w:pPr>
        <w:pStyle w:val="ListParagraph"/>
        <w:numPr>
          <w:ilvl w:val="0"/>
          <w:numId w:val="2"/>
        </w:numPr>
        <w:spacing w:after="0" w:line="360" w:lineRule="auto"/>
        <w:jc w:val="both"/>
        <w:rPr>
          <w:rFonts w:cstheme="minorHAnsi"/>
        </w:rPr>
      </w:pPr>
      <w:r w:rsidRPr="00B76118">
        <w:rPr>
          <w:rFonts w:cstheme="minorHAnsi"/>
        </w:rPr>
        <w:t>Mechanism – how it works</w:t>
      </w:r>
    </w:p>
    <w:p w14:paraId="6D664A85" w14:textId="77777777" w:rsidR="00725AB3" w:rsidRPr="00B76118" w:rsidRDefault="00725AB3" w:rsidP="009D6A83">
      <w:pPr>
        <w:pStyle w:val="ListParagraph"/>
        <w:numPr>
          <w:ilvl w:val="0"/>
          <w:numId w:val="2"/>
        </w:numPr>
        <w:spacing w:after="0" w:line="360" w:lineRule="auto"/>
        <w:jc w:val="both"/>
        <w:rPr>
          <w:rFonts w:cstheme="minorHAnsi"/>
        </w:rPr>
      </w:pPr>
      <w:r w:rsidRPr="00B76118">
        <w:rPr>
          <w:rFonts w:cstheme="minorHAnsi"/>
        </w:rPr>
        <w:lastRenderedPageBreak/>
        <w:t>Moderators- where it works</w:t>
      </w:r>
    </w:p>
    <w:p w14:paraId="0845D10C" w14:textId="77777777" w:rsidR="00725AB3" w:rsidRPr="00B76118" w:rsidRDefault="00725AB3" w:rsidP="009D6A83">
      <w:pPr>
        <w:pStyle w:val="ListParagraph"/>
        <w:numPr>
          <w:ilvl w:val="0"/>
          <w:numId w:val="2"/>
        </w:numPr>
        <w:spacing w:after="0" w:line="360" w:lineRule="auto"/>
        <w:jc w:val="both"/>
        <w:rPr>
          <w:rFonts w:cstheme="minorHAnsi"/>
        </w:rPr>
      </w:pPr>
      <w:r w:rsidRPr="00B76118">
        <w:rPr>
          <w:rFonts w:cstheme="minorHAnsi"/>
        </w:rPr>
        <w:t>Implementation – how to do it</w:t>
      </w:r>
    </w:p>
    <w:p w14:paraId="79716F3B" w14:textId="77777777" w:rsidR="00725AB3" w:rsidRPr="00B76118" w:rsidRDefault="00725AB3" w:rsidP="009D6A83">
      <w:pPr>
        <w:pStyle w:val="ListParagraph"/>
        <w:numPr>
          <w:ilvl w:val="0"/>
          <w:numId w:val="2"/>
        </w:numPr>
        <w:spacing w:after="0" w:line="360" w:lineRule="auto"/>
        <w:jc w:val="both"/>
        <w:rPr>
          <w:rFonts w:cstheme="minorHAnsi"/>
        </w:rPr>
      </w:pPr>
      <w:r w:rsidRPr="00B76118">
        <w:rPr>
          <w:rFonts w:cstheme="minorHAnsi"/>
        </w:rPr>
        <w:t>Economic Cost – how much it costs</w:t>
      </w:r>
    </w:p>
    <w:p w14:paraId="3DE8A07D" w14:textId="77777777" w:rsidR="00D14CF8" w:rsidRDefault="00D14CF8" w:rsidP="009D6A83">
      <w:pPr>
        <w:autoSpaceDE w:val="0"/>
        <w:autoSpaceDN w:val="0"/>
        <w:adjustRightInd w:val="0"/>
        <w:spacing w:line="360" w:lineRule="auto"/>
        <w:rPr>
          <w:rFonts w:cstheme="minorHAnsi"/>
        </w:rPr>
      </w:pPr>
    </w:p>
    <w:p w14:paraId="17B43B8D" w14:textId="434A951B" w:rsidR="00725AB3" w:rsidRPr="00B76118" w:rsidRDefault="00725AB3" w:rsidP="009D6A83">
      <w:pPr>
        <w:autoSpaceDE w:val="0"/>
        <w:autoSpaceDN w:val="0"/>
        <w:adjustRightInd w:val="0"/>
        <w:spacing w:line="360" w:lineRule="auto"/>
        <w:rPr>
          <w:rFonts w:cstheme="minorHAnsi"/>
        </w:rPr>
      </w:pPr>
      <w:r w:rsidRPr="00B76118">
        <w:rPr>
          <w:rFonts w:cstheme="minorHAnsi"/>
        </w:rPr>
        <w:t xml:space="preserve">The Toolkit identifies one strategy for reducing crime as being “Hot Spots Policing.” As per Sherman, Garten and </w:t>
      </w:r>
      <w:proofErr w:type="spellStart"/>
      <w:r w:rsidRPr="00B76118">
        <w:rPr>
          <w:rFonts w:cstheme="minorHAnsi"/>
        </w:rPr>
        <w:t>Buerger</w:t>
      </w:r>
      <w:proofErr w:type="spellEnd"/>
      <w:r w:rsidRPr="00B76118">
        <w:rPr>
          <w:rFonts w:cstheme="minorHAnsi"/>
        </w:rPr>
        <w:t xml:space="preserve"> (1995) crime is not generally spread out over a large area, but instead is concentrated in crime “hot spots”. “Hot spot policing” means putting police resources, such as police foot patrols in a specific area, such as a </w:t>
      </w:r>
      <w:proofErr w:type="gramStart"/>
      <w:r w:rsidRPr="00B76118">
        <w:rPr>
          <w:rFonts w:cstheme="minorHAnsi"/>
        </w:rPr>
        <w:t>particular neighbourhood</w:t>
      </w:r>
      <w:proofErr w:type="gramEnd"/>
      <w:r w:rsidRPr="00B76118">
        <w:rPr>
          <w:rFonts w:cstheme="minorHAnsi"/>
        </w:rPr>
        <w:t xml:space="preserve"> with a high concentration of crime, rather than throughout a larger area, such as a whole city.</w:t>
      </w:r>
    </w:p>
    <w:p w14:paraId="2F200300" w14:textId="44A9DB30" w:rsidR="00725AB3" w:rsidRPr="00B76118" w:rsidRDefault="00725AB3" w:rsidP="009D6A83">
      <w:pPr>
        <w:autoSpaceDE w:val="0"/>
        <w:autoSpaceDN w:val="0"/>
        <w:adjustRightInd w:val="0"/>
        <w:spacing w:line="360" w:lineRule="auto"/>
        <w:rPr>
          <w:rFonts w:cstheme="minorHAnsi"/>
        </w:rPr>
      </w:pPr>
      <w:r w:rsidRPr="00B76118">
        <w:rPr>
          <w:rFonts w:cstheme="minorHAnsi"/>
        </w:rPr>
        <w:t xml:space="preserve">It was found that 62 of 78 hot spots areas showed a reduction in crime and disorder (Braga, A., </w:t>
      </w:r>
      <w:proofErr w:type="spellStart"/>
      <w:r w:rsidRPr="00B76118">
        <w:rPr>
          <w:rFonts w:cstheme="minorHAnsi"/>
        </w:rPr>
        <w:t>Papachristos</w:t>
      </w:r>
      <w:proofErr w:type="spellEnd"/>
      <w:r w:rsidRPr="00B76118">
        <w:rPr>
          <w:rFonts w:cstheme="minorHAnsi"/>
        </w:rPr>
        <w:t xml:space="preserve">, A. and Hureau, D. (2012). Hot spots policing also seems to show that crime does not move to nearby areas, but instead hot spots policing controls crime and the benefit of this spreads into the surrounding areas (Braga, A., </w:t>
      </w:r>
      <w:proofErr w:type="spellStart"/>
      <w:r w:rsidRPr="00B76118">
        <w:rPr>
          <w:rFonts w:cstheme="minorHAnsi"/>
        </w:rPr>
        <w:t>Papachristos</w:t>
      </w:r>
      <w:proofErr w:type="spellEnd"/>
      <w:r w:rsidRPr="00B76118">
        <w:rPr>
          <w:rFonts w:cstheme="minorHAnsi"/>
        </w:rPr>
        <w:t>, A. and Hureau, D. (2012).  The review found that hot spots policing was an effective crime reduction strategy and that police forces should invest resources into areas of high crime</w:t>
      </w:r>
      <w:r w:rsidR="00C66250">
        <w:rPr>
          <w:rFonts w:cstheme="minorHAnsi"/>
        </w:rPr>
        <w:t xml:space="preserve"> </w:t>
      </w:r>
      <w:r w:rsidRPr="00B76118">
        <w:rPr>
          <w:rFonts w:cstheme="minorHAnsi"/>
        </w:rPr>
        <w:t xml:space="preserve">(Braga, A., </w:t>
      </w:r>
      <w:proofErr w:type="spellStart"/>
      <w:r w:rsidRPr="00B76118">
        <w:rPr>
          <w:rFonts w:cstheme="minorHAnsi"/>
        </w:rPr>
        <w:t>Papachristos</w:t>
      </w:r>
      <w:proofErr w:type="spellEnd"/>
      <w:r w:rsidRPr="00B76118">
        <w:rPr>
          <w:rFonts w:cstheme="minorHAnsi"/>
        </w:rPr>
        <w:t>, A. and Hureau, D</w:t>
      </w:r>
      <w:r w:rsidR="00C66250">
        <w:rPr>
          <w:rFonts w:cstheme="minorHAnsi"/>
        </w:rPr>
        <w:t xml:space="preserve"> </w:t>
      </w:r>
      <w:r w:rsidRPr="00B76118">
        <w:rPr>
          <w:rFonts w:cstheme="minorHAnsi"/>
        </w:rPr>
        <w:t xml:space="preserve">2012). </w:t>
      </w:r>
    </w:p>
    <w:p w14:paraId="335F1CB2" w14:textId="14C857A1" w:rsidR="00725AB3" w:rsidRPr="005808A1" w:rsidRDefault="00725AB3" w:rsidP="005808A1">
      <w:pPr>
        <w:pStyle w:val="NormalWeb"/>
        <w:shd w:val="clear" w:color="auto" w:fill="FFFFFF"/>
        <w:spacing w:before="0" w:beforeAutospacing="0" w:after="0" w:afterAutospacing="0" w:line="360" w:lineRule="atLeast"/>
        <w:ind w:hanging="120"/>
        <w:rPr>
          <w:rFonts w:asciiTheme="minorHAnsi" w:hAnsiTheme="minorHAnsi" w:cstheme="minorHAnsi"/>
          <w:sz w:val="22"/>
          <w:szCs w:val="22"/>
        </w:rPr>
      </w:pPr>
      <w:r w:rsidRPr="00B76118">
        <w:rPr>
          <w:rFonts w:asciiTheme="minorHAnsi" w:hAnsiTheme="minorHAnsi" w:cstheme="minorHAnsi"/>
          <w:sz w:val="22"/>
          <w:szCs w:val="22"/>
        </w:rPr>
        <w:t xml:space="preserve">Another </w:t>
      </w:r>
      <w:r w:rsidRPr="005808A1">
        <w:rPr>
          <w:rFonts w:asciiTheme="minorHAnsi" w:hAnsiTheme="minorHAnsi" w:cstheme="minorHAnsi"/>
          <w:sz w:val="22"/>
          <w:szCs w:val="22"/>
        </w:rPr>
        <w:t>effective strategy for reducing crime according to the CoP’s Toolkit is Problem Orientated</w:t>
      </w:r>
      <w:r w:rsidR="00F268D5">
        <w:rPr>
          <w:rFonts w:asciiTheme="minorHAnsi" w:hAnsiTheme="minorHAnsi" w:cstheme="minorHAnsi"/>
          <w:sz w:val="22"/>
          <w:szCs w:val="22"/>
        </w:rPr>
        <w:t xml:space="preserve"> P</w:t>
      </w:r>
      <w:r w:rsidRPr="005808A1">
        <w:rPr>
          <w:rFonts w:asciiTheme="minorHAnsi" w:hAnsiTheme="minorHAnsi" w:cstheme="minorHAnsi"/>
          <w:sz w:val="22"/>
          <w:szCs w:val="22"/>
        </w:rPr>
        <w:t>olicing</w:t>
      </w:r>
      <w:r w:rsidR="005808A1" w:rsidRPr="005808A1">
        <w:rPr>
          <w:rFonts w:asciiTheme="minorHAnsi" w:hAnsiTheme="minorHAnsi" w:cstheme="minorHAnsi"/>
          <w:sz w:val="22"/>
          <w:szCs w:val="22"/>
        </w:rPr>
        <w:t xml:space="preserve"> </w:t>
      </w:r>
      <w:r w:rsidR="005808A1" w:rsidRPr="005808A1">
        <w:rPr>
          <w:rStyle w:val="selectable"/>
          <w:rFonts w:asciiTheme="minorHAnsi" w:hAnsiTheme="minorHAnsi" w:cstheme="minorHAnsi"/>
          <w:color w:val="000000"/>
          <w:sz w:val="22"/>
          <w:szCs w:val="22"/>
        </w:rPr>
        <w:t>(</w:t>
      </w:r>
      <w:r w:rsidR="00243C6D">
        <w:rPr>
          <w:rStyle w:val="selectable"/>
          <w:rFonts w:asciiTheme="minorHAnsi" w:hAnsiTheme="minorHAnsi" w:cstheme="minorHAnsi"/>
          <w:color w:val="000000"/>
          <w:sz w:val="22"/>
          <w:szCs w:val="22"/>
        </w:rPr>
        <w:t xml:space="preserve">College of Policing, </w:t>
      </w:r>
      <w:proofErr w:type="spellStart"/>
      <w:r w:rsidR="00243C6D">
        <w:rPr>
          <w:rStyle w:val="selectable"/>
          <w:rFonts w:asciiTheme="minorHAnsi" w:hAnsiTheme="minorHAnsi" w:cstheme="minorHAnsi"/>
          <w:color w:val="000000"/>
          <w:sz w:val="22"/>
          <w:szCs w:val="22"/>
        </w:rPr>
        <w:t>n.d</w:t>
      </w:r>
      <w:proofErr w:type="spellEnd"/>
      <w:r w:rsidR="005808A1" w:rsidRPr="005808A1">
        <w:rPr>
          <w:rStyle w:val="selectable"/>
          <w:rFonts w:asciiTheme="minorHAnsi" w:hAnsiTheme="minorHAnsi" w:cstheme="minorHAnsi"/>
          <w:color w:val="000000"/>
          <w:sz w:val="22"/>
          <w:szCs w:val="22"/>
        </w:rPr>
        <w:t>)</w:t>
      </w:r>
      <w:r w:rsidRPr="005808A1">
        <w:rPr>
          <w:rFonts w:asciiTheme="minorHAnsi" w:hAnsiTheme="minorHAnsi" w:cstheme="minorHAnsi"/>
          <w:sz w:val="22"/>
          <w:szCs w:val="22"/>
        </w:rPr>
        <w:t>.</w:t>
      </w:r>
      <w:r w:rsidRPr="00B76118">
        <w:rPr>
          <w:rFonts w:asciiTheme="minorHAnsi" w:hAnsiTheme="minorHAnsi" w:cstheme="minorHAnsi"/>
          <w:sz w:val="22"/>
          <w:szCs w:val="22"/>
        </w:rPr>
        <w:t xml:space="preserve"> This method tries to identify a specific problem, understand why the problem is happening, which then allows the police to develop an approach to that problem. </w:t>
      </w:r>
      <w:r w:rsidRPr="005808A1">
        <w:rPr>
          <w:rFonts w:asciiTheme="minorHAnsi" w:hAnsiTheme="minorHAnsi" w:cstheme="minorHAnsi"/>
          <w:sz w:val="22"/>
          <w:szCs w:val="22"/>
        </w:rPr>
        <w:t>POP has four steps – scanning, analysis, response and assessment (known as the “SARA” model) (</w:t>
      </w:r>
      <w:proofErr w:type="spellStart"/>
      <w:r w:rsidRPr="005808A1">
        <w:rPr>
          <w:rFonts w:asciiTheme="minorHAnsi" w:hAnsiTheme="minorHAnsi" w:cstheme="minorHAnsi"/>
          <w:sz w:val="22"/>
          <w:szCs w:val="22"/>
        </w:rPr>
        <w:t>Visher</w:t>
      </w:r>
      <w:proofErr w:type="spellEnd"/>
      <w:r w:rsidRPr="005808A1">
        <w:rPr>
          <w:rFonts w:asciiTheme="minorHAnsi" w:hAnsiTheme="minorHAnsi" w:cstheme="minorHAnsi"/>
          <w:sz w:val="22"/>
          <w:szCs w:val="22"/>
        </w:rPr>
        <w:t xml:space="preserve">, Weisburd (1998). One example of POP is the introduction of drug courts. According to </w:t>
      </w:r>
      <w:proofErr w:type="spellStart"/>
      <w:r w:rsidRPr="005808A1">
        <w:rPr>
          <w:rFonts w:asciiTheme="minorHAnsi" w:hAnsiTheme="minorHAnsi" w:cstheme="minorHAnsi"/>
          <w:sz w:val="22"/>
          <w:szCs w:val="22"/>
        </w:rPr>
        <w:t>Visher</w:t>
      </w:r>
      <w:proofErr w:type="spellEnd"/>
      <w:r w:rsidRPr="005808A1">
        <w:rPr>
          <w:rFonts w:asciiTheme="minorHAnsi" w:hAnsiTheme="minorHAnsi" w:cstheme="minorHAnsi"/>
          <w:sz w:val="22"/>
          <w:szCs w:val="22"/>
        </w:rPr>
        <w:t xml:space="preserve"> and Weisburd (1998)</w:t>
      </w:r>
      <w:r w:rsidR="000C3975" w:rsidRPr="005808A1">
        <w:rPr>
          <w:rFonts w:asciiTheme="minorHAnsi" w:hAnsiTheme="minorHAnsi" w:cstheme="minorHAnsi"/>
        </w:rPr>
        <w:t>,</w:t>
      </w:r>
      <w:r w:rsidRPr="005808A1">
        <w:rPr>
          <w:rFonts w:asciiTheme="minorHAnsi" w:hAnsiTheme="minorHAnsi" w:cstheme="minorHAnsi"/>
          <w:sz w:val="22"/>
          <w:szCs w:val="22"/>
        </w:rPr>
        <w:t xml:space="preserve"> research shows that offenders with drug and/or alcohol problems are more likely to turn to crime. The police have used this knowledge to introduce drug courts into the Criminal Justice System. </w:t>
      </w:r>
    </w:p>
    <w:p w14:paraId="4C39C6D7" w14:textId="77777777" w:rsidR="005808A1" w:rsidRPr="00250CB2" w:rsidRDefault="005808A1" w:rsidP="005808A1">
      <w:pPr>
        <w:pStyle w:val="NormalWeb"/>
        <w:shd w:val="clear" w:color="auto" w:fill="FFFFFF"/>
        <w:spacing w:before="0" w:beforeAutospacing="0" w:after="0" w:afterAutospacing="0" w:line="360" w:lineRule="atLeast"/>
        <w:ind w:hanging="120"/>
        <w:rPr>
          <w:rFonts w:asciiTheme="minorHAnsi" w:hAnsiTheme="minorHAnsi" w:cstheme="minorHAnsi"/>
          <w:color w:val="666666"/>
          <w:sz w:val="20"/>
          <w:szCs w:val="20"/>
        </w:rPr>
      </w:pPr>
    </w:p>
    <w:p w14:paraId="47AD510D" w14:textId="352F1E5F" w:rsidR="00725AB3" w:rsidRPr="00250CB2" w:rsidRDefault="00725AB3" w:rsidP="009D6A83">
      <w:pPr>
        <w:spacing w:line="360" w:lineRule="auto"/>
        <w:jc w:val="both"/>
        <w:rPr>
          <w:rFonts w:cstheme="minorHAnsi"/>
          <w:sz w:val="20"/>
          <w:szCs w:val="20"/>
        </w:rPr>
      </w:pPr>
      <w:r w:rsidRPr="00250CB2">
        <w:rPr>
          <w:rFonts w:cstheme="minorHAnsi"/>
          <w:sz w:val="20"/>
          <w:szCs w:val="20"/>
        </w:rPr>
        <w:t>Listed as one of the best strategies for reducing crime on the Toolkit</w:t>
      </w:r>
      <w:r w:rsidR="00250CB2" w:rsidRPr="00250CB2">
        <w:rPr>
          <w:rFonts w:cstheme="minorHAnsi"/>
          <w:sz w:val="20"/>
          <w:szCs w:val="20"/>
        </w:rPr>
        <w:t xml:space="preserve"> </w:t>
      </w:r>
      <w:r w:rsidR="00250CB2" w:rsidRPr="00250CB2">
        <w:rPr>
          <w:rFonts w:cstheme="minorHAnsi"/>
          <w:color w:val="000000"/>
          <w:sz w:val="20"/>
          <w:szCs w:val="20"/>
          <w:shd w:val="clear" w:color="auto" w:fill="FFFFFF"/>
        </w:rPr>
        <w:t xml:space="preserve">(Fleming, Fyfe and </w:t>
      </w:r>
      <w:proofErr w:type="spellStart"/>
      <w:r w:rsidR="00250CB2" w:rsidRPr="00250CB2">
        <w:rPr>
          <w:rFonts w:cstheme="minorHAnsi"/>
          <w:color w:val="000000"/>
          <w:sz w:val="20"/>
          <w:szCs w:val="20"/>
          <w:shd w:val="clear" w:color="auto" w:fill="FFFFFF"/>
        </w:rPr>
        <w:t>Wingrove</w:t>
      </w:r>
      <w:proofErr w:type="spellEnd"/>
      <w:r w:rsidR="00250CB2" w:rsidRPr="00250CB2">
        <w:rPr>
          <w:rFonts w:cstheme="minorHAnsi"/>
          <w:color w:val="000000"/>
          <w:sz w:val="20"/>
          <w:szCs w:val="20"/>
          <w:shd w:val="clear" w:color="auto" w:fill="FFFFFF"/>
        </w:rPr>
        <w:t>, 2016)</w:t>
      </w:r>
      <w:r w:rsidRPr="00250CB2">
        <w:rPr>
          <w:rFonts w:cstheme="minorHAnsi"/>
          <w:sz w:val="20"/>
          <w:szCs w:val="20"/>
        </w:rPr>
        <w:t>, drug courts are for offenders who are drug users or addicts and are used instead of the usual courts. The judge and the drug court team provide drug rehabilitation services and support to the offender for the time that the programme runs. If, at the end of the programme, the offender has not re-offended then their charges are dropped or reduced</w:t>
      </w:r>
      <w:r w:rsidR="0093391D">
        <w:rPr>
          <w:rFonts w:cstheme="minorHAnsi"/>
          <w:sz w:val="20"/>
          <w:szCs w:val="20"/>
        </w:rPr>
        <w:t xml:space="preserve"> </w:t>
      </w:r>
      <w:r w:rsidR="0093391D">
        <w:rPr>
          <w:rFonts w:ascii="Arial" w:hAnsi="Arial" w:cs="Arial"/>
          <w:color w:val="000000"/>
          <w:sz w:val="20"/>
          <w:szCs w:val="20"/>
          <w:shd w:val="clear" w:color="auto" w:fill="FFFFFF"/>
        </w:rPr>
        <w:t xml:space="preserve">(Fleming, Fyfe and </w:t>
      </w:r>
      <w:proofErr w:type="spellStart"/>
      <w:r w:rsidR="0093391D">
        <w:rPr>
          <w:rFonts w:ascii="Arial" w:hAnsi="Arial" w:cs="Arial"/>
          <w:color w:val="000000"/>
          <w:sz w:val="20"/>
          <w:szCs w:val="20"/>
          <w:shd w:val="clear" w:color="auto" w:fill="FFFFFF"/>
        </w:rPr>
        <w:t>Wingrove</w:t>
      </w:r>
      <w:proofErr w:type="spellEnd"/>
      <w:r w:rsidR="0093391D">
        <w:rPr>
          <w:rFonts w:ascii="Arial" w:hAnsi="Arial" w:cs="Arial"/>
          <w:color w:val="000000"/>
          <w:sz w:val="20"/>
          <w:szCs w:val="20"/>
          <w:shd w:val="clear" w:color="auto" w:fill="FFFFFF"/>
        </w:rPr>
        <w:t>, 2016)</w:t>
      </w:r>
      <w:r w:rsidRPr="00250CB2">
        <w:rPr>
          <w:rFonts w:cstheme="minorHAnsi"/>
          <w:sz w:val="20"/>
          <w:szCs w:val="20"/>
        </w:rPr>
        <w:t>. If this does not work, however, the offender may need to go through the normal court process or face other punishment. A review of 60 studies in the USA by Shaffer (2006) found that drug courts reduced re-offending from 54.4 where offenders went through the usual courts to 45.5% of offenders referred to the drug courts.  The drug courts are another good example of how using the CoP Toolkit and POP developed through evidence-based policing can create an effective crime reduction strategy.</w:t>
      </w:r>
    </w:p>
    <w:p w14:paraId="4F133F4F" w14:textId="19C8D601" w:rsidR="00725AB3" w:rsidRPr="00B76118" w:rsidRDefault="00725AB3" w:rsidP="009D6A83">
      <w:pPr>
        <w:spacing w:line="360" w:lineRule="auto"/>
        <w:jc w:val="both"/>
        <w:rPr>
          <w:rFonts w:cstheme="minorHAnsi"/>
        </w:rPr>
      </w:pPr>
      <w:r w:rsidRPr="00B76118">
        <w:rPr>
          <w:rFonts w:cstheme="minorHAnsi"/>
        </w:rPr>
        <w:lastRenderedPageBreak/>
        <w:t>Not only does evidence based policing help to identify what strategies work to reduce crime but it also identifies and shows those strategies that do not. According to the CoP’s Toolkit</w:t>
      </w:r>
      <w:r w:rsidR="00A704BB">
        <w:rPr>
          <w:rFonts w:cstheme="minorHAnsi"/>
        </w:rPr>
        <w:t xml:space="preserve"> (College of Policing</w:t>
      </w:r>
      <w:r w:rsidR="00DE27FA">
        <w:rPr>
          <w:rFonts w:cstheme="minorHAnsi"/>
        </w:rPr>
        <w:t xml:space="preserve">, </w:t>
      </w:r>
      <w:proofErr w:type="spellStart"/>
      <w:proofErr w:type="gramStart"/>
      <w:r w:rsidR="00DE27FA">
        <w:rPr>
          <w:rFonts w:cstheme="minorHAnsi"/>
        </w:rPr>
        <w:t>n,d</w:t>
      </w:r>
      <w:proofErr w:type="spellEnd"/>
      <w:proofErr w:type="gramEnd"/>
      <w:r w:rsidR="00DE27FA">
        <w:rPr>
          <w:rFonts w:cstheme="minorHAnsi"/>
        </w:rPr>
        <w:t>)</w:t>
      </w:r>
      <w:r w:rsidRPr="00B76118">
        <w:rPr>
          <w:rFonts w:cstheme="minorHAnsi"/>
        </w:rPr>
        <w:t>,</w:t>
      </w:r>
      <w:r w:rsidR="00DE27FA">
        <w:rPr>
          <w:rFonts w:cstheme="minorHAnsi"/>
        </w:rPr>
        <w:t xml:space="preserve"> </w:t>
      </w:r>
      <w:r w:rsidRPr="00B76118">
        <w:rPr>
          <w:rFonts w:cstheme="minorHAnsi"/>
        </w:rPr>
        <w:t xml:space="preserve">one strategy that does not reduce re-offending but actually increases offending is “Scared Straight” programmes. This programme is where prison inmates share their experience of prison and life stories with young people who are likely to re-offend in future. Evidence has shown that these programmes have </w:t>
      </w:r>
      <w:proofErr w:type="gramStart"/>
      <w:r w:rsidRPr="00B76118">
        <w:rPr>
          <w:rFonts w:cstheme="minorHAnsi"/>
        </w:rPr>
        <w:t>actually increased</w:t>
      </w:r>
      <w:proofErr w:type="gramEnd"/>
      <w:r w:rsidRPr="00B76118">
        <w:rPr>
          <w:rFonts w:cstheme="minorHAnsi"/>
        </w:rPr>
        <w:t xml:space="preserve"> re-offending. One review showed that young offenders who took part in the programme were 68% more likely to re-offend than young offenders who did not take part (</w:t>
      </w:r>
      <w:proofErr w:type="spellStart"/>
      <w:r w:rsidRPr="00B76118">
        <w:rPr>
          <w:rFonts w:cstheme="minorHAnsi"/>
        </w:rPr>
        <w:t>Petrosino</w:t>
      </w:r>
      <w:proofErr w:type="spellEnd"/>
      <w:r w:rsidRPr="00B76118">
        <w:rPr>
          <w:rFonts w:cstheme="minorHAnsi"/>
        </w:rPr>
        <w:t xml:space="preserve"> A., Turpin-</w:t>
      </w:r>
      <w:proofErr w:type="spellStart"/>
      <w:r w:rsidRPr="00B76118">
        <w:rPr>
          <w:rFonts w:cstheme="minorHAnsi"/>
        </w:rPr>
        <w:t>Petrosino</w:t>
      </w:r>
      <w:proofErr w:type="spellEnd"/>
      <w:r w:rsidRPr="00B76118">
        <w:rPr>
          <w:rFonts w:cstheme="minorHAnsi"/>
        </w:rPr>
        <w:t xml:space="preserve"> C., Hollis-Peel M.E., &amp; </w:t>
      </w:r>
      <w:proofErr w:type="spellStart"/>
      <w:r w:rsidRPr="00B76118">
        <w:rPr>
          <w:rFonts w:cstheme="minorHAnsi"/>
        </w:rPr>
        <w:t>Lavenberg</w:t>
      </w:r>
      <w:proofErr w:type="spellEnd"/>
      <w:r w:rsidRPr="00B76118">
        <w:rPr>
          <w:rFonts w:cstheme="minorHAnsi"/>
        </w:rPr>
        <w:t xml:space="preserve"> J.G. (2013)). </w:t>
      </w:r>
    </w:p>
    <w:p w14:paraId="69D8E6CD" w14:textId="77777777" w:rsidR="00725AB3" w:rsidRPr="00B76118" w:rsidRDefault="00725AB3" w:rsidP="009D6A83">
      <w:pPr>
        <w:spacing w:line="360" w:lineRule="auto"/>
        <w:jc w:val="both"/>
        <w:rPr>
          <w:rFonts w:cstheme="minorHAnsi"/>
        </w:rPr>
      </w:pPr>
      <w:r w:rsidRPr="00B76118">
        <w:rPr>
          <w:rFonts w:cstheme="minorHAnsi"/>
        </w:rPr>
        <w:t xml:space="preserve">Evidence based policing and the Toolkit, therefore, does not only help decision makers to identify what works to reduce crime, but also those strategies that do not work and should not be used. </w:t>
      </w:r>
    </w:p>
    <w:p w14:paraId="4E61ED4B" w14:textId="77777777" w:rsidR="00725AB3" w:rsidRPr="00F13CB9" w:rsidRDefault="00725AB3" w:rsidP="009D6A83">
      <w:pPr>
        <w:spacing w:line="360" w:lineRule="auto"/>
        <w:jc w:val="both"/>
        <w:rPr>
          <w:rFonts w:cstheme="minorHAnsi"/>
          <w:b/>
          <w:bCs/>
        </w:rPr>
      </w:pPr>
      <w:r w:rsidRPr="00B76118">
        <w:rPr>
          <w:rFonts w:cstheme="minorHAnsi"/>
        </w:rPr>
        <w:t xml:space="preserve">Evidence-based policing identifies and helps to develop strategies that reduce re-offending. Evidence based policing has led to the CoP developing their Toolkit and has also resulted in the development of strategies such as POP. </w:t>
      </w:r>
      <w:proofErr w:type="gramStart"/>
      <w:r w:rsidRPr="00B76118">
        <w:rPr>
          <w:rFonts w:cstheme="minorHAnsi"/>
        </w:rPr>
        <w:t>Both of these</w:t>
      </w:r>
      <w:proofErr w:type="gramEnd"/>
      <w:r w:rsidRPr="00B76118">
        <w:rPr>
          <w:rFonts w:cstheme="minorHAnsi"/>
        </w:rPr>
        <w:t xml:space="preserve"> are considered to be helpful tools to identify “what works” in policing and in developing policies, practices and decisions which are effective in reducing re-offending.  </w:t>
      </w:r>
    </w:p>
    <w:p w14:paraId="77A6776E" w14:textId="55FE908C" w:rsidR="00927E6C" w:rsidRPr="00F13CB9" w:rsidRDefault="00F13CB9" w:rsidP="009D6A83">
      <w:pPr>
        <w:spacing w:line="360" w:lineRule="auto"/>
        <w:rPr>
          <w:rFonts w:ascii="Calibri" w:hAnsi="Calibri" w:cs="Calibri"/>
          <w:b/>
          <w:bCs/>
        </w:rPr>
      </w:pPr>
      <w:r w:rsidRPr="00F13CB9">
        <w:rPr>
          <w:rFonts w:ascii="Calibri" w:hAnsi="Calibri" w:cs="Calibri"/>
          <w:b/>
          <w:bCs/>
        </w:rPr>
        <w:t xml:space="preserve">Word count- 969 </w:t>
      </w:r>
    </w:p>
    <w:p w14:paraId="2AD26EB8" w14:textId="77777777" w:rsidR="00927E6C" w:rsidRPr="00927E6C" w:rsidRDefault="00927E6C" w:rsidP="009D6A83">
      <w:pPr>
        <w:spacing w:line="360" w:lineRule="auto"/>
      </w:pPr>
    </w:p>
    <w:p w14:paraId="68F36682" w14:textId="666E903F" w:rsidR="00244E7B" w:rsidRDefault="00244E7B" w:rsidP="009D6A83">
      <w:pPr>
        <w:spacing w:line="360" w:lineRule="auto"/>
        <w:jc w:val="center"/>
        <w:rPr>
          <w:sz w:val="48"/>
          <w:szCs w:val="48"/>
        </w:rPr>
      </w:pPr>
    </w:p>
    <w:p w14:paraId="3AA0B028" w14:textId="4192BE41" w:rsidR="000B4A19" w:rsidRPr="000B4A19" w:rsidRDefault="000B4A19" w:rsidP="000B4A19">
      <w:pPr>
        <w:rPr>
          <w:sz w:val="48"/>
          <w:szCs w:val="48"/>
        </w:rPr>
      </w:pPr>
    </w:p>
    <w:p w14:paraId="3599A7A5" w14:textId="62C12B39" w:rsidR="000B4A19" w:rsidRPr="000B4A19" w:rsidRDefault="000B4A19" w:rsidP="000B4A19">
      <w:pPr>
        <w:rPr>
          <w:sz w:val="48"/>
          <w:szCs w:val="48"/>
        </w:rPr>
      </w:pPr>
    </w:p>
    <w:p w14:paraId="27A41215" w14:textId="5C568A71" w:rsidR="000B4A19" w:rsidRPr="000B4A19" w:rsidRDefault="000B4A19" w:rsidP="000B4A19">
      <w:pPr>
        <w:rPr>
          <w:sz w:val="48"/>
          <w:szCs w:val="48"/>
        </w:rPr>
      </w:pPr>
    </w:p>
    <w:p w14:paraId="7F09F095" w14:textId="3B5F74AC" w:rsidR="000B4A19" w:rsidRPr="000B4A19" w:rsidRDefault="000B4A19" w:rsidP="000B4A19">
      <w:pPr>
        <w:rPr>
          <w:sz w:val="48"/>
          <w:szCs w:val="48"/>
        </w:rPr>
      </w:pPr>
    </w:p>
    <w:p w14:paraId="580BBDBB" w14:textId="57BB92AA" w:rsidR="000B4A19" w:rsidRDefault="000B4A19" w:rsidP="000B4A19">
      <w:pPr>
        <w:tabs>
          <w:tab w:val="left" w:pos="1896"/>
        </w:tabs>
        <w:rPr>
          <w:sz w:val="48"/>
          <w:szCs w:val="48"/>
        </w:rPr>
      </w:pPr>
      <w:r>
        <w:rPr>
          <w:sz w:val="48"/>
          <w:szCs w:val="48"/>
        </w:rPr>
        <w:tab/>
      </w:r>
    </w:p>
    <w:p w14:paraId="1F26154E" w14:textId="7CB07627" w:rsidR="000B4A19" w:rsidRDefault="000B4A19" w:rsidP="000B4A19">
      <w:pPr>
        <w:spacing w:after="100" w:afterAutospacing="1" w:line="240" w:lineRule="auto"/>
        <w:outlineLvl w:val="1"/>
        <w:rPr>
          <w:rFonts w:eastAsia="Times New Roman" w:cstheme="minorHAnsi"/>
          <w:color w:val="000000"/>
          <w:lang w:eastAsia="en-GB"/>
        </w:rPr>
      </w:pPr>
    </w:p>
    <w:p w14:paraId="492CBA0D" w14:textId="77777777" w:rsidR="00F13CB9" w:rsidRDefault="00F13CB9" w:rsidP="000B4A19">
      <w:pPr>
        <w:spacing w:after="100" w:afterAutospacing="1" w:line="240" w:lineRule="auto"/>
        <w:outlineLvl w:val="1"/>
        <w:rPr>
          <w:rFonts w:eastAsia="Times New Roman" w:cstheme="minorHAnsi"/>
          <w:color w:val="000000"/>
          <w:lang w:eastAsia="en-GB"/>
        </w:rPr>
      </w:pPr>
    </w:p>
    <w:p w14:paraId="18B1A9B6" w14:textId="38FC7BF8" w:rsidR="000B4A19" w:rsidRPr="000B4A19" w:rsidRDefault="000B4A19" w:rsidP="000B4A19">
      <w:pPr>
        <w:spacing w:after="100" w:afterAutospacing="1" w:line="240" w:lineRule="auto"/>
        <w:outlineLvl w:val="1"/>
        <w:rPr>
          <w:rFonts w:eastAsia="Times New Roman" w:cstheme="minorHAnsi"/>
          <w:color w:val="000000"/>
          <w:lang w:eastAsia="en-GB"/>
        </w:rPr>
      </w:pPr>
      <w:r>
        <w:rPr>
          <w:rFonts w:eastAsia="Times New Roman" w:cstheme="minorHAnsi"/>
          <w:color w:val="000000"/>
          <w:lang w:eastAsia="en-GB"/>
        </w:rPr>
        <w:lastRenderedPageBreak/>
        <w:t xml:space="preserve">Bibliography; </w:t>
      </w:r>
    </w:p>
    <w:p w14:paraId="130C1573"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App.college.police.uk. 2015. </w:t>
      </w:r>
      <w:r w:rsidRPr="000B4A19">
        <w:rPr>
          <w:rFonts w:eastAsia="Times New Roman" w:cstheme="minorHAnsi"/>
          <w:i/>
          <w:iCs/>
          <w:color w:val="000000"/>
          <w:lang w:eastAsia="en-GB"/>
        </w:rPr>
        <w:t>Intelligence cycle</w:t>
      </w:r>
      <w:r w:rsidRPr="000B4A19">
        <w:rPr>
          <w:rFonts w:eastAsia="Times New Roman" w:cstheme="minorHAnsi"/>
          <w:color w:val="000000"/>
          <w:lang w:eastAsia="en-GB"/>
        </w:rPr>
        <w:t>. [online] Available at: &lt;https://www.app.college.police.uk/app-content/intelligence-management/intelligence-cycle/&gt; [Accessed 2 July 2021].</w:t>
      </w:r>
    </w:p>
    <w:p w14:paraId="519F9486"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Bryant, R., Bryant, S. and Blackburn, B., 2018. </w:t>
      </w:r>
      <w:r w:rsidRPr="000B4A19">
        <w:rPr>
          <w:rFonts w:eastAsia="Times New Roman" w:cstheme="minorHAnsi"/>
          <w:i/>
          <w:iCs/>
          <w:color w:val="000000"/>
          <w:lang w:eastAsia="en-GB"/>
        </w:rPr>
        <w:t>Blackstone's handbook for policing students</w:t>
      </w:r>
      <w:r w:rsidRPr="000B4A19">
        <w:rPr>
          <w:rFonts w:eastAsia="Times New Roman" w:cstheme="minorHAnsi"/>
          <w:color w:val="000000"/>
          <w:lang w:eastAsia="en-GB"/>
        </w:rPr>
        <w:t>. 12th ed. Oxford: Oxford University Press, pp.529-540.</w:t>
      </w:r>
    </w:p>
    <w:p w14:paraId="7211B7E9" w14:textId="77777777" w:rsidR="000B4A19" w:rsidRPr="000B4A19" w:rsidRDefault="000B4A19" w:rsidP="000B4A19">
      <w:pPr>
        <w:spacing w:after="180" w:line="240" w:lineRule="auto"/>
        <w:ind w:left="450" w:hanging="450"/>
        <w:rPr>
          <w:rFonts w:eastAsia="Times New Roman" w:cstheme="minorHAnsi"/>
          <w:color w:val="000000"/>
          <w:lang w:eastAsia="en-GB"/>
        </w:rPr>
      </w:pPr>
      <w:proofErr w:type="spellStart"/>
      <w:r w:rsidRPr="000B4A19">
        <w:rPr>
          <w:rFonts w:eastAsia="Times New Roman" w:cstheme="minorHAnsi"/>
          <w:color w:val="000000"/>
          <w:lang w:eastAsia="en-GB"/>
        </w:rPr>
        <w:t>Cambell</w:t>
      </w:r>
      <w:proofErr w:type="spellEnd"/>
      <w:r w:rsidRPr="000B4A19">
        <w:rPr>
          <w:rFonts w:eastAsia="Times New Roman" w:cstheme="minorHAnsi"/>
          <w:color w:val="000000"/>
          <w:lang w:eastAsia="en-GB"/>
        </w:rPr>
        <w:t xml:space="preserve"> Collaboration, 2019. </w:t>
      </w:r>
      <w:r w:rsidRPr="000B4A19">
        <w:rPr>
          <w:rFonts w:eastAsia="Times New Roman" w:cstheme="minorHAnsi"/>
          <w:i/>
          <w:iCs/>
          <w:color w:val="000000"/>
          <w:lang w:eastAsia="en-GB"/>
        </w:rPr>
        <w:t>Hot spots policing is associated with reductions in crime</w:t>
      </w:r>
      <w:r w:rsidRPr="000B4A19">
        <w:rPr>
          <w:rFonts w:eastAsia="Times New Roman" w:cstheme="minorHAnsi"/>
          <w:color w:val="000000"/>
          <w:lang w:eastAsia="en-GB"/>
        </w:rPr>
        <w:t>. [online] Campbellcollaboration.org. Available at: &lt;https://www.campbellcollaboration.org/media/k2/attachments/0112_CJCG_Braga_Update_PLS_EN.pdf&gt; [Accessed 1 July 2021].</w:t>
      </w:r>
    </w:p>
    <w:p w14:paraId="2CC960AE"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CENTREX, 2007. </w:t>
      </w:r>
      <w:r w:rsidRPr="000B4A19">
        <w:rPr>
          <w:rFonts w:eastAsia="Times New Roman" w:cstheme="minorHAnsi"/>
          <w:i/>
          <w:iCs/>
          <w:color w:val="000000"/>
          <w:lang w:eastAsia="en-GB"/>
        </w:rPr>
        <w:t>PRACTICE ADVICE INTRODUCTION TO INTELLIGENCE-LED POLICING</w:t>
      </w:r>
      <w:r w:rsidRPr="000B4A19">
        <w:rPr>
          <w:rFonts w:eastAsia="Times New Roman" w:cstheme="minorHAnsi"/>
          <w:color w:val="000000"/>
          <w:lang w:eastAsia="en-GB"/>
        </w:rPr>
        <w:t>. [online] Bedfordshire: CENTEX, pp.5-24. Available at: &lt;https://web.archive.org/web/20090908192432/http://www.acpo.police.uk/asp/policies/Data/Intelligence_led_policing_17x08x2007.pdf&gt; [Accessed 23 June 2021].</w:t>
      </w:r>
    </w:p>
    <w:p w14:paraId="448EB094"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CIPD, 2019. </w:t>
      </w:r>
      <w:r w:rsidRPr="000B4A19">
        <w:rPr>
          <w:rFonts w:eastAsia="Times New Roman" w:cstheme="minorHAnsi"/>
          <w:i/>
          <w:iCs/>
          <w:color w:val="000000"/>
          <w:lang w:eastAsia="en-GB"/>
        </w:rPr>
        <w:t>An Outline of Coaching</w:t>
      </w:r>
      <w:r w:rsidRPr="000B4A19">
        <w:rPr>
          <w:rFonts w:eastAsia="Times New Roman" w:cstheme="minorHAnsi"/>
          <w:color w:val="000000"/>
          <w:lang w:eastAsia="en-GB"/>
        </w:rPr>
        <w:t>. [online] Crowe-associates.co.uk. Available at: &lt;http://www.crowe-associates.co.uk/wp-content/uploads/2013/01/1388_AN-OUTLINE-OF-COACHING.pdf&gt; [Accessed 3 July 2021].</w:t>
      </w:r>
    </w:p>
    <w:p w14:paraId="3118EE8A"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College of Policing, 2014. </w:t>
      </w:r>
      <w:r w:rsidRPr="000B4A19">
        <w:rPr>
          <w:rFonts w:eastAsia="Times New Roman" w:cstheme="minorHAnsi"/>
          <w:i/>
          <w:iCs/>
          <w:color w:val="000000"/>
          <w:lang w:eastAsia="en-GB"/>
        </w:rPr>
        <w:t xml:space="preserve">Code </w:t>
      </w:r>
      <w:proofErr w:type="gramStart"/>
      <w:r w:rsidRPr="000B4A19">
        <w:rPr>
          <w:rFonts w:eastAsia="Times New Roman" w:cstheme="minorHAnsi"/>
          <w:i/>
          <w:iCs/>
          <w:color w:val="000000"/>
          <w:lang w:eastAsia="en-GB"/>
        </w:rPr>
        <w:t>Of</w:t>
      </w:r>
      <w:proofErr w:type="gramEnd"/>
      <w:r w:rsidRPr="000B4A19">
        <w:rPr>
          <w:rFonts w:eastAsia="Times New Roman" w:cstheme="minorHAnsi"/>
          <w:i/>
          <w:iCs/>
          <w:color w:val="000000"/>
          <w:lang w:eastAsia="en-GB"/>
        </w:rPr>
        <w:t xml:space="preserve"> Ethics</w:t>
      </w:r>
      <w:r w:rsidRPr="000B4A19">
        <w:rPr>
          <w:rFonts w:eastAsia="Times New Roman" w:cstheme="minorHAnsi"/>
          <w:color w:val="000000"/>
          <w:lang w:eastAsia="en-GB"/>
        </w:rPr>
        <w:t>. [online] Coventry: College of Policing. Available at: &lt;https://paas-s3-broker-prod-lon-6453d964-1d1a-432a-9260-5e0ba7d2fc51.s3.eu-west-2.amazonaws.com/s3fs-public/2021-02/code_of_ethics.pdf&gt; [Accessed 3 July 2021].</w:t>
      </w:r>
    </w:p>
    <w:p w14:paraId="2483F6A2"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College of Policing, 2019. </w:t>
      </w:r>
      <w:r w:rsidRPr="000B4A19">
        <w:rPr>
          <w:rFonts w:eastAsia="Times New Roman" w:cstheme="minorHAnsi"/>
          <w:i/>
          <w:iCs/>
          <w:color w:val="000000"/>
          <w:lang w:eastAsia="en-GB"/>
        </w:rPr>
        <w:t>Collection and recording</w:t>
      </w:r>
      <w:r w:rsidRPr="000B4A19">
        <w:rPr>
          <w:rFonts w:eastAsia="Times New Roman" w:cstheme="minorHAnsi"/>
          <w:color w:val="000000"/>
          <w:lang w:eastAsia="en-GB"/>
        </w:rPr>
        <w:t>. [online] App.college.police.uk. Available at: &lt;https://www.app.college.police.uk/app-content/information-management/management-of-police-information/collection-and-recording/#routine-collection&gt; [Accessed 23 June 2021].</w:t>
      </w:r>
    </w:p>
    <w:p w14:paraId="759957CD"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College of Policing, n.d. </w:t>
      </w:r>
      <w:r w:rsidRPr="000B4A19">
        <w:rPr>
          <w:rFonts w:eastAsia="Times New Roman" w:cstheme="minorHAnsi"/>
          <w:i/>
          <w:iCs/>
          <w:color w:val="000000"/>
          <w:lang w:eastAsia="en-GB"/>
        </w:rPr>
        <w:t>Information for systematic reviewers | What Works Centre for Crime Reduction</w:t>
      </w:r>
      <w:r w:rsidRPr="000B4A19">
        <w:rPr>
          <w:rFonts w:eastAsia="Times New Roman" w:cstheme="minorHAnsi"/>
          <w:color w:val="000000"/>
          <w:lang w:eastAsia="en-GB"/>
        </w:rPr>
        <w:t>. [online] Whatworks.college.police.uk. Available at: &lt;https://whatworks.college.police.uk/toolkit/Pages/systematic-reviewers.aspx&gt; [Accessed 1 July 2021].</w:t>
      </w:r>
    </w:p>
    <w:p w14:paraId="16CA4118"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College of Policing. 2021. </w:t>
      </w:r>
      <w:r w:rsidRPr="000B4A19">
        <w:rPr>
          <w:rFonts w:eastAsia="Times New Roman" w:cstheme="minorHAnsi"/>
          <w:i/>
          <w:iCs/>
          <w:color w:val="000000"/>
          <w:lang w:eastAsia="en-GB"/>
        </w:rPr>
        <w:t>Police Constable - College of Policing</w:t>
      </w:r>
      <w:r w:rsidRPr="000B4A19">
        <w:rPr>
          <w:rFonts w:eastAsia="Times New Roman" w:cstheme="minorHAnsi"/>
          <w:color w:val="000000"/>
          <w:lang w:eastAsia="en-GB"/>
        </w:rPr>
        <w:t>. [online] Available at: &lt;https://profdev.college.police.uk/professional-profile/police-constable/#:~:text=Police%20Constable%20Role%20Purpose.%20Constables%20play%20a%20critical,Behaviours.%20All%20roles%20are%20expected%20to%20know%2C%20&gt; [Accessed 19 June 2021].</w:t>
      </w:r>
    </w:p>
    <w:p w14:paraId="683005AA"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 xml:space="preserve">Fleming, J., Fyfe, N. and </w:t>
      </w:r>
      <w:proofErr w:type="spellStart"/>
      <w:r w:rsidRPr="000B4A19">
        <w:rPr>
          <w:rFonts w:eastAsia="Times New Roman" w:cstheme="minorHAnsi"/>
          <w:color w:val="000000"/>
          <w:lang w:eastAsia="en-GB"/>
        </w:rPr>
        <w:t>Wingrove</w:t>
      </w:r>
      <w:proofErr w:type="spellEnd"/>
      <w:r w:rsidRPr="000B4A19">
        <w:rPr>
          <w:rFonts w:eastAsia="Times New Roman" w:cstheme="minorHAnsi"/>
          <w:color w:val="000000"/>
          <w:lang w:eastAsia="en-GB"/>
        </w:rPr>
        <w:t>, J., 2016. </w:t>
      </w:r>
      <w:r w:rsidRPr="000B4A19">
        <w:rPr>
          <w:rFonts w:eastAsia="Times New Roman" w:cstheme="minorHAnsi"/>
          <w:i/>
          <w:iCs/>
          <w:color w:val="000000"/>
          <w:lang w:eastAsia="en-GB"/>
        </w:rPr>
        <w:t>‘Evidence-informed Policing: An Introduction to EMMIE and the Crime Reduction Toolkit’</w:t>
      </w:r>
      <w:r w:rsidRPr="000B4A19">
        <w:rPr>
          <w:rFonts w:eastAsia="Times New Roman" w:cstheme="minorHAnsi"/>
          <w:color w:val="000000"/>
          <w:lang w:eastAsia="en-GB"/>
        </w:rPr>
        <w:t>. [online] United Kingdom. Available at: &lt;https://whatworks.college.police.uk/About/Documents/EIP_pilot_design.pdf&gt; [Accessed 1 July 2021].</w:t>
      </w:r>
    </w:p>
    <w:p w14:paraId="155643B2"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GOV.UK, 2014. </w:t>
      </w:r>
      <w:r w:rsidRPr="000B4A19">
        <w:rPr>
          <w:rFonts w:eastAsia="Times New Roman" w:cstheme="minorHAnsi"/>
          <w:i/>
          <w:iCs/>
          <w:color w:val="000000"/>
          <w:lang w:eastAsia="en-GB"/>
        </w:rPr>
        <w:t>Code of Ethics launched</w:t>
      </w:r>
      <w:r w:rsidRPr="000B4A19">
        <w:rPr>
          <w:rFonts w:eastAsia="Times New Roman" w:cstheme="minorHAnsi"/>
          <w:color w:val="000000"/>
          <w:lang w:eastAsia="en-GB"/>
        </w:rPr>
        <w:t>. [online] GOV.UK. Available at: &lt;https://www.gov.uk/government/news/code-of-ethics-launched&gt; [Accessed 2 July 2021].</w:t>
      </w:r>
    </w:p>
    <w:p w14:paraId="296FBD96"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GOV.UK, 2020. </w:t>
      </w:r>
      <w:r w:rsidRPr="000B4A19">
        <w:rPr>
          <w:rFonts w:eastAsia="Times New Roman" w:cstheme="minorHAnsi"/>
          <w:i/>
          <w:iCs/>
          <w:color w:val="000000"/>
          <w:lang w:eastAsia="en-GB"/>
        </w:rPr>
        <w:t>Roads policing review: call for evidence</w:t>
      </w:r>
      <w:r w:rsidRPr="000B4A19">
        <w:rPr>
          <w:rFonts w:eastAsia="Times New Roman" w:cstheme="minorHAnsi"/>
          <w:color w:val="000000"/>
          <w:lang w:eastAsia="en-GB"/>
        </w:rPr>
        <w:t>. [online] GOV.UK. Available at: &lt;https://www.gov.uk/government/consultations/roads-policing-review-future-methods-to-improve-safety-and-reduce-causalities/roads-policing-review-call-for-evidence&gt; [Accessed 22 June 2021].</w:t>
      </w:r>
    </w:p>
    <w:p w14:paraId="3EC8E6A1"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lastRenderedPageBreak/>
        <w:t>Green, T. and Gates, A., 2014. Understanding the Process of Professionalisation in the Police Organisation. </w:t>
      </w:r>
      <w:r w:rsidRPr="000B4A19">
        <w:rPr>
          <w:rFonts w:eastAsia="Times New Roman" w:cstheme="minorHAnsi"/>
          <w:i/>
          <w:iCs/>
          <w:color w:val="000000"/>
          <w:lang w:eastAsia="en-GB"/>
        </w:rPr>
        <w:t>The Police Journal: Theory, Practice and Principles</w:t>
      </w:r>
      <w:r w:rsidRPr="000B4A19">
        <w:rPr>
          <w:rFonts w:eastAsia="Times New Roman" w:cstheme="minorHAnsi"/>
          <w:color w:val="000000"/>
          <w:lang w:eastAsia="en-GB"/>
        </w:rPr>
        <w:t>, [online] 87(2), pp.75-91. Available at: &lt;https://journals.sagepub.com/doi/pdf/10.1350/pojo.2014.87.2.662&gt; [Accessed 4 July 2021].</w:t>
      </w:r>
    </w:p>
    <w:p w14:paraId="3C447EBD"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Gwent Police, 2021. </w:t>
      </w:r>
      <w:r w:rsidRPr="000B4A19">
        <w:rPr>
          <w:rFonts w:eastAsia="Times New Roman" w:cstheme="minorHAnsi"/>
          <w:i/>
          <w:iCs/>
          <w:color w:val="000000"/>
          <w:lang w:eastAsia="en-GB"/>
        </w:rPr>
        <w:t>Code of Ethics</w:t>
      </w:r>
      <w:r w:rsidRPr="000B4A19">
        <w:rPr>
          <w:rFonts w:eastAsia="Times New Roman" w:cstheme="minorHAnsi"/>
          <w:color w:val="000000"/>
          <w:lang w:eastAsia="en-GB"/>
        </w:rPr>
        <w:t>. [online] Gwent.police.uk. Available at: &lt;https://www.gwent.police.uk/police-forces/gwent-police/areas/about-us/about-us/code-of-ethics/&gt; [Accessed 3 July 2021].</w:t>
      </w:r>
    </w:p>
    <w:p w14:paraId="2ABEE0BE"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Gwent Police, n.d. </w:t>
      </w:r>
      <w:r w:rsidRPr="000B4A19">
        <w:rPr>
          <w:rFonts w:eastAsia="Times New Roman" w:cstheme="minorHAnsi"/>
          <w:i/>
          <w:iCs/>
          <w:color w:val="000000"/>
          <w:lang w:eastAsia="en-GB"/>
        </w:rPr>
        <w:t xml:space="preserve">National Intelligence Model. Tasking and Co-ordination </w:t>
      </w:r>
      <w:proofErr w:type="gramStart"/>
      <w:r w:rsidRPr="000B4A19">
        <w:rPr>
          <w:rFonts w:eastAsia="Times New Roman" w:cstheme="minorHAnsi"/>
          <w:i/>
          <w:iCs/>
          <w:color w:val="000000"/>
          <w:lang w:eastAsia="en-GB"/>
        </w:rPr>
        <w:t>policy.</w:t>
      </w:r>
      <w:r w:rsidRPr="000B4A19">
        <w:rPr>
          <w:rFonts w:eastAsia="Times New Roman" w:cstheme="minorHAnsi"/>
          <w:color w:val="000000"/>
          <w:lang w:eastAsia="en-GB"/>
        </w:rPr>
        <w:t>.</w:t>
      </w:r>
      <w:proofErr w:type="gramEnd"/>
      <w:r w:rsidRPr="000B4A19">
        <w:rPr>
          <w:rFonts w:eastAsia="Times New Roman" w:cstheme="minorHAnsi"/>
          <w:color w:val="000000"/>
          <w:lang w:eastAsia="en-GB"/>
        </w:rPr>
        <w:t xml:space="preserve"> [online] Intelligenceanalysis.net. Available at: &lt;http://www.intelligenceanalysis.net/Legal%20-%20Gwent%20NIM%20policy.pdf&gt; [Accessed 23 June 2021].</w:t>
      </w:r>
    </w:p>
    <w:p w14:paraId="77C0A8D2"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Heslop, R., 2011. The British Police Service: Professionalisation or ‘McDonaldization</w:t>
      </w:r>
      <w:proofErr w:type="gramStart"/>
      <w:r w:rsidRPr="000B4A19">
        <w:rPr>
          <w:rFonts w:eastAsia="Times New Roman" w:cstheme="minorHAnsi"/>
          <w:color w:val="000000"/>
          <w:lang w:eastAsia="en-GB"/>
        </w:rPr>
        <w:t>’?.</w:t>
      </w:r>
      <w:proofErr w:type="gramEnd"/>
      <w:r w:rsidRPr="000B4A19">
        <w:rPr>
          <w:rFonts w:eastAsia="Times New Roman" w:cstheme="minorHAnsi"/>
          <w:color w:val="000000"/>
          <w:lang w:eastAsia="en-GB"/>
        </w:rPr>
        <w:t> </w:t>
      </w:r>
      <w:r w:rsidRPr="000B4A19">
        <w:rPr>
          <w:rFonts w:eastAsia="Times New Roman" w:cstheme="minorHAnsi"/>
          <w:i/>
          <w:iCs/>
          <w:color w:val="000000"/>
          <w:lang w:eastAsia="en-GB"/>
        </w:rPr>
        <w:t>International Journal of Police Science &amp; Management</w:t>
      </w:r>
      <w:r w:rsidRPr="000B4A19">
        <w:rPr>
          <w:rFonts w:eastAsia="Times New Roman" w:cstheme="minorHAnsi"/>
          <w:color w:val="000000"/>
          <w:lang w:eastAsia="en-GB"/>
        </w:rPr>
        <w:t>, [online] 13(4), pp.312-321. Available at: &lt;https://journals.sagepub.com/doi/pdf/10.1350/ijps.2011.13.4.238&gt; [Accessed 4 July 2021].</w:t>
      </w:r>
    </w:p>
    <w:p w14:paraId="35196B4A"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Higgins, A., 2018. </w:t>
      </w:r>
      <w:r w:rsidRPr="000B4A19">
        <w:rPr>
          <w:rFonts w:eastAsia="Times New Roman" w:cstheme="minorHAnsi"/>
          <w:i/>
          <w:iCs/>
          <w:color w:val="000000"/>
          <w:lang w:eastAsia="en-GB"/>
        </w:rPr>
        <w:t>The Future of Neighbourhood Policing</w:t>
      </w:r>
      <w:r w:rsidRPr="000B4A19">
        <w:rPr>
          <w:rFonts w:eastAsia="Times New Roman" w:cstheme="minorHAnsi"/>
          <w:color w:val="000000"/>
          <w:lang w:eastAsia="en-GB"/>
        </w:rPr>
        <w:t>. [online] London: The Police Foundation, pp.66-73. Available at: &lt;https://www.police-foundation.org.uk/2017/wp-content/uploads/2010/10/TPFJ6112-Neighbourhood-Policing-Report-WEB_2.pdf&gt; [Accessed 4 July 2021].</w:t>
      </w:r>
    </w:p>
    <w:p w14:paraId="2B35B80C"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HM Government, 2018. </w:t>
      </w:r>
      <w:r w:rsidRPr="000B4A19">
        <w:rPr>
          <w:rFonts w:eastAsia="Times New Roman" w:cstheme="minorHAnsi"/>
          <w:i/>
          <w:iCs/>
          <w:color w:val="000000"/>
          <w:lang w:eastAsia="en-GB"/>
        </w:rPr>
        <w:t>Serious and organised crime strategy</w:t>
      </w:r>
      <w:r w:rsidRPr="000B4A19">
        <w:rPr>
          <w:rFonts w:eastAsia="Times New Roman" w:cstheme="minorHAnsi"/>
          <w:color w:val="000000"/>
          <w:lang w:eastAsia="en-GB"/>
        </w:rPr>
        <w:t>. 1st ed. London: HM Government.</w:t>
      </w:r>
    </w:p>
    <w:p w14:paraId="46E266BF"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 xml:space="preserve">Innes, M. and </w:t>
      </w:r>
      <w:proofErr w:type="spellStart"/>
      <w:r w:rsidRPr="000B4A19">
        <w:rPr>
          <w:rFonts w:eastAsia="Times New Roman" w:cstheme="minorHAnsi"/>
          <w:color w:val="000000"/>
          <w:lang w:eastAsia="en-GB"/>
        </w:rPr>
        <w:t>Sheptycki</w:t>
      </w:r>
      <w:proofErr w:type="spellEnd"/>
      <w:r w:rsidRPr="000B4A19">
        <w:rPr>
          <w:rFonts w:eastAsia="Times New Roman" w:cstheme="minorHAnsi"/>
          <w:color w:val="000000"/>
          <w:lang w:eastAsia="en-GB"/>
        </w:rPr>
        <w:t>, J., 2004. From Detection to Disruption. </w:t>
      </w:r>
      <w:r w:rsidRPr="000B4A19">
        <w:rPr>
          <w:rFonts w:eastAsia="Times New Roman" w:cstheme="minorHAnsi"/>
          <w:i/>
          <w:iCs/>
          <w:color w:val="000000"/>
          <w:lang w:eastAsia="en-GB"/>
        </w:rPr>
        <w:t>International Criminal Justice Review</w:t>
      </w:r>
      <w:r w:rsidRPr="000B4A19">
        <w:rPr>
          <w:rFonts w:eastAsia="Times New Roman" w:cstheme="minorHAnsi"/>
          <w:color w:val="000000"/>
          <w:lang w:eastAsia="en-GB"/>
        </w:rPr>
        <w:t>, [online] 14(1), pp.1-24. Available at: &lt;https://journals.sagepub.com/doi/abs/10.1177/105756770401400101?journalCode=icja&gt; [Accessed 23 June 2021].</w:t>
      </w:r>
    </w:p>
    <w:p w14:paraId="768C84AD"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Institute of community cohesion, 2010. </w:t>
      </w:r>
      <w:r w:rsidRPr="000B4A19">
        <w:rPr>
          <w:rFonts w:eastAsia="Times New Roman" w:cstheme="minorHAnsi"/>
          <w:i/>
          <w:iCs/>
          <w:color w:val="000000"/>
          <w:lang w:eastAsia="en-GB"/>
        </w:rPr>
        <w:t>Understanding and monitoring tension and conflict in local communities</w:t>
      </w:r>
      <w:r w:rsidRPr="000B4A19">
        <w:rPr>
          <w:rFonts w:eastAsia="Times New Roman" w:cstheme="minorHAnsi"/>
          <w:color w:val="000000"/>
          <w:lang w:eastAsia="en-GB"/>
        </w:rPr>
        <w:t>. A practical guide for local authorities, police service and partner agencies. [online] Coventry: Institute of community cohesion, pp.4-20. Available at: &lt;http://tedcantle.co.uk/publications/033%20Tension%20monitoring%20guidance%20iCoCo%202010.pdf&gt; [Accessed 3 July 2021].</w:t>
      </w:r>
    </w:p>
    <w:p w14:paraId="07CAD225"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Jefferson, T. and Grimshaw, R., 1984. </w:t>
      </w:r>
      <w:r w:rsidRPr="000B4A19">
        <w:rPr>
          <w:rFonts w:eastAsia="Times New Roman" w:cstheme="minorHAnsi"/>
          <w:i/>
          <w:iCs/>
          <w:color w:val="000000"/>
          <w:lang w:eastAsia="en-GB"/>
        </w:rPr>
        <w:t>Controlling the constable</w:t>
      </w:r>
      <w:r w:rsidRPr="000B4A19">
        <w:rPr>
          <w:rFonts w:eastAsia="Times New Roman" w:cstheme="minorHAnsi"/>
          <w:color w:val="000000"/>
          <w:lang w:eastAsia="en-GB"/>
        </w:rPr>
        <w:t>. 3rd ed. London: F. Muller.</w:t>
      </w:r>
    </w:p>
    <w:p w14:paraId="0AEC7B22"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Jefferson, T., 2011. </w:t>
      </w:r>
      <w:r w:rsidRPr="000B4A19">
        <w:rPr>
          <w:rFonts w:eastAsia="Times New Roman" w:cstheme="minorHAnsi"/>
          <w:i/>
          <w:iCs/>
          <w:color w:val="000000"/>
          <w:lang w:eastAsia="en-GB"/>
        </w:rPr>
        <w:t>Policing the riots: from Bristol and Brixton to Tottenham, via Toxteth, Handsworth, etc | Centre for Crime and Justice Studies</w:t>
      </w:r>
      <w:r w:rsidRPr="000B4A19">
        <w:rPr>
          <w:rFonts w:eastAsia="Times New Roman" w:cstheme="minorHAnsi"/>
          <w:color w:val="000000"/>
          <w:lang w:eastAsia="en-GB"/>
        </w:rPr>
        <w:t>. [online] Crimeandjustice.org.uk. Available at: &lt;https://www.crimeandjustice.org.uk/publications/cjm/article/policing-riots-bristol-and-brixton-tottenham-toxteth-handsworth-etc&gt; [Accessed 3 July 2021].</w:t>
      </w:r>
    </w:p>
    <w:p w14:paraId="2D3C88D7" w14:textId="77777777" w:rsidR="000B4A19" w:rsidRPr="000B4A19" w:rsidRDefault="000B4A19" w:rsidP="000B4A19">
      <w:pPr>
        <w:spacing w:after="180" w:line="240" w:lineRule="auto"/>
        <w:ind w:left="450" w:hanging="450"/>
        <w:rPr>
          <w:rFonts w:eastAsia="Times New Roman" w:cstheme="minorHAnsi"/>
          <w:color w:val="000000"/>
          <w:lang w:eastAsia="en-GB"/>
        </w:rPr>
      </w:pPr>
      <w:proofErr w:type="spellStart"/>
      <w:r w:rsidRPr="000B4A19">
        <w:rPr>
          <w:rFonts w:eastAsia="Times New Roman" w:cstheme="minorHAnsi"/>
          <w:color w:val="000000"/>
          <w:lang w:eastAsia="en-GB"/>
        </w:rPr>
        <w:t>Keningdale</w:t>
      </w:r>
      <w:proofErr w:type="spellEnd"/>
      <w:r w:rsidRPr="000B4A19">
        <w:rPr>
          <w:rFonts w:eastAsia="Times New Roman" w:cstheme="minorHAnsi"/>
          <w:color w:val="000000"/>
          <w:lang w:eastAsia="en-GB"/>
        </w:rPr>
        <w:t>, P., 2020. </w:t>
      </w:r>
      <w:r w:rsidRPr="000B4A19">
        <w:rPr>
          <w:rFonts w:eastAsia="Times New Roman" w:cstheme="minorHAnsi"/>
          <w:i/>
          <w:iCs/>
          <w:color w:val="000000"/>
          <w:lang w:eastAsia="en-GB"/>
        </w:rPr>
        <w:t>The National Intelligence Model</w:t>
      </w:r>
      <w:r w:rsidRPr="000B4A19">
        <w:rPr>
          <w:rFonts w:eastAsia="Times New Roman" w:cstheme="minorHAnsi"/>
          <w:color w:val="000000"/>
          <w:lang w:eastAsia="en-GB"/>
        </w:rPr>
        <w:t>. [online] BSC Policing Network. Available at: &lt;https://bscpolicingnetwork.com/2020/05/26/the-national-intelligence-model/&gt; [Accessed 1 July 2021].</w:t>
      </w:r>
    </w:p>
    <w:p w14:paraId="065A7082"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Kirk, T., 2014. </w:t>
      </w:r>
      <w:r w:rsidRPr="000B4A19">
        <w:rPr>
          <w:rFonts w:eastAsia="Times New Roman" w:cstheme="minorHAnsi"/>
          <w:i/>
          <w:iCs/>
          <w:color w:val="000000"/>
          <w:lang w:eastAsia="en-GB"/>
        </w:rPr>
        <w:t>Wales Reducing Re-offending strategy</w:t>
      </w:r>
      <w:r w:rsidRPr="000B4A19">
        <w:rPr>
          <w:rFonts w:eastAsia="Times New Roman" w:cstheme="minorHAnsi"/>
          <w:color w:val="000000"/>
          <w:lang w:eastAsia="en-GB"/>
        </w:rPr>
        <w:t>. [online] Wales: Welsh GOV. Available at: &lt;https://assets.publishing.service.gov.uk/government/uploads/system/uploads/attachment_data/file/453579/Wales-Reducing-Reoffending-Strategy-_e_.pdf&gt; [Accessed 1 July 2021].</w:t>
      </w:r>
    </w:p>
    <w:p w14:paraId="569ADAE1" w14:textId="77777777" w:rsidR="000B4A19" w:rsidRPr="000B4A19" w:rsidRDefault="000B4A19" w:rsidP="000B4A19">
      <w:pPr>
        <w:spacing w:after="180" w:line="240" w:lineRule="auto"/>
        <w:ind w:left="450" w:hanging="450"/>
        <w:rPr>
          <w:rFonts w:eastAsia="Times New Roman" w:cstheme="minorHAnsi"/>
          <w:color w:val="000000"/>
          <w:lang w:eastAsia="en-GB"/>
        </w:rPr>
      </w:pPr>
      <w:proofErr w:type="spellStart"/>
      <w:r w:rsidRPr="000B4A19">
        <w:rPr>
          <w:rFonts w:eastAsia="Times New Roman" w:cstheme="minorHAnsi"/>
          <w:color w:val="000000"/>
          <w:lang w:eastAsia="en-GB"/>
        </w:rPr>
        <w:t>Kleiven</w:t>
      </w:r>
      <w:proofErr w:type="spellEnd"/>
      <w:r w:rsidRPr="000B4A19">
        <w:rPr>
          <w:rFonts w:eastAsia="Times New Roman" w:cstheme="minorHAnsi"/>
          <w:color w:val="000000"/>
          <w:lang w:eastAsia="en-GB"/>
        </w:rPr>
        <w:t xml:space="preserve">, M., 2007. Where's the Intelligence in the National Intelligence </w:t>
      </w:r>
      <w:proofErr w:type="gramStart"/>
      <w:r w:rsidRPr="000B4A19">
        <w:rPr>
          <w:rFonts w:eastAsia="Times New Roman" w:cstheme="minorHAnsi"/>
          <w:color w:val="000000"/>
          <w:lang w:eastAsia="en-GB"/>
        </w:rPr>
        <w:t>Model?.</w:t>
      </w:r>
      <w:proofErr w:type="gramEnd"/>
      <w:r w:rsidRPr="000B4A19">
        <w:rPr>
          <w:rFonts w:eastAsia="Times New Roman" w:cstheme="minorHAnsi"/>
          <w:color w:val="000000"/>
          <w:lang w:eastAsia="en-GB"/>
        </w:rPr>
        <w:t> </w:t>
      </w:r>
      <w:r w:rsidRPr="000B4A19">
        <w:rPr>
          <w:rFonts w:eastAsia="Times New Roman" w:cstheme="minorHAnsi"/>
          <w:i/>
          <w:iCs/>
          <w:color w:val="000000"/>
          <w:lang w:eastAsia="en-GB"/>
        </w:rPr>
        <w:t>International Journal of Police Science &amp; Management</w:t>
      </w:r>
      <w:r w:rsidRPr="000B4A19">
        <w:rPr>
          <w:rFonts w:eastAsia="Times New Roman" w:cstheme="minorHAnsi"/>
          <w:color w:val="000000"/>
          <w:lang w:eastAsia="en-GB"/>
        </w:rPr>
        <w:t>, [online] 9(3), pp.257-273. Available at: &lt;https://journals.sagepub.com/doi/pdf/10.1350/ijps.2007.9.3.257&gt; [Accessed 1 July 2021].</w:t>
      </w:r>
    </w:p>
    <w:p w14:paraId="0DCBD7A9"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Loftus, E., 2011. Intelligence gathering post-9/11. </w:t>
      </w:r>
      <w:r w:rsidRPr="000B4A19">
        <w:rPr>
          <w:rFonts w:eastAsia="Times New Roman" w:cstheme="minorHAnsi"/>
          <w:i/>
          <w:iCs/>
          <w:color w:val="000000"/>
          <w:lang w:eastAsia="en-GB"/>
        </w:rPr>
        <w:t>American Psychologist</w:t>
      </w:r>
      <w:r w:rsidRPr="000B4A19">
        <w:rPr>
          <w:rFonts w:eastAsia="Times New Roman" w:cstheme="minorHAnsi"/>
          <w:color w:val="000000"/>
          <w:lang w:eastAsia="en-GB"/>
        </w:rPr>
        <w:t>, [online] 66(6), pp.532-541. Available at: &lt;https://web-b-ebscohost-</w:t>
      </w:r>
      <w:r w:rsidRPr="000B4A19">
        <w:rPr>
          <w:rFonts w:eastAsia="Times New Roman" w:cstheme="minorHAnsi"/>
          <w:color w:val="000000"/>
          <w:lang w:eastAsia="en-GB"/>
        </w:rPr>
        <w:lastRenderedPageBreak/>
        <w:t>com.ezproxy.uwtsd.ac.uk/ehost/pdfviewer/pdfviewer?vid=1&amp;sid=dd9f2bc5-1777-492d-af64-8b7d9d53646f%40sessionmgr101&gt; [Accessed 24 June 2021].</w:t>
      </w:r>
    </w:p>
    <w:p w14:paraId="601D33C7"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MAPPA, 2012. </w:t>
      </w:r>
      <w:r w:rsidRPr="000B4A19">
        <w:rPr>
          <w:rFonts w:eastAsia="Times New Roman" w:cstheme="minorHAnsi"/>
          <w:i/>
          <w:iCs/>
          <w:color w:val="000000"/>
          <w:lang w:eastAsia="en-GB"/>
        </w:rPr>
        <w:t>MAPPA Guidance 2012</w:t>
      </w:r>
      <w:r w:rsidRPr="000B4A19">
        <w:rPr>
          <w:rFonts w:eastAsia="Times New Roman" w:cstheme="minorHAnsi"/>
          <w:color w:val="000000"/>
          <w:lang w:eastAsia="en-GB"/>
        </w:rPr>
        <w:t>. 1. [online] London: Ministry of Justice. Available at: &lt;http://www.justice.gov.uk/downloads/offenders/mappa/mappa-guidance-2012-part1.pdf#page=11&gt; [Accessed 3 July 2021].</w:t>
      </w:r>
    </w:p>
    <w:p w14:paraId="5B583AC6"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McManus, S. and Scott, S., 2016. </w:t>
      </w:r>
      <w:r w:rsidRPr="000B4A19">
        <w:rPr>
          <w:rFonts w:eastAsia="Times New Roman" w:cstheme="minorHAnsi"/>
          <w:i/>
          <w:iCs/>
          <w:color w:val="000000"/>
          <w:lang w:eastAsia="en-GB"/>
        </w:rPr>
        <w:t xml:space="preserve">Joining the dots: The combined burden of violence, abuse and poverty in the lives of </w:t>
      </w:r>
      <w:proofErr w:type="gramStart"/>
      <w:r w:rsidRPr="000B4A19">
        <w:rPr>
          <w:rFonts w:eastAsia="Times New Roman" w:cstheme="minorHAnsi"/>
          <w:i/>
          <w:iCs/>
          <w:color w:val="000000"/>
          <w:lang w:eastAsia="en-GB"/>
        </w:rPr>
        <w:t>women.</w:t>
      </w:r>
      <w:r w:rsidRPr="000B4A19">
        <w:rPr>
          <w:rFonts w:eastAsia="Times New Roman" w:cstheme="minorHAnsi"/>
          <w:color w:val="000000"/>
          <w:lang w:eastAsia="en-GB"/>
        </w:rPr>
        <w:t>.</w:t>
      </w:r>
      <w:proofErr w:type="gramEnd"/>
      <w:r w:rsidRPr="000B4A19">
        <w:rPr>
          <w:rFonts w:eastAsia="Times New Roman" w:cstheme="minorHAnsi"/>
          <w:color w:val="000000"/>
          <w:lang w:eastAsia="en-GB"/>
        </w:rPr>
        <w:t xml:space="preserve"> [online] London: Agenda. Available at: &lt;https://www.mappingthemaze.org.uk/wp/wp-content/uploads/2017/08/McManus-and-Scott-Joining-The-Dots-Report_Final_b_Exec-Summary.pdf&gt; [Accessed 3 July 2021].</w:t>
      </w:r>
    </w:p>
    <w:p w14:paraId="62D3A3D5"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Mvorganizing.org, 2021. </w:t>
      </w:r>
      <w:r w:rsidRPr="000B4A19">
        <w:rPr>
          <w:rFonts w:eastAsia="Times New Roman" w:cstheme="minorHAnsi"/>
          <w:i/>
          <w:iCs/>
          <w:color w:val="000000"/>
          <w:lang w:eastAsia="en-GB"/>
        </w:rPr>
        <w:t xml:space="preserve">What is the main purpose of community </w:t>
      </w:r>
      <w:proofErr w:type="gramStart"/>
      <w:r w:rsidRPr="000B4A19">
        <w:rPr>
          <w:rFonts w:eastAsia="Times New Roman" w:cstheme="minorHAnsi"/>
          <w:i/>
          <w:iCs/>
          <w:color w:val="000000"/>
          <w:lang w:eastAsia="en-GB"/>
        </w:rPr>
        <w:t>policing?</w:t>
      </w:r>
      <w:r w:rsidRPr="000B4A19">
        <w:rPr>
          <w:rFonts w:eastAsia="Times New Roman" w:cstheme="minorHAnsi"/>
          <w:color w:val="000000"/>
          <w:lang w:eastAsia="en-GB"/>
        </w:rPr>
        <w:t>.</w:t>
      </w:r>
      <w:proofErr w:type="gramEnd"/>
      <w:r w:rsidRPr="000B4A19">
        <w:rPr>
          <w:rFonts w:eastAsia="Times New Roman" w:cstheme="minorHAnsi"/>
          <w:color w:val="000000"/>
          <w:lang w:eastAsia="en-GB"/>
        </w:rPr>
        <w:t xml:space="preserve"> [online] Mvorganizing.org. Available at: &lt;https://www.mvorganizing.org/what-is-the-main-purpose-of-community-policing/&gt; [Accessed 4 July 2021].</w:t>
      </w:r>
    </w:p>
    <w:p w14:paraId="6C40FD6A" w14:textId="77777777" w:rsidR="000B4A19" w:rsidRPr="000B4A19" w:rsidRDefault="000B4A19" w:rsidP="000B4A19">
      <w:pPr>
        <w:spacing w:after="180" w:line="240" w:lineRule="auto"/>
        <w:ind w:left="450" w:hanging="450"/>
        <w:rPr>
          <w:rFonts w:eastAsia="Times New Roman" w:cstheme="minorHAnsi"/>
          <w:color w:val="000000"/>
          <w:lang w:eastAsia="en-GB"/>
        </w:rPr>
      </w:pPr>
      <w:proofErr w:type="spellStart"/>
      <w:r w:rsidRPr="000B4A19">
        <w:rPr>
          <w:rFonts w:eastAsia="Times New Roman" w:cstheme="minorHAnsi"/>
          <w:color w:val="000000"/>
          <w:lang w:eastAsia="en-GB"/>
        </w:rPr>
        <w:t>Myhill</w:t>
      </w:r>
      <w:proofErr w:type="spellEnd"/>
      <w:r w:rsidRPr="000B4A19">
        <w:rPr>
          <w:rFonts w:eastAsia="Times New Roman" w:cstheme="minorHAnsi"/>
          <w:color w:val="000000"/>
          <w:lang w:eastAsia="en-GB"/>
        </w:rPr>
        <w:t>, A., 2012. </w:t>
      </w:r>
      <w:r w:rsidRPr="000B4A19">
        <w:rPr>
          <w:rFonts w:eastAsia="Times New Roman" w:cstheme="minorHAnsi"/>
          <w:i/>
          <w:iCs/>
          <w:color w:val="000000"/>
          <w:lang w:eastAsia="en-GB"/>
        </w:rPr>
        <w:t>Community engagement in policing. Lessons from the literature</w:t>
      </w:r>
      <w:r w:rsidRPr="000B4A19">
        <w:rPr>
          <w:rFonts w:eastAsia="Times New Roman" w:cstheme="minorHAnsi"/>
          <w:color w:val="000000"/>
          <w:lang w:eastAsia="en-GB"/>
        </w:rPr>
        <w:t>. 1. [online] London: Home Office, pp.5-20. Available at: &lt;https://whatworks.college.police.uk/Research/Documents/Community_engagement_lessons.pdf&gt; [Accessed 2 July 2021].</w:t>
      </w:r>
    </w:p>
    <w:p w14:paraId="1446BFF3"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NCA, 2019. </w:t>
      </w:r>
      <w:r w:rsidRPr="000B4A19">
        <w:rPr>
          <w:rFonts w:eastAsia="Times New Roman" w:cstheme="minorHAnsi"/>
          <w:i/>
          <w:iCs/>
          <w:color w:val="000000"/>
          <w:lang w:eastAsia="en-GB"/>
        </w:rPr>
        <w:t>National Strategic Assessment of Serious and Organised Crime</w:t>
      </w:r>
      <w:r w:rsidRPr="000B4A19">
        <w:rPr>
          <w:rFonts w:eastAsia="Times New Roman" w:cstheme="minorHAnsi"/>
          <w:color w:val="000000"/>
          <w:lang w:eastAsia="en-GB"/>
        </w:rPr>
        <w:t>. [online] London: NCA. Available at: &lt;https://nationalcrimeagency.gov.uk/who-we-are/publications/296-national-strategic-assessment-of-serious-organised-crime-2019/file&gt; [Accessed 3 July 2021].</w:t>
      </w:r>
    </w:p>
    <w:p w14:paraId="793E8B3D"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NCIS, 2000. </w:t>
      </w:r>
      <w:r w:rsidRPr="000B4A19">
        <w:rPr>
          <w:rFonts w:eastAsia="Times New Roman" w:cstheme="minorHAnsi"/>
          <w:i/>
          <w:iCs/>
          <w:color w:val="000000"/>
          <w:lang w:eastAsia="en-GB"/>
        </w:rPr>
        <w:t>NCIS Corporate Communications</w:t>
      </w:r>
      <w:r w:rsidRPr="000B4A19">
        <w:rPr>
          <w:rFonts w:eastAsia="Times New Roman" w:cstheme="minorHAnsi"/>
          <w:color w:val="000000"/>
          <w:lang w:eastAsia="en-GB"/>
        </w:rPr>
        <w:t>. [online] London: NCIS, pp.6-15. Available at: &lt;http://www.intelligenceanalysis.net/National%20Intelligence%20Model.pdf#:~:text=The%20National%20Intelligence%20Model%20is%20the%20product%20of,from%20a%20number%20of%20police%20forces%20and%20agencies.&gt; [Accessed 24 June 2021].</w:t>
      </w:r>
    </w:p>
    <w:p w14:paraId="6F70ABAD"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Newburn, T., 2003. </w:t>
      </w:r>
      <w:r w:rsidRPr="000B4A19">
        <w:rPr>
          <w:rFonts w:eastAsia="Times New Roman" w:cstheme="minorHAnsi"/>
          <w:i/>
          <w:iCs/>
          <w:color w:val="000000"/>
          <w:lang w:eastAsia="en-GB"/>
        </w:rPr>
        <w:t>Handbook of policing</w:t>
      </w:r>
      <w:r w:rsidRPr="000B4A19">
        <w:rPr>
          <w:rFonts w:eastAsia="Times New Roman" w:cstheme="minorHAnsi"/>
          <w:color w:val="000000"/>
          <w:lang w:eastAsia="en-GB"/>
        </w:rPr>
        <w:t>. Cullompton: Willan, pp.311- 339.</w:t>
      </w:r>
    </w:p>
    <w:p w14:paraId="50770A40"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NPCC, 2016. </w:t>
      </w:r>
      <w:r w:rsidRPr="000B4A19">
        <w:rPr>
          <w:rFonts w:eastAsia="Times New Roman" w:cstheme="minorHAnsi"/>
          <w:i/>
          <w:iCs/>
          <w:color w:val="000000"/>
          <w:lang w:eastAsia="en-GB"/>
        </w:rPr>
        <w:t>Police chiefs and PCCs set out a vision for policing in 2025</w:t>
      </w:r>
      <w:r w:rsidRPr="000B4A19">
        <w:rPr>
          <w:rFonts w:eastAsia="Times New Roman" w:cstheme="minorHAnsi"/>
          <w:color w:val="000000"/>
          <w:lang w:eastAsia="en-GB"/>
        </w:rPr>
        <w:t>. [online] National Police Chiefs' Council (NPCC). Available at: &lt;https://news.npcc.police.uk/releases/police-chiefs-and-pccs-set-out-a-vision-for-policing-in-2025&gt; [Accessed 2 July 2021].</w:t>
      </w:r>
    </w:p>
    <w:p w14:paraId="01D12394"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Pepper, I., Rogers, C. and Martin, H., 2020. Evidence based policing: a view on its development within the police service. </w:t>
      </w:r>
      <w:r w:rsidRPr="000B4A19">
        <w:rPr>
          <w:rFonts w:eastAsia="Times New Roman" w:cstheme="minorHAnsi"/>
          <w:i/>
          <w:iCs/>
          <w:color w:val="000000"/>
          <w:lang w:eastAsia="en-GB"/>
        </w:rPr>
        <w:t>Journal of Work-Applied Management</w:t>
      </w:r>
      <w:r w:rsidRPr="000B4A19">
        <w:rPr>
          <w:rFonts w:eastAsia="Times New Roman" w:cstheme="minorHAnsi"/>
          <w:color w:val="000000"/>
          <w:lang w:eastAsia="en-GB"/>
        </w:rPr>
        <w:t>, [online] 12(1), pp.91-96. Available at: &lt;https://www.emerald.com/insight/content/doi/10.1108/JWAM-01-2020-0001/full/pdf?title=evidence-based-policing-a-view-on-its-development-within-the-police-servicehttps://www.policefoundation.org/wp-content/uploads/2015/06/Sherman-1998-Evidence-Based-Policing.pdf&gt; [Accessed 1 July 2021].</w:t>
      </w:r>
    </w:p>
    <w:p w14:paraId="4F4E8E93"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Ratcliffe, J., 2017. </w:t>
      </w:r>
      <w:r w:rsidRPr="000B4A19">
        <w:rPr>
          <w:rFonts w:eastAsia="Times New Roman" w:cstheme="minorHAnsi"/>
          <w:i/>
          <w:iCs/>
          <w:color w:val="000000"/>
          <w:lang w:eastAsia="en-GB"/>
        </w:rPr>
        <w:t>Not all evidence is created equally</w:t>
      </w:r>
      <w:r w:rsidRPr="000B4A19">
        <w:rPr>
          <w:rFonts w:eastAsia="Times New Roman" w:cstheme="minorHAnsi"/>
          <w:color w:val="000000"/>
          <w:lang w:eastAsia="en-GB"/>
        </w:rPr>
        <w:t>. [online] Jratcliffe.net. Available at: &lt;https://www.jratcliffe.net/post/not-all-evidence-is-created-equally&gt; [Accessed 1 July 2021].</w:t>
      </w:r>
    </w:p>
    <w:p w14:paraId="13C084E2"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Ratcliffe, J., 2019. </w:t>
      </w:r>
      <w:r w:rsidRPr="000B4A19">
        <w:rPr>
          <w:rFonts w:eastAsia="Times New Roman" w:cstheme="minorHAnsi"/>
          <w:i/>
          <w:iCs/>
          <w:color w:val="000000"/>
          <w:lang w:eastAsia="en-GB"/>
        </w:rPr>
        <w:t>Evidence hierarchy</w:t>
      </w:r>
      <w:r w:rsidRPr="000B4A19">
        <w:rPr>
          <w:rFonts w:eastAsia="Times New Roman" w:cstheme="minorHAnsi"/>
          <w:color w:val="000000"/>
          <w:lang w:eastAsia="en-GB"/>
        </w:rPr>
        <w:t>. [online] Reducingcrime.com. Available at: &lt;https://www.reducingcrime.com/post/evidence-hierarchy&gt; [Accessed 1 July 2021].</w:t>
      </w:r>
    </w:p>
    <w:p w14:paraId="5BB696A9"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RATCLIFFE, J., TANIGUCHI, T., GROFF, E. and WOOD, J., 2011. THE PHILADELPHIA FOOT PATROL EXPERIMENT: A RANDOMIZED CONTROLLED TRIAL OF POLICE PATROL EFFECTIVENESS IN VIOLENT CRIME HOTSPOTS*. </w:t>
      </w:r>
      <w:r w:rsidRPr="000B4A19">
        <w:rPr>
          <w:rFonts w:eastAsia="Times New Roman" w:cstheme="minorHAnsi"/>
          <w:i/>
          <w:iCs/>
          <w:color w:val="000000"/>
          <w:lang w:eastAsia="en-GB"/>
        </w:rPr>
        <w:t>Criminology</w:t>
      </w:r>
      <w:r w:rsidRPr="000B4A19">
        <w:rPr>
          <w:rFonts w:eastAsia="Times New Roman" w:cstheme="minorHAnsi"/>
          <w:color w:val="000000"/>
          <w:lang w:eastAsia="en-GB"/>
        </w:rPr>
        <w:t>, [online] 49(3), pp.795-831. Available at: &lt;https://www.researchgate.net/publication/227781042_The_Philadelphia_Foot_Patrol_Experiment_A_Randomized_Controlled_Trial_of_Police_Patrol_Effectiveness_in_Violent_Crime_Hotspots&gt; [Accessed 1 July 2021].</w:t>
      </w:r>
    </w:p>
    <w:p w14:paraId="06BEB2F4" w14:textId="77777777" w:rsidR="000B4A19" w:rsidRPr="000B4A19" w:rsidRDefault="000B4A19" w:rsidP="000B4A19">
      <w:pPr>
        <w:spacing w:after="180" w:line="240" w:lineRule="auto"/>
        <w:ind w:left="450" w:hanging="450"/>
        <w:rPr>
          <w:rFonts w:eastAsia="Times New Roman" w:cstheme="minorHAnsi"/>
          <w:color w:val="000000"/>
          <w:lang w:eastAsia="en-GB"/>
        </w:rPr>
      </w:pPr>
      <w:proofErr w:type="spellStart"/>
      <w:r w:rsidRPr="000B4A19">
        <w:rPr>
          <w:rFonts w:eastAsia="Times New Roman" w:cstheme="minorHAnsi"/>
          <w:color w:val="000000"/>
          <w:lang w:eastAsia="en-GB"/>
        </w:rPr>
        <w:lastRenderedPageBreak/>
        <w:t>Retcliffe</w:t>
      </w:r>
      <w:proofErr w:type="spellEnd"/>
      <w:r w:rsidRPr="000B4A19">
        <w:rPr>
          <w:rFonts w:eastAsia="Times New Roman" w:cstheme="minorHAnsi"/>
          <w:color w:val="000000"/>
          <w:lang w:eastAsia="en-GB"/>
        </w:rPr>
        <w:t>, J., 2020. </w:t>
      </w:r>
      <w:r w:rsidRPr="000B4A19">
        <w:rPr>
          <w:rFonts w:eastAsia="Times New Roman" w:cstheme="minorHAnsi"/>
          <w:i/>
          <w:iCs/>
          <w:color w:val="000000"/>
          <w:lang w:eastAsia="en-GB"/>
        </w:rPr>
        <w:t>Philadelphia Foot Patrol Experiment</w:t>
      </w:r>
      <w:r w:rsidRPr="000B4A19">
        <w:rPr>
          <w:rFonts w:eastAsia="Times New Roman" w:cstheme="minorHAnsi"/>
          <w:color w:val="000000"/>
          <w:lang w:eastAsia="en-GB"/>
        </w:rPr>
        <w:t>. [online] Jratcliffe.net. Available at: &lt;https://www.jratcliffe.net/phila-foot-patrol-experiment&gt; [Accessed 1 July 2021].</w:t>
      </w:r>
    </w:p>
    <w:p w14:paraId="5CE40126" w14:textId="77777777" w:rsidR="000B4A19" w:rsidRPr="000B4A19" w:rsidRDefault="000B4A19" w:rsidP="000B4A19">
      <w:pPr>
        <w:spacing w:after="180" w:line="240" w:lineRule="auto"/>
        <w:ind w:left="450" w:hanging="450"/>
        <w:rPr>
          <w:rFonts w:eastAsia="Times New Roman" w:cstheme="minorHAnsi"/>
          <w:color w:val="000000"/>
          <w:lang w:eastAsia="en-GB"/>
        </w:rPr>
      </w:pPr>
      <w:proofErr w:type="spellStart"/>
      <w:r w:rsidRPr="000B4A19">
        <w:rPr>
          <w:rFonts w:eastAsia="Times New Roman" w:cstheme="minorHAnsi"/>
          <w:color w:val="000000"/>
          <w:lang w:eastAsia="en-GB"/>
        </w:rPr>
        <w:t>Rojek</w:t>
      </w:r>
      <w:proofErr w:type="spellEnd"/>
      <w:r w:rsidRPr="000B4A19">
        <w:rPr>
          <w:rFonts w:eastAsia="Times New Roman" w:cstheme="minorHAnsi"/>
          <w:color w:val="000000"/>
          <w:lang w:eastAsia="en-GB"/>
        </w:rPr>
        <w:t>, J., Alpert, G. and Smith, H., 2012. The utilization of research by the police. </w:t>
      </w:r>
      <w:r w:rsidRPr="000B4A19">
        <w:rPr>
          <w:rFonts w:eastAsia="Times New Roman" w:cstheme="minorHAnsi"/>
          <w:i/>
          <w:iCs/>
          <w:color w:val="000000"/>
          <w:lang w:eastAsia="en-GB"/>
        </w:rPr>
        <w:t>Police Practice and Research</w:t>
      </w:r>
      <w:r w:rsidRPr="000B4A19">
        <w:rPr>
          <w:rFonts w:eastAsia="Times New Roman" w:cstheme="minorHAnsi"/>
          <w:color w:val="000000"/>
          <w:lang w:eastAsia="en-GB"/>
        </w:rPr>
        <w:t>, 13(4), pp.329-341.</w:t>
      </w:r>
    </w:p>
    <w:p w14:paraId="320CE5B9" w14:textId="77777777" w:rsidR="000B4A19" w:rsidRPr="000B4A19" w:rsidRDefault="000B4A19" w:rsidP="000B4A19">
      <w:pPr>
        <w:spacing w:after="180" w:line="240" w:lineRule="auto"/>
        <w:ind w:left="450" w:hanging="450"/>
        <w:rPr>
          <w:rFonts w:eastAsia="Times New Roman" w:cstheme="minorHAnsi"/>
          <w:color w:val="000000"/>
          <w:lang w:eastAsia="en-GB"/>
        </w:rPr>
      </w:pPr>
      <w:proofErr w:type="spellStart"/>
      <w:r w:rsidRPr="000B4A19">
        <w:rPr>
          <w:rFonts w:eastAsia="Times New Roman" w:cstheme="minorHAnsi"/>
          <w:color w:val="000000"/>
          <w:lang w:eastAsia="en-GB"/>
        </w:rPr>
        <w:t>Stergioulis</w:t>
      </w:r>
      <w:proofErr w:type="spellEnd"/>
      <w:r w:rsidRPr="000B4A19">
        <w:rPr>
          <w:rFonts w:eastAsia="Times New Roman" w:cstheme="minorHAnsi"/>
          <w:color w:val="000000"/>
          <w:lang w:eastAsia="en-GB"/>
        </w:rPr>
        <w:t>, E., 2017. Police and Diversity. </w:t>
      </w:r>
      <w:r w:rsidRPr="000B4A19">
        <w:rPr>
          <w:rFonts w:eastAsia="Times New Roman" w:cstheme="minorHAnsi"/>
          <w:i/>
          <w:iCs/>
          <w:color w:val="000000"/>
          <w:lang w:eastAsia="en-GB"/>
        </w:rPr>
        <w:t>The Police Journal: Theory, Practice and Principles</w:t>
      </w:r>
      <w:r w:rsidRPr="000B4A19">
        <w:rPr>
          <w:rFonts w:eastAsia="Times New Roman" w:cstheme="minorHAnsi"/>
          <w:color w:val="000000"/>
          <w:lang w:eastAsia="en-GB"/>
        </w:rPr>
        <w:t>, [online] 91(3), pp.264-274. Available at: &lt;https://journals.sagepub.com/doi/abs/10.1177/0032258X17721136&gt; [Accessed 3 July 2021].</w:t>
      </w:r>
    </w:p>
    <w:p w14:paraId="33D5B8A8"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United Nations, 1985. </w:t>
      </w:r>
      <w:r w:rsidRPr="000B4A19">
        <w:rPr>
          <w:rFonts w:eastAsia="Times New Roman" w:cstheme="minorHAnsi"/>
          <w:i/>
          <w:iCs/>
          <w:color w:val="000000"/>
          <w:lang w:eastAsia="en-GB"/>
        </w:rPr>
        <w:t>OHCHR | Basic Principles of Justice for Victims of Crime and Abuse of Power</w:t>
      </w:r>
      <w:r w:rsidRPr="000B4A19">
        <w:rPr>
          <w:rFonts w:eastAsia="Times New Roman" w:cstheme="minorHAnsi"/>
          <w:color w:val="000000"/>
          <w:lang w:eastAsia="en-GB"/>
        </w:rPr>
        <w:t>. [online] Ohchr.org. Available at: &lt;https://www.ohchr.org/en/professionalinterest/pages/victimsofcrimeandabuseofpower.aspx&gt; [Accessed 3 July 2021].</w:t>
      </w:r>
    </w:p>
    <w:p w14:paraId="2919E5B1"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Victim Support, n.d. </w:t>
      </w:r>
      <w:r w:rsidRPr="000B4A19">
        <w:rPr>
          <w:rFonts w:eastAsia="Times New Roman" w:cstheme="minorHAnsi"/>
          <w:i/>
          <w:iCs/>
          <w:color w:val="000000"/>
          <w:lang w:eastAsia="en-GB"/>
        </w:rPr>
        <w:t>Domestic abuse - Victim Support</w:t>
      </w:r>
      <w:r w:rsidRPr="000B4A19">
        <w:rPr>
          <w:rFonts w:eastAsia="Times New Roman" w:cstheme="minorHAnsi"/>
          <w:color w:val="000000"/>
          <w:lang w:eastAsia="en-GB"/>
        </w:rPr>
        <w:t>. [online] Victim Support. Available at: &lt;https://www.victimsupport.org.uk/crime-info/types-crime/domestic-abuse/&gt; [Accessed 3 July 2021].</w:t>
      </w:r>
    </w:p>
    <w:p w14:paraId="618D76EA"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i/>
          <w:iCs/>
          <w:color w:val="000000"/>
          <w:lang w:eastAsia="en-GB"/>
        </w:rPr>
        <w:t xml:space="preserve">What is Evidence Based </w:t>
      </w:r>
      <w:proofErr w:type="gramStart"/>
      <w:r w:rsidRPr="000B4A19">
        <w:rPr>
          <w:rFonts w:eastAsia="Times New Roman" w:cstheme="minorHAnsi"/>
          <w:i/>
          <w:iCs/>
          <w:color w:val="000000"/>
          <w:lang w:eastAsia="en-GB"/>
        </w:rPr>
        <w:t>Policing?</w:t>
      </w:r>
      <w:r w:rsidRPr="000B4A19">
        <w:rPr>
          <w:rFonts w:eastAsia="Times New Roman" w:cstheme="minorHAnsi"/>
          <w:color w:val="000000"/>
          <w:lang w:eastAsia="en-GB"/>
        </w:rPr>
        <w:t>.</w:t>
      </w:r>
      <w:proofErr w:type="gramEnd"/>
      <w:r w:rsidRPr="000B4A19">
        <w:rPr>
          <w:rFonts w:eastAsia="Times New Roman" w:cstheme="minorHAnsi"/>
          <w:color w:val="000000"/>
          <w:lang w:eastAsia="en-GB"/>
        </w:rPr>
        <w:t xml:space="preserve"> 2017. [video] The University of </w:t>
      </w:r>
      <w:proofErr w:type="spellStart"/>
      <w:r w:rsidRPr="000B4A19">
        <w:rPr>
          <w:rFonts w:eastAsia="Times New Roman" w:cstheme="minorHAnsi"/>
          <w:color w:val="000000"/>
          <w:lang w:eastAsia="en-GB"/>
        </w:rPr>
        <w:t>Shefield</w:t>
      </w:r>
      <w:proofErr w:type="spellEnd"/>
      <w:r w:rsidRPr="000B4A19">
        <w:rPr>
          <w:rFonts w:eastAsia="Times New Roman" w:cstheme="minorHAnsi"/>
          <w:color w:val="000000"/>
          <w:lang w:eastAsia="en-GB"/>
        </w:rPr>
        <w:t xml:space="preserve">: The University of </w:t>
      </w:r>
      <w:proofErr w:type="spellStart"/>
      <w:r w:rsidRPr="000B4A19">
        <w:rPr>
          <w:rFonts w:eastAsia="Times New Roman" w:cstheme="minorHAnsi"/>
          <w:color w:val="000000"/>
          <w:lang w:eastAsia="en-GB"/>
        </w:rPr>
        <w:t>Shefield</w:t>
      </w:r>
      <w:proofErr w:type="spellEnd"/>
      <w:r w:rsidRPr="000B4A19">
        <w:rPr>
          <w:rFonts w:eastAsia="Times New Roman" w:cstheme="minorHAnsi"/>
          <w:color w:val="000000"/>
          <w:lang w:eastAsia="en-GB"/>
        </w:rPr>
        <w:t>.</w:t>
      </w:r>
    </w:p>
    <w:p w14:paraId="0B17D104"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Whatworks.college.police.uk. 2020. </w:t>
      </w:r>
      <w:r w:rsidRPr="000B4A19">
        <w:rPr>
          <w:rFonts w:eastAsia="Times New Roman" w:cstheme="minorHAnsi"/>
          <w:i/>
          <w:iCs/>
          <w:color w:val="000000"/>
          <w:lang w:eastAsia="en-GB"/>
        </w:rPr>
        <w:t>Problem-orientated policing</w:t>
      </w:r>
      <w:r w:rsidRPr="000B4A19">
        <w:rPr>
          <w:rFonts w:eastAsia="Times New Roman" w:cstheme="minorHAnsi"/>
          <w:color w:val="000000"/>
          <w:lang w:eastAsia="en-GB"/>
        </w:rPr>
        <w:t>. [online] Available at: &lt;https://whatworks.college.police.uk/toolkit/Pages/Intervention.aspx?InterventionID=47&gt; [Accessed 3 July 2021].</w:t>
      </w:r>
    </w:p>
    <w:p w14:paraId="2BBA5069" w14:textId="77777777" w:rsidR="000B4A19" w:rsidRPr="000B4A19" w:rsidRDefault="000B4A19" w:rsidP="000B4A19">
      <w:pPr>
        <w:spacing w:after="180" w:line="240" w:lineRule="auto"/>
        <w:ind w:left="450" w:hanging="450"/>
        <w:rPr>
          <w:rFonts w:eastAsia="Times New Roman" w:cstheme="minorHAnsi"/>
          <w:color w:val="000000"/>
          <w:lang w:eastAsia="en-GB"/>
        </w:rPr>
      </w:pPr>
      <w:r w:rsidRPr="000B4A19">
        <w:rPr>
          <w:rFonts w:eastAsia="Times New Roman" w:cstheme="minorHAnsi"/>
          <w:color w:val="000000"/>
          <w:lang w:eastAsia="en-GB"/>
        </w:rPr>
        <w:t>Women's Aid, n.d. </w:t>
      </w:r>
      <w:r w:rsidRPr="000B4A19">
        <w:rPr>
          <w:rFonts w:eastAsia="Times New Roman" w:cstheme="minorHAnsi"/>
          <w:i/>
          <w:iCs/>
          <w:color w:val="000000"/>
          <w:lang w:eastAsia="en-GB"/>
        </w:rPr>
        <w:t xml:space="preserve">What is domestic abuse? - </w:t>
      </w:r>
      <w:proofErr w:type="spellStart"/>
      <w:r w:rsidRPr="000B4A19">
        <w:rPr>
          <w:rFonts w:eastAsia="Times New Roman" w:cstheme="minorHAnsi"/>
          <w:i/>
          <w:iCs/>
          <w:color w:val="000000"/>
          <w:lang w:eastAsia="en-GB"/>
        </w:rPr>
        <w:t>Womens</w:t>
      </w:r>
      <w:proofErr w:type="spellEnd"/>
      <w:r w:rsidRPr="000B4A19">
        <w:rPr>
          <w:rFonts w:eastAsia="Times New Roman" w:cstheme="minorHAnsi"/>
          <w:i/>
          <w:iCs/>
          <w:color w:val="000000"/>
          <w:lang w:eastAsia="en-GB"/>
        </w:rPr>
        <w:t xml:space="preserve"> Aid</w:t>
      </w:r>
      <w:r w:rsidRPr="000B4A19">
        <w:rPr>
          <w:rFonts w:eastAsia="Times New Roman" w:cstheme="minorHAnsi"/>
          <w:color w:val="000000"/>
          <w:lang w:eastAsia="en-GB"/>
        </w:rPr>
        <w:t xml:space="preserve">. [online] </w:t>
      </w:r>
      <w:proofErr w:type="spellStart"/>
      <w:r w:rsidRPr="000B4A19">
        <w:rPr>
          <w:rFonts w:eastAsia="Times New Roman" w:cstheme="minorHAnsi"/>
          <w:color w:val="000000"/>
          <w:lang w:eastAsia="en-GB"/>
        </w:rPr>
        <w:t>Womens</w:t>
      </w:r>
      <w:proofErr w:type="spellEnd"/>
      <w:r w:rsidRPr="000B4A19">
        <w:rPr>
          <w:rFonts w:eastAsia="Times New Roman" w:cstheme="minorHAnsi"/>
          <w:color w:val="000000"/>
          <w:lang w:eastAsia="en-GB"/>
        </w:rPr>
        <w:t xml:space="preserve"> Aid. Available at: &lt;https://www.womensaid.org.uk/information-support/what-is-domestic-abuse/&gt; [Accessed 3 July 2021].</w:t>
      </w:r>
    </w:p>
    <w:p w14:paraId="51F65761" w14:textId="77777777" w:rsidR="000B4A19" w:rsidRPr="000B4A19" w:rsidRDefault="000B4A19" w:rsidP="000B4A19">
      <w:pPr>
        <w:tabs>
          <w:tab w:val="left" w:pos="1896"/>
        </w:tabs>
        <w:rPr>
          <w:sz w:val="48"/>
          <w:szCs w:val="48"/>
        </w:rPr>
      </w:pPr>
    </w:p>
    <w:sectPr w:rsidR="000B4A19" w:rsidRPr="000B4A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37F120" w14:textId="77777777" w:rsidR="00FA0170" w:rsidRDefault="00FA0170" w:rsidP="007C6E56">
      <w:pPr>
        <w:spacing w:after="0" w:line="240" w:lineRule="auto"/>
      </w:pPr>
      <w:r>
        <w:separator/>
      </w:r>
    </w:p>
  </w:endnote>
  <w:endnote w:type="continuationSeparator" w:id="0">
    <w:p w14:paraId="2871134A" w14:textId="77777777" w:rsidR="00FA0170" w:rsidRDefault="00FA0170" w:rsidP="007C6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E43B0" w14:textId="77777777" w:rsidR="00FA0170" w:rsidRDefault="00FA0170" w:rsidP="007C6E56">
      <w:pPr>
        <w:spacing w:after="0" w:line="240" w:lineRule="auto"/>
      </w:pPr>
      <w:r>
        <w:separator/>
      </w:r>
    </w:p>
  </w:footnote>
  <w:footnote w:type="continuationSeparator" w:id="0">
    <w:p w14:paraId="4C39939A" w14:textId="77777777" w:rsidR="00FA0170" w:rsidRDefault="00FA0170" w:rsidP="007C6E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05B24"/>
    <w:multiLevelType w:val="hybridMultilevel"/>
    <w:tmpl w:val="9B06E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cs="Times New Roman"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cs="Times New Roman"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cs="Times New Roman" w:hint="default"/>
      </w:rPr>
    </w:lvl>
    <w:lvl w:ilvl="8" w:tplc="94BE9FBC">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E56"/>
    <w:rsid w:val="00016200"/>
    <w:rsid w:val="000B4A19"/>
    <w:rsid w:val="000C3975"/>
    <w:rsid w:val="000F31FF"/>
    <w:rsid w:val="000F50BC"/>
    <w:rsid w:val="00147622"/>
    <w:rsid w:val="00156E0E"/>
    <w:rsid w:val="00164AD2"/>
    <w:rsid w:val="00231E0C"/>
    <w:rsid w:val="00243C6D"/>
    <w:rsid w:val="00244E7B"/>
    <w:rsid w:val="00250CB2"/>
    <w:rsid w:val="0047060B"/>
    <w:rsid w:val="0047123A"/>
    <w:rsid w:val="00490075"/>
    <w:rsid w:val="004A4E7B"/>
    <w:rsid w:val="004C3ECB"/>
    <w:rsid w:val="004F3EDF"/>
    <w:rsid w:val="005003A0"/>
    <w:rsid w:val="00531201"/>
    <w:rsid w:val="00547AF2"/>
    <w:rsid w:val="005546BA"/>
    <w:rsid w:val="00577FE5"/>
    <w:rsid w:val="005808A1"/>
    <w:rsid w:val="00582818"/>
    <w:rsid w:val="005A55BF"/>
    <w:rsid w:val="005B1EFB"/>
    <w:rsid w:val="005B3579"/>
    <w:rsid w:val="006233E4"/>
    <w:rsid w:val="00657906"/>
    <w:rsid w:val="00684025"/>
    <w:rsid w:val="006D626F"/>
    <w:rsid w:val="006F7BD7"/>
    <w:rsid w:val="00724EBE"/>
    <w:rsid w:val="00725AB3"/>
    <w:rsid w:val="00757410"/>
    <w:rsid w:val="00783BEB"/>
    <w:rsid w:val="007C6E56"/>
    <w:rsid w:val="00826425"/>
    <w:rsid w:val="008319B0"/>
    <w:rsid w:val="008457DB"/>
    <w:rsid w:val="009256B7"/>
    <w:rsid w:val="00927E6C"/>
    <w:rsid w:val="0093391D"/>
    <w:rsid w:val="0095062E"/>
    <w:rsid w:val="009D6A83"/>
    <w:rsid w:val="00A704BB"/>
    <w:rsid w:val="00AE7FD2"/>
    <w:rsid w:val="00BC1B32"/>
    <w:rsid w:val="00C13FFD"/>
    <w:rsid w:val="00C1493D"/>
    <w:rsid w:val="00C66250"/>
    <w:rsid w:val="00CB5099"/>
    <w:rsid w:val="00CD5ADD"/>
    <w:rsid w:val="00D05DB7"/>
    <w:rsid w:val="00D14CF8"/>
    <w:rsid w:val="00DA7524"/>
    <w:rsid w:val="00DE27FA"/>
    <w:rsid w:val="00EB4720"/>
    <w:rsid w:val="00EB7943"/>
    <w:rsid w:val="00EE419B"/>
    <w:rsid w:val="00F13CB9"/>
    <w:rsid w:val="00F268D5"/>
    <w:rsid w:val="00FA0170"/>
    <w:rsid w:val="00FC13EA"/>
    <w:rsid w:val="00FD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ECE1D3"/>
  <w15:chartTrackingRefBased/>
  <w15:docId w15:val="{E23FCC59-DF71-4532-9B75-455E4EA33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B4A1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419B"/>
    <w:pPr>
      <w:ind w:left="720"/>
      <w:contextualSpacing/>
    </w:pPr>
  </w:style>
  <w:style w:type="paragraph" w:styleId="Header">
    <w:name w:val="header"/>
    <w:basedOn w:val="Normal"/>
    <w:link w:val="HeaderChar"/>
    <w:uiPriority w:val="99"/>
    <w:unhideWhenUsed/>
    <w:rsid w:val="006D6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26F"/>
  </w:style>
  <w:style w:type="paragraph" w:styleId="Footer">
    <w:name w:val="footer"/>
    <w:basedOn w:val="Normal"/>
    <w:link w:val="FooterChar"/>
    <w:uiPriority w:val="99"/>
    <w:unhideWhenUsed/>
    <w:rsid w:val="006D6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26F"/>
  </w:style>
  <w:style w:type="character" w:customStyle="1" w:styleId="Heading2Char">
    <w:name w:val="Heading 2 Char"/>
    <w:basedOn w:val="DefaultParagraphFont"/>
    <w:link w:val="Heading2"/>
    <w:uiPriority w:val="9"/>
    <w:rsid w:val="000B4A1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0B4A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5808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572401">
      <w:bodyDiv w:val="1"/>
      <w:marLeft w:val="0"/>
      <w:marRight w:val="0"/>
      <w:marTop w:val="0"/>
      <w:marBottom w:val="0"/>
      <w:divBdr>
        <w:top w:val="none" w:sz="0" w:space="0" w:color="auto"/>
        <w:left w:val="none" w:sz="0" w:space="0" w:color="auto"/>
        <w:bottom w:val="none" w:sz="0" w:space="0" w:color="auto"/>
        <w:right w:val="none" w:sz="0" w:space="0" w:color="auto"/>
      </w:divBdr>
    </w:div>
    <w:div w:id="294530986">
      <w:bodyDiv w:val="1"/>
      <w:marLeft w:val="0"/>
      <w:marRight w:val="0"/>
      <w:marTop w:val="0"/>
      <w:marBottom w:val="0"/>
      <w:divBdr>
        <w:top w:val="none" w:sz="0" w:space="0" w:color="auto"/>
        <w:left w:val="none" w:sz="0" w:space="0" w:color="auto"/>
        <w:bottom w:val="none" w:sz="0" w:space="0" w:color="auto"/>
        <w:right w:val="none" w:sz="0" w:space="0" w:color="auto"/>
      </w:divBdr>
    </w:div>
    <w:div w:id="412360986">
      <w:bodyDiv w:val="1"/>
      <w:marLeft w:val="0"/>
      <w:marRight w:val="0"/>
      <w:marTop w:val="0"/>
      <w:marBottom w:val="0"/>
      <w:divBdr>
        <w:top w:val="none" w:sz="0" w:space="0" w:color="auto"/>
        <w:left w:val="none" w:sz="0" w:space="0" w:color="auto"/>
        <w:bottom w:val="none" w:sz="0" w:space="0" w:color="auto"/>
        <w:right w:val="none" w:sz="0" w:space="0" w:color="auto"/>
      </w:divBdr>
    </w:div>
    <w:div w:id="679041951">
      <w:bodyDiv w:val="1"/>
      <w:marLeft w:val="0"/>
      <w:marRight w:val="0"/>
      <w:marTop w:val="0"/>
      <w:marBottom w:val="0"/>
      <w:divBdr>
        <w:top w:val="none" w:sz="0" w:space="0" w:color="auto"/>
        <w:left w:val="none" w:sz="0" w:space="0" w:color="auto"/>
        <w:bottom w:val="none" w:sz="0" w:space="0" w:color="auto"/>
        <w:right w:val="none" w:sz="0" w:space="0" w:color="auto"/>
      </w:divBdr>
    </w:div>
    <w:div w:id="939876227">
      <w:bodyDiv w:val="1"/>
      <w:marLeft w:val="0"/>
      <w:marRight w:val="0"/>
      <w:marTop w:val="0"/>
      <w:marBottom w:val="0"/>
      <w:divBdr>
        <w:top w:val="none" w:sz="0" w:space="0" w:color="auto"/>
        <w:left w:val="none" w:sz="0" w:space="0" w:color="auto"/>
        <w:bottom w:val="none" w:sz="0" w:space="0" w:color="auto"/>
        <w:right w:val="none" w:sz="0" w:space="0" w:color="auto"/>
      </w:divBdr>
    </w:div>
    <w:div w:id="983657926">
      <w:bodyDiv w:val="1"/>
      <w:marLeft w:val="0"/>
      <w:marRight w:val="0"/>
      <w:marTop w:val="0"/>
      <w:marBottom w:val="0"/>
      <w:divBdr>
        <w:top w:val="none" w:sz="0" w:space="0" w:color="auto"/>
        <w:left w:val="none" w:sz="0" w:space="0" w:color="auto"/>
        <w:bottom w:val="none" w:sz="0" w:space="0" w:color="auto"/>
        <w:right w:val="none" w:sz="0" w:space="0" w:color="auto"/>
      </w:divBdr>
    </w:div>
    <w:div w:id="1033117131">
      <w:bodyDiv w:val="1"/>
      <w:marLeft w:val="0"/>
      <w:marRight w:val="0"/>
      <w:marTop w:val="0"/>
      <w:marBottom w:val="0"/>
      <w:divBdr>
        <w:top w:val="none" w:sz="0" w:space="0" w:color="auto"/>
        <w:left w:val="none" w:sz="0" w:space="0" w:color="auto"/>
        <w:bottom w:val="none" w:sz="0" w:space="0" w:color="auto"/>
        <w:right w:val="none" w:sz="0" w:space="0" w:color="auto"/>
      </w:divBdr>
    </w:div>
    <w:div w:id="1069419627">
      <w:bodyDiv w:val="1"/>
      <w:marLeft w:val="0"/>
      <w:marRight w:val="0"/>
      <w:marTop w:val="0"/>
      <w:marBottom w:val="0"/>
      <w:divBdr>
        <w:top w:val="none" w:sz="0" w:space="0" w:color="auto"/>
        <w:left w:val="none" w:sz="0" w:space="0" w:color="auto"/>
        <w:bottom w:val="none" w:sz="0" w:space="0" w:color="auto"/>
        <w:right w:val="none" w:sz="0" w:space="0" w:color="auto"/>
      </w:divBdr>
    </w:div>
    <w:div w:id="1152673016">
      <w:bodyDiv w:val="1"/>
      <w:marLeft w:val="0"/>
      <w:marRight w:val="0"/>
      <w:marTop w:val="0"/>
      <w:marBottom w:val="0"/>
      <w:divBdr>
        <w:top w:val="none" w:sz="0" w:space="0" w:color="auto"/>
        <w:left w:val="none" w:sz="0" w:space="0" w:color="auto"/>
        <w:bottom w:val="none" w:sz="0" w:space="0" w:color="auto"/>
        <w:right w:val="none" w:sz="0" w:space="0" w:color="auto"/>
      </w:divBdr>
    </w:div>
    <w:div w:id="1851024156">
      <w:bodyDiv w:val="1"/>
      <w:marLeft w:val="0"/>
      <w:marRight w:val="0"/>
      <w:marTop w:val="0"/>
      <w:marBottom w:val="0"/>
      <w:divBdr>
        <w:top w:val="none" w:sz="0" w:space="0" w:color="auto"/>
        <w:left w:val="none" w:sz="0" w:space="0" w:color="auto"/>
        <w:bottom w:val="none" w:sz="0" w:space="0" w:color="auto"/>
        <w:right w:val="none" w:sz="0" w:space="0" w:color="auto"/>
      </w:divBdr>
    </w:div>
    <w:div w:id="2126078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6B5919E9BC4A47A97E535BEE1CEA3A" ma:contentTypeVersion="8" ma:contentTypeDescription="Create a new document." ma:contentTypeScope="" ma:versionID="4e5af930cbf08b814e1c86b30525a74a">
  <xsd:schema xmlns:xsd="http://www.w3.org/2001/XMLSchema" xmlns:xs="http://www.w3.org/2001/XMLSchema" xmlns:p="http://schemas.microsoft.com/office/2006/metadata/properties" xmlns:ns3="5de4ee2b-91ce-424f-8826-29a862d4e472" targetNamespace="http://schemas.microsoft.com/office/2006/metadata/properties" ma:root="true" ma:fieldsID="5f60c00e61e82302f2ec7d4aba691366" ns3:_="">
    <xsd:import namespace="5de4ee2b-91ce-424f-8826-29a862d4e4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de4ee2b-91ce-424f-8826-29a862d4e4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8FDFC6-81DF-4172-983F-A1200075D8D1}">
  <ds:schemaRefs>
    <ds:schemaRef ds:uri="http://schemas.microsoft.com/sharepoint/v3/contenttype/forms"/>
  </ds:schemaRefs>
</ds:datastoreItem>
</file>

<file path=customXml/itemProps2.xml><?xml version="1.0" encoding="utf-8"?>
<ds:datastoreItem xmlns:ds="http://schemas.openxmlformats.org/officeDocument/2006/customXml" ds:itemID="{AAD791F5-C25C-4CF2-BE86-F9F1D794798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A5B36D3-E88E-4639-9A83-800ABC5F49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de4ee2b-91ce-424f-8826-29a862d4e4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21</Pages>
  <Words>6893</Words>
  <Characters>39296</Characters>
  <Application>Microsoft Office Word</Application>
  <DocSecurity>0</DocSecurity>
  <Lines>327</Lines>
  <Paragraphs>92</Paragraphs>
  <ScaleCrop>false</ScaleCrop>
  <Company>Gwent Police</Company>
  <LinksUpToDate>false</LinksUpToDate>
  <CharactersWithSpaces>46097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O'sullivan, Ifan</dc:creator>
  <cp:keywords/>
  <dc:description/>
  <cp:lastModifiedBy>O'sullivan, Ifan</cp:lastModifiedBy>
  <cp:revision>72</cp:revision>
  <dcterms:created xsi:type="dcterms:W3CDTF">2021-07-04T12:48:00Z</dcterms:created>
  <dcterms:modified xsi:type="dcterms:W3CDTF">2021-07-05T15:40:00Z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2021-07-04T12:49:33Z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98d4945c-3560-4adc-aa96-f2643f29e5a3</vt:lpwstr>
  </property>
  <property fmtid="{D5CDD505-2E9C-101B-9397-08002B2CF9AE}" pid="8" name="MSIP_Label_f2acd28b-79a3-4a0f-b0ff-4b75658b1549_ContentBits">
    <vt:lpwstr>0</vt:lpwstr>
  </property>
  <property fmtid="{D5CDD505-2E9C-101B-9397-08002B2CF9AE}" pid="9" name="ContentTypeId">
    <vt:lpwstr>0x010100286B5919E9BC4A47A97E535BEE1CEA3A</vt:lpwstr>
  </property>
</Properties>
</file>