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79BA1BD0"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Name:</w:t>
      </w:r>
      <w:r w:rsidR="00FB7667">
        <w:rPr>
          <w:rFonts w:asciiTheme="minorBidi" w:hAnsiTheme="minorBidi"/>
          <w:b/>
          <w:bCs/>
          <w:sz w:val="48"/>
          <w:szCs w:val="48"/>
        </w:rPr>
        <w:t xml:space="preserve"> </w:t>
      </w:r>
      <w:r w:rsidR="00FB7667">
        <w:rPr>
          <w:rFonts w:asciiTheme="minorBidi" w:hAnsiTheme="minorBidi"/>
          <w:sz w:val="48"/>
          <w:szCs w:val="48"/>
        </w:rPr>
        <w:t>Aysan Bulbul</w:t>
      </w:r>
    </w:p>
    <w:p w14:paraId="2A5A039B" w14:textId="77777777" w:rsidR="00583D6E" w:rsidRPr="00583D6E" w:rsidRDefault="00583D6E" w:rsidP="00583D6E">
      <w:pPr>
        <w:rPr>
          <w:rFonts w:asciiTheme="minorBidi" w:hAnsiTheme="minorBidi"/>
          <w:b/>
          <w:bCs/>
          <w:sz w:val="48"/>
          <w:szCs w:val="48"/>
        </w:rPr>
      </w:pPr>
    </w:p>
    <w:p w14:paraId="3F49392F" w14:textId="3739CA8C" w:rsidR="00583D6E" w:rsidRPr="00FB7667" w:rsidRDefault="00583D6E" w:rsidP="00583D6E">
      <w:pPr>
        <w:rPr>
          <w:rFonts w:asciiTheme="minorBidi" w:hAnsiTheme="minorBidi"/>
          <w:sz w:val="48"/>
          <w:szCs w:val="48"/>
        </w:rPr>
      </w:pPr>
      <w:r w:rsidRPr="00583D6E">
        <w:rPr>
          <w:rFonts w:asciiTheme="minorBidi" w:hAnsiTheme="minorBidi"/>
          <w:b/>
          <w:bCs/>
          <w:sz w:val="48"/>
          <w:szCs w:val="48"/>
        </w:rPr>
        <w:t>Student Number:</w:t>
      </w:r>
      <w:r w:rsidR="00FB7667">
        <w:rPr>
          <w:rFonts w:asciiTheme="minorBidi" w:hAnsiTheme="minorBidi"/>
          <w:b/>
          <w:bCs/>
          <w:sz w:val="48"/>
          <w:szCs w:val="48"/>
        </w:rPr>
        <w:t xml:space="preserve"> </w:t>
      </w:r>
      <w:r w:rsidR="00FB7667">
        <w:rPr>
          <w:rFonts w:asciiTheme="minorBidi" w:hAnsiTheme="minorBidi"/>
          <w:sz w:val="48"/>
          <w:szCs w:val="48"/>
        </w:rPr>
        <w:t>2410319</w:t>
      </w:r>
    </w:p>
    <w:p w14:paraId="482FED95" w14:textId="77777777" w:rsidR="00583D6E" w:rsidRPr="00583D6E" w:rsidRDefault="00583D6E" w:rsidP="00583D6E">
      <w:pPr>
        <w:rPr>
          <w:rFonts w:asciiTheme="minorBidi" w:hAnsiTheme="minorBidi"/>
          <w:b/>
          <w:bCs/>
          <w:sz w:val="48"/>
          <w:szCs w:val="48"/>
        </w:rPr>
      </w:pPr>
    </w:p>
    <w:p w14:paraId="1460B153" w14:textId="5CE70E5E" w:rsidR="00583D6E" w:rsidRPr="00FB7667" w:rsidRDefault="00583D6E" w:rsidP="00583D6E">
      <w:pPr>
        <w:rPr>
          <w:rFonts w:asciiTheme="minorBidi" w:hAnsiTheme="minorBidi"/>
          <w:sz w:val="48"/>
          <w:szCs w:val="48"/>
        </w:rPr>
      </w:pPr>
      <w:r w:rsidRPr="00583D6E">
        <w:rPr>
          <w:rFonts w:asciiTheme="minorBidi" w:hAnsiTheme="minorBidi"/>
          <w:b/>
          <w:bCs/>
          <w:sz w:val="48"/>
          <w:szCs w:val="48"/>
        </w:rPr>
        <w:t>Lecturer:</w:t>
      </w:r>
      <w:r w:rsidR="00FB7667">
        <w:rPr>
          <w:rFonts w:asciiTheme="minorBidi" w:hAnsiTheme="minorBidi"/>
          <w:b/>
          <w:bCs/>
          <w:sz w:val="48"/>
          <w:szCs w:val="48"/>
        </w:rPr>
        <w:t xml:space="preserve"> </w:t>
      </w:r>
      <w:r w:rsidR="00FB7667">
        <w:rPr>
          <w:rFonts w:asciiTheme="minorBidi" w:hAnsiTheme="minorBidi"/>
          <w:sz w:val="48"/>
          <w:szCs w:val="48"/>
        </w:rPr>
        <w:t>Scott James</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18D90C9A" w14:textId="6C227714" w:rsidR="00583D6E" w:rsidRPr="009F24C9" w:rsidRDefault="00583D6E" w:rsidP="00583D6E">
      <w:pPr>
        <w:rPr>
          <w:rFonts w:ascii="Arial" w:hAnsi="Arial" w:cs="Arial"/>
          <w:b/>
          <w:bCs/>
        </w:rPr>
      </w:pPr>
      <w:r w:rsidRPr="009F24C9">
        <w:rPr>
          <w:rFonts w:ascii="Arial" w:hAnsi="Arial" w:cs="Arial"/>
          <w:b/>
          <w:bCs/>
        </w:rPr>
        <w:lastRenderedPageBreak/>
        <w:t>AI Acknowledgement</w:t>
      </w:r>
    </w:p>
    <w:p w14:paraId="59C537E0" w14:textId="77777777" w:rsidR="00583D6E" w:rsidRPr="009F24C9" w:rsidRDefault="00583D6E" w:rsidP="00583D6E">
      <w:pPr>
        <w:rPr>
          <w:rFonts w:ascii="Arial" w:hAnsi="Arial" w:cs="Arial"/>
        </w:rPr>
      </w:pPr>
      <w:r w:rsidRPr="009F24C9">
        <w:rPr>
          <w:rFonts w:ascii="Arial" w:hAnsi="Arial" w:cs="Arial"/>
          <w:i/>
          <w:iCs/>
        </w:rPr>
        <w:t>(This section is compulsory for all students.)</w:t>
      </w:r>
    </w:p>
    <w:p w14:paraId="7DFD7499" w14:textId="77777777" w:rsidR="00583D6E" w:rsidRPr="009F24C9" w:rsidRDefault="00583D6E" w:rsidP="00583D6E">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7F6F04D1" w14:textId="77777777" w:rsidR="00583D6E" w:rsidRPr="009F24C9" w:rsidRDefault="00583D6E" w:rsidP="00583D6E">
      <w:pPr>
        <w:rPr>
          <w:rFonts w:ascii="Arial" w:hAnsi="Arial" w:cs="Arial"/>
          <w:b/>
          <w:bCs/>
        </w:rPr>
      </w:pPr>
      <w:r w:rsidRPr="009F24C9">
        <w:rPr>
          <w:rFonts w:ascii="Arial" w:hAnsi="Arial" w:cs="Arial"/>
          <w:b/>
          <w:bCs/>
        </w:rPr>
        <w:t>Prompt(s) used (if applicable):</w:t>
      </w:r>
    </w:p>
    <w:p w14:paraId="6118D437" w14:textId="77777777" w:rsidR="00583D6E" w:rsidRPr="009F24C9" w:rsidRDefault="00583D6E" w:rsidP="00583D6E">
      <w:pPr>
        <w:numPr>
          <w:ilvl w:val="0"/>
          <w:numId w:val="1"/>
        </w:numPr>
        <w:rPr>
          <w:rFonts w:ascii="Arial" w:hAnsi="Arial" w:cs="Arial"/>
        </w:rPr>
      </w:pPr>
    </w:p>
    <w:p w14:paraId="1092196D" w14:textId="77777777" w:rsidR="00583D6E" w:rsidRPr="009F24C9" w:rsidRDefault="00583D6E" w:rsidP="00583D6E">
      <w:pPr>
        <w:rPr>
          <w:rFonts w:ascii="Arial" w:hAnsi="Arial" w:cs="Arial"/>
        </w:rPr>
        <w:sectPr w:rsidR="00583D6E" w:rsidRPr="009F24C9" w:rsidSect="00583D6E">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1A8078B4" w14:textId="77777777" w:rsidR="00B13A8B" w:rsidRDefault="00B13A8B" w:rsidP="00B13A8B">
      <w:pPr>
        <w:spacing w:line="360" w:lineRule="auto"/>
        <w:rPr>
          <w:rFonts w:ascii="Arial" w:hAnsi="Arial" w:cs="Arial"/>
        </w:rPr>
      </w:pPr>
      <w:r w:rsidRPr="00E614AC">
        <w:rPr>
          <w:rFonts w:ascii="Arial" w:hAnsi="Arial" w:cs="Arial"/>
        </w:rPr>
        <w:lastRenderedPageBreak/>
        <w:t>In this essay, I will reflect on what I have learned during the second phase of my transition to higher education and how these experiences can support my future professional development. Reflection is an important process that enables individuals to evaluate their knowledge, skills, and experiences. It also helps identify strengths and weaknesses, allowing areas for improvement to be recognised and developed to achieve personal and professional success. This essay will be structured using Gibbs’ Reflective Cycle, which provides a clear framework for learning through experience. Its cyclical nature encourages individuals to reflect on past situations, evaluate what was effective, and consider how future actions can be improved (</w:t>
      </w:r>
      <w:proofErr w:type="spellStart"/>
      <w:r w:rsidRPr="00E614AC">
        <w:rPr>
          <w:rFonts w:ascii="Arial" w:hAnsi="Arial" w:cs="Arial"/>
        </w:rPr>
        <w:t>Trimasse</w:t>
      </w:r>
      <w:proofErr w:type="spellEnd"/>
      <w:r w:rsidRPr="00E614AC">
        <w:rPr>
          <w:rFonts w:ascii="Arial" w:hAnsi="Arial" w:cs="Arial"/>
        </w:rPr>
        <w:t>, 2025).</w:t>
      </w:r>
      <w:r>
        <w:rPr>
          <w:rFonts w:ascii="Arial" w:hAnsi="Arial" w:cs="Arial"/>
        </w:rPr>
        <w:t xml:space="preserve"> </w:t>
      </w:r>
      <w:r w:rsidRPr="00E614AC">
        <w:rPr>
          <w:rFonts w:ascii="Arial" w:hAnsi="Arial" w:cs="Arial"/>
        </w:rPr>
        <w:t>In addition, this essay will draw upon several reflective and career development tools, including SWOT analysis, the Myers–Briggs Type Indicator (MBTI), and Holland’s Career Theory. The MBTI is a personality assessment that explores how individuals perceive their</w:t>
      </w:r>
      <w:r>
        <w:rPr>
          <w:rFonts w:ascii="Arial" w:hAnsi="Arial" w:cs="Arial"/>
        </w:rPr>
        <w:t xml:space="preserve"> </w:t>
      </w:r>
      <w:r w:rsidRPr="00A06569">
        <w:rPr>
          <w:rFonts w:ascii="Arial" w:hAnsi="Arial" w:cs="Arial"/>
        </w:rPr>
        <w:t>environment, make decisions, and interact with others (</w:t>
      </w:r>
      <w:proofErr w:type="spellStart"/>
      <w:r w:rsidRPr="00A06569">
        <w:rPr>
          <w:rFonts w:ascii="Arial" w:hAnsi="Arial" w:cs="Arial"/>
        </w:rPr>
        <w:t>Kodweis</w:t>
      </w:r>
      <w:proofErr w:type="spellEnd"/>
      <w:r w:rsidRPr="00A06569">
        <w:rPr>
          <w:rFonts w:ascii="Arial" w:hAnsi="Arial" w:cs="Arial"/>
        </w:rPr>
        <w:t xml:space="preserve"> et al., 2023). Similarly, SWOT analysis evaluates strengths, weaknesses, opportunities, and threats to support informed decision-making (</w:t>
      </w:r>
      <w:proofErr w:type="spellStart"/>
      <w:r w:rsidRPr="00A06569">
        <w:rPr>
          <w:rFonts w:ascii="Arial" w:hAnsi="Arial" w:cs="Arial"/>
        </w:rPr>
        <w:t>Ławińska</w:t>
      </w:r>
      <w:proofErr w:type="spellEnd"/>
      <w:r w:rsidRPr="00A06569">
        <w:rPr>
          <w:rFonts w:ascii="Arial" w:hAnsi="Arial" w:cs="Arial"/>
        </w:rPr>
        <w:t xml:space="preserve">, </w:t>
      </w:r>
      <w:proofErr w:type="spellStart"/>
      <w:r w:rsidRPr="00A06569">
        <w:rPr>
          <w:rFonts w:ascii="Arial" w:hAnsi="Arial" w:cs="Arial"/>
        </w:rPr>
        <w:t>Korombel</w:t>
      </w:r>
      <w:proofErr w:type="spellEnd"/>
      <w:r w:rsidRPr="00A06569">
        <w:rPr>
          <w:rFonts w:ascii="Arial" w:hAnsi="Arial" w:cs="Arial"/>
        </w:rPr>
        <w:t xml:space="preserve"> and </w:t>
      </w:r>
      <w:proofErr w:type="spellStart"/>
      <w:r w:rsidRPr="00A06569">
        <w:rPr>
          <w:rFonts w:ascii="Arial" w:hAnsi="Arial" w:cs="Arial"/>
        </w:rPr>
        <w:t>Zajemska</w:t>
      </w:r>
      <w:proofErr w:type="spellEnd"/>
      <w:r w:rsidRPr="00A06569">
        <w:rPr>
          <w:rFonts w:ascii="Arial" w:hAnsi="Arial" w:cs="Arial"/>
        </w:rPr>
        <w:t>, 2022). Furthermore, Holland’s Career Theory suggests that understanding personality, interests, and strengths can help individuals make more suitable career choices.</w:t>
      </w:r>
    </w:p>
    <w:p w14:paraId="4DA35161" w14:textId="77777777" w:rsidR="00B13A8B" w:rsidRDefault="00B13A8B" w:rsidP="00B13A8B">
      <w:pPr>
        <w:spacing w:line="360" w:lineRule="auto"/>
        <w:rPr>
          <w:rFonts w:ascii="Arial" w:hAnsi="Arial" w:cs="Arial"/>
        </w:rPr>
      </w:pPr>
      <w:r w:rsidRPr="006C24F3">
        <w:rPr>
          <w:rFonts w:ascii="Arial" w:hAnsi="Arial" w:cs="Arial"/>
        </w:rPr>
        <w:t>I started my career as a waitress at a busy hotel restaurant, where I gained valuable customer service, teamwork, and how to perform effectively in a busy place. I eventually worked in many restaurants and cafés, improving my communication and interpersonal skills.</w:t>
      </w:r>
      <w:r w:rsidRPr="007D51B6">
        <w:t xml:space="preserve"> </w:t>
      </w:r>
      <w:r w:rsidRPr="007D51B6">
        <w:rPr>
          <w:rFonts w:ascii="Arial" w:hAnsi="Arial" w:cs="Arial"/>
        </w:rPr>
        <w:t>Employee contact improves inner communication and increases individual knowledge (Manuel and Ascensão, 2026).</w:t>
      </w:r>
      <w:r w:rsidRPr="006C24F3">
        <w:rPr>
          <w:rFonts w:ascii="Arial" w:hAnsi="Arial" w:cs="Arial"/>
        </w:rPr>
        <w:t xml:space="preserve"> After a few years, I took a career break to raise my children, which allowed me to think about my future career goals and how I could use my abilities in a more rewarding manner.</w:t>
      </w:r>
      <w:r w:rsidRPr="00AB1598">
        <w:t xml:space="preserve"> </w:t>
      </w:r>
      <w:r w:rsidRPr="00AB1598">
        <w:rPr>
          <w:rFonts w:ascii="Arial" w:hAnsi="Arial" w:cs="Arial"/>
        </w:rPr>
        <w:t>Throughout this process, I discovered that a career as a Teaching Assistant could be compatible with my abilities, interests, and desire to help others. As a result, I enrolled in the necessary training and started on a new career in education. My time as a Teaching Assistant has shaped my professional goals by combining learning, practical experience, and personal development. Supporting students and working with teachers has boosted my confidence and organising skills.</w:t>
      </w:r>
      <w:r w:rsidRPr="00F903DD">
        <w:t xml:space="preserve"> </w:t>
      </w:r>
      <w:r w:rsidRPr="00F903DD">
        <w:rPr>
          <w:rFonts w:ascii="Arial" w:hAnsi="Arial" w:cs="Arial"/>
        </w:rPr>
        <w:t xml:space="preserve">In a Teaching Assistant role, personal development planning is often designed to support both individual professional growth and the objectives of the school. This approach enables </w:t>
      </w:r>
      <w:r w:rsidRPr="00F903DD">
        <w:rPr>
          <w:rFonts w:ascii="Arial" w:hAnsi="Arial" w:cs="Arial"/>
        </w:rPr>
        <w:lastRenderedPageBreak/>
        <w:t>Teaching Assistants to develop their skills and knowledge while contributing effectively to improved outcomes for pupils and the wider school community (Cottrell, 2021).</w:t>
      </w:r>
      <w:r w:rsidRPr="00CE5EB2">
        <w:t xml:space="preserve"> </w:t>
      </w:r>
      <w:r w:rsidRPr="00CE5EB2">
        <w:rPr>
          <w:rFonts w:ascii="Arial" w:hAnsi="Arial" w:cs="Arial"/>
        </w:rPr>
        <w:t>But after working in the industry of education for a while, I became really interested in starting my own business and looking into other job options. My desire to set up my own business and increase my understanding of several industries increased. I therefore concluded that studying business would be the best course of action for reaching my professional goals in the future, and I applied to universities to continue my education and develop the skills necessary for achieving success in business.</w:t>
      </w:r>
    </w:p>
    <w:p w14:paraId="0D75D4BA" w14:textId="77777777" w:rsidR="00B13A8B" w:rsidRDefault="00B13A8B" w:rsidP="00B13A8B">
      <w:pPr>
        <w:spacing w:line="360" w:lineRule="auto"/>
        <w:rPr>
          <w:rFonts w:ascii="Arial" w:hAnsi="Arial" w:cs="Arial"/>
        </w:rPr>
      </w:pPr>
      <w:r w:rsidRPr="00333467">
        <w:rPr>
          <w:rFonts w:ascii="Arial" w:hAnsi="Arial" w:cs="Arial"/>
        </w:rPr>
        <w:t>During my time working in both the education and hospitality sectors, my self-confidence grew significantly. As my language skills improved, I became more productive and increasingly comfortable in professional environments. Working in fast-paced and demanding settings strengthened my motivation and resilience. I particularly enjoyed working as part of a team and found great satisfaction in supporting others, whether assisting students in the classroom or providing excellent service to customers in hospitality.</w:t>
      </w:r>
      <w:r w:rsidRPr="00454708">
        <w:t xml:space="preserve"> </w:t>
      </w:r>
      <w:r w:rsidRPr="00454708">
        <w:rPr>
          <w:rFonts w:ascii="Arial" w:hAnsi="Arial" w:cs="Arial"/>
        </w:rPr>
        <w:t>Because coworkers exchange knowledge, assist one another, and offer encouragement during difficult times, coworker support strengthens social connections and increases employees' motivation (Hartnell et al., 2023).</w:t>
      </w:r>
      <w:r w:rsidRPr="00333467">
        <w:rPr>
          <w:rFonts w:ascii="Arial" w:hAnsi="Arial" w:cs="Arial"/>
        </w:rPr>
        <w:t xml:space="preserve"> Knowing that I was making a positive contribution to the experiences of others was highly rewarding and further increased my confidence and enthusiasm for work</w:t>
      </w:r>
      <w:r w:rsidRPr="0010327F">
        <w:rPr>
          <w:rFonts w:ascii="Arial" w:hAnsi="Arial" w:cs="Arial"/>
        </w:rPr>
        <w:t>. I felt a great sense of achievement when I interacted with customers and made sure they received exceptional service throughout my time working in the hospitality industry. Seeing clients satisfied with their experience was really fulfilling and made the job more enjoyable for me. Knowing that I had made a positive impact on their visit increased my job satisfaction and inspired me to continue providing excellent customer service.</w:t>
      </w:r>
    </w:p>
    <w:p w14:paraId="7C6E98EA" w14:textId="77777777" w:rsidR="00B13A8B" w:rsidRDefault="00B13A8B" w:rsidP="00B13A8B">
      <w:pPr>
        <w:spacing w:line="360" w:lineRule="auto"/>
        <w:rPr>
          <w:rFonts w:ascii="Arial" w:hAnsi="Arial" w:cs="Arial"/>
        </w:rPr>
      </w:pPr>
      <w:r w:rsidRPr="001279B3">
        <w:rPr>
          <w:rFonts w:ascii="Arial" w:hAnsi="Arial" w:cs="Arial"/>
        </w:rPr>
        <w:t>Overall, my transition to higher education has been a positive and valuable experience. One of the main achievements has been the development of my confidence, academic skills, and self-belief. Returning to education after several years in employment was challenging at first; however, completing assignments and participating in class activities helped me become more confident in my abilities. Working with students from different backgrounds also improved my communication and teamwork skills.</w:t>
      </w:r>
      <w:r w:rsidRPr="00DA011A">
        <w:rPr>
          <w:rFonts w:ascii="Arial" w:hAnsi="Arial" w:cs="Arial"/>
        </w:rPr>
        <w:t xml:space="preserve"> My SWOT analysis showed that my good interpersonal skills </w:t>
      </w:r>
      <w:r w:rsidRPr="00DA011A">
        <w:rPr>
          <w:rFonts w:ascii="Arial" w:hAnsi="Arial" w:cs="Arial"/>
        </w:rPr>
        <w:lastRenderedPageBreak/>
        <w:t>were an important strength.</w:t>
      </w:r>
      <w:r>
        <w:rPr>
          <w:rFonts w:ascii="Arial" w:hAnsi="Arial" w:cs="Arial"/>
        </w:rPr>
        <w:t xml:space="preserve"> </w:t>
      </w:r>
      <w:r w:rsidRPr="00B60699">
        <w:rPr>
          <w:rFonts w:ascii="Arial" w:hAnsi="Arial" w:cs="Arial"/>
        </w:rPr>
        <w:t xml:space="preserve">The abilities and character traits that allow people to successfully manage themselves, establish and preserve healthy relationships, accomplish personal and professional goals, and engage in a variety of social settings are known as interpersonal skills (Klinkosz, Iskra and </w:t>
      </w:r>
      <w:proofErr w:type="spellStart"/>
      <w:r w:rsidRPr="00B60699">
        <w:rPr>
          <w:rFonts w:ascii="Arial" w:hAnsi="Arial" w:cs="Arial"/>
        </w:rPr>
        <w:t>Artymiak</w:t>
      </w:r>
      <w:proofErr w:type="spellEnd"/>
      <w:r w:rsidRPr="00B60699">
        <w:rPr>
          <w:rFonts w:ascii="Arial" w:hAnsi="Arial" w:cs="Arial"/>
        </w:rPr>
        <w:t>, 2021).</w:t>
      </w:r>
      <w:r w:rsidRPr="00DA011A">
        <w:rPr>
          <w:rFonts w:ascii="Arial" w:hAnsi="Arial" w:cs="Arial"/>
        </w:rPr>
        <w:t xml:space="preserve"> I was able to collaborate with others, speak clearly, and build strong relationships with them because to my previous jobs in education and hospitality. I was also able to adjust to university life and stay focused on my future professional objectives because to my perseverance and enthusiasm to learn.</w:t>
      </w:r>
      <w:r w:rsidRPr="00E057CD">
        <w:rPr>
          <w:rFonts w:ascii="Arial" w:hAnsi="Arial" w:cs="Arial"/>
        </w:rPr>
        <w:t xml:space="preserve"> But I also had to deal with several difficulties. My lack of confidence in critical analysis and academic writing has been a barrier in my progress</w:t>
      </w:r>
      <w:r w:rsidRPr="00534838">
        <w:rPr>
          <w:rFonts w:ascii="Arial" w:hAnsi="Arial" w:cs="Arial"/>
        </w:rPr>
        <w:t xml:space="preserve"> (Ivar Bråten </w:t>
      </w:r>
      <w:r w:rsidRPr="00534838">
        <w:rPr>
          <w:rFonts w:ascii="Arial" w:hAnsi="Arial" w:cs="Arial"/>
          <w:i/>
          <w:iCs/>
        </w:rPr>
        <w:t>et al.</w:t>
      </w:r>
      <w:r w:rsidRPr="00534838">
        <w:rPr>
          <w:rFonts w:ascii="Arial" w:hAnsi="Arial" w:cs="Arial"/>
        </w:rPr>
        <w:t>, 2023)</w:t>
      </w:r>
      <w:r w:rsidRPr="00E057CD">
        <w:rPr>
          <w:rFonts w:ascii="Arial" w:hAnsi="Arial" w:cs="Arial"/>
        </w:rPr>
        <w:t>. At first, I had trouble accurately using academic referencing and preparing assignments. It was challenging managing both family responsibilities and university coursework, which periodically caused problems with my time management</w:t>
      </w:r>
      <w:r>
        <w:rPr>
          <w:rFonts w:ascii="Arial" w:hAnsi="Arial" w:cs="Arial"/>
        </w:rPr>
        <w:t xml:space="preserve"> </w:t>
      </w:r>
      <w:r w:rsidRPr="00172223">
        <w:rPr>
          <w:rFonts w:ascii="Arial" w:hAnsi="Arial" w:cs="Arial"/>
        </w:rPr>
        <w:t xml:space="preserve">(O’ Connor, </w:t>
      </w:r>
      <w:proofErr w:type="spellStart"/>
      <w:r w:rsidRPr="00172223">
        <w:rPr>
          <w:rFonts w:ascii="Arial" w:hAnsi="Arial" w:cs="Arial"/>
        </w:rPr>
        <w:t>Mccarthy</w:t>
      </w:r>
      <w:proofErr w:type="spellEnd"/>
      <w:r w:rsidRPr="00172223">
        <w:rPr>
          <w:rFonts w:ascii="Arial" w:hAnsi="Arial" w:cs="Arial"/>
        </w:rPr>
        <w:t xml:space="preserve"> and O’ Shea, 2022)</w:t>
      </w:r>
      <w:r w:rsidRPr="00E057CD">
        <w:rPr>
          <w:rFonts w:ascii="Arial" w:hAnsi="Arial" w:cs="Arial"/>
        </w:rPr>
        <w:t>.</w:t>
      </w:r>
      <w:r w:rsidRPr="00522049">
        <w:rPr>
          <w:rFonts w:ascii="Arial" w:hAnsi="Arial" w:cs="Arial"/>
        </w:rPr>
        <w:t xml:space="preserve"> I was able to recognise these shortcomings and create plans to strengthen them by responding to class activities, group discussions, and lecture feedback. Despite the difficulties, this experience has improved my academic skills, increased my resilience, and prepared me for future professional growth.</w:t>
      </w:r>
    </w:p>
    <w:p w14:paraId="39ED55CC" w14:textId="77777777" w:rsidR="00B13A8B" w:rsidRDefault="00B13A8B" w:rsidP="00B13A8B">
      <w:pPr>
        <w:spacing w:line="360" w:lineRule="auto"/>
        <w:rPr>
          <w:rFonts w:ascii="Arial" w:hAnsi="Arial" w:cs="Arial"/>
        </w:rPr>
      </w:pPr>
      <w:r w:rsidRPr="00567B35">
        <w:rPr>
          <w:rFonts w:ascii="Arial" w:hAnsi="Arial" w:cs="Arial"/>
        </w:rPr>
        <w:t xml:space="preserve">I now have an improved understanding of my personality, abilities, and shortcomings as well as my professional goals thanks to the experiences I had during my move to a university. </w:t>
      </w:r>
      <w:r w:rsidRPr="000C4974">
        <w:rPr>
          <w:rFonts w:ascii="Arial" w:hAnsi="Arial" w:cs="Arial"/>
        </w:rPr>
        <w:t>University adaptation requires self-regulated learning, strategic independence, and effective study (Liu and Zhang, 2023</w:t>
      </w:r>
      <w:proofErr w:type="gramStart"/>
      <w:r w:rsidRPr="000C4974">
        <w:rPr>
          <w:rFonts w:ascii="Arial" w:hAnsi="Arial" w:cs="Arial"/>
        </w:rPr>
        <w:t>).</w:t>
      </w:r>
      <w:r w:rsidRPr="00567B35">
        <w:rPr>
          <w:rFonts w:ascii="Arial" w:hAnsi="Arial" w:cs="Arial"/>
        </w:rPr>
        <w:t>I</w:t>
      </w:r>
      <w:proofErr w:type="gramEnd"/>
      <w:r w:rsidRPr="00567B35">
        <w:rPr>
          <w:rFonts w:ascii="Arial" w:hAnsi="Arial" w:cs="Arial"/>
        </w:rPr>
        <w:t xml:space="preserve"> was able to assess the abilities I have acquired from my employment in hospitality and teaching by using SWOT analysis. Strong interpersonal, teamwork, and communication skills were highlighted in my SWOT analysis. These abilities were developed through frequent interactions with clients, students, and colleagues. These qualities helped in my adjustment to college and enabled me to develop strong relationships with lecturers and other students. But the investigation also identified weaknesses in time management, critical analysis, and academic writing. Understanding these areas for growth has motivated me to ask for criticism, form effective study habits, and boost my confidence in academic work.</w:t>
      </w:r>
      <w:r>
        <w:rPr>
          <w:rFonts w:ascii="Arial" w:hAnsi="Arial" w:cs="Arial"/>
        </w:rPr>
        <w:t xml:space="preserve"> </w:t>
      </w:r>
      <w:r w:rsidRPr="00AE3A5E">
        <w:rPr>
          <w:rFonts w:ascii="Arial" w:hAnsi="Arial" w:cs="Arial"/>
        </w:rPr>
        <w:t xml:space="preserve">According to my Myers-Briggs profile, I like focused on people environments that value teamwork, communication, and helping others. This highlights why I liked working in both education and hospitality. As a waitress, I felt fulfilment in giving outstanding customer service and making sure </w:t>
      </w:r>
      <w:r w:rsidRPr="00AE3A5E">
        <w:rPr>
          <w:rFonts w:ascii="Arial" w:hAnsi="Arial" w:cs="Arial"/>
        </w:rPr>
        <w:lastRenderedPageBreak/>
        <w:t>guests had a good time. In a similar way, I loved helping students and advancing their education as a teaching assistant. These positions increased my professional happiness and corresponded to my personality.</w:t>
      </w:r>
      <w:r w:rsidRPr="0028786F">
        <w:rPr>
          <w:rFonts w:ascii="Arial" w:hAnsi="Arial" w:cs="Arial"/>
        </w:rPr>
        <w:t xml:space="preserve"> I decided that I am most suited for social and enterprising career types using Holland's career theory. </w:t>
      </w:r>
      <w:r w:rsidRPr="00EC3D6B">
        <w:rPr>
          <w:rFonts w:ascii="Arial" w:hAnsi="Arial" w:cs="Arial"/>
        </w:rPr>
        <w:t xml:space="preserve">The Realistic, Investigative, Artistic, Social, Enterprising, and Conventional elements of Holland's RIASEC model are based on the idea that these six main traits reflect career choices (Batista and </w:t>
      </w:r>
      <w:proofErr w:type="spellStart"/>
      <w:r w:rsidRPr="00EC3D6B">
        <w:rPr>
          <w:rFonts w:ascii="Arial" w:hAnsi="Arial" w:cs="Arial"/>
        </w:rPr>
        <w:t>Gondim</w:t>
      </w:r>
      <w:proofErr w:type="spellEnd"/>
      <w:r w:rsidRPr="00EC3D6B">
        <w:rPr>
          <w:rFonts w:ascii="Arial" w:hAnsi="Arial" w:cs="Arial"/>
        </w:rPr>
        <w:t>, 2022).</w:t>
      </w:r>
      <w:r w:rsidRPr="0028786F">
        <w:rPr>
          <w:rFonts w:ascii="Arial" w:hAnsi="Arial" w:cs="Arial"/>
        </w:rPr>
        <w:t>The Enterprising factor relates to my enthusiasm in leadership, business, and entrepreneurship, while the social element represents how much I like working with and assisting people. This explains why, even though I enjoyed learning, I started to become more interested in getting a business degree and looking at ways to start my own company. Knowing how my personality, interests, and work choices relate to one another has increased my confidence in my future and strengthened my will to keep expanding my business knowledge and expertise.</w:t>
      </w:r>
    </w:p>
    <w:p w14:paraId="610158A3" w14:textId="77777777" w:rsidR="00B13A8B" w:rsidRDefault="00B13A8B" w:rsidP="00B13A8B">
      <w:pPr>
        <w:spacing w:line="360" w:lineRule="auto"/>
        <w:rPr>
          <w:rFonts w:ascii="Arial" w:hAnsi="Arial" w:cs="Arial"/>
        </w:rPr>
      </w:pPr>
      <w:r w:rsidRPr="0006234F">
        <w:rPr>
          <w:rFonts w:ascii="Arial" w:hAnsi="Arial" w:cs="Arial"/>
        </w:rPr>
        <w:t>This reflection has enabled me to gain a clearer understanding of my personal strengths, areas for development, and future career aspirations.</w:t>
      </w:r>
      <w:r>
        <w:rPr>
          <w:rFonts w:ascii="Arial" w:hAnsi="Arial" w:cs="Arial"/>
        </w:rPr>
        <w:t xml:space="preserve"> </w:t>
      </w:r>
      <w:r w:rsidRPr="0006234F">
        <w:rPr>
          <w:rFonts w:ascii="Arial" w:hAnsi="Arial" w:cs="Arial"/>
        </w:rPr>
        <w:t>I have become more resilient, confident, and self-believing because of my move to higher education. Additionally, I've developed critical abilities like academic writing, teamwork, communication, and organisation, all of which will help me in my future career</w:t>
      </w:r>
      <w:r>
        <w:rPr>
          <w:rFonts w:ascii="Arial" w:hAnsi="Arial" w:cs="Arial"/>
        </w:rPr>
        <w:t xml:space="preserve"> </w:t>
      </w:r>
      <w:r w:rsidRPr="00D85462">
        <w:rPr>
          <w:rFonts w:ascii="Arial" w:hAnsi="Arial" w:cs="Arial"/>
        </w:rPr>
        <w:t>(Arsenis, Flores and Petropoulou, 2021).</w:t>
      </w:r>
      <w:r w:rsidRPr="00B67C46">
        <w:rPr>
          <w:rFonts w:ascii="Arial" w:hAnsi="Arial" w:cs="Arial"/>
        </w:rPr>
        <w:t xml:space="preserve"> I was able to identify my strengths and areas that still needed work by using SWOT analysis, especially critical analysis and time management. The Myers-Briggs test made me more conscious of my inclination for focused on people settings and helped me comprehend why I found education and hospitality to be satisfying. Furthermore, Holland's Career Theory demonstrated the close relationship between my personality, interests, and professional objectives, demonstrating my suitability for social and entrepreneurial jobs.</w:t>
      </w:r>
      <w:r w:rsidRPr="00EE3743">
        <w:rPr>
          <w:rFonts w:ascii="Arial" w:hAnsi="Arial" w:cs="Arial"/>
        </w:rPr>
        <w:t xml:space="preserve"> </w:t>
      </w:r>
      <w:r w:rsidRPr="00EB42D6">
        <w:rPr>
          <w:rFonts w:ascii="Arial" w:hAnsi="Arial" w:cs="Arial"/>
        </w:rPr>
        <w:t>All things evaluated, this reflective process has improved my comprehension of who I am and the path I want to follow in my professional life. It has validated my choice to explore entrepreneurial chances and study business. To accomplish my long-term objective of starting and running a successful business company I will keep developing my academic and professional abilities.</w:t>
      </w:r>
    </w:p>
    <w:p w14:paraId="2E24C612" w14:textId="77777777" w:rsidR="00B13A8B" w:rsidRDefault="00B13A8B" w:rsidP="00583D6E">
      <w:pPr>
        <w:rPr>
          <w:rFonts w:ascii="Arial" w:hAnsi="Arial" w:cs="Arial"/>
          <w:b/>
          <w:bCs/>
        </w:rPr>
      </w:pPr>
    </w:p>
    <w:p w14:paraId="4F414619" w14:textId="77777777" w:rsidR="00B13A8B" w:rsidRDefault="00B13A8B" w:rsidP="00583D6E">
      <w:pPr>
        <w:rPr>
          <w:rFonts w:ascii="Arial" w:hAnsi="Arial" w:cs="Arial"/>
          <w:b/>
          <w:bCs/>
        </w:rPr>
      </w:pPr>
    </w:p>
    <w:tbl>
      <w:tblPr>
        <w:tblW w:w="9190" w:type="dxa"/>
        <w:tblInd w:w="-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76"/>
        <w:gridCol w:w="1697"/>
        <w:gridCol w:w="1539"/>
        <w:gridCol w:w="1360"/>
        <w:gridCol w:w="1721"/>
        <w:gridCol w:w="1397"/>
      </w:tblGrid>
      <w:tr w:rsidR="00B13A8B" w:rsidRPr="00B13A8B" w14:paraId="730423AE" w14:textId="77777777" w:rsidTr="00EE461A">
        <w:trPr>
          <w:trHeight w:val="600"/>
        </w:trPr>
        <w:tc>
          <w:tcPr>
            <w:tcW w:w="1460" w:type="dxa"/>
          </w:tcPr>
          <w:p w14:paraId="065C0826"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lastRenderedPageBreak/>
              <w:t>Goal</w:t>
            </w:r>
          </w:p>
        </w:tc>
        <w:tc>
          <w:tcPr>
            <w:tcW w:w="2010" w:type="dxa"/>
          </w:tcPr>
          <w:p w14:paraId="13B14A10"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Specific Action</w:t>
            </w:r>
          </w:p>
        </w:tc>
        <w:tc>
          <w:tcPr>
            <w:tcW w:w="1750" w:type="dxa"/>
          </w:tcPr>
          <w:p w14:paraId="1372FA64"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Measurable</w:t>
            </w:r>
          </w:p>
        </w:tc>
        <w:tc>
          <w:tcPr>
            <w:tcW w:w="1540" w:type="dxa"/>
          </w:tcPr>
          <w:p w14:paraId="3CFC991B"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Achievable</w:t>
            </w:r>
          </w:p>
        </w:tc>
        <w:tc>
          <w:tcPr>
            <w:tcW w:w="1380" w:type="dxa"/>
          </w:tcPr>
          <w:p w14:paraId="418A854A"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Relevant</w:t>
            </w:r>
          </w:p>
        </w:tc>
        <w:tc>
          <w:tcPr>
            <w:tcW w:w="1050" w:type="dxa"/>
          </w:tcPr>
          <w:p w14:paraId="7A28319C"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Time-Bound</w:t>
            </w:r>
          </w:p>
        </w:tc>
      </w:tr>
      <w:tr w:rsidR="00B13A8B" w:rsidRPr="00B13A8B" w14:paraId="3F332553" w14:textId="77777777" w:rsidTr="00EE461A">
        <w:trPr>
          <w:trHeight w:val="540"/>
        </w:trPr>
        <w:tc>
          <w:tcPr>
            <w:tcW w:w="1460" w:type="dxa"/>
          </w:tcPr>
          <w:p w14:paraId="00D9CDB7"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Improve confidence</w:t>
            </w:r>
          </w:p>
        </w:tc>
        <w:tc>
          <w:tcPr>
            <w:tcW w:w="2010" w:type="dxa"/>
          </w:tcPr>
          <w:p w14:paraId="3EB59091"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Participate more in class discussions and presentations</w:t>
            </w:r>
          </w:p>
        </w:tc>
        <w:tc>
          <w:tcPr>
            <w:tcW w:w="1750" w:type="dxa"/>
          </w:tcPr>
          <w:p w14:paraId="5677CF29"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Increased participation and positive feedback</w:t>
            </w:r>
          </w:p>
        </w:tc>
        <w:tc>
          <w:tcPr>
            <w:tcW w:w="1540" w:type="dxa"/>
          </w:tcPr>
          <w:p w14:paraId="4D533DF2"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Yes, through regular practice</w:t>
            </w:r>
          </w:p>
        </w:tc>
        <w:tc>
          <w:tcPr>
            <w:tcW w:w="1380" w:type="dxa"/>
          </w:tcPr>
          <w:p w14:paraId="0D7C55E4"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Builds communication and leadership skills</w:t>
            </w:r>
          </w:p>
        </w:tc>
        <w:tc>
          <w:tcPr>
            <w:tcW w:w="1050" w:type="dxa"/>
          </w:tcPr>
          <w:p w14:paraId="75F7D1A9"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Within 4 months</w:t>
            </w:r>
          </w:p>
        </w:tc>
      </w:tr>
      <w:tr w:rsidR="00B13A8B" w:rsidRPr="00B13A8B" w14:paraId="685E9119" w14:textId="77777777" w:rsidTr="00EE461A">
        <w:trPr>
          <w:trHeight w:val="500"/>
        </w:trPr>
        <w:tc>
          <w:tcPr>
            <w:tcW w:w="1460" w:type="dxa"/>
          </w:tcPr>
          <w:p w14:paraId="282BAE68"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Develop career clarity</w:t>
            </w:r>
          </w:p>
        </w:tc>
        <w:tc>
          <w:tcPr>
            <w:tcW w:w="2010" w:type="dxa"/>
          </w:tcPr>
          <w:p w14:paraId="2ECE89AC"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Research different career paths and attend career events</w:t>
            </w:r>
          </w:p>
        </w:tc>
        <w:tc>
          <w:tcPr>
            <w:tcW w:w="1750" w:type="dxa"/>
          </w:tcPr>
          <w:p w14:paraId="448466AC"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Completion of career research and event attendance</w:t>
            </w:r>
          </w:p>
        </w:tc>
        <w:tc>
          <w:tcPr>
            <w:tcW w:w="1540" w:type="dxa"/>
          </w:tcPr>
          <w:p w14:paraId="2663B080"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Yes</w:t>
            </w:r>
          </w:p>
        </w:tc>
        <w:tc>
          <w:tcPr>
            <w:tcW w:w="1380" w:type="dxa"/>
          </w:tcPr>
          <w:p w14:paraId="5976D413"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Supports informed career decisions</w:t>
            </w:r>
          </w:p>
        </w:tc>
        <w:tc>
          <w:tcPr>
            <w:tcW w:w="1050" w:type="dxa"/>
          </w:tcPr>
          <w:p w14:paraId="3EB2B1DF"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Within 6 months</w:t>
            </w:r>
          </w:p>
        </w:tc>
      </w:tr>
      <w:tr w:rsidR="00B13A8B" w:rsidRPr="00B13A8B" w14:paraId="0117A910" w14:textId="77777777" w:rsidTr="00EE461A">
        <w:trPr>
          <w:trHeight w:val="750"/>
        </w:trPr>
        <w:tc>
          <w:tcPr>
            <w:tcW w:w="1460" w:type="dxa"/>
          </w:tcPr>
          <w:p w14:paraId="0EF16B2A"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Improve time management</w:t>
            </w:r>
          </w:p>
        </w:tc>
        <w:tc>
          <w:tcPr>
            <w:tcW w:w="2010" w:type="dxa"/>
          </w:tcPr>
          <w:p w14:paraId="5EA8E021"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Use a weekly planner to organise tasks and deadlines</w:t>
            </w:r>
          </w:p>
        </w:tc>
        <w:tc>
          <w:tcPr>
            <w:tcW w:w="1750" w:type="dxa"/>
          </w:tcPr>
          <w:p w14:paraId="0FAB42D5"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Reduced missed deadlines and stress</w:t>
            </w:r>
          </w:p>
        </w:tc>
        <w:tc>
          <w:tcPr>
            <w:tcW w:w="1540" w:type="dxa"/>
          </w:tcPr>
          <w:p w14:paraId="382FADFC"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Yes</w:t>
            </w:r>
          </w:p>
        </w:tc>
        <w:tc>
          <w:tcPr>
            <w:tcW w:w="1380" w:type="dxa"/>
          </w:tcPr>
          <w:p w14:paraId="183276C3"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Helps balance responsibilities effectively</w:t>
            </w:r>
          </w:p>
        </w:tc>
        <w:tc>
          <w:tcPr>
            <w:tcW w:w="1050" w:type="dxa"/>
          </w:tcPr>
          <w:p w14:paraId="6302E4FD"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Immediately and ongoing</w:t>
            </w:r>
          </w:p>
        </w:tc>
      </w:tr>
      <w:tr w:rsidR="00B13A8B" w:rsidRPr="00B13A8B" w14:paraId="60A65E8F" w14:textId="77777777" w:rsidTr="00EE461A">
        <w:trPr>
          <w:trHeight w:val="670"/>
        </w:trPr>
        <w:tc>
          <w:tcPr>
            <w:tcW w:w="1460" w:type="dxa"/>
          </w:tcPr>
          <w:p w14:paraId="03BD748D"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Gain practical experience</w:t>
            </w:r>
          </w:p>
        </w:tc>
        <w:tc>
          <w:tcPr>
            <w:tcW w:w="2010" w:type="dxa"/>
          </w:tcPr>
          <w:p w14:paraId="162CFF5F"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Apply for internships, volunteering, or part-time work</w:t>
            </w:r>
          </w:p>
        </w:tc>
        <w:tc>
          <w:tcPr>
            <w:tcW w:w="1750" w:type="dxa"/>
          </w:tcPr>
          <w:p w14:paraId="574D9CAF"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Number of applications and experiences gained</w:t>
            </w:r>
          </w:p>
        </w:tc>
        <w:tc>
          <w:tcPr>
            <w:tcW w:w="1540" w:type="dxa"/>
          </w:tcPr>
          <w:p w14:paraId="5780D6D9"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Yes</w:t>
            </w:r>
          </w:p>
        </w:tc>
        <w:tc>
          <w:tcPr>
            <w:tcW w:w="1380" w:type="dxa"/>
          </w:tcPr>
          <w:p w14:paraId="04BF16C1"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Enhances employability skills</w:t>
            </w:r>
          </w:p>
        </w:tc>
        <w:tc>
          <w:tcPr>
            <w:tcW w:w="1050" w:type="dxa"/>
          </w:tcPr>
          <w:p w14:paraId="31D8AE60"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Within 12 months</w:t>
            </w:r>
          </w:p>
        </w:tc>
      </w:tr>
      <w:tr w:rsidR="00B13A8B" w:rsidRPr="00B13A8B" w14:paraId="4C922F09" w14:textId="77777777" w:rsidTr="00EE461A">
        <w:trPr>
          <w:trHeight w:val="1020"/>
        </w:trPr>
        <w:tc>
          <w:tcPr>
            <w:tcW w:w="1460" w:type="dxa"/>
          </w:tcPr>
          <w:p w14:paraId="69866AF0"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Strengthen leadership skills</w:t>
            </w:r>
          </w:p>
        </w:tc>
        <w:tc>
          <w:tcPr>
            <w:tcW w:w="2010" w:type="dxa"/>
          </w:tcPr>
          <w:p w14:paraId="64C174F8"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Take leadership roles in group activities or projects</w:t>
            </w:r>
          </w:p>
        </w:tc>
        <w:tc>
          <w:tcPr>
            <w:tcW w:w="1750" w:type="dxa"/>
          </w:tcPr>
          <w:p w14:paraId="6CB12AA1"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Increased leadership involvement</w:t>
            </w:r>
          </w:p>
        </w:tc>
        <w:tc>
          <w:tcPr>
            <w:tcW w:w="1540" w:type="dxa"/>
          </w:tcPr>
          <w:p w14:paraId="63BD48D7"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Yes</w:t>
            </w:r>
          </w:p>
        </w:tc>
        <w:tc>
          <w:tcPr>
            <w:tcW w:w="1380" w:type="dxa"/>
          </w:tcPr>
          <w:p w14:paraId="6FA03EBD"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Builds confidence and professional skills</w:t>
            </w:r>
          </w:p>
        </w:tc>
        <w:tc>
          <w:tcPr>
            <w:tcW w:w="1050" w:type="dxa"/>
          </w:tcPr>
          <w:p w14:paraId="7193C24E" w14:textId="77777777" w:rsidR="00B13A8B" w:rsidRPr="00B13A8B" w:rsidRDefault="00B13A8B" w:rsidP="00B13A8B">
            <w:pPr>
              <w:spacing w:line="259" w:lineRule="auto"/>
              <w:rPr>
                <w:rFonts w:eastAsiaTheme="minorHAnsi"/>
                <w:sz w:val="22"/>
                <w:szCs w:val="22"/>
                <w:lang w:eastAsia="en-US"/>
              </w:rPr>
            </w:pPr>
            <w:r w:rsidRPr="00B13A8B">
              <w:rPr>
                <w:rFonts w:eastAsiaTheme="minorHAnsi"/>
                <w:sz w:val="22"/>
                <w:szCs w:val="22"/>
                <w:lang w:eastAsia="en-US"/>
              </w:rPr>
              <w:t>Within 6–8 months</w:t>
            </w:r>
          </w:p>
        </w:tc>
      </w:tr>
    </w:tbl>
    <w:p w14:paraId="46B37784" w14:textId="77777777" w:rsidR="00583D6E" w:rsidRPr="00984DAA" w:rsidRDefault="00583D6E" w:rsidP="00583D6E">
      <w:pPr>
        <w:rPr>
          <w:rFonts w:ascii="Arial" w:hAnsi="Arial" w:cs="Arial"/>
        </w:rPr>
      </w:pPr>
    </w:p>
    <w:p w14:paraId="47362B20" w14:textId="2D553442" w:rsidR="00583D6E" w:rsidRPr="00984DAA" w:rsidRDefault="00583D6E" w:rsidP="00583D6E">
      <w:pPr>
        <w:rPr>
          <w:rFonts w:ascii="Arial" w:hAnsi="Arial" w:cs="Arial"/>
          <w:b/>
          <w:bCs/>
        </w:rPr>
      </w:pPr>
      <w:r w:rsidRPr="00984DAA">
        <w:rPr>
          <w:rFonts w:ascii="Arial" w:hAnsi="Arial" w:cs="Arial"/>
          <w:b/>
          <w:bCs/>
        </w:rPr>
        <w:t>Reference List</w:t>
      </w:r>
    </w:p>
    <w:p w14:paraId="6E672B91" w14:textId="5FEFA29F" w:rsidR="00B13A8B" w:rsidRDefault="00B13A8B" w:rsidP="00B13A8B">
      <w:r>
        <w:t xml:space="preserve">Arsenis, P., Flores, M. and Petropoulou, D. (2021) ‘Enhancing graduate employability skills and student engagement through group video assessment’, Assessment &amp; Evaluation in Higher Education, 47(2), pp. 1–14. Available at: </w:t>
      </w:r>
      <w:hyperlink r:id="rId6" w:history="1">
        <w:r w:rsidRPr="00A45251">
          <w:rPr>
            <w:rStyle w:val="Hyperlink"/>
          </w:rPr>
          <w:t>https://doi.org/10.1080/02602938.2021.1897086</w:t>
        </w:r>
      </w:hyperlink>
      <w:r>
        <w:t>.</w:t>
      </w:r>
      <w:r w:rsidR="00DB3374">
        <w:t xml:space="preserve"> (Accessed: 12 June 2026)</w:t>
      </w:r>
    </w:p>
    <w:p w14:paraId="257F58C2" w14:textId="6820667C" w:rsidR="00B13A8B" w:rsidRDefault="00B13A8B" w:rsidP="00B13A8B">
      <w:r>
        <w:t xml:space="preserve">Batista, J.S. and </w:t>
      </w:r>
      <w:proofErr w:type="spellStart"/>
      <w:r>
        <w:t>Gondim</w:t>
      </w:r>
      <w:proofErr w:type="spellEnd"/>
      <w:r>
        <w:t xml:space="preserve">, S.M.G. (2022) ‘Personality and person-work Environment fit: a Study Based on the RIASEC Model’, International Journal of Environmental Research and Public Health, 20(719), pp. 719–719. Available at: </w:t>
      </w:r>
      <w:hyperlink r:id="rId7" w:history="1">
        <w:r w:rsidRPr="00A45251">
          <w:rPr>
            <w:rStyle w:val="Hyperlink"/>
          </w:rPr>
          <w:t>https://doi.org/10.3390/ijerph20010719</w:t>
        </w:r>
      </w:hyperlink>
      <w:r>
        <w:t>.</w:t>
      </w:r>
      <w:r w:rsidR="00DB3374">
        <w:t xml:space="preserve"> (Accessed: 12 June 2026)</w:t>
      </w:r>
    </w:p>
    <w:p w14:paraId="79BB6001" w14:textId="77777777" w:rsidR="00B13A8B" w:rsidRDefault="00B13A8B" w:rsidP="00B13A8B">
      <w:r>
        <w:t xml:space="preserve">Cottrell, S. (2021) Skills for success: Personal Development and employability. 4th </w:t>
      </w:r>
      <w:proofErr w:type="spellStart"/>
      <w:r>
        <w:t>edn</w:t>
      </w:r>
      <w:proofErr w:type="spellEnd"/>
      <w:r>
        <w:t>. Red Globe Press.</w:t>
      </w:r>
    </w:p>
    <w:p w14:paraId="3C7212B4" w14:textId="570B01C7" w:rsidR="00B13A8B" w:rsidRDefault="00B13A8B" w:rsidP="00B13A8B">
      <w:r>
        <w:t xml:space="preserve">do Espírito Santo, P.M. and Marques, A.M.A. (2026) “Leadership, Knowledge Sharing and Customer Focus,” Knowledge and process management [Preprint]. Available at: </w:t>
      </w:r>
      <w:hyperlink r:id="rId8" w:history="1">
        <w:r w:rsidRPr="0064301D">
          <w:rPr>
            <w:rStyle w:val="Hyperlink"/>
          </w:rPr>
          <w:t>https://doi.org/10.1002/kpm.70101</w:t>
        </w:r>
      </w:hyperlink>
      <w:r>
        <w:t>.</w:t>
      </w:r>
      <w:r w:rsidR="00DB3374">
        <w:t xml:space="preserve"> (Accessed: 1 June 2026)</w:t>
      </w:r>
    </w:p>
    <w:p w14:paraId="26C64BD1" w14:textId="0DC389FB" w:rsidR="00B13A8B" w:rsidRDefault="00B13A8B" w:rsidP="00B13A8B">
      <w:r w:rsidRPr="00146AD1">
        <w:lastRenderedPageBreak/>
        <w:t>HARTNELL, C.A., CHRISTENSEN-SALEM, A., WALUMBWA, F.O., STOTLER, D.J., CHIANG, F.F.T. and BIRTCH, T.A., 2023. Manufacturing Motivation in the Mundane: Servant Leadership’s Influence on Employees’ Intrinsic Motivation and Performance: JBE. Journal of Business Ethics, 188(3), pp. 533-552.</w:t>
      </w:r>
      <w:r w:rsidR="00D43D14">
        <w:t xml:space="preserve"> (Accessed: 3 June 2026) </w:t>
      </w:r>
    </w:p>
    <w:p w14:paraId="7626A6E0" w14:textId="18FCFF65" w:rsidR="00B13A8B" w:rsidRDefault="00B13A8B" w:rsidP="00B13A8B">
      <w:r>
        <w:t xml:space="preserve">Ivar Bråten et al. (2023) ‘Measuring multiple-source based academic writing self-efficacy’, Frontiers in Psychology, 14. Available at: </w:t>
      </w:r>
      <w:hyperlink r:id="rId9" w:history="1">
        <w:r w:rsidRPr="00A45251">
          <w:rPr>
            <w:rStyle w:val="Hyperlink"/>
          </w:rPr>
          <w:t>https://doi.org/10.3389/fpsyg.2023.1212567</w:t>
        </w:r>
      </w:hyperlink>
      <w:r>
        <w:t>.</w:t>
      </w:r>
      <w:r w:rsidR="00B425CF">
        <w:t xml:space="preserve"> (Accessed: 4 June 2026)</w:t>
      </w:r>
    </w:p>
    <w:p w14:paraId="001E5840" w14:textId="04FFC2A6" w:rsidR="001A4273" w:rsidRDefault="001A4273" w:rsidP="001A4273">
      <w:r>
        <w:t xml:space="preserve">Klinkosz, W., Iskra, J. and </w:t>
      </w:r>
      <w:proofErr w:type="spellStart"/>
      <w:r>
        <w:t>Artymiak</w:t>
      </w:r>
      <w:proofErr w:type="spellEnd"/>
      <w:r>
        <w:t xml:space="preserve">, M. (2021) ‘Interpersonal competences of students, their interpersonal relations, and emotional intelligence’, Current Issues in Personality Psychology, 9(2). Available at: </w:t>
      </w:r>
      <w:hyperlink r:id="rId10" w:history="1">
        <w:r w:rsidRPr="00A45251">
          <w:rPr>
            <w:rStyle w:val="Hyperlink"/>
          </w:rPr>
          <w:t>https://doi.org/10.5114/cipp.2021.105733</w:t>
        </w:r>
      </w:hyperlink>
      <w:r>
        <w:t>.</w:t>
      </w:r>
      <w:r w:rsidR="00B425CF">
        <w:t xml:space="preserve"> (Accessed: 4 June 2026)</w:t>
      </w:r>
    </w:p>
    <w:p w14:paraId="3C2E4254" w14:textId="6092090B" w:rsidR="001A4273" w:rsidRDefault="001A4273" w:rsidP="001A4273">
      <w:proofErr w:type="spellStart"/>
      <w:r>
        <w:t>Kodweis</w:t>
      </w:r>
      <w:proofErr w:type="spellEnd"/>
      <w:r>
        <w:t xml:space="preserve">, K.R. et al. (2023) “Exploring the Relationship Between Imposter Phenomenon and Myers-Briggs Personality Types in Pharmacy Education,” American journal of pharmaceutical education, 87(6). Available at: </w:t>
      </w:r>
      <w:hyperlink r:id="rId11" w:history="1">
        <w:r w:rsidRPr="00A45251">
          <w:rPr>
            <w:rStyle w:val="Hyperlink"/>
          </w:rPr>
          <w:t>https://doi.org/10.1016/j.ajpe.2023.100076</w:t>
        </w:r>
      </w:hyperlink>
      <w:r>
        <w:t>.</w:t>
      </w:r>
      <w:r w:rsidR="00B425CF">
        <w:t xml:space="preserve"> (Accessed: 1 June 2026)</w:t>
      </w:r>
    </w:p>
    <w:p w14:paraId="0FAC53B7" w14:textId="025C0045" w:rsidR="001A4273" w:rsidRDefault="001A4273" w:rsidP="001A4273">
      <w:r>
        <w:t xml:space="preserve">Liu, Y. and Zhang, X. (2023) ‘Understanding academic transition and self-regulation: a case study of English majors in China’, Humanities &amp; social sciences communications, 10(1). Available at: </w:t>
      </w:r>
      <w:hyperlink r:id="rId12" w:history="1">
        <w:r w:rsidRPr="00A45251">
          <w:rPr>
            <w:rStyle w:val="Hyperlink"/>
          </w:rPr>
          <w:t>https://doi.org/10.1057/s41599-023-01596-z</w:t>
        </w:r>
      </w:hyperlink>
      <w:r>
        <w:t>.</w:t>
      </w:r>
      <w:r w:rsidR="00B425CF">
        <w:t xml:space="preserve"> (Accessed: 8 June 2026)</w:t>
      </w:r>
    </w:p>
    <w:p w14:paraId="140907D6" w14:textId="3FBFA44E" w:rsidR="001A4273" w:rsidRDefault="001A4273" w:rsidP="001A4273">
      <w:r>
        <w:t xml:space="preserve">O’ Connor, A., </w:t>
      </w:r>
      <w:proofErr w:type="spellStart"/>
      <w:r>
        <w:t>Mccarthy</w:t>
      </w:r>
      <w:proofErr w:type="spellEnd"/>
      <w:r>
        <w:t>, G. and O’ Shea, D. (2022) ‘Impact of role conflicts and self</w:t>
      </w:r>
      <w:r w:rsidRPr="001A4273">
        <w:rPr>
          <w:rFonts w:ascii="Cambria Math" w:hAnsi="Cambria Math" w:cs="Cambria Math"/>
        </w:rPr>
        <w:t>‐</w:t>
      </w:r>
      <w:r>
        <w:t>efficacy on academic performance of graduate</w:t>
      </w:r>
      <w:r w:rsidRPr="001A4273">
        <w:rPr>
          <w:rFonts w:ascii="Cambria Math" w:hAnsi="Cambria Math" w:cs="Cambria Math"/>
        </w:rPr>
        <w:t>‐</w:t>
      </w:r>
      <w:r>
        <w:t>entry healthcare students; a lagged study</w:t>
      </w:r>
      <w:r w:rsidRPr="001A4273">
        <w:rPr>
          <w:rFonts w:ascii="Aptos" w:hAnsi="Aptos" w:cs="Aptos"/>
        </w:rPr>
        <w:t>’</w:t>
      </w:r>
      <w:r>
        <w:t xml:space="preserve">, Nursing &amp; Health Sciences, 24(2). Available at: </w:t>
      </w:r>
      <w:hyperlink r:id="rId13" w:history="1">
        <w:r w:rsidRPr="0064301D">
          <w:rPr>
            <w:rStyle w:val="Hyperlink"/>
          </w:rPr>
          <w:t>https://doi.org/10.1111/nhs.12934</w:t>
        </w:r>
      </w:hyperlink>
      <w:r>
        <w:t>.</w:t>
      </w:r>
      <w:r w:rsidR="00B425CF">
        <w:t xml:space="preserve"> (Accessed: 6June 2026)</w:t>
      </w:r>
    </w:p>
    <w:p w14:paraId="701EAEC1" w14:textId="7FC1F18F" w:rsidR="001A4273" w:rsidRDefault="001A4273" w:rsidP="001A4273">
      <w:proofErr w:type="spellStart"/>
      <w:r>
        <w:t>Ławińska</w:t>
      </w:r>
      <w:proofErr w:type="spellEnd"/>
      <w:r>
        <w:t xml:space="preserve">, O., </w:t>
      </w:r>
      <w:proofErr w:type="spellStart"/>
      <w:r>
        <w:t>Korombel</w:t>
      </w:r>
      <w:proofErr w:type="spellEnd"/>
      <w:r>
        <w:t xml:space="preserve">, A. and </w:t>
      </w:r>
      <w:proofErr w:type="spellStart"/>
      <w:r>
        <w:t>Zajemska</w:t>
      </w:r>
      <w:proofErr w:type="spellEnd"/>
      <w:r>
        <w:t xml:space="preserve">, M. (2022) “Pyrolysis-Based Municipal Solid Waste Management in Poland—SWOT Analysis,” Energies (Basel), 15(2), p. 510. Available at: </w:t>
      </w:r>
      <w:hyperlink r:id="rId14" w:history="1">
        <w:r w:rsidRPr="007B33D1">
          <w:rPr>
            <w:rStyle w:val="Hyperlink"/>
          </w:rPr>
          <w:t>https://doi.org/10.3390/en15020510</w:t>
        </w:r>
      </w:hyperlink>
      <w:r>
        <w:t>.</w:t>
      </w:r>
      <w:r w:rsidR="00B425CF">
        <w:t xml:space="preserve"> (Accessed: 2 June 2026)</w:t>
      </w:r>
    </w:p>
    <w:p w14:paraId="01AB698C" w14:textId="15B1FEFB" w:rsidR="00583D6E" w:rsidRPr="001A4273" w:rsidRDefault="001A4273" w:rsidP="00B13A8B">
      <w:proofErr w:type="spellStart"/>
      <w:r>
        <w:t>Trimasse</w:t>
      </w:r>
      <w:proofErr w:type="spellEnd"/>
      <w:r>
        <w:t xml:space="preserve">, N. (2025) “The use of reflective reports in higher education,” Reflective practice, 26(1), pp. 154–171. Available at: </w:t>
      </w:r>
      <w:hyperlink r:id="rId15" w:history="1">
        <w:r w:rsidRPr="0064301D">
          <w:rPr>
            <w:rStyle w:val="Hyperlink"/>
          </w:rPr>
          <w:t>https://doi.org/10.1080/14623943.2024.2424520</w:t>
        </w:r>
      </w:hyperlink>
      <w:r>
        <w:t>.</w:t>
      </w:r>
      <w:r w:rsidR="00B425CF">
        <w:t xml:space="preserve"> (Accessed: 2 June 2026)</w:t>
      </w:r>
    </w:p>
    <w:sectPr w:rsidR="00583D6E" w:rsidRPr="001A42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928193547">
    <w:abstractNumId w:val="3"/>
  </w:num>
  <w:num w:numId="3" w16cid:durableId="590310327">
    <w:abstractNumId w:val="4"/>
  </w:num>
  <w:num w:numId="4" w16cid:durableId="797842653">
    <w:abstractNumId w:val="10"/>
  </w:num>
  <w:num w:numId="5" w16cid:durableId="724643122">
    <w:abstractNumId w:val="12"/>
  </w:num>
  <w:num w:numId="6" w16cid:durableId="1827546075">
    <w:abstractNumId w:val="6"/>
  </w:num>
  <w:num w:numId="7" w16cid:durableId="1749770796">
    <w:abstractNumId w:val="8"/>
  </w:num>
  <w:num w:numId="8" w16cid:durableId="909727554">
    <w:abstractNumId w:val="16"/>
  </w:num>
  <w:num w:numId="9" w16cid:durableId="254945861">
    <w:abstractNumId w:val="11"/>
  </w:num>
  <w:num w:numId="10" w16cid:durableId="137234369">
    <w:abstractNumId w:val="2"/>
  </w:num>
  <w:num w:numId="11" w16cid:durableId="2032366988">
    <w:abstractNumId w:val="13"/>
  </w:num>
  <w:num w:numId="12" w16cid:durableId="2041272870">
    <w:abstractNumId w:val="0"/>
  </w:num>
  <w:num w:numId="13" w16cid:durableId="10764824">
    <w:abstractNumId w:val="17"/>
  </w:num>
  <w:num w:numId="14" w16cid:durableId="237716348">
    <w:abstractNumId w:val="9"/>
  </w:num>
  <w:num w:numId="15" w16cid:durableId="1052802715">
    <w:abstractNumId w:val="5"/>
  </w:num>
  <w:num w:numId="16" w16cid:durableId="1606185029">
    <w:abstractNumId w:val="14"/>
  </w:num>
  <w:num w:numId="17" w16cid:durableId="946544196">
    <w:abstractNumId w:val="15"/>
  </w:num>
  <w:num w:numId="18" w16cid:durableId="5209736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1A4273"/>
    <w:rsid w:val="00583D6E"/>
    <w:rsid w:val="008575EE"/>
    <w:rsid w:val="00984DAA"/>
    <w:rsid w:val="009A41CE"/>
    <w:rsid w:val="00B13A8B"/>
    <w:rsid w:val="00B425CF"/>
    <w:rsid w:val="00BA34E0"/>
    <w:rsid w:val="00C362AF"/>
    <w:rsid w:val="00C560BE"/>
    <w:rsid w:val="00D43D14"/>
    <w:rsid w:val="00DB3374"/>
    <w:rsid w:val="00E14FB4"/>
    <w:rsid w:val="00FB76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3A8B"/>
    <w:rPr>
      <w:color w:val="467886" w:themeColor="hyperlink"/>
      <w:u w:val="single"/>
    </w:rPr>
  </w:style>
  <w:style w:type="character" w:styleId="UnresolvedMention">
    <w:name w:val="Unresolved Mention"/>
    <w:basedOn w:val="DefaultParagraphFont"/>
    <w:uiPriority w:val="99"/>
    <w:semiHidden/>
    <w:unhideWhenUsed/>
    <w:rsid w:val="00B13A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kpm.70101" TargetMode="External"/><Relationship Id="rId13" Type="http://schemas.openxmlformats.org/officeDocument/2006/relationships/hyperlink" Target="https://doi.org/10.1111/nhs.12934" TargetMode="External"/><Relationship Id="rId3" Type="http://schemas.openxmlformats.org/officeDocument/2006/relationships/settings" Target="settings.xml"/><Relationship Id="rId7" Type="http://schemas.openxmlformats.org/officeDocument/2006/relationships/hyperlink" Target="https://doi.org/10.3390/ijerph20010719" TargetMode="External"/><Relationship Id="rId12" Type="http://schemas.openxmlformats.org/officeDocument/2006/relationships/hyperlink" Target="https://doi.org/10.1057/s41599-023-01596-z"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080/02602938.2021.1897086" TargetMode="External"/><Relationship Id="rId11" Type="http://schemas.openxmlformats.org/officeDocument/2006/relationships/hyperlink" Target="https://doi.org/10.1016/j.ajpe.2023.100076" TargetMode="External"/><Relationship Id="rId5" Type="http://schemas.openxmlformats.org/officeDocument/2006/relationships/image" Target="media/image1.png"/><Relationship Id="rId15" Type="http://schemas.openxmlformats.org/officeDocument/2006/relationships/hyperlink" Target="https://doi.org/10.1080/14623943.2024.2424520" TargetMode="External"/><Relationship Id="rId10" Type="http://schemas.openxmlformats.org/officeDocument/2006/relationships/hyperlink" Target="https://doi.org/10.5114/cipp.2021.105733" TargetMode="External"/><Relationship Id="rId4" Type="http://schemas.openxmlformats.org/officeDocument/2006/relationships/webSettings" Target="webSettings.xml"/><Relationship Id="rId9" Type="http://schemas.openxmlformats.org/officeDocument/2006/relationships/hyperlink" Target="https://doi.org/10.3389/fpsyg.2023.1212567" TargetMode="External"/><Relationship Id="rId14" Type="http://schemas.openxmlformats.org/officeDocument/2006/relationships/hyperlink" Target="https://doi.org/10.3390/en150205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2301</Words>
  <Characters>13116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Mehmet Tasoglu</cp:lastModifiedBy>
  <cp:revision>2</cp:revision>
  <dcterms:created xsi:type="dcterms:W3CDTF">2026-06-12T21:18:00Z</dcterms:created>
  <dcterms:modified xsi:type="dcterms:W3CDTF">2026-06-12T21:18:00Z</dcterms:modified>
</cp:coreProperties>
</file>