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5"/>
        <w:jc w:val="center"/>
        <w:rPr>
          <w:rFonts w:eastAsia="Verdana"/>
          <w:b/>
          <w:bCs/>
          <w:color w:val="000000"/>
          <w:sz w:val="24"/>
          <w:szCs w:val="24"/>
        </w:rPr>
      </w:pPr>
      <w:r>
        <w:rPr>
          <w:b/>
          <w:bCs/>
          <w:color w:val="000000"/>
          <w:sz w:val="24"/>
          <w:szCs w:val="24"/>
        </w:rPr>
        <w:t>Professional Career Development in Health and Social Care (</w:t>
      </w:r>
      <w:r>
        <w:rPr>
          <w:rFonts w:eastAsia="Verdana"/>
          <w:b/>
          <w:bCs/>
          <w:color w:val="000000"/>
          <w:sz w:val="24"/>
          <w:szCs w:val="24"/>
        </w:rPr>
        <w:t>LCHS 4009)</w:t>
      </w:r>
    </w:p>
    <w:p>
      <w:pPr>
        <w:rPr>
          <w:color w:val="000000"/>
          <w:sz w:val="24"/>
          <w:szCs w:val="24"/>
        </w:rPr>
      </w:pPr>
      <w:r>
        <w:rPr>
          <w:color w:val="000000"/>
          <w:sz w:val="24"/>
          <w:szCs w:val="24"/>
        </w:rPr>
        <w:t xml:space="preserve">                                                      </w:t>
      </w:r>
    </w:p>
    <w:p>
      <w:pPr>
        <w:jc w:val="center"/>
        <w:rPr>
          <w:color w:val="000000"/>
          <w:sz w:val="24"/>
          <w:szCs w:val="24"/>
        </w:rPr>
      </w:pPr>
      <w:r>
        <w:rPr>
          <w:b/>
          <w:bCs/>
          <w:color w:val="000000"/>
          <w:sz w:val="24"/>
          <w:szCs w:val="24"/>
          <w:u w:val="single"/>
        </w:rPr>
        <w:t>ASSIGNMENT 2</w:t>
      </w: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b/>
          <w:bCs/>
          <w:color w:val="000000"/>
          <w:sz w:val="24"/>
          <w:szCs w:val="24"/>
          <w:u w:val="single"/>
        </w:rPr>
      </w:pPr>
      <w:r>
        <w:rPr>
          <w:b/>
          <w:bCs/>
          <w:color w:val="000000"/>
          <w:sz w:val="24"/>
          <w:szCs w:val="24"/>
          <w:u w:val="single"/>
        </w:rPr>
        <w:t>Name of Student: Gloria Omomoh Iyevhobu</w:t>
      </w:r>
    </w:p>
    <w:p>
      <w:pPr>
        <w:rPr>
          <w:b/>
          <w:bCs/>
          <w:color w:val="000000"/>
          <w:sz w:val="24"/>
          <w:szCs w:val="24"/>
          <w:u w:val="single"/>
        </w:rPr>
      </w:pPr>
    </w:p>
    <w:p>
      <w:pPr>
        <w:rPr>
          <w:b/>
          <w:bCs/>
          <w:color w:val="000000"/>
          <w:sz w:val="24"/>
          <w:szCs w:val="24"/>
          <w:u w:val="single"/>
        </w:rPr>
      </w:pPr>
    </w:p>
    <w:p>
      <w:pPr>
        <w:rPr>
          <w:b/>
          <w:bCs/>
          <w:color w:val="000000"/>
          <w:sz w:val="24"/>
          <w:szCs w:val="24"/>
          <w:u w:val="single"/>
        </w:rPr>
      </w:pPr>
      <w:r>
        <w:rPr>
          <w:b/>
          <w:bCs/>
          <w:color w:val="000000"/>
          <w:sz w:val="24"/>
          <w:szCs w:val="24"/>
          <w:u w:val="single"/>
        </w:rPr>
        <w:t>I.D. Number: 2510902</w:t>
      </w:r>
    </w:p>
    <w:p>
      <w:pPr>
        <w:rPr>
          <w:b/>
          <w:bCs/>
          <w:color w:val="000000"/>
          <w:sz w:val="24"/>
          <w:szCs w:val="24"/>
          <w:u w:val="single"/>
        </w:rPr>
      </w:pPr>
    </w:p>
    <w:p>
      <w:pPr>
        <w:rPr>
          <w:b/>
          <w:bCs/>
          <w:color w:val="000000"/>
          <w:sz w:val="24"/>
          <w:szCs w:val="24"/>
          <w:u w:val="single"/>
        </w:rPr>
      </w:pPr>
    </w:p>
    <w:p>
      <w:pPr>
        <w:rPr>
          <w:b/>
          <w:bCs/>
          <w:color w:val="000000"/>
          <w:sz w:val="24"/>
          <w:szCs w:val="24"/>
          <w:u w:val="single"/>
        </w:rPr>
      </w:pPr>
      <w:r>
        <w:rPr>
          <w:b/>
          <w:bCs/>
          <w:color w:val="000000"/>
          <w:sz w:val="24"/>
          <w:szCs w:val="24"/>
          <w:u w:val="single"/>
        </w:rPr>
        <w:t>Name of Tutor: Odette  Jack</w:t>
      </w:r>
    </w:p>
    <w:p>
      <w:pPr>
        <w:rPr>
          <w:b/>
          <w:bCs/>
          <w:color w:val="000000"/>
          <w:sz w:val="24"/>
          <w:szCs w:val="24"/>
          <w:u w:val="single"/>
        </w:rPr>
      </w:pPr>
    </w:p>
    <w:p>
      <w:pPr>
        <w:rPr>
          <w:b/>
          <w:bCs/>
          <w:color w:val="000000"/>
          <w:sz w:val="24"/>
          <w:szCs w:val="24"/>
          <w:u w:val="single"/>
        </w:rPr>
      </w:pPr>
    </w:p>
    <w:p>
      <w:pPr>
        <w:rPr>
          <w:b/>
          <w:bCs/>
          <w:color w:val="000000"/>
          <w:sz w:val="24"/>
          <w:szCs w:val="24"/>
          <w:u w:val="single"/>
        </w:rPr>
      </w:pPr>
    </w:p>
    <w:p>
      <w:pPr>
        <w:rPr>
          <w:color w:val="000000"/>
          <w:sz w:val="24"/>
          <w:szCs w:val="24"/>
        </w:rPr>
      </w:pPr>
      <w:r>
        <w:rPr>
          <w:b/>
          <w:bCs/>
          <w:color w:val="000000"/>
          <w:sz w:val="24"/>
          <w:szCs w:val="24"/>
          <w:u w:val="single"/>
        </w:rPr>
        <w:t>Acknowledgement of AI use:</w:t>
      </w:r>
      <w:r>
        <w:rPr>
          <w:color w:val="000000"/>
          <w:sz w:val="24"/>
          <w:szCs w:val="24"/>
        </w:rPr>
        <w:t xml:space="preserve"> I confirm that I have  used AI to complete my work. </w:t>
      </w:r>
    </w:p>
    <w:p>
      <w:pPr>
        <w:rPr>
          <w:color w:val="000000"/>
          <w:sz w:val="24"/>
          <w:szCs w:val="24"/>
        </w:rPr>
      </w:pPr>
    </w:p>
    <w:p>
      <w:pPr>
        <w:rPr>
          <w:color w:val="000000"/>
          <w:sz w:val="24"/>
          <w:szCs w:val="24"/>
        </w:rPr>
      </w:pPr>
      <w:r>
        <w:rPr>
          <w:color w:val="000000"/>
          <w:sz w:val="24"/>
          <w:szCs w:val="24"/>
        </w:rPr>
        <w:t>I used co-pilot to proof read my work.</w:t>
      </w: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pStyle w:val="15"/>
        <w:rPr>
          <w:color w:val="000000"/>
          <w:sz w:val="24"/>
          <w:szCs w:val="24"/>
        </w:rPr>
      </w:pPr>
      <w:r>
        <w:rPr>
          <w:rFonts w:eastAsia="Verdana"/>
          <w:b/>
          <w:bCs/>
          <w:color w:val="000000"/>
          <w:sz w:val="24"/>
          <w:szCs w:val="24"/>
          <w:u w:val="single"/>
        </w:rPr>
        <w:t xml:space="preserve">Table of Contents  </w:t>
      </w:r>
      <w:r>
        <w:rPr>
          <w:rFonts w:eastAsia="Verdana"/>
          <w:b/>
          <w:bCs/>
          <w:color w:val="000000"/>
          <w:sz w:val="24"/>
          <w:szCs w:val="24"/>
        </w:rPr>
        <w:t xml:space="preserve">                                                        </w:t>
      </w:r>
      <w:r>
        <w:rPr>
          <w:rFonts w:eastAsia="Verdana"/>
          <w:b/>
          <w:bCs/>
          <w:color w:val="000000"/>
          <w:sz w:val="24"/>
          <w:szCs w:val="24"/>
          <w:u w:val="single"/>
        </w:rPr>
        <w:t>Page Number</w:t>
      </w:r>
    </w:p>
    <w:p>
      <w:pPr>
        <w:pStyle w:val="15"/>
        <w:rPr>
          <w:rFonts w:eastAsia="Verdana"/>
          <w:color w:val="000000"/>
          <w:sz w:val="24"/>
          <w:szCs w:val="24"/>
        </w:rPr>
      </w:pPr>
    </w:p>
    <w:p>
      <w:pPr>
        <w:pStyle w:val="15"/>
        <w:rPr>
          <w:rFonts w:eastAsia="Verdana"/>
          <w:color w:val="000000"/>
          <w:sz w:val="24"/>
          <w:szCs w:val="24"/>
        </w:rPr>
      </w:pPr>
      <w:r>
        <w:rPr>
          <w:rFonts w:eastAsia="Verdana"/>
          <w:color w:val="000000"/>
          <w:sz w:val="24"/>
          <w:szCs w:val="24"/>
        </w:rPr>
        <w:t>Practical portfolio.                                                              3</w:t>
      </w:r>
    </w:p>
    <w:p/>
    <w:p>
      <w:r>
        <w:t>Professional profile.                                                                    4&amp;5&amp;6</w:t>
      </w:r>
      <w:bookmarkStart w:id="0" w:name="_GoBack"/>
      <w:bookmarkEnd w:id="0"/>
    </w:p>
    <w:p/>
    <w:p>
      <w:r>
        <w:t>Personal statement.                                                                   7</w:t>
      </w:r>
    </w:p>
    <w:p/>
    <w:p>
      <w:r>
        <w:t>SWOT and PDP.                                                                          8&amp;9</w:t>
      </w:r>
    </w:p>
    <w:p/>
    <w:p>
      <w:r>
        <w:t>Summary.                                                                                     10</w:t>
      </w:r>
    </w:p>
    <w:p/>
    <w:p>
      <w:r>
        <w:t>Reflection                                                                                     11</w:t>
      </w:r>
    </w:p>
    <w:p/>
    <w:p>
      <w:r>
        <w:t>Conclusion &amp; Action Plan.                                                          12</w:t>
      </w:r>
    </w:p>
    <w:p/>
    <w:p>
      <w:r>
        <w:t>References.                                                                                  13</w:t>
      </w:r>
    </w:p>
    <w:p/>
    <w:p/>
    <w:p/>
    <w:p/>
    <w:p/>
    <w:p/>
    <w:p/>
    <w:p/>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pStyle w:val="15"/>
        <w:rPr>
          <w:rFonts w:eastAsia="Verdana"/>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rPr>
          <w:color w:val="000000"/>
          <w:sz w:val="24"/>
          <w:szCs w:val="24"/>
        </w:rPr>
      </w:pPr>
    </w:p>
    <w:p>
      <w:pPr>
        <w:pStyle w:val="22"/>
        <w:rPr>
          <w:rFonts w:ascii="Arial" w:cs="Arial" w:hAnsi="Arial"/>
          <w:b/>
          <w:bCs/>
        </w:rPr>
      </w:pPr>
      <w:r>
        <w:rPr>
          <w:rFonts w:ascii="Arial" w:cs="Arial" w:hAnsi="Arial"/>
          <w:b/>
          <w:bCs/>
        </w:rPr>
        <w:t xml:space="preserve">Assessment 2 </w:t>
      </w:r>
    </w:p>
    <w:p>
      <w:pPr>
        <w:pStyle w:val="22"/>
        <w:rPr>
          <w:rFonts w:ascii="Arial" w:cs="Arial" w:hAnsi="Arial"/>
          <w:b/>
          <w:bCs/>
          <w:color w:val="C00000"/>
        </w:rPr>
      </w:pPr>
    </w:p>
    <w:p>
      <w:pPr>
        <w:pStyle w:val="22"/>
        <w:rPr>
          <w:rFonts w:ascii="Arial" w:cs="Arial" w:hAnsi="Arial"/>
          <w:b/>
          <w:bCs/>
          <w:color w:val="C00000"/>
        </w:rPr>
      </w:pPr>
    </w:p>
    <w:p>
      <w:pPr>
        <w:spacing w:line="360" w:lineRule="auto"/>
        <w:rPr>
          <w:b/>
          <w:bCs/>
          <w:sz w:val="24"/>
          <w:szCs w:val="24"/>
          <w:u w:val="single"/>
        </w:rPr>
      </w:pPr>
      <w:r>
        <w:rPr>
          <w:b/>
          <w:bCs/>
          <w:sz w:val="24"/>
          <w:szCs w:val="24"/>
          <w:u w:val="single"/>
        </w:rPr>
        <w:t xml:space="preserve">Practical Portfolio </w:t>
      </w:r>
    </w:p>
    <w:p>
      <w:pPr>
        <w:spacing w:line="360" w:lineRule="auto"/>
        <w:rPr>
          <w:b/>
          <w:bCs/>
          <w:sz w:val="24"/>
          <w:szCs w:val="24"/>
        </w:rPr>
      </w:pPr>
    </w:p>
    <w:p>
      <w:pPr>
        <w:spacing w:line="360" w:lineRule="auto"/>
        <w:rPr>
          <w:b/>
          <w:bCs/>
          <w:sz w:val="24"/>
          <w:szCs w:val="24"/>
        </w:rPr>
      </w:pPr>
      <w:r>
        <w:rPr>
          <w:b/>
          <w:bCs/>
          <w:sz w:val="24"/>
          <w:szCs w:val="24"/>
        </w:rPr>
        <w:t xml:space="preserve">Introduction: </w:t>
      </w:r>
    </w:p>
    <w:p>
      <w:pPr>
        <w:spacing w:line="360" w:lineRule="auto"/>
        <w:jc w:val="both"/>
        <w:rPr>
          <w:sz w:val="24"/>
          <w:szCs w:val="24"/>
        </w:rPr>
      </w:pPr>
      <w:r>
        <w:rPr>
          <w:sz w:val="24"/>
          <w:szCs w:val="24"/>
        </w:rPr>
        <w:t xml:space="preserve">Explain what is Portfolio with few words/sentences?  </w:t>
      </w:r>
    </w:p>
    <w:p>
      <w:pPr>
        <w:pStyle w:val="22"/>
        <w:rPr>
          <w:rFonts w:ascii="Arial" w:cs="Arial" w:hAnsi="Arial"/>
        </w:rPr>
      </w:pPr>
      <w:r>
        <w:rPr>
          <w:rFonts w:ascii="Arial" w:cs="Arial" w:hAnsi="Arial"/>
        </w:rPr>
        <w:t>A portfolio is a curated collection of materials, documents, or assets that showcases a person’s skills, achievements, or a company's products (Merriam Webster Dictionary, n.d).  In this Portfolio, to showcase my suitability for a job as a housing support officer, I will present my CV, a personal statement for a job role and a SWOT analysis including a personal development plan.  I will also present a reflection using Gibbs (cite) reflective model, on the presentation I did for my first assessment.</w:t>
      </w:r>
    </w:p>
    <w:p>
      <w:pPr>
        <w:spacing w:line="360" w:lineRule="auto"/>
        <w:jc w:val="both"/>
        <w:rPr>
          <w:b/>
          <w:bCs/>
          <w:sz w:val="24"/>
          <w:szCs w:val="24"/>
        </w:rPr>
      </w:pPr>
    </w:p>
    <w:p>
      <w:pPr>
        <w:pStyle w:val="22"/>
        <w:rPr>
          <w:rFonts w:ascii="Arial" w:cs="Arial" w:hAnsi="Arial"/>
          <w:b/>
          <w:bCs/>
          <w:color w:val="C00000"/>
        </w:rPr>
      </w:pPr>
    </w:p>
    <w:p>
      <w:pPr>
        <w:pStyle w:val="22"/>
        <w:rPr>
          <w:rFonts w:ascii="Arial" w:cs="Arial" w:hAnsi="Arial"/>
          <w:b/>
          <w:bCs/>
        </w:rPr>
      </w:pPr>
      <w:r>
        <w:rPr>
          <w:rFonts w:ascii="Arial" w:cs="Arial" w:hAnsi="Arial"/>
          <w:b/>
          <w:bCs/>
        </w:rPr>
        <w:t xml:space="preserve">Figure 1: Job found based on what I want to apply for </w:t>
      </w:r>
    </w:p>
    <w:p>
      <w:pPr>
        <w:pStyle w:val="22"/>
        <w:rPr>
          <w:rFonts w:ascii="Arial" w:cs="Arial" w:hAnsi="Arial"/>
        </w:rPr>
      </w:pPr>
    </w:p>
    <w:p>
      <w:pPr>
        <w:pStyle w:val="22"/>
        <w:rPr>
          <w:rFonts w:ascii="Arial" w:cs="Arial" w:hAnsi="Arial"/>
        </w:rPr>
      </w:pPr>
      <w:r>
        <w:rPr>
          <w:rFonts w:ascii="Arial" w:cs="Arial" w:hAnsi="Arial"/>
        </w:rPr>
        <w:drawing>
          <wp:inline distT="0" distB="0" distL="0" distR="0">
            <wp:extent cx="4899660" cy="2791433"/>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4899660" cy="2791433"/>
                    </a:xfrm>
                    <a:prstGeom prst="rect"/>
                    <a:noFill/>
                    <a:ln w="12700" cmpd="sng" cap="flat">
                      <a:noFill/>
                      <a:prstDash val="solid"/>
                      <a:miter/>
                    </a:ln>
                  </pic:spPr>
                </pic:pic>
              </a:graphicData>
            </a:graphic>
          </wp:inline>
        </w:drawing>
      </w:r>
    </w:p>
    <w:p>
      <w:pPr>
        <w:spacing w:before="100" w:beforeAutospacing="1" w:after="100" w:afterAutospacing="1" w:line="240" w:lineRule="auto"/>
        <w:outlineLvl w:val="0"/>
        <w:rPr>
          <w:rFonts w:eastAsia="Times New Roman"/>
          <w:b/>
          <w:bCs/>
          <w:kern w:val="36"/>
        </w:rPr>
      </w:pPr>
    </w:p>
    <w:p>
      <w:pPr>
        <w:spacing w:before="100" w:beforeAutospacing="1" w:after="100" w:afterAutospacing="1" w:line="240" w:lineRule="auto"/>
        <w:outlineLvl w:val="0"/>
        <w:rPr>
          <w:rFonts w:eastAsia="Times New Roman"/>
          <w:b/>
          <w:bCs/>
          <w:kern w:val="36"/>
        </w:rPr>
      </w:pPr>
    </w:p>
    <w:p>
      <w:pPr>
        <w:spacing w:before="100" w:beforeAutospacing="1" w:after="100" w:afterAutospacing="1" w:line="240" w:lineRule="auto"/>
        <w:outlineLvl w:val="0"/>
        <w:rPr>
          <w:rFonts w:eastAsia="Times New Roman"/>
          <w:b/>
          <w:bCs/>
          <w:kern w:val="36"/>
        </w:rPr>
      </w:pPr>
      <w:r>
        <w:rPr>
          <w:rFonts w:eastAsia="Times New Roman"/>
          <w:b/>
          <w:bCs/>
          <w:kern w:val="36"/>
        </w:rPr>
        <w:t>Curriculum Vitae</w:t>
      </w:r>
    </w:p>
    <w:p>
      <w:pPr>
        <w:pStyle w:val="15"/>
        <w:jc w:val="center"/>
        <w:rPr>
          <w:sz w:val="28"/>
          <w:szCs w:val="28"/>
        </w:rPr>
      </w:pPr>
      <w:r>
        <w:rPr>
          <w:sz w:val="28"/>
          <w:szCs w:val="28"/>
        </w:rPr>
        <w:t>GLORIA OMOMOH IYEVHOBU</w:t>
      </w:r>
    </w:p>
    <w:p>
      <w:pPr>
        <w:jc w:val="center"/>
        <w:rPr>
          <w:bCs/>
        </w:rPr>
      </w:pPr>
      <w:r>
        <w:rPr>
          <w:bCs/>
        </w:rPr>
        <w:t>Dagenham East, RM10 7XL | 07577060645 | giyevhobu@gmail.com</w:t>
      </w:r>
    </w:p>
    <w:p>
      <w:pPr>
        <w:jc w:val="center"/>
        <w:rPr>
          <w:bCs/>
        </w:rPr>
      </w:pPr>
    </w:p>
    <w:p>
      <w:pPr>
        <w:pStyle w:val="1"/>
        <w:rPr>
          <w:b/>
          <w:bCs/>
          <w:sz w:val="24"/>
          <w:szCs w:val="24"/>
        </w:rPr>
      </w:pPr>
      <w:r>
        <w:rPr>
          <w:b/>
          <w:bCs/>
          <w:sz w:val="24"/>
          <w:szCs w:val="24"/>
        </w:rPr>
        <w:t>Professional Profile</w:t>
      </w:r>
    </w:p>
    <w:p>
      <w:r>
        <w:t>I am a motivated and compassionate Health and Social Care student currently studying for a BSc (Hons) in Health and Social Care at the University of Wales Trinity Saint David. Alongside my studies, I have developed extensive practical experience as a Healthcare Assistant, providing person-centred care to individuals with a range of physical and complex health needs. I am experienced in supporting daily living activities, monitoring vital signs, administering medication, contributing to care planning and working collaboratively within multidisciplinary teams to promote positive patient outcomes. I am a reliable, organised and proactive individual committed to delivering high-quality care and continually developing my professional knowledge.</w:t>
      </w:r>
    </w:p>
    <w:p>
      <w:pPr>
        <w:pStyle w:val="1"/>
        <w:rPr>
          <w:b/>
          <w:bCs/>
          <w:sz w:val="24"/>
          <w:szCs w:val="24"/>
        </w:rPr>
      </w:pPr>
      <w:r>
        <w:rPr>
          <w:b/>
          <w:bCs/>
          <w:sz w:val="24"/>
          <w:szCs w:val="24"/>
        </w:rPr>
        <w:t>Key Skills</w:t>
      </w:r>
    </w:p>
    <w:p>
      <w:pPr>
        <w:pStyle w:val="28"/>
        <w:tabs>
          <w:tab w:val="clear" w:pos="360"/>
          <w:tab w:val="left" w:pos="360"/>
        </w:tabs>
        <w:ind w:left="360" w:hanging="360"/>
        <w:rPr>
          <w:rFonts w:ascii="Arial" w:cs="Arial" w:hAnsi="Arial"/>
        </w:rPr>
      </w:pPr>
      <w:r>
        <w:rPr>
          <w:rFonts w:ascii="Arial" w:cs="Arial" w:hAnsi="Arial"/>
        </w:rPr>
        <w:t>Person-centred care</w:t>
      </w:r>
    </w:p>
    <w:p>
      <w:pPr>
        <w:pStyle w:val="28"/>
        <w:tabs>
          <w:tab w:val="clear" w:pos="360"/>
          <w:tab w:val="left" w:pos="360"/>
        </w:tabs>
        <w:ind w:left="360" w:hanging="360"/>
        <w:rPr>
          <w:rFonts w:ascii="Arial" w:cs="Arial" w:hAnsi="Arial"/>
        </w:rPr>
      </w:pPr>
      <w:r>
        <w:rPr>
          <w:rFonts w:ascii="Arial" w:cs="Arial" w:hAnsi="Arial"/>
        </w:rPr>
        <w:t>Medication administration</w:t>
      </w:r>
    </w:p>
    <w:p>
      <w:pPr>
        <w:pStyle w:val="28"/>
        <w:tabs>
          <w:tab w:val="clear" w:pos="360"/>
          <w:tab w:val="left" w:pos="360"/>
        </w:tabs>
        <w:ind w:left="360" w:hanging="360"/>
        <w:rPr>
          <w:rFonts w:ascii="Arial" w:cs="Arial" w:hAnsi="Arial"/>
        </w:rPr>
      </w:pPr>
      <w:r>
        <w:rPr>
          <w:rFonts w:ascii="Arial" w:cs="Arial" w:hAnsi="Arial"/>
        </w:rPr>
        <w:t>Vital signs monitoring</w:t>
      </w:r>
    </w:p>
    <w:p>
      <w:pPr>
        <w:pStyle w:val="28"/>
        <w:tabs>
          <w:tab w:val="clear" w:pos="360"/>
          <w:tab w:val="left" w:pos="360"/>
        </w:tabs>
        <w:ind w:left="360" w:hanging="360"/>
        <w:rPr>
          <w:rFonts w:ascii="Arial" w:cs="Arial" w:hAnsi="Arial"/>
        </w:rPr>
      </w:pPr>
      <w:r>
        <w:rPr>
          <w:rFonts w:ascii="Arial" w:cs="Arial" w:hAnsi="Arial"/>
        </w:rPr>
        <w:t>Care planning and documentation</w:t>
      </w:r>
    </w:p>
    <w:p>
      <w:pPr>
        <w:pStyle w:val="28"/>
        <w:tabs>
          <w:tab w:val="clear" w:pos="360"/>
          <w:tab w:val="left" w:pos="360"/>
        </w:tabs>
        <w:ind w:left="360" w:hanging="360"/>
        <w:rPr>
          <w:rFonts w:ascii="Arial" w:cs="Arial" w:hAnsi="Arial"/>
        </w:rPr>
      </w:pPr>
      <w:r>
        <w:rPr>
          <w:rFonts w:ascii="Arial" w:cs="Arial" w:hAnsi="Arial"/>
        </w:rPr>
        <w:t>Leadership and supervision</w:t>
      </w:r>
    </w:p>
    <w:p>
      <w:pPr>
        <w:pStyle w:val="28"/>
        <w:tabs>
          <w:tab w:val="clear" w:pos="360"/>
          <w:tab w:val="left" w:pos="360"/>
        </w:tabs>
        <w:ind w:left="360" w:hanging="360"/>
        <w:rPr>
          <w:rFonts w:ascii="Arial" w:cs="Arial" w:hAnsi="Arial"/>
        </w:rPr>
      </w:pPr>
      <w:r>
        <w:rPr>
          <w:rFonts w:ascii="Arial" w:cs="Arial" w:hAnsi="Arial"/>
        </w:rPr>
        <w:t>Communication and interpersonal skills</w:t>
      </w:r>
    </w:p>
    <w:p>
      <w:pPr>
        <w:pStyle w:val="28"/>
        <w:tabs>
          <w:tab w:val="clear" w:pos="360"/>
          <w:tab w:val="left" w:pos="360"/>
        </w:tabs>
        <w:ind w:left="360" w:hanging="360"/>
        <w:rPr>
          <w:rFonts w:ascii="Arial" w:cs="Arial" w:hAnsi="Arial"/>
        </w:rPr>
      </w:pPr>
      <w:r>
        <w:rPr>
          <w:rFonts w:ascii="Arial" w:cs="Arial" w:hAnsi="Arial"/>
        </w:rPr>
        <w:t>Teamwork and multidisciplinary working</w:t>
      </w:r>
    </w:p>
    <w:p>
      <w:pPr>
        <w:pStyle w:val="28"/>
        <w:tabs>
          <w:tab w:val="clear" w:pos="360"/>
          <w:tab w:val="left" w:pos="360"/>
        </w:tabs>
        <w:ind w:left="360" w:hanging="360"/>
        <w:rPr>
          <w:rFonts w:ascii="Arial" w:cs="Arial" w:hAnsi="Arial"/>
        </w:rPr>
      </w:pPr>
      <w:r>
        <w:rPr>
          <w:rFonts w:ascii="Arial" w:cs="Arial" w:hAnsi="Arial"/>
        </w:rPr>
        <w:t>Time management and organisation</w:t>
      </w:r>
    </w:p>
    <w:p>
      <w:pPr>
        <w:pStyle w:val="28"/>
        <w:tabs>
          <w:tab w:val="clear" w:pos="360"/>
          <w:tab w:val="left" w:pos="360"/>
        </w:tabs>
        <w:ind w:left="360" w:hanging="360"/>
        <w:rPr>
          <w:rFonts w:ascii="Arial" w:cs="Arial" w:hAnsi="Arial"/>
        </w:rPr>
      </w:pPr>
      <w:r>
        <w:rPr>
          <w:rFonts w:ascii="Arial" w:cs="Arial" w:hAnsi="Arial"/>
        </w:rPr>
        <w:t>Problem solving</w:t>
      </w:r>
    </w:p>
    <w:p>
      <w:pPr>
        <w:pStyle w:val="28"/>
        <w:tabs>
          <w:tab w:val="clear" w:pos="360"/>
          <w:tab w:val="left" w:pos="360"/>
        </w:tabs>
        <w:ind w:left="360" w:hanging="360"/>
        <w:rPr>
          <w:rFonts w:ascii="Arial" w:cs="Arial" w:hAnsi="Arial"/>
        </w:rPr>
      </w:pPr>
      <w:r>
        <w:rPr>
          <w:rFonts w:ascii="Arial" w:cs="Arial" w:hAnsi="Arial"/>
        </w:rPr>
        <w:t>Patient care</w:t>
      </w:r>
    </w:p>
    <w:p>
      <w:pPr>
        <w:pStyle w:val="28"/>
        <w:tabs>
          <w:tab w:val="clear" w:pos="360"/>
          <w:tab w:val="left" w:pos="360"/>
        </w:tabs>
        <w:ind w:left="360" w:hanging="360"/>
        <w:rPr>
          <w:rFonts w:ascii="Arial" w:cs="Arial" w:hAnsi="Arial"/>
        </w:rPr>
      </w:pPr>
      <w:r>
        <w:rPr>
          <w:rFonts w:ascii="Arial" w:cs="Arial" w:hAnsi="Arial"/>
        </w:rPr>
        <w:t>Compassion and empathy</w:t>
      </w:r>
    </w:p>
    <w:p>
      <w:pPr>
        <w:pStyle w:val="1"/>
        <w:rPr>
          <w:b/>
          <w:bCs/>
          <w:sz w:val="24"/>
          <w:szCs w:val="24"/>
        </w:rPr>
      </w:pPr>
      <w:r>
        <w:rPr>
          <w:b/>
          <w:bCs/>
          <w:sz w:val="24"/>
          <w:szCs w:val="24"/>
        </w:rPr>
        <w:t>Professional Experience</w:t>
      </w:r>
    </w:p>
    <w:p>
      <w:r>
        <w:rPr>
          <w:b/>
        </w:rPr>
        <w:t>Assistant Practitioner</w:t>
      </w:r>
      <w:r>
        <w:br/>
        <w:t>Oakland Care – Woodland Grove Care Home | Apr 2023 – Present</w:t>
      </w:r>
    </w:p>
    <w:p>
      <w:pPr>
        <w:pStyle w:val="28"/>
        <w:tabs>
          <w:tab w:val="clear" w:pos="360"/>
          <w:tab w:val="left" w:pos="360"/>
        </w:tabs>
        <w:ind w:left="360" w:hanging="360"/>
        <w:rPr>
          <w:rFonts w:ascii="Arial" w:cs="Arial" w:hAnsi="Arial"/>
        </w:rPr>
      </w:pPr>
      <w:r>
        <w:rPr>
          <w:rFonts w:ascii="Arial" w:cs="Arial" w:hAnsi="Arial"/>
        </w:rPr>
        <w:t>Oversee the day-to-day running of the unit.</w:t>
      </w:r>
    </w:p>
    <w:p>
      <w:pPr>
        <w:pStyle w:val="28"/>
        <w:tabs>
          <w:tab w:val="clear" w:pos="360"/>
          <w:tab w:val="left" w:pos="360"/>
        </w:tabs>
        <w:ind w:left="360" w:hanging="360"/>
        <w:rPr>
          <w:rFonts w:ascii="Arial" w:cs="Arial" w:hAnsi="Arial"/>
        </w:rPr>
      </w:pPr>
      <w:r>
        <w:rPr>
          <w:rFonts w:ascii="Arial" w:cs="Arial" w:hAnsi="Arial"/>
        </w:rPr>
        <w:t>Develop and update care plans.</w:t>
      </w:r>
    </w:p>
    <w:p>
      <w:pPr>
        <w:pStyle w:val="28"/>
        <w:tabs>
          <w:tab w:val="clear" w:pos="360"/>
          <w:tab w:val="left" w:pos="360"/>
        </w:tabs>
        <w:ind w:left="360" w:hanging="360"/>
        <w:rPr>
          <w:rFonts w:ascii="Arial" w:cs="Arial" w:hAnsi="Arial"/>
        </w:rPr>
      </w:pPr>
      <w:r>
        <w:rPr>
          <w:rFonts w:ascii="Arial" w:cs="Arial" w:hAnsi="Arial"/>
        </w:rPr>
        <w:t>Administer medication safely.</w:t>
      </w:r>
    </w:p>
    <w:p>
      <w:pPr>
        <w:pStyle w:val="28"/>
        <w:tabs>
          <w:tab w:val="clear" w:pos="360"/>
          <w:tab w:val="left" w:pos="360"/>
        </w:tabs>
        <w:ind w:left="360" w:hanging="360"/>
        <w:rPr>
          <w:rFonts w:ascii="Arial" w:cs="Arial" w:hAnsi="Arial"/>
        </w:rPr>
      </w:pPr>
      <w:r>
        <w:rPr>
          <w:rFonts w:ascii="Arial" w:cs="Arial" w:hAnsi="Arial"/>
        </w:rPr>
        <w:t>Arrange hospital appointments and transport.</w:t>
      </w:r>
    </w:p>
    <w:p>
      <w:pPr>
        <w:pStyle w:val="28"/>
        <w:tabs>
          <w:tab w:val="clear" w:pos="360"/>
          <w:tab w:val="left" w:pos="360"/>
        </w:tabs>
        <w:ind w:left="360" w:hanging="360"/>
        <w:rPr>
          <w:rFonts w:ascii="Arial" w:cs="Arial" w:hAnsi="Arial"/>
        </w:rPr>
      </w:pPr>
      <w:r>
        <w:rPr>
          <w:rFonts w:ascii="Arial" w:cs="Arial" w:hAnsi="Arial"/>
        </w:rPr>
        <w:t>Delegate and supervise care staff.</w:t>
      </w:r>
    </w:p>
    <w:p>
      <w:pPr>
        <w:pStyle w:val="28"/>
        <w:tabs>
          <w:tab w:val="clear" w:pos="360"/>
          <w:tab w:val="left" w:pos="360"/>
        </w:tabs>
        <w:ind w:left="360" w:hanging="360"/>
        <w:rPr>
          <w:rFonts w:ascii="Arial" w:cs="Arial" w:hAnsi="Arial"/>
        </w:rPr>
      </w:pPr>
      <w:r>
        <w:rPr>
          <w:rFonts w:ascii="Arial" w:cs="Arial" w:hAnsi="Arial"/>
        </w:rPr>
        <w:t>Liaise with GPs and residents' families.</w:t>
      </w:r>
    </w:p>
    <w:p>
      <w:pPr>
        <w:pStyle w:val="28"/>
        <w:tabs>
          <w:tab w:val="clear" w:pos="360"/>
          <w:tab w:val="left" w:pos="360"/>
        </w:tabs>
        <w:ind w:left="360" w:hanging="360"/>
        <w:rPr>
          <w:rFonts w:ascii="Arial" w:cs="Arial" w:hAnsi="Arial"/>
        </w:rPr>
      </w:pPr>
      <w:r>
        <w:rPr>
          <w:rFonts w:ascii="Arial" w:cs="Arial" w:hAnsi="Arial"/>
        </w:rPr>
        <w:t>Monitor and record residents' vital signs.</w:t>
      </w:r>
    </w:p>
    <w:p>
      <w:pPr>
        <w:pStyle w:val="28"/>
        <w:tabs>
          <w:tab w:val="clear" w:pos="360"/>
          <w:tab w:val="left" w:pos="360"/>
        </w:tabs>
        <w:ind w:left="360" w:hanging="360"/>
        <w:rPr>
          <w:rFonts w:ascii="Arial" w:cs="Arial" w:hAnsi="Arial"/>
        </w:rPr>
      </w:pPr>
      <w:r>
        <w:rPr>
          <w:rFonts w:ascii="Arial" w:cs="Arial" w:hAnsi="Arial"/>
        </w:rPr>
        <w:t>Support residents with personal care.</w:t>
      </w:r>
    </w:p>
    <w:p>
      <w:r>
        <w:rPr>
          <w:b/>
        </w:rPr>
        <w:t>Senior Healthcare Assistant</w:t>
      </w:r>
      <w:r>
        <w:br/>
        <w:t>Oakland Care – Woodland Grove Care Home | Jan 2019 – Jan 2023</w:t>
      </w:r>
    </w:p>
    <w:p>
      <w:pPr>
        <w:pStyle w:val="28"/>
        <w:tabs>
          <w:tab w:val="clear" w:pos="360"/>
          <w:tab w:val="left" w:pos="360"/>
        </w:tabs>
        <w:ind w:left="360" w:hanging="360"/>
        <w:rPr>
          <w:rFonts w:ascii="Arial" w:cs="Arial" w:hAnsi="Arial"/>
        </w:rPr>
      </w:pPr>
      <w:r>
        <w:rPr>
          <w:rFonts w:ascii="Arial" w:cs="Arial" w:hAnsi="Arial"/>
        </w:rPr>
        <w:t>Oversaw daily unit activities.</w:t>
      </w:r>
    </w:p>
    <w:p>
      <w:pPr>
        <w:pStyle w:val="28"/>
        <w:tabs>
          <w:tab w:val="clear" w:pos="360"/>
          <w:tab w:val="left" w:pos="360"/>
        </w:tabs>
        <w:ind w:left="360" w:hanging="360"/>
        <w:rPr>
          <w:rFonts w:ascii="Arial" w:cs="Arial" w:hAnsi="Arial"/>
        </w:rPr>
      </w:pPr>
      <w:r>
        <w:rPr>
          <w:rFonts w:ascii="Arial" w:cs="Arial" w:hAnsi="Arial"/>
        </w:rPr>
        <w:t>Updated care plans.</w:t>
      </w:r>
    </w:p>
    <w:p>
      <w:pPr>
        <w:pStyle w:val="28"/>
        <w:tabs>
          <w:tab w:val="clear" w:pos="360"/>
          <w:tab w:val="left" w:pos="360"/>
        </w:tabs>
        <w:ind w:left="360" w:hanging="360"/>
        <w:rPr>
          <w:rFonts w:ascii="Arial" w:cs="Arial" w:hAnsi="Arial"/>
        </w:rPr>
      </w:pPr>
      <w:r>
        <w:rPr>
          <w:rFonts w:ascii="Arial" w:cs="Arial" w:hAnsi="Arial"/>
        </w:rPr>
        <w:t>Administered medication.</w:t>
      </w:r>
    </w:p>
    <w:p>
      <w:pPr>
        <w:pStyle w:val="28"/>
        <w:tabs>
          <w:tab w:val="clear" w:pos="360"/>
          <w:tab w:val="left" w:pos="360"/>
        </w:tabs>
        <w:ind w:left="360" w:hanging="360"/>
        <w:rPr>
          <w:rFonts w:ascii="Arial" w:cs="Arial" w:hAnsi="Arial"/>
        </w:rPr>
      </w:pPr>
      <w:r>
        <w:rPr>
          <w:rFonts w:ascii="Arial" w:cs="Arial" w:hAnsi="Arial"/>
        </w:rPr>
        <w:t>Coordinated appointments and transport.</w:t>
      </w:r>
    </w:p>
    <w:p>
      <w:pPr>
        <w:pStyle w:val="28"/>
        <w:tabs>
          <w:tab w:val="clear" w:pos="360"/>
          <w:tab w:val="left" w:pos="360"/>
        </w:tabs>
        <w:ind w:left="360" w:hanging="360"/>
        <w:rPr>
          <w:rFonts w:ascii="Arial" w:cs="Arial" w:hAnsi="Arial"/>
        </w:rPr>
      </w:pPr>
      <w:r>
        <w:rPr>
          <w:rFonts w:ascii="Arial" w:cs="Arial" w:hAnsi="Arial"/>
        </w:rPr>
        <w:t>Supervised care staff.</w:t>
      </w:r>
    </w:p>
    <w:p>
      <w:pPr>
        <w:pStyle w:val="28"/>
        <w:tabs>
          <w:tab w:val="clear" w:pos="360"/>
          <w:tab w:val="left" w:pos="360"/>
        </w:tabs>
        <w:ind w:left="360" w:hanging="360"/>
        <w:rPr>
          <w:rFonts w:ascii="Arial" w:cs="Arial" w:hAnsi="Arial"/>
        </w:rPr>
      </w:pPr>
      <w:r>
        <w:rPr>
          <w:rFonts w:ascii="Arial" w:cs="Arial" w:hAnsi="Arial"/>
        </w:rPr>
        <w:t>Recorded vital signs.</w:t>
      </w:r>
    </w:p>
    <w:p>
      <w:pPr>
        <w:pStyle w:val="28"/>
        <w:tabs>
          <w:tab w:val="clear" w:pos="360"/>
          <w:tab w:val="left" w:pos="360"/>
        </w:tabs>
        <w:ind w:left="360" w:hanging="360"/>
        <w:rPr>
          <w:rFonts w:ascii="Arial" w:cs="Arial" w:hAnsi="Arial"/>
        </w:rPr>
      </w:pPr>
      <w:r>
        <w:rPr>
          <w:rFonts w:ascii="Arial" w:cs="Arial" w:hAnsi="Arial"/>
        </w:rPr>
        <w:t>Communicated with residents' families.</w:t>
      </w:r>
    </w:p>
    <w:p>
      <w:pPr>
        <w:pStyle w:val="28"/>
        <w:tabs>
          <w:tab w:val="clear" w:pos="360"/>
          <w:tab w:val="left" w:pos="360"/>
        </w:tabs>
        <w:ind w:left="360" w:hanging="360"/>
        <w:rPr>
          <w:rFonts w:ascii="Arial" w:cs="Arial" w:hAnsi="Arial"/>
        </w:rPr>
      </w:pPr>
      <w:r>
        <w:rPr>
          <w:rFonts w:ascii="Arial" w:cs="Arial" w:hAnsi="Arial"/>
        </w:rPr>
        <w:t>Provided personal care.</w:t>
      </w:r>
    </w:p>
    <w:p>
      <w:r>
        <w:rPr>
          <w:b/>
        </w:rPr>
        <w:t>Senior Healthcare Assistant</w:t>
      </w:r>
      <w:r>
        <w:br/>
        <w:t>Care UK – Heatherbrook Care Home | Jan 2016 – Dec 2018</w:t>
      </w:r>
    </w:p>
    <w:p>
      <w:pPr>
        <w:pStyle w:val="28"/>
        <w:tabs>
          <w:tab w:val="clear" w:pos="360"/>
          <w:tab w:val="left" w:pos="360"/>
        </w:tabs>
        <w:ind w:left="360" w:hanging="360"/>
        <w:rPr>
          <w:rFonts w:ascii="Arial" w:cs="Arial" w:hAnsi="Arial"/>
        </w:rPr>
      </w:pPr>
      <w:r>
        <w:rPr>
          <w:rFonts w:ascii="Arial" w:cs="Arial" w:hAnsi="Arial"/>
        </w:rPr>
        <w:t>Monitored and recorded vital signs.</w:t>
      </w:r>
    </w:p>
    <w:p>
      <w:pPr>
        <w:pStyle w:val="28"/>
        <w:tabs>
          <w:tab w:val="clear" w:pos="360"/>
          <w:tab w:val="left" w:pos="360"/>
        </w:tabs>
        <w:ind w:left="360" w:hanging="360"/>
        <w:rPr>
          <w:rFonts w:ascii="Arial" w:cs="Arial" w:hAnsi="Arial"/>
        </w:rPr>
      </w:pPr>
      <w:r>
        <w:rPr>
          <w:rFonts w:ascii="Arial" w:cs="Arial" w:hAnsi="Arial"/>
        </w:rPr>
        <w:t>Delegated duties to care staff.</w:t>
      </w:r>
    </w:p>
    <w:p>
      <w:pPr>
        <w:pStyle w:val="28"/>
        <w:tabs>
          <w:tab w:val="clear" w:pos="360"/>
          <w:tab w:val="left" w:pos="360"/>
        </w:tabs>
        <w:ind w:left="360" w:hanging="360"/>
        <w:rPr>
          <w:rFonts w:ascii="Arial" w:cs="Arial" w:hAnsi="Arial"/>
        </w:rPr>
      </w:pPr>
      <w:r>
        <w:rPr>
          <w:rFonts w:ascii="Arial" w:cs="Arial" w:hAnsi="Arial"/>
        </w:rPr>
        <w:t>Administered medication.</w:t>
      </w:r>
    </w:p>
    <w:p>
      <w:pPr>
        <w:pStyle w:val="28"/>
        <w:tabs>
          <w:tab w:val="clear" w:pos="360"/>
          <w:tab w:val="left" w:pos="360"/>
        </w:tabs>
        <w:ind w:left="360" w:hanging="360"/>
        <w:rPr>
          <w:rFonts w:ascii="Arial" w:cs="Arial" w:hAnsi="Arial"/>
        </w:rPr>
      </w:pPr>
      <w:r>
        <w:rPr>
          <w:rFonts w:ascii="Arial" w:cs="Arial" w:hAnsi="Arial"/>
        </w:rPr>
        <w:t>Booked hospital appointments and transport.</w:t>
      </w:r>
    </w:p>
    <w:p>
      <w:pPr>
        <w:pStyle w:val="28"/>
        <w:tabs>
          <w:tab w:val="clear" w:pos="360"/>
          <w:tab w:val="left" w:pos="360"/>
        </w:tabs>
        <w:ind w:left="360" w:hanging="360"/>
        <w:rPr>
          <w:rFonts w:ascii="Arial" w:cs="Arial" w:hAnsi="Arial"/>
        </w:rPr>
      </w:pPr>
      <w:r>
        <w:rPr>
          <w:rFonts w:ascii="Arial" w:cs="Arial" w:hAnsi="Arial"/>
        </w:rPr>
        <w:t>Completed handover documentation.</w:t>
      </w:r>
    </w:p>
    <w:p>
      <w:r>
        <w:rPr>
          <w:b/>
        </w:rPr>
        <w:t>Healthcare Assistant</w:t>
      </w:r>
      <w:r>
        <w:br/>
        <w:t>Bupa Chaseview Care Home | Jan 2013 – Dec 2015</w:t>
      </w:r>
    </w:p>
    <w:p>
      <w:pPr>
        <w:pStyle w:val="28"/>
        <w:tabs>
          <w:tab w:val="clear" w:pos="360"/>
          <w:tab w:val="left" w:pos="360"/>
        </w:tabs>
        <w:ind w:left="360" w:hanging="360"/>
        <w:rPr>
          <w:rFonts w:ascii="Arial" w:cs="Arial" w:hAnsi="Arial"/>
        </w:rPr>
      </w:pPr>
      <w:r>
        <w:rPr>
          <w:rFonts w:ascii="Arial" w:cs="Arial" w:hAnsi="Arial"/>
        </w:rPr>
        <w:t>Assisted residents with personal care.</w:t>
      </w:r>
    </w:p>
    <w:p>
      <w:pPr>
        <w:pStyle w:val="28"/>
        <w:tabs>
          <w:tab w:val="clear" w:pos="360"/>
          <w:tab w:val="left" w:pos="360"/>
        </w:tabs>
        <w:ind w:left="360" w:hanging="360"/>
        <w:rPr>
          <w:rFonts w:ascii="Arial" w:cs="Arial" w:hAnsi="Arial"/>
        </w:rPr>
      </w:pPr>
      <w:r>
        <w:rPr>
          <w:rFonts w:ascii="Arial" w:cs="Arial" w:hAnsi="Arial"/>
        </w:rPr>
        <w:t>Supported daily living activities.</w:t>
      </w:r>
    </w:p>
    <w:p>
      <w:pPr>
        <w:pStyle w:val="28"/>
        <w:tabs>
          <w:tab w:val="clear" w:pos="360"/>
          <w:tab w:val="left" w:pos="360"/>
        </w:tabs>
        <w:ind w:left="360" w:hanging="360"/>
        <w:rPr>
          <w:rFonts w:ascii="Arial" w:cs="Arial" w:hAnsi="Arial"/>
        </w:rPr>
      </w:pPr>
      <w:r>
        <w:rPr>
          <w:rFonts w:ascii="Arial" w:cs="Arial" w:hAnsi="Arial"/>
        </w:rPr>
        <w:t>Maintained care records.</w:t>
      </w:r>
    </w:p>
    <w:p>
      <w:pPr>
        <w:pStyle w:val="28"/>
        <w:tabs>
          <w:tab w:val="clear" w:pos="360"/>
          <w:tab w:val="left" w:pos="360"/>
        </w:tabs>
        <w:ind w:left="360" w:hanging="360"/>
        <w:rPr>
          <w:rFonts w:ascii="Arial" w:cs="Arial" w:hAnsi="Arial"/>
        </w:rPr>
      </w:pPr>
      <w:r>
        <w:rPr>
          <w:rFonts w:ascii="Arial" w:cs="Arial" w:hAnsi="Arial"/>
        </w:rPr>
        <w:t>Provided emotional and social support.</w:t>
      </w:r>
    </w:p>
    <w:p>
      <w:pPr>
        <w:pStyle w:val="28"/>
        <w:tabs>
          <w:tab w:val="clear" w:pos="360"/>
          <w:tab w:val="left" w:pos="360"/>
        </w:tabs>
        <w:ind w:left="360" w:hanging="360"/>
        <w:rPr>
          <w:rFonts w:ascii="Arial" w:cs="Arial" w:hAnsi="Arial"/>
        </w:rPr>
      </w:pPr>
      <w:r>
        <w:rPr>
          <w:rFonts w:ascii="Arial" w:cs="Arial" w:hAnsi="Arial"/>
        </w:rPr>
        <w:t>Escorted residents to hospital appointments.</w:t>
      </w:r>
    </w:p>
    <w:p>
      <w:pPr>
        <w:pStyle w:val="1"/>
        <w:rPr>
          <w:b/>
          <w:bCs/>
          <w:sz w:val="24"/>
          <w:szCs w:val="24"/>
        </w:rPr>
      </w:pPr>
      <w:r>
        <w:rPr>
          <w:b/>
          <w:bCs/>
          <w:sz w:val="24"/>
          <w:szCs w:val="24"/>
        </w:rPr>
        <w:t>Education</w:t>
      </w:r>
    </w:p>
    <w:p>
      <w:r>
        <w:rPr>
          <w:b/>
        </w:rPr>
        <w:t>BSc (Hons) Health and Social Care</w:t>
      </w:r>
      <w:r>
        <w:br/>
        <w:t>University of Wales Trinity Saint David (Current)</w:t>
      </w:r>
    </w:p>
    <w:p>
      <w:r>
        <w:rPr>
          <w:b/>
        </w:rPr>
        <w:t>National Diploma in Mass Communication</w:t>
      </w:r>
      <w:r>
        <w:br/>
        <w:t>Federal Polytechnic Auchi, 2009</w:t>
      </w:r>
    </w:p>
    <w:p>
      <w:pPr>
        <w:pStyle w:val="1"/>
        <w:rPr>
          <w:b/>
          <w:bCs/>
          <w:sz w:val="24"/>
          <w:szCs w:val="24"/>
        </w:rPr>
      </w:pPr>
      <w:r>
        <w:rPr>
          <w:b/>
          <w:bCs/>
          <w:sz w:val="24"/>
          <w:szCs w:val="24"/>
        </w:rPr>
        <w:t>Certifications</w:t>
      </w:r>
    </w:p>
    <w:p>
      <w:pPr>
        <w:pStyle w:val="28"/>
        <w:tabs>
          <w:tab w:val="clear" w:pos="360"/>
          <w:tab w:val="left" w:pos="360"/>
        </w:tabs>
        <w:ind w:left="360" w:hanging="360"/>
        <w:rPr>
          <w:rFonts w:ascii="Arial" w:cs="Arial" w:hAnsi="Arial"/>
        </w:rPr>
      </w:pPr>
      <w:r>
        <w:rPr>
          <w:rFonts w:ascii="Arial" w:cs="Arial" w:hAnsi="Arial"/>
        </w:rPr>
        <w:t>NVQ Level 2/3 Mental Health</w:t>
      </w:r>
    </w:p>
    <w:p>
      <w:pPr>
        <w:pStyle w:val="28"/>
        <w:tabs>
          <w:tab w:val="clear" w:pos="360"/>
          <w:tab w:val="left" w:pos="360"/>
        </w:tabs>
        <w:ind w:left="360" w:hanging="360"/>
        <w:rPr>
          <w:rFonts w:ascii="Arial" w:cs="Arial" w:hAnsi="Arial"/>
        </w:rPr>
      </w:pPr>
      <w:r>
        <w:rPr>
          <w:rFonts w:ascii="Arial" w:cs="Arial" w:hAnsi="Arial"/>
        </w:rPr>
        <w:t>Medication Awareness and Safe Handling of Medication</w:t>
      </w:r>
    </w:p>
    <w:p>
      <w:pPr>
        <w:pStyle w:val="28"/>
        <w:tabs>
          <w:tab w:val="clear" w:pos="360"/>
          <w:tab w:val="left" w:pos="360"/>
        </w:tabs>
        <w:ind w:left="360" w:hanging="360"/>
        <w:rPr>
          <w:rFonts w:ascii="Arial" w:cs="Arial" w:hAnsi="Arial"/>
        </w:rPr>
      </w:pPr>
      <w:r>
        <w:rPr>
          <w:rFonts w:ascii="Arial" w:cs="Arial" w:hAnsi="Arial"/>
        </w:rPr>
        <w:t>Moving and Handling</w:t>
      </w:r>
    </w:p>
    <w:p>
      <w:pPr>
        <w:pStyle w:val="1"/>
        <w:rPr>
          <w:b/>
          <w:bCs/>
          <w:sz w:val="24"/>
          <w:szCs w:val="24"/>
        </w:rPr>
      </w:pPr>
      <w:r>
        <w:rPr>
          <w:b/>
          <w:bCs/>
          <w:sz w:val="24"/>
          <w:szCs w:val="24"/>
        </w:rPr>
        <w:t>References</w:t>
      </w:r>
    </w:p>
    <w:p>
      <w:r>
        <w:t>Available on request.</w:t>
      </w:r>
      <w:r>
        <w:rPr>
          <w:b/>
          <w:bCs/>
        </w:rPr>
        <w:br w:type="page"/>
      </w:r>
    </w:p>
    <w:p>
      <w:pPr>
        <w:pStyle w:val="22"/>
        <w:rPr>
          <w:rFonts w:ascii="Arial" w:cs="Arial" w:hAnsi="Arial"/>
          <w:b/>
          <w:bCs/>
        </w:rPr>
      </w:pPr>
      <w:r>
        <w:rPr>
          <w:rFonts w:ascii="Arial" w:cs="Arial" w:hAnsi="Arial"/>
          <w:b/>
          <w:bCs/>
        </w:rPr>
        <w:t>Task 2 of 4 – Personal Statement</w:t>
      </w:r>
    </w:p>
    <w:p>
      <w:pPr>
        <w:pStyle w:val="22"/>
        <w:rPr>
          <w:rFonts w:ascii="Arial" w:cs="Arial" w:hAnsi="Arial"/>
          <w:b/>
          <w:bCs/>
          <w:color w:val="C00000"/>
        </w:rPr>
      </w:pPr>
    </w:p>
    <w:p>
      <w:pPr>
        <w:rPr>
          <w:b/>
          <w:bCs/>
        </w:rPr>
      </w:pPr>
      <w:r>
        <w:rPr>
          <w:b/>
          <w:bCs/>
        </w:rPr>
        <w:t>Personal Statement</w:t>
      </w:r>
    </w:p>
    <w:p>
      <w:pPr>
        <w:rPr>
          <w:sz w:val="24"/>
          <w:szCs w:val="24"/>
        </w:rPr>
      </w:pPr>
    </w:p>
    <w:p>
      <w:pPr>
        <w:rPr>
          <w:sz w:val="24"/>
          <w:szCs w:val="24"/>
        </w:rPr>
      </w:pPr>
      <w:r>
        <w:rPr>
          <w:sz w:val="24"/>
          <w:szCs w:val="24"/>
        </w:rPr>
        <w:t>I am currently studying for a BSc (Hons) in Health and Social Care at the University of Wales Trinity Saint David while working as an Assistant Practitioner within a residential care setting. Throughout my career in health and social care, I have developed extensive experience supporting vulnerable individuals to maintain their independence, dignity and wellbeing. I am now seeking to transfer these skills into a Housing Support Officer role, where I can continue making a positive difference by empowering individuals to overcome challenges and achieve positive outcomes.</w:t>
      </w:r>
    </w:p>
    <w:p>
      <w:pPr>
        <w:rPr>
          <w:sz w:val="24"/>
          <w:szCs w:val="24"/>
        </w:rPr>
      </w:pPr>
    </w:p>
    <w:p>
      <w:pPr>
        <w:rPr>
          <w:sz w:val="24"/>
          <w:szCs w:val="24"/>
        </w:rPr>
      </w:pPr>
      <w:r>
        <w:rPr>
          <w:sz w:val="24"/>
          <w:szCs w:val="24"/>
        </w:rPr>
        <w:t>Working within residential care has provided me with valuable experience supporting people with diverse physical, emotional and social needs. My current role involves coordinating care, developing and reviewing care plans, administering medication, monitoring residents' wellbeing, liaising with families and healthcare professionals, and supervising care staff. These responsibilities have strengthened my ability to assess individual needs, build trusting relationships and provide person-centred support while remaining calm and organised in demanding situations.</w:t>
      </w:r>
    </w:p>
    <w:p>
      <w:pPr>
        <w:rPr>
          <w:sz w:val="24"/>
          <w:szCs w:val="24"/>
        </w:rPr>
      </w:pPr>
    </w:p>
    <w:p>
      <w:pPr>
        <w:rPr>
          <w:sz w:val="24"/>
          <w:szCs w:val="24"/>
        </w:rPr>
      </w:pPr>
      <w:r>
        <w:rPr>
          <w:sz w:val="24"/>
          <w:szCs w:val="24"/>
        </w:rPr>
        <w:t>Alongside my practical experience, my university studies have strengthened my understanding of safeguarding, health inequalities, social determinants of health and person-centred practice. I recognise that issues such as housing instability, social isolation, financial hardship and poor health are often interconnected, and I understand the importance of working collaboratively with individuals and partner agencies to help people achieve greater independence and improve their overall wellbeing.</w:t>
      </w:r>
    </w:p>
    <w:p>
      <w:pPr>
        <w:rPr>
          <w:sz w:val="24"/>
          <w:szCs w:val="24"/>
        </w:rPr>
      </w:pPr>
    </w:p>
    <w:p>
      <w:pPr>
        <w:rPr>
          <w:sz w:val="24"/>
          <w:szCs w:val="24"/>
        </w:rPr>
      </w:pPr>
      <w:r>
        <w:rPr>
          <w:sz w:val="24"/>
          <w:szCs w:val="24"/>
        </w:rPr>
        <w:t>One of my greatest strengths is my ability to communicate effectively with people from a wide range of backgrounds. Throughout my career I have supported individuals and families during challenging circumstances, listening with empathy, treating people with dignity and respect, and adapting my communication to meet individual needs. I believe these skills are essential for building positive relationships and supporting clients to develop confidence, independence and the skills needed to manage their own circumstances.</w:t>
      </w:r>
    </w:p>
    <w:p>
      <w:pPr>
        <w:rPr>
          <w:sz w:val="24"/>
          <w:szCs w:val="24"/>
        </w:rPr>
      </w:pPr>
    </w:p>
    <w:p>
      <w:pPr>
        <w:rPr>
          <w:sz w:val="24"/>
          <w:szCs w:val="24"/>
        </w:rPr>
      </w:pPr>
      <w:r>
        <w:rPr>
          <w:sz w:val="24"/>
          <w:szCs w:val="24"/>
        </w:rPr>
        <w:t>My previous experience in customer service and retail has also strengthened my interpersonal, organisational and problem-solving skills. Combined with my healthcare experience, this has enabled me to work confidently within multidisciplinary teams, manage competing priorities and respond professionally to changing situations while maintaining a positive and supportive approach.</w:t>
      </w:r>
    </w:p>
    <w:p>
      <w:pPr>
        <w:rPr>
          <w:sz w:val="24"/>
          <w:szCs w:val="24"/>
        </w:rPr>
      </w:pPr>
    </w:p>
    <w:p>
      <w:pPr>
        <w:rPr>
          <w:sz w:val="24"/>
          <w:szCs w:val="24"/>
        </w:rPr>
      </w:pPr>
      <w:r>
        <w:rPr>
          <w:sz w:val="24"/>
          <w:szCs w:val="24"/>
        </w:rPr>
        <w:t>I am committed to equality, diversity and inclusion and believe that every individual should have the opportunity to live safely, independently and with dignity. I enjoy working with people, building trusting relationships and supporting individuals to identify solutions that improve their quality of life. I am eager to bring my transferable skills, professional experience and commitment to person-centred support to the Housing Support Officer role with Transform Housing&amp;Support.</w:t>
      </w:r>
    </w:p>
    <w:p/>
    <w:p>
      <w:pPr>
        <w:pStyle w:val="22"/>
        <w:rPr>
          <w:rFonts w:ascii="Arial" w:cs="Arial" w:hAnsi="Arial"/>
          <w:b/>
          <w:bCs/>
        </w:rPr>
      </w:pPr>
      <w:r>
        <w:rPr>
          <w:rFonts w:ascii="Arial" w:cs="Arial" w:hAnsi="Arial"/>
          <w:b/>
          <w:bCs/>
        </w:rPr>
        <w:t xml:space="preserve">Task 3 of 4 – SWOT and PDP </w:t>
      </w:r>
    </w:p>
    <w:p>
      <w:pPr>
        <w:pStyle w:val="22"/>
        <w:rPr>
          <w:rFonts w:ascii="Arial" w:cs="Arial" w:hAnsi="Arial"/>
          <w:b/>
          <w:bCs/>
          <w:color w:val="C00000"/>
        </w:rPr>
      </w:pPr>
    </w:p>
    <w:p>
      <w:pPr>
        <w:pStyle w:val="22"/>
        <w:rPr>
          <w:rFonts w:ascii="Arial" w:cs="Arial" w:hAnsi="Arial"/>
        </w:rPr>
      </w:pPr>
    </w:p>
    <w:p>
      <w:pPr>
        <w:spacing w:before="100" w:beforeAutospacing="1" w:after="100" w:afterAutospacing="1" w:line="240" w:lineRule="auto"/>
        <w:outlineLvl w:val="0"/>
        <w:rPr>
          <w:rFonts w:eastAsia="Times New Roman"/>
          <w:b/>
          <w:bCs/>
          <w:kern w:val="36"/>
        </w:rPr>
      </w:pPr>
      <w:r>
        <w:rPr>
          <w:rFonts w:eastAsia="Times New Roman"/>
          <w:b/>
          <w:bCs/>
          <w:kern w:val="36"/>
        </w:rPr>
        <w:t>SWOT Analysis – Graduate Housing Role</w:t>
      </w:r>
    </w:p>
    <w:p>
      <w:pPr>
        <w:pStyle w:val="22"/>
        <w:rPr>
          <w:rFonts w:ascii="Arial" w:cs="Arial" w:hAnsi="Arial"/>
        </w:rPr>
      </w:pPr>
      <w:r>
        <w:rPr>
          <w:rFonts w:ascii="Arial" w:cs="Arial" w:hAnsi="Arial"/>
        </w:rPr>
        <w:t>A SWOT (Strengths, Weaknesses, Opportunities, Threats) analysis can be used to identify strengths, weaknesses, opportunities, and threats related to a particular role or situation and to support planning and decision-making (Gürel&amp;Tat, 2017). Below is a personal SWOT analysis relative to the job I am applying for.</w:t>
      </w:r>
    </w:p>
    <w:p>
      <w:pPr>
        <w:pStyle w:val="22"/>
        <w:rPr>
          <w:rFonts w:ascii="Arial" w:cs="Arial" w:hAnsi="Arial"/>
        </w:rPr>
      </w:pPr>
    </w:p>
    <w:tbl>
      <w:tblPr>
        <w:jc w:val="left"/>
        <w:tblInd w:w="-572" w:type="dxa"/>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188"/>
        <w:gridCol w:w="4877"/>
      </w:tblGrid>
      <w:tr>
        <w:tc>
          <w:tcPr>
            <w:tcW w:w="5188"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Strengths</w:t>
            </w:r>
          </w:p>
        </w:tc>
        <w:tc>
          <w:tcPr>
            <w:tcW w:w="4877"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Weaknesses</w:t>
            </w:r>
          </w:p>
        </w:tc>
      </w:tr>
      <w:tr>
        <w:trPr>
          <w:trHeight w:val="2549"/>
        </w:trPr>
        <w:tc>
          <w:tcPr>
            <w:tcW w:w="5188" w:type="dxa"/>
          </w:tcPr>
          <w:p>
            <w:pPr>
              <w:pStyle w:val="21"/>
              <w:numPr>
                <w:ilvl w:val="0"/>
                <w:numId w:val="1"/>
              </w:numPr>
              <w:rPr>
                <w:rFonts w:ascii="Arial" w:cs="Arial" w:hAnsi="Arial"/>
                <w:kern w:val="0"/>
                <w:lang w:eastAsia="en-GB"/>
              </w:rPr>
            </w:pPr>
            <w:r>
              <w:rPr>
                <w:rFonts w:ascii="Arial" w:cs="Arial" w:hAnsi="Arial"/>
                <w:kern w:val="0"/>
                <w:lang w:eastAsia="en-GB"/>
              </w:rPr>
              <w:t>Good communication skills when speaking with tenants and colleagues.</w:t>
            </w:r>
          </w:p>
          <w:p>
            <w:pPr>
              <w:pStyle w:val="21"/>
              <w:numPr>
                <w:ilvl w:val="0"/>
                <w:numId w:val="1"/>
              </w:numPr>
              <w:rPr>
                <w:rFonts w:ascii="Arial" w:cs="Arial" w:hAnsi="Arial"/>
                <w:kern w:val="0"/>
                <w:lang w:eastAsia="en-GB"/>
              </w:rPr>
            </w:pPr>
            <w:r>
              <w:rPr>
                <w:rFonts w:ascii="Arial" w:cs="Arial" w:hAnsi="Arial"/>
                <w:kern w:val="0"/>
                <w:lang w:eastAsia="en-GB"/>
              </w:rPr>
              <w:t>Experience supporting vulnerable individuals as a Healthcare Assistant.</w:t>
            </w:r>
          </w:p>
          <w:p>
            <w:pPr>
              <w:pStyle w:val="21"/>
              <w:numPr>
                <w:ilvl w:val="0"/>
                <w:numId w:val="1"/>
              </w:numPr>
              <w:rPr>
                <w:rFonts w:ascii="Arial" w:cs="Arial" w:hAnsi="Arial"/>
                <w:kern w:val="0"/>
                <w:lang w:eastAsia="en-GB"/>
              </w:rPr>
            </w:pPr>
            <w:r>
              <w:rPr>
                <w:rFonts w:ascii="Arial" w:cs="Arial" w:hAnsi="Arial"/>
                <w:kern w:val="0"/>
                <w:lang w:eastAsia="en-GB"/>
              </w:rPr>
              <w:t>Empathy, patience, and a person-centred approach.</w:t>
            </w:r>
          </w:p>
          <w:p>
            <w:pPr>
              <w:pStyle w:val="21"/>
              <w:numPr>
                <w:ilvl w:val="0"/>
                <w:numId w:val="1"/>
              </w:numPr>
              <w:rPr>
                <w:rFonts w:ascii="Arial" w:cs="Arial" w:hAnsi="Arial"/>
                <w:kern w:val="0"/>
                <w:lang w:eastAsia="en-GB"/>
              </w:rPr>
            </w:pPr>
            <w:r>
              <w:rPr>
                <w:rFonts w:ascii="Arial" w:cs="Arial" w:hAnsi="Arial"/>
                <w:kern w:val="0"/>
                <w:lang w:eastAsia="en-GB"/>
              </w:rPr>
              <w:t>Basic understanding of safeguarding and wellbeing from Health and Social Care studies.</w:t>
            </w:r>
          </w:p>
        </w:tc>
        <w:tc>
          <w:tcPr>
            <w:tcW w:w="4877" w:type="dxa"/>
          </w:tcPr>
          <w:p>
            <w:pPr>
              <w:pStyle w:val="21"/>
              <w:numPr>
                <w:ilvl w:val="0"/>
                <w:numId w:val="2"/>
              </w:numPr>
              <w:rPr>
                <w:rFonts w:ascii="Arial" w:cs="Arial" w:hAnsi="Arial"/>
                <w:kern w:val="0"/>
                <w:lang w:eastAsia="en-GB"/>
              </w:rPr>
            </w:pPr>
            <w:r>
              <w:rPr>
                <w:rFonts w:ascii="Arial" w:cs="Arial" w:hAnsi="Arial"/>
                <w:kern w:val="0"/>
                <w:lang w:eastAsia="en-GB"/>
              </w:rPr>
              <w:t>Limited direct experience working in housing services.</w:t>
            </w:r>
          </w:p>
          <w:p>
            <w:pPr>
              <w:pStyle w:val="21"/>
              <w:numPr>
                <w:ilvl w:val="0"/>
                <w:numId w:val="2"/>
              </w:numPr>
              <w:rPr>
                <w:rFonts w:ascii="Arial" w:cs="Arial" w:hAnsi="Arial"/>
                <w:kern w:val="0"/>
                <w:lang w:eastAsia="en-GB"/>
              </w:rPr>
            </w:pPr>
            <w:r>
              <w:rPr>
                <w:rFonts w:ascii="Arial" w:cs="Arial" w:hAnsi="Arial"/>
                <w:kern w:val="0"/>
                <w:lang w:eastAsia="en-GB"/>
              </w:rPr>
              <w:t>Limited knowledge of housing legislation and policies.</w:t>
            </w:r>
          </w:p>
          <w:p>
            <w:pPr>
              <w:pStyle w:val="21"/>
              <w:numPr>
                <w:ilvl w:val="0"/>
                <w:numId w:val="2"/>
              </w:numPr>
              <w:rPr>
                <w:rFonts w:ascii="Arial" w:cs="Arial" w:hAnsi="Arial"/>
                <w:kern w:val="0"/>
                <w:lang w:eastAsia="en-GB"/>
              </w:rPr>
            </w:pPr>
            <w:r>
              <w:rPr>
                <w:rFonts w:ascii="Arial" w:cs="Arial" w:hAnsi="Arial"/>
                <w:kern w:val="0"/>
                <w:lang w:eastAsia="en-GB"/>
              </w:rPr>
              <w:t>May need further training in housing systems and case management.</w:t>
            </w:r>
          </w:p>
          <w:p>
            <w:pPr>
              <w:ind w:left="360"/>
              <w:rPr>
                <w:rFonts w:ascii="Arial" w:cs="Arial" w:hAnsi="Arial"/>
                <w:lang w:eastAsia="en-GB"/>
              </w:rPr>
            </w:pPr>
          </w:p>
        </w:tc>
      </w:tr>
      <w:tr>
        <w:tc>
          <w:tcPr>
            <w:tcW w:w="5188"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Opportunities</w:t>
            </w:r>
          </w:p>
        </w:tc>
        <w:tc>
          <w:tcPr>
            <w:tcW w:w="4877"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Threats</w:t>
            </w:r>
          </w:p>
        </w:tc>
      </w:tr>
      <w:tr>
        <w:trPr>
          <w:trHeight w:val="2880"/>
        </w:trPr>
        <w:tc>
          <w:tcPr>
            <w:tcW w:w="5188" w:type="dxa"/>
          </w:tcPr>
          <w:p>
            <w:pPr>
              <w:pStyle w:val="21"/>
              <w:numPr>
                <w:ilvl w:val="0"/>
                <w:numId w:val="3"/>
              </w:numPr>
              <w:rPr>
                <w:rFonts w:ascii="Arial" w:cs="Arial" w:hAnsi="Arial"/>
                <w:kern w:val="0"/>
                <w:lang w:eastAsia="en-GB"/>
              </w:rPr>
            </w:pPr>
            <w:r>
              <w:rPr>
                <w:rFonts w:ascii="Arial" w:cs="Arial" w:hAnsi="Arial"/>
                <w:kern w:val="0"/>
                <w:lang w:eastAsia="en-GB"/>
              </w:rPr>
              <w:t>Training and professional development provided by housing organisations.</w:t>
            </w:r>
          </w:p>
          <w:p>
            <w:pPr>
              <w:pStyle w:val="21"/>
              <w:numPr>
                <w:ilvl w:val="0"/>
                <w:numId w:val="3"/>
              </w:numPr>
              <w:rPr>
                <w:rFonts w:ascii="Arial" w:cs="Arial" w:hAnsi="Arial"/>
                <w:kern w:val="0"/>
                <w:lang w:eastAsia="en-GB"/>
              </w:rPr>
            </w:pPr>
            <w:r>
              <w:rPr>
                <w:rFonts w:ascii="Arial" w:cs="Arial" w:hAnsi="Arial"/>
                <w:kern w:val="0"/>
                <w:lang w:eastAsia="en-GB"/>
              </w:rPr>
              <w:t>Opportunity to gain experience working with social services and community organisations.</w:t>
            </w:r>
          </w:p>
          <w:p>
            <w:pPr>
              <w:pStyle w:val="21"/>
              <w:numPr>
                <w:ilvl w:val="0"/>
                <w:numId w:val="3"/>
              </w:numPr>
              <w:rPr>
                <w:rFonts w:ascii="Arial" w:cs="Arial" w:hAnsi="Arial"/>
                <w:kern w:val="0"/>
                <w:lang w:eastAsia="en-GB"/>
              </w:rPr>
            </w:pPr>
            <w:r>
              <w:rPr>
                <w:rFonts w:ascii="Arial" w:cs="Arial" w:hAnsi="Arial"/>
                <w:kern w:val="0"/>
                <w:lang w:eastAsia="en-GB"/>
              </w:rPr>
              <w:t>Opportunity to specialise in areas such as homelessness support or tenancy management.</w:t>
            </w:r>
          </w:p>
        </w:tc>
        <w:tc>
          <w:tcPr>
            <w:tcW w:w="4877" w:type="dxa"/>
          </w:tcPr>
          <w:p>
            <w:pPr>
              <w:pStyle w:val="21"/>
              <w:numPr>
                <w:ilvl w:val="0"/>
                <w:numId w:val="4"/>
              </w:numPr>
              <w:rPr>
                <w:rFonts w:ascii="Arial" w:cs="Arial" w:hAnsi="Arial"/>
                <w:kern w:val="0"/>
                <w:lang w:eastAsia="en-GB"/>
              </w:rPr>
            </w:pPr>
            <w:r>
              <w:rPr>
                <w:rFonts w:ascii="Arial" w:cs="Arial" w:hAnsi="Arial"/>
                <w:kern w:val="0"/>
                <w:lang w:eastAsia="en-GB"/>
              </w:rPr>
              <w:t>High demand for housing and limited housing availability.</w:t>
            </w:r>
          </w:p>
          <w:p>
            <w:pPr>
              <w:pStyle w:val="21"/>
              <w:numPr>
                <w:ilvl w:val="0"/>
                <w:numId w:val="4"/>
              </w:numPr>
              <w:rPr>
                <w:rFonts w:ascii="Arial" w:cs="Arial" w:hAnsi="Arial"/>
                <w:kern w:val="0"/>
                <w:lang w:eastAsia="en-GB"/>
              </w:rPr>
            </w:pPr>
            <w:r>
              <w:rPr>
                <w:rFonts w:ascii="Arial" w:cs="Arial" w:hAnsi="Arial"/>
                <w:kern w:val="0"/>
                <w:lang w:eastAsia="en-GB"/>
              </w:rPr>
              <w:t>Tenants may face complex issues such as financial hardship or mental health challenges.</w:t>
            </w:r>
          </w:p>
          <w:p>
            <w:pPr>
              <w:pStyle w:val="21"/>
              <w:numPr>
                <w:ilvl w:val="0"/>
                <w:numId w:val="4"/>
              </w:numPr>
              <w:rPr>
                <w:rFonts w:ascii="Arial" w:cs="Arial" w:hAnsi="Arial"/>
                <w:kern w:val="0"/>
                <w:lang w:eastAsia="en-GB"/>
              </w:rPr>
            </w:pPr>
            <w:r>
              <w:rPr>
                <w:rFonts w:ascii="Arial" w:cs="Arial" w:hAnsi="Arial"/>
                <w:kern w:val="0"/>
                <w:lang w:eastAsia="en-GB"/>
              </w:rPr>
              <w:t>High workload and time pressures in housing services.</w:t>
            </w:r>
          </w:p>
          <w:p>
            <w:pPr>
              <w:pStyle w:val="21"/>
              <w:numPr>
                <w:ilvl w:val="0"/>
                <w:numId w:val="4"/>
              </w:numPr>
              <w:rPr>
                <w:rFonts w:ascii="Arial" w:cs="Arial" w:hAnsi="Arial"/>
                <w:kern w:val="0"/>
                <w:lang w:eastAsia="en-GB"/>
              </w:rPr>
            </w:pPr>
            <w:r>
              <w:rPr>
                <w:rFonts w:ascii="Arial" w:cs="Arial" w:hAnsi="Arial"/>
                <w:kern w:val="0"/>
                <w:lang w:eastAsia="en-GB"/>
              </w:rPr>
              <w:t>Changes in housing policy or funding that may affect services.</w:t>
            </w:r>
          </w:p>
        </w:tc>
      </w:tr>
    </w:tbl>
    <w:p>
      <w:pPr>
        <w:pStyle w:val="23"/>
        <w:rPr>
          <w:rFonts w:ascii="Arial" w:cs="Arial" w:hAnsi="Arial"/>
        </w:rPr>
      </w:pPr>
      <w:r>
        <w:rPr>
          <w:rFonts w:ascii="Arial" w:cs="Arial" w:hAnsi="Arial"/>
        </w:rPr>
        <w:t xml:space="preserve">In the </w:t>
      </w:r>
      <w:r>
        <w:rPr>
          <w:rStyle w:val="24"/>
          <w:rFonts w:ascii="Arial" w:eastAsia="等线 Light" w:cs="Arial" w:hAnsi="Arial"/>
        </w:rPr>
        <w:t>Strengths</w:t>
      </w:r>
      <w:r>
        <w:rPr>
          <w:rFonts w:ascii="Arial" w:cs="Arial" w:hAnsi="Arial"/>
        </w:rPr>
        <w:t xml:space="preserve"> section of my SWOT table, I identified skills and experiences that I can bring to the role. For example, I have developed good communication skills and empathy through my work as a Healthcare Assistant and in customer service. These experiences have taught me how to understand people’s needs, provide support, and build positive relationships. My studies in Health and Social Care have also given me knowledge about safeguarding and supporting vulnerable individuals, which I know will be useful in a housing setting.</w:t>
      </w:r>
    </w:p>
    <w:p>
      <w:pPr>
        <w:pStyle w:val="23"/>
        <w:rPr>
          <w:rFonts w:ascii="Arial" w:cs="Arial" w:hAnsi="Arial"/>
        </w:rPr>
      </w:pPr>
      <w:r>
        <w:rPr>
          <w:rFonts w:ascii="Arial" w:cs="Arial" w:hAnsi="Arial"/>
        </w:rPr>
        <w:t xml:space="preserve">In the </w:t>
      </w:r>
      <w:r>
        <w:rPr>
          <w:rStyle w:val="24"/>
          <w:rFonts w:ascii="Arial" w:eastAsia="等线 Light" w:cs="Arial" w:hAnsi="Arial"/>
        </w:rPr>
        <w:t>Weaknesses</w:t>
      </w:r>
      <w:r>
        <w:rPr>
          <w:rFonts w:ascii="Arial" w:cs="Arial" w:hAnsi="Arial"/>
        </w:rPr>
        <w:t xml:space="preserve"> section, I noted areas where I need more experience or knowledge. As a graduate, I have limited direct experience working in housing services and less understanding of housing policies or legislation. I recognise that these are important areas for my development, and I plan to improve them through on-the-job training and learning from experienced colleagues.</w:t>
      </w:r>
    </w:p>
    <w:p>
      <w:pPr>
        <w:pStyle w:val="23"/>
        <w:rPr>
          <w:rFonts w:ascii="Arial" w:cs="Arial" w:hAnsi="Arial"/>
        </w:rPr>
      </w:pPr>
      <w:r>
        <w:rPr>
          <w:rFonts w:ascii="Arial" w:cs="Arial" w:hAnsi="Arial"/>
        </w:rPr>
        <w:t xml:space="preserve">The </w:t>
      </w:r>
      <w:r>
        <w:rPr>
          <w:rStyle w:val="24"/>
          <w:rFonts w:ascii="Arial" w:eastAsia="等线 Light" w:cs="Arial" w:hAnsi="Arial"/>
        </w:rPr>
        <w:t>Opportunities</w:t>
      </w:r>
      <w:r>
        <w:rPr>
          <w:rFonts w:ascii="Arial" w:cs="Arial" w:hAnsi="Arial"/>
        </w:rPr>
        <w:t xml:space="preserve"> section highlights external chances that can help me grow in the role. Housing organisations often provide training, chances to work with social services, and pathways for career progression. I see these opportunities as a way to gain specialist knowledge, improve my skills, and eventually move into more senior roles in housing.</w:t>
      </w:r>
    </w:p>
    <w:p>
      <w:pPr>
        <w:pStyle w:val="23"/>
        <w:rPr>
          <w:rFonts w:ascii="Arial" w:cs="Arial" w:hAnsi="Arial"/>
        </w:rPr>
      </w:pPr>
      <w:r>
        <w:rPr>
          <w:rFonts w:ascii="Arial" w:cs="Arial" w:hAnsi="Arial"/>
        </w:rPr>
        <w:t xml:space="preserve">Finally, in the </w:t>
      </w:r>
      <w:r>
        <w:rPr>
          <w:rStyle w:val="24"/>
          <w:rFonts w:ascii="Arial" w:eastAsia="等线 Light" w:cs="Arial" w:hAnsi="Arial"/>
        </w:rPr>
        <w:t>Threats</w:t>
      </w:r>
      <w:r>
        <w:rPr>
          <w:rFonts w:ascii="Arial" w:cs="Arial" w:hAnsi="Arial"/>
        </w:rPr>
        <w:t xml:space="preserve"> section, I considered challenges I might face. These include high demand for housing, tenants with complex needs, and busy workloads. I understand that these challenges can make the role demanding, but I also see the work as highly rewarding. By remaining organised, professional, and compassionate, I can overcome these challenges and make a positive difference for residents and the community.</w:t>
      </w:r>
    </w:p>
    <w:p>
      <w:pPr>
        <w:spacing w:before="100" w:beforeAutospacing="1" w:after="100" w:afterAutospacing="1" w:line="240" w:lineRule="auto"/>
        <w:rPr>
          <w:b/>
          <w:bCs/>
          <w:sz w:val="24"/>
          <w:szCs w:val="24"/>
        </w:rPr>
      </w:pPr>
      <w:r>
        <w:rPr>
          <w:b/>
          <w:bCs/>
          <w:sz w:val="24"/>
          <w:szCs w:val="24"/>
        </w:rPr>
        <w:t>PDP</w:t>
      </w:r>
    </w:p>
    <w:p>
      <w:pPr>
        <w:spacing w:before="100" w:beforeAutospacing="1" w:after="100" w:afterAutospacing="1" w:line="240" w:lineRule="auto"/>
        <w:rPr>
          <w:rFonts w:eastAsia="Times New Roman"/>
          <w:sz w:val="24"/>
          <w:szCs w:val="24"/>
        </w:rPr>
      </w:pPr>
      <w:r>
        <w:rPr>
          <w:rFonts w:eastAsia="Times New Roman"/>
          <w:sz w:val="24"/>
          <w:szCs w:val="24"/>
        </w:rPr>
        <w:t>A PDP helps me identify my strengths and areas to improve, set clear goals, and plan how to develop the skills needed for a graduate housing role. It supports self-reflection and continuous learning, which are important in housing and social care (Cottrell, 2019).</w:t>
      </w:r>
    </w:p>
    <w:tbl>
      <w:tblPr>
        <w:jc w:val="left"/>
        <w:tblInd w:w="-714" w:type="dxa"/>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2678"/>
        <w:gridCol w:w="2259"/>
        <w:gridCol w:w="2064"/>
        <w:gridCol w:w="3489"/>
      </w:tblGrid>
      <w:tr>
        <w:tc>
          <w:tcPr>
            <w:tcW w:w="2678"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Goal</w:t>
            </w:r>
          </w:p>
        </w:tc>
        <w:tc>
          <w:tcPr/>
          <w:p>
            <w:pPr>
              <w:jc w:val="center"/>
              <w:rPr>
                <w:rFonts w:ascii="Arial" w:eastAsia="Times New Roman" w:cs="Arial" w:hAnsi="Arial"/>
                <w:b/>
                <w:bCs/>
                <w:kern w:val="0"/>
                <w:lang w:eastAsia="en-GB"/>
              </w:rPr>
            </w:pPr>
            <w:r>
              <w:rPr>
                <w:rFonts w:ascii="Arial" w:eastAsia="Times New Roman" w:cs="Arial" w:hAnsi="Arial"/>
                <w:b/>
                <w:bCs/>
                <w:kern w:val="0"/>
                <w:lang w:eastAsia="en-GB"/>
              </w:rPr>
              <w:t>SMART Description</w:t>
            </w:r>
          </w:p>
        </w:tc>
        <w:tc>
          <w:tcPr/>
          <w:p>
            <w:pPr>
              <w:jc w:val="center"/>
              <w:rPr>
                <w:rFonts w:ascii="Arial" w:eastAsia="Times New Roman" w:cs="Arial" w:hAnsi="Arial"/>
                <w:b/>
                <w:bCs/>
                <w:kern w:val="0"/>
                <w:lang w:eastAsia="en-GB"/>
              </w:rPr>
            </w:pPr>
            <w:r>
              <w:rPr>
                <w:rFonts w:ascii="Arial" w:eastAsia="Times New Roman" w:cs="Arial" w:hAnsi="Arial"/>
                <w:b/>
                <w:bCs/>
                <w:kern w:val="0"/>
                <w:lang w:eastAsia="en-GB"/>
              </w:rPr>
              <w:t>Importance</w:t>
            </w:r>
          </w:p>
        </w:tc>
        <w:tc>
          <w:tcPr>
            <w:tcW w:w="3489" w:type="dxa"/>
          </w:tcPr>
          <w:p>
            <w:pPr>
              <w:jc w:val="center"/>
              <w:rPr>
                <w:rFonts w:ascii="Arial" w:eastAsia="Times New Roman" w:cs="Arial" w:hAnsi="Arial"/>
                <w:b/>
                <w:bCs/>
                <w:kern w:val="0"/>
                <w:lang w:eastAsia="en-GB"/>
              </w:rPr>
            </w:pPr>
            <w:r>
              <w:rPr>
                <w:rFonts w:ascii="Arial" w:eastAsia="Times New Roman" w:cs="Arial" w:hAnsi="Arial"/>
                <w:b/>
                <w:bCs/>
                <w:kern w:val="0"/>
                <w:lang w:eastAsia="en-GB"/>
              </w:rPr>
              <w:t>Development&amp;Evaluation</w:t>
            </w:r>
          </w:p>
        </w:tc>
      </w:tr>
      <w:tr>
        <w:tc>
          <w:tcPr>
            <w:tcW w:w="2678" w:type="dxa"/>
          </w:tcPr>
          <w:p>
            <w:pPr>
              <w:rPr>
                <w:rFonts w:ascii="Arial" w:eastAsia="Times New Roman" w:cs="Arial" w:hAnsi="Arial"/>
                <w:kern w:val="0"/>
                <w:lang w:eastAsia="en-GB"/>
              </w:rPr>
            </w:pPr>
            <w:r>
              <w:rPr>
                <w:rFonts w:ascii="Arial" w:eastAsia="Times New Roman" w:cs="Arial" w:hAnsi="Arial"/>
                <w:kern w:val="0"/>
                <w:lang w:eastAsia="en-GB"/>
              </w:rPr>
              <w:t>1. Improve knowledge of housing policies</w:t>
            </w:r>
          </w:p>
        </w:tc>
        <w:tc>
          <w:tcPr/>
          <w:p>
            <w:pPr>
              <w:rPr>
                <w:rFonts w:ascii="Arial" w:eastAsia="Times New Roman" w:cs="Arial" w:hAnsi="Arial"/>
                <w:kern w:val="0"/>
                <w:lang w:eastAsia="en-GB"/>
              </w:rPr>
            </w:pPr>
            <w:r>
              <w:rPr>
                <w:rFonts w:ascii="Arial" w:eastAsia="Times New Roman" w:cs="Arial" w:hAnsi="Arial"/>
                <w:kern w:val="0"/>
                <w:lang w:eastAsia="en-GB"/>
              </w:rPr>
              <w:t>By Dec 2026, complete 2 online courses and read guidance on housing law and tenancy agreements.</w:t>
            </w:r>
          </w:p>
        </w:tc>
        <w:tc>
          <w:tcPr/>
          <w:p>
            <w:pPr>
              <w:rPr>
                <w:rFonts w:ascii="Arial" w:eastAsia="Times New Roman" w:cs="Arial" w:hAnsi="Arial"/>
                <w:kern w:val="0"/>
                <w:lang w:eastAsia="en-GB"/>
              </w:rPr>
            </w:pPr>
            <w:r>
              <w:rPr>
                <w:rFonts w:ascii="Arial" w:eastAsia="Times New Roman" w:cs="Arial" w:hAnsi="Arial"/>
                <w:kern w:val="0"/>
                <w:lang w:eastAsia="en-GB"/>
              </w:rPr>
              <w:t>Understanding rules ensures I support tenants correctly and make informed decisions.</w:t>
            </w:r>
          </w:p>
        </w:tc>
        <w:tc>
          <w:tcPr>
            <w:tcW w:w="3489" w:type="dxa"/>
          </w:tcPr>
          <w:p>
            <w:pPr>
              <w:rPr>
                <w:rFonts w:ascii="Arial" w:eastAsia="Times New Roman" w:cs="Arial" w:hAnsi="Arial"/>
                <w:kern w:val="0"/>
                <w:lang w:eastAsia="en-GB"/>
              </w:rPr>
            </w:pPr>
            <w:r>
              <w:rPr>
                <w:rFonts w:ascii="Arial" w:eastAsia="Times New Roman" w:cs="Arial" w:hAnsi="Arial"/>
                <w:kern w:val="0"/>
                <w:lang w:eastAsia="en-GB"/>
              </w:rPr>
              <w:t>Study online courses, read guidance from Shelter and local councils, and discuss key points with a mentor. Evaluate by completing courses and applying knowledge in tasks.</w:t>
            </w:r>
          </w:p>
        </w:tc>
      </w:tr>
      <w:tr>
        <w:tc>
          <w:tcPr>
            <w:tcW w:w="2678" w:type="dxa"/>
          </w:tcPr>
          <w:p>
            <w:pPr>
              <w:rPr>
                <w:rFonts w:ascii="Arial" w:eastAsia="Times New Roman" w:cs="Arial" w:hAnsi="Arial"/>
                <w:kern w:val="0"/>
                <w:lang w:eastAsia="en-GB"/>
              </w:rPr>
            </w:pPr>
            <w:r>
              <w:rPr>
                <w:rFonts w:ascii="Arial" w:eastAsia="Times New Roman" w:cs="Arial" w:hAnsi="Arial"/>
                <w:kern w:val="0"/>
                <w:lang w:eastAsia="en-GB"/>
              </w:rPr>
              <w:t>2. Develop case management skills</w:t>
            </w:r>
          </w:p>
        </w:tc>
        <w:tc>
          <w:tcPr/>
          <w:p>
            <w:pPr>
              <w:rPr>
                <w:rFonts w:ascii="Arial" w:eastAsia="Times New Roman" w:cs="Arial" w:hAnsi="Arial"/>
                <w:kern w:val="0"/>
                <w:lang w:eastAsia="en-GB"/>
              </w:rPr>
            </w:pPr>
            <w:r>
              <w:rPr>
                <w:rFonts w:ascii="Arial" w:eastAsia="Times New Roman" w:cs="Arial" w:hAnsi="Arial"/>
                <w:kern w:val="0"/>
                <w:lang w:eastAsia="en-GB"/>
              </w:rPr>
              <w:t>By June 2027, practise managing tenant cases and record keeping using case studies and training.</w:t>
            </w:r>
          </w:p>
        </w:tc>
        <w:tc>
          <w:tcPr/>
          <w:p>
            <w:pPr>
              <w:rPr>
                <w:rFonts w:ascii="Arial" w:eastAsia="Times New Roman" w:cs="Arial" w:hAnsi="Arial"/>
                <w:kern w:val="0"/>
                <w:lang w:eastAsia="en-GB"/>
              </w:rPr>
            </w:pPr>
            <w:r>
              <w:rPr>
                <w:rFonts w:ascii="Arial" w:eastAsia="Times New Roman" w:cs="Arial" w:hAnsi="Arial"/>
                <w:kern w:val="0"/>
                <w:lang w:eastAsia="en-GB"/>
              </w:rPr>
              <w:t>Good organisation and accurate records help manage multiple tenants safely and efficiently.</w:t>
            </w:r>
          </w:p>
        </w:tc>
        <w:tc>
          <w:tcPr>
            <w:tcW w:w="3489" w:type="dxa"/>
          </w:tcPr>
          <w:p>
            <w:pPr>
              <w:rPr>
                <w:rFonts w:ascii="Arial" w:eastAsia="Times New Roman" w:cs="Arial" w:hAnsi="Arial"/>
                <w:kern w:val="0"/>
                <w:lang w:eastAsia="en-GB"/>
              </w:rPr>
            </w:pPr>
            <w:r>
              <w:rPr>
                <w:rFonts w:ascii="Arial" w:eastAsia="Times New Roman" w:cs="Arial" w:hAnsi="Arial"/>
                <w:kern w:val="0"/>
                <w:lang w:eastAsia="en-GB"/>
              </w:rPr>
              <w:t>Use sample case studies, attend training, and get feedback from supervisors. Review progress every 3 months.</w:t>
            </w:r>
          </w:p>
        </w:tc>
      </w:tr>
      <w:tr>
        <w:tc>
          <w:tcPr>
            <w:tcW w:w="2678" w:type="dxa"/>
          </w:tcPr>
          <w:p>
            <w:pPr>
              <w:rPr>
                <w:rFonts w:ascii="Arial" w:eastAsia="Times New Roman" w:cs="Arial" w:hAnsi="Arial"/>
                <w:kern w:val="0"/>
                <w:lang w:eastAsia="en-GB"/>
              </w:rPr>
            </w:pPr>
            <w:r>
              <w:rPr>
                <w:rFonts w:ascii="Arial" w:eastAsia="Times New Roman" w:cs="Arial" w:hAnsi="Arial"/>
                <w:kern w:val="0"/>
                <w:lang w:eastAsia="en-GB"/>
              </w:rPr>
              <w:t>3. Enhance communication and conflict resolution</w:t>
            </w:r>
          </w:p>
        </w:tc>
        <w:tc>
          <w:tcPr/>
          <w:p>
            <w:pPr>
              <w:rPr>
                <w:rFonts w:ascii="Arial" w:eastAsia="Times New Roman" w:cs="Arial" w:hAnsi="Arial"/>
                <w:kern w:val="0"/>
                <w:lang w:eastAsia="en-GB"/>
              </w:rPr>
            </w:pPr>
            <w:r>
              <w:rPr>
                <w:rFonts w:ascii="Arial" w:eastAsia="Times New Roman" w:cs="Arial" w:hAnsi="Arial"/>
                <w:kern w:val="0"/>
                <w:lang w:eastAsia="en-GB"/>
              </w:rPr>
              <w:t>By Dec 2027, improve skills through workshops, shadowing staff, and reflecting on experiences.</w:t>
            </w:r>
          </w:p>
        </w:tc>
        <w:tc>
          <w:tcPr/>
          <w:p>
            <w:pPr>
              <w:rPr>
                <w:rFonts w:ascii="Arial" w:eastAsia="Times New Roman" w:cs="Arial" w:hAnsi="Arial"/>
                <w:kern w:val="0"/>
                <w:lang w:eastAsia="en-GB"/>
              </w:rPr>
            </w:pPr>
            <w:r>
              <w:rPr>
                <w:rFonts w:ascii="Arial" w:eastAsia="Times New Roman" w:cs="Arial" w:hAnsi="Arial"/>
                <w:kern w:val="0"/>
                <w:lang w:eastAsia="en-GB"/>
              </w:rPr>
              <w:t>Effective communication helps build trust with tenants and resolve disputes professionally.</w:t>
            </w:r>
          </w:p>
        </w:tc>
        <w:tc>
          <w:tcPr>
            <w:tcW w:w="3489" w:type="dxa"/>
          </w:tcPr>
          <w:p>
            <w:pPr>
              <w:rPr>
                <w:rFonts w:ascii="Arial" w:eastAsia="Times New Roman" w:cs="Arial" w:hAnsi="Arial"/>
                <w:kern w:val="0"/>
                <w:lang w:eastAsia="en-GB"/>
              </w:rPr>
            </w:pPr>
            <w:r>
              <w:rPr>
                <w:rFonts w:ascii="Arial" w:eastAsia="Times New Roman" w:cs="Arial" w:hAnsi="Arial"/>
                <w:kern w:val="0"/>
                <w:lang w:eastAsia="en-GB"/>
              </w:rPr>
              <w:t>Attend workshops, shadow experienced staff, and keep a reflective journal. Monitor improvement through supervisor feedback.</w:t>
            </w:r>
          </w:p>
        </w:tc>
      </w:tr>
    </w:tbl>
    <w:p>
      <w:pPr>
        <w:spacing w:before="100" w:beforeAutospacing="1" w:after="100" w:afterAutospacing="1" w:line="240" w:lineRule="auto"/>
        <w:rPr>
          <w:rFonts w:eastAsia="Times New Roman"/>
          <w:b/>
          <w:bCs/>
        </w:rPr>
      </w:pPr>
    </w:p>
    <w:p>
      <w:pPr>
        <w:spacing w:before="100" w:beforeAutospacing="1" w:after="100" w:afterAutospacing="1" w:line="240" w:lineRule="auto"/>
        <w:rPr>
          <w:rFonts w:eastAsia="Times New Roman"/>
          <w:b/>
          <w:bCs/>
        </w:rPr>
      </w:pPr>
    </w:p>
    <w:p>
      <w:pPr>
        <w:spacing w:before="100" w:beforeAutospacing="1" w:after="100" w:afterAutospacing="1" w:line="240" w:lineRule="auto"/>
        <w:rPr>
          <w:rFonts w:eastAsia="Times New Roman"/>
          <w:b/>
          <w:bCs/>
        </w:rPr>
      </w:pPr>
    </w:p>
    <w:p>
      <w:pPr>
        <w:spacing w:before="100" w:beforeAutospacing="1" w:after="100" w:afterAutospacing="1" w:line="240" w:lineRule="auto"/>
        <w:rPr>
          <w:rFonts w:eastAsia="Times New Roman"/>
        </w:rPr>
      </w:pPr>
      <w:r>
        <w:rPr>
          <w:rFonts w:eastAsia="Times New Roman"/>
        </w:rPr>
        <w:t>Summary</w:t>
      </w:r>
    </w:p>
    <w:p>
      <w:pPr>
        <w:pStyle w:val="23"/>
        <w:rPr>
          <w:rFonts w:ascii="Arial" w:cs="Arial" w:hAnsi="Arial"/>
        </w:rPr>
      </w:pPr>
      <w:r>
        <w:rPr>
          <w:rFonts w:ascii="Arial" w:cs="Arial" w:hAnsi="Arial"/>
        </w:rPr>
        <w:t>My PDP focuses on developing three key areas that are vital for a graduate housing role. First, improving my knowledge of housing policies and legislation will help me understand tenancy agreements, legal responsibilities, and best practices when supporting tenants. This ensures I provide accurate information and make informed decisions.</w:t>
      </w:r>
    </w:p>
    <w:p>
      <w:pPr>
        <w:pStyle w:val="23"/>
        <w:rPr>
          <w:rFonts w:ascii="Arial" w:cs="Arial" w:hAnsi="Arial"/>
        </w:rPr>
      </w:pPr>
      <w:r>
        <w:rPr>
          <w:rFonts w:ascii="Arial" w:cs="Arial" w:hAnsi="Arial"/>
        </w:rPr>
        <w:t>Second, developing case management and record-keeping skills will allow me to organise tenant information, manage workloads effectively, and maintain accurate records. These skills are essential for safeguarding, accountability, and delivering quality services.</w:t>
      </w:r>
    </w:p>
    <w:p>
      <w:pPr>
        <w:pStyle w:val="23"/>
        <w:rPr>
          <w:rFonts w:ascii="Arial" w:cs="Arial" w:hAnsi="Arial"/>
        </w:rPr>
      </w:pPr>
      <w:r>
        <w:rPr>
          <w:rFonts w:ascii="Arial" w:cs="Arial" w:hAnsi="Arial"/>
        </w:rPr>
        <w:t>Finally, enhancing communication and conflict resolution skills is crucial because housing roles often involve interacting with tenants who may be experiencing difficult situations. Being able to listen, respond appropriately, and manage disputes calmly will help me build trust and resolve problems professionally.</w:t>
      </w:r>
    </w:p>
    <w:p>
      <w:pPr>
        <w:pStyle w:val="23"/>
        <w:rPr>
          <w:rFonts w:ascii="Arial" w:cs="Arial" w:hAnsi="Arial"/>
        </w:rPr>
      </w:pPr>
      <w:r>
        <w:rPr>
          <w:rFonts w:ascii="Arial" w:cs="Arial" w:hAnsi="Arial"/>
        </w:rPr>
        <w:t>By setting SMART goals and outlining development and evaluation strategies, I can monitor my progress over the next two years and ensure I am prepared to succeed in a graduate housing role.</w:t>
      </w:r>
      <w:r>
        <w:rPr>
          <w:b/>
          <w:bCs/>
        </w:rPr>
        <w:br w:type="page"/>
      </w:r>
    </w:p>
    <w:p>
      <w:pPr>
        <w:pStyle w:val="22"/>
        <w:rPr>
          <w:rFonts w:ascii="Arial" w:cs="Arial" w:hAnsi="Arial"/>
          <w:b/>
          <w:bCs/>
        </w:rPr>
      </w:pPr>
      <w:r>
        <w:rPr>
          <w:rFonts w:ascii="Arial" w:cs="Arial" w:hAnsi="Arial"/>
          <w:b/>
          <w:bCs/>
        </w:rPr>
        <w:t>Task 4 of 4 - Reflection</w:t>
      </w:r>
    </w:p>
    <w:p>
      <w:pPr>
        <w:pStyle w:val="22"/>
        <w:rPr>
          <w:rFonts w:ascii="Arial" w:cs="Arial" w:hAnsi="Arial"/>
        </w:rPr>
      </w:pPr>
    </w:p>
    <w:p>
      <w:pPr>
        <w:spacing w:before="100" w:beforeAutospacing="1" w:after="100" w:afterAutospacing="1" w:line="240" w:lineRule="auto"/>
        <w:rPr>
          <w:rFonts w:eastAsia="Times New Roman"/>
          <w:b/>
          <w:bCs/>
          <w:sz w:val="24"/>
          <w:szCs w:val="24"/>
        </w:rPr>
      </w:pPr>
      <w:r>
        <w:rPr>
          <w:rFonts w:eastAsia="Times New Roman"/>
          <w:b/>
          <w:bCs/>
          <w:sz w:val="24"/>
          <w:szCs w:val="24"/>
        </w:rPr>
        <w:t>Introduction</w:t>
      </w:r>
    </w:p>
    <w:p>
      <w:pPr>
        <w:spacing w:before="100" w:beforeAutospacing="1" w:after="100" w:afterAutospacing="1" w:line="240" w:lineRule="auto"/>
        <w:rPr>
          <w:rFonts w:eastAsia="Times New Roman"/>
          <w:sz w:val="24"/>
          <w:szCs w:val="24"/>
        </w:rPr>
      </w:pPr>
      <w:r>
        <w:rPr>
          <w:sz w:val="24"/>
          <w:szCs w:val="24"/>
        </w:rPr>
        <w:t xml:space="preserve">The purpose of this reflection is to explore my thoughts, feelings, and performance during the presentation, as well as to identify areas for improvement. To structure this reflection, I have used </w:t>
      </w:r>
      <w:r>
        <w:rPr>
          <w:rStyle w:val="24"/>
          <w:b w:val="0"/>
          <w:bCs w:val="0"/>
          <w:sz w:val="24"/>
          <w:szCs w:val="24"/>
        </w:rPr>
        <w:t>Gibbs’ reflective cycle (1988)</w:t>
      </w:r>
      <w:r>
        <w:rPr>
          <w:b/>
          <w:bCs/>
          <w:sz w:val="24"/>
          <w:szCs w:val="24"/>
        </w:rPr>
        <w:t xml:space="preserve">, </w:t>
      </w:r>
      <w:r>
        <w:rPr>
          <w:sz w:val="24"/>
          <w:szCs w:val="24"/>
        </w:rPr>
        <w:t>which guides reflection through six stages: description, feelings, evaluation, analysis, conclusion, and action plan.</w:t>
      </w:r>
    </w:p>
    <w:p>
      <w:pPr>
        <w:spacing w:before="100" w:beforeAutospacing="1" w:after="100" w:afterAutospacing="1"/>
      </w:pPr>
      <w:r>
        <w:rPr>
          <w:rFonts w:eastAsia="Times New Roman"/>
          <w:b/>
          <w:bCs/>
          <w:sz w:val="24"/>
          <w:szCs w:val="24"/>
        </w:rPr>
        <w:t>Description</w:t>
      </w:r>
      <w:r>
        <w:rPr>
          <w:rFonts w:eastAsia="Times New Roman"/>
          <w:sz w:val="24"/>
          <w:szCs w:val="24"/>
        </w:rPr>
        <w:br/>
        <w:t>For my LCHS4009 Component 1 assessment, I chose to present on communication as an important skill in health and social care. My presentation was five minutes long and included a definition of communication, why it is important in professional practice, and an example of how it can be applied in a care setting. I explained that effective communication with service users can help to make them feel heard and for them to have a better understanding of their care and it can also help to support teamwork with colleagues and reduce any misunderstandings and clinical errors (</w:t>
      </w:r>
      <w:r>
        <w:rPr>
          <w:lang w:val="en-US"/>
        </w:rPr>
        <w:t>Kourkouta et al., 2014).</w:t>
      </w:r>
      <w:r>
        <w:rPr>
          <w:b/>
          <w:bCs/>
          <w:lang w:val="en-US"/>
        </w:rPr>
        <w:t xml:space="preserve"> </w:t>
      </w:r>
    </w:p>
    <w:p>
      <w:pPr>
        <w:spacing w:before="100" w:beforeAutospacing="1" w:after="100" w:afterAutospacing="1" w:line="240" w:lineRule="auto"/>
        <w:rPr>
          <w:rFonts w:eastAsia="Times New Roman"/>
          <w:sz w:val="24"/>
          <w:szCs w:val="24"/>
        </w:rPr>
      </w:pPr>
      <w:r>
        <w:rPr>
          <w:rFonts w:eastAsia="Times New Roman"/>
          <w:b/>
          <w:bCs/>
          <w:sz w:val="24"/>
          <w:szCs w:val="24"/>
        </w:rPr>
        <w:t>Feelings</w:t>
      </w:r>
      <w:r>
        <w:rPr>
          <w:rFonts w:eastAsia="Times New Roman"/>
          <w:sz w:val="24"/>
          <w:szCs w:val="24"/>
        </w:rPr>
        <w:br/>
        <w:t>Before the presentation, I felt nervous because I was aware of the short time and the need to explain my points clearly. I was also excited to share my ideas because critical thinking is a skill I value. During the presentation, I felt more confident when I explained the practical example, but I noticed I spoke quickly when covering the theory. After finishing, I felt relieved but reflective, as I realised there were areas I could improve.</w:t>
      </w:r>
    </w:p>
    <w:p>
      <w:pPr>
        <w:spacing w:before="100" w:beforeAutospacing="1" w:after="100" w:afterAutospacing="1" w:line="240" w:lineRule="auto"/>
        <w:rPr>
          <w:rFonts w:eastAsia="Times New Roman"/>
          <w:sz w:val="24"/>
          <w:szCs w:val="24"/>
        </w:rPr>
      </w:pPr>
      <w:r>
        <w:rPr>
          <w:rFonts w:eastAsia="Times New Roman"/>
          <w:b/>
          <w:bCs/>
          <w:sz w:val="24"/>
          <w:szCs w:val="24"/>
        </w:rPr>
        <w:t>Evaluation</w:t>
      </w:r>
      <w:r>
        <w:rPr>
          <w:rFonts w:eastAsia="Times New Roman"/>
          <w:sz w:val="24"/>
          <w:szCs w:val="24"/>
        </w:rPr>
        <w:br/>
        <w:t>There were many positives in my presentation. The practical example was well understood, and I could show how theory links to real practice. The lecturer said my structure was clear and my example made the skill easy to relate to a care setting. However, the feedback highlighted that I spoke too fast in some parts and could have involved the audience more, for example by asking short questions. Using more visual aids could also have helped explain theory.</w:t>
      </w:r>
    </w:p>
    <w:p>
      <w:pPr>
        <w:spacing w:before="100" w:beforeAutospacing="1" w:after="100" w:afterAutospacing="1" w:line="240" w:lineRule="auto"/>
        <w:rPr>
          <w:rFonts w:eastAsia="Times New Roman"/>
          <w:sz w:val="24"/>
          <w:szCs w:val="24"/>
        </w:rPr>
      </w:pPr>
      <w:r>
        <w:rPr>
          <w:rFonts w:eastAsia="Times New Roman"/>
          <w:b/>
          <w:bCs/>
          <w:sz w:val="24"/>
          <w:szCs w:val="24"/>
        </w:rPr>
        <w:t>Analysis</w:t>
      </w:r>
      <w:r>
        <w:rPr>
          <w:rFonts w:eastAsia="Times New Roman"/>
          <w:sz w:val="24"/>
          <w:szCs w:val="24"/>
        </w:rPr>
        <w:br/>
        <w:t>Good communication is important in health and social care because it make sure that the accurate information is shared on time, thus reducing errors and supporting safe decision making.  According to O’Daniel and Rosenstein (2008), it also help when it comes to improving patient’s understanding of their illness, their engagement and their overall quality of care.</w:t>
      </w:r>
    </w:p>
    <w:p>
      <w:pPr>
        <w:spacing w:before="100" w:beforeAutospacing="1" w:after="100" w:afterAutospacing="1" w:line="240" w:lineRule="auto"/>
        <w:rPr>
          <w:rFonts w:eastAsia="Times New Roman"/>
          <w:sz w:val="24"/>
          <w:szCs w:val="24"/>
        </w:rPr>
      </w:pPr>
      <w:r>
        <w:rPr>
          <w:rFonts w:eastAsia="Times New Roman"/>
          <w:sz w:val="24"/>
          <w:szCs w:val="24"/>
          <w:lang w:val="en-US"/>
        </w:rPr>
        <w:t>Good communication helps ensure the right information is shared at the right time, reducing errors and supporting safe decision-making. It improves patient understanding, engagement, and overall care quality (O’Daniel&amp;Rosenstein, 2008).</w:t>
      </w:r>
      <w:r>
        <w:rPr>
          <w:rFonts w:eastAsia="Times New Roman"/>
          <w:sz w:val="24"/>
          <w:szCs w:val="24"/>
        </w:rPr>
        <w:t xml:space="preserve"> My presentation showed this skill through the example, but I realised explaining theory in simple terms is also important. The lecturer’s feedback helped me see that keeping the audience engaged and pacing my speaking are key to effective communication. I also noticed that nervousness affected my delivery, which could make my points less clear.</w:t>
      </w:r>
    </w:p>
    <w:p>
      <w:pPr>
        <w:spacing w:before="100" w:beforeAutospacing="1" w:after="100" w:afterAutospacing="1" w:line="240" w:lineRule="auto"/>
        <w:rPr>
          <w:rFonts w:eastAsia="Times New Roman"/>
          <w:sz w:val="24"/>
          <w:szCs w:val="24"/>
        </w:rPr>
      </w:pPr>
      <w:r>
        <w:rPr>
          <w:rFonts w:eastAsia="Times New Roman"/>
          <w:b/>
          <w:bCs/>
          <w:sz w:val="24"/>
          <w:szCs w:val="24"/>
        </w:rPr>
        <w:t>Conclusion</w:t>
      </w:r>
      <w:r>
        <w:rPr>
          <w:rFonts w:eastAsia="Times New Roman"/>
          <w:sz w:val="24"/>
          <w:szCs w:val="24"/>
        </w:rPr>
        <w:br/>
        <w:t>Overall, this presentation helped me gain confidence in linking theory to practice and improved my understanding of presenting complex ideas. I also learned that I need to work on pacing, audience interaction, and using visual aids to make my points clearer.</w:t>
      </w:r>
    </w:p>
    <w:p>
      <w:pPr>
        <w:spacing w:before="100" w:beforeAutospacing="1" w:after="100" w:afterAutospacing="1" w:line="240" w:lineRule="auto"/>
        <w:rPr>
          <w:rFonts w:eastAsia="Times New Roman"/>
          <w:sz w:val="24"/>
          <w:szCs w:val="24"/>
        </w:rPr>
      </w:pPr>
      <w:r>
        <w:rPr>
          <w:rFonts w:eastAsia="Times New Roman"/>
          <w:b/>
          <w:bCs/>
          <w:sz w:val="24"/>
          <w:szCs w:val="24"/>
        </w:rPr>
        <w:t>Action Plan</w:t>
      </w:r>
      <w:r>
        <w:rPr>
          <w:rFonts w:eastAsia="Times New Roman"/>
          <w:sz w:val="24"/>
          <w:szCs w:val="24"/>
        </w:rPr>
        <w:br/>
        <w:t>To improve, I will rehearse more before future presentations, focusing on timing and clear speech. I will practise speaking more slowly, pausing to emphasise key points, and include questions to engage the audience. I will also prepare simple visual aids to support my points. Asking for feedback from peers or tutors before presenting will help me improve. These steps will help me develop my confidence, communication, and overall presentation skills for future assessments and professional practice.</w:t>
      </w:r>
    </w:p>
    <w:p>
      <w:pPr>
        <w:spacing w:before="100" w:beforeAutospacing="1" w:after="100" w:afterAutospacing="1" w:line="240" w:lineRule="auto"/>
        <w:rPr>
          <w:rFonts w:eastAsia="Times New Roman"/>
          <w:sz w:val="24"/>
          <w:szCs w:val="24"/>
        </w:rPr>
      </w:pPr>
    </w:p>
    <w:p>
      <w:pPr>
        <w:suppressAutoHyphens w:val="0"/>
        <w:rPr>
          <w:rFonts w:eastAsia="Times New Roman"/>
          <w:sz w:val="24"/>
          <w:szCs w:val="24"/>
        </w:rPr>
      </w:pPr>
      <w:r>
        <w:rPr>
          <w:rFonts w:eastAsia="Times New Roman"/>
          <w:sz w:val="24"/>
          <w:szCs w:val="24"/>
        </w:rPr>
        <w:br w:type="page"/>
      </w:r>
    </w:p>
    <w:p>
      <w:pPr>
        <w:spacing w:before="100" w:beforeAutospacing="1" w:after="100" w:afterAutospacing="1" w:line="240" w:lineRule="auto"/>
        <w:rPr>
          <w:rFonts w:eastAsia="Times New Roman"/>
          <w:sz w:val="24"/>
          <w:szCs w:val="24"/>
        </w:rPr>
      </w:pPr>
      <w:r>
        <w:rPr>
          <w:rFonts w:eastAsia="Times New Roman"/>
          <w:sz w:val="24"/>
          <w:szCs w:val="24"/>
        </w:rPr>
        <w:t>REFERENCES</w:t>
      </w:r>
    </w:p>
    <w:p>
      <w:pPr>
        <w:spacing w:before="100" w:beforeAutospacing="1" w:after="100" w:afterAutospacing="1" w:line="240" w:lineRule="auto"/>
        <w:rPr>
          <w:rFonts w:eastAsia="Times New Roman"/>
          <w:sz w:val="24"/>
          <w:szCs w:val="24"/>
        </w:rPr>
      </w:pPr>
      <w:r>
        <w:rPr>
          <w:rFonts w:eastAsia="Times New Roman"/>
          <w:sz w:val="24"/>
          <w:szCs w:val="24"/>
        </w:rPr>
        <w:t xml:space="preserve">Cottrell, S. (2019). </w:t>
      </w:r>
      <w:r>
        <w:rPr>
          <w:rFonts w:eastAsia="Times New Roman"/>
          <w:i/>
          <w:iCs/>
          <w:sz w:val="24"/>
          <w:szCs w:val="24"/>
        </w:rPr>
        <w:t>The study skills handbook</w:t>
      </w:r>
      <w:r>
        <w:rPr>
          <w:rFonts w:eastAsia="Times New Roman"/>
          <w:sz w:val="24"/>
          <w:szCs w:val="24"/>
        </w:rPr>
        <w:t xml:space="preserve"> (5th ed.). Red Globe Press.</w:t>
      </w:r>
    </w:p>
    <w:p>
      <w:pPr>
        <w:spacing w:before="100" w:beforeAutospacing="1" w:after="100" w:afterAutospacing="1" w:line="240" w:lineRule="auto"/>
        <w:rPr>
          <w:rFonts w:eastAsia="Times New Roman"/>
          <w:sz w:val="24"/>
          <w:szCs w:val="24"/>
        </w:rPr>
      </w:pPr>
      <w:r>
        <w:rPr>
          <w:rFonts w:eastAsia="Times New Roman"/>
          <w:sz w:val="24"/>
          <w:szCs w:val="24"/>
        </w:rPr>
        <w:t xml:space="preserve">Facione, P. A. (2015). </w:t>
      </w:r>
      <w:r>
        <w:rPr>
          <w:rFonts w:eastAsia="Times New Roman"/>
          <w:i/>
          <w:iCs/>
          <w:sz w:val="24"/>
          <w:szCs w:val="24"/>
        </w:rPr>
        <w:t>Critical thinking: What it is and why it counts</w:t>
      </w:r>
      <w:r>
        <w:rPr>
          <w:rFonts w:eastAsia="Times New Roman"/>
          <w:sz w:val="24"/>
          <w:szCs w:val="24"/>
        </w:rPr>
        <w:t>. Insight Assessment.</w:t>
      </w:r>
    </w:p>
    <w:p>
      <w:pPr>
        <w:spacing w:before="100" w:beforeAutospacing="1" w:after="100" w:afterAutospacing="1" w:line="240" w:lineRule="auto"/>
        <w:rPr>
          <w:rFonts w:eastAsia="Times New Roman"/>
          <w:sz w:val="24"/>
          <w:szCs w:val="24"/>
        </w:rPr>
      </w:pPr>
      <w:r>
        <w:rPr>
          <w:rFonts w:eastAsia="Times New Roman"/>
          <w:sz w:val="24"/>
          <w:szCs w:val="24"/>
        </w:rPr>
        <w:t xml:space="preserve">Gibbs, G. (1988). </w:t>
      </w:r>
      <w:r>
        <w:rPr>
          <w:rFonts w:eastAsia="Times New Roman"/>
          <w:i/>
          <w:iCs/>
          <w:sz w:val="24"/>
          <w:szCs w:val="24"/>
        </w:rPr>
        <w:t>Learning by doing: A guide to teaching and learning methods</w:t>
      </w:r>
      <w:r>
        <w:rPr>
          <w:rFonts w:eastAsia="Times New Roman"/>
          <w:sz w:val="24"/>
          <w:szCs w:val="24"/>
        </w:rPr>
        <w:t>. Oxford Polytechnic.</w:t>
      </w:r>
    </w:p>
    <w:p>
      <w:pPr>
        <w:pStyle w:val="22"/>
        <w:rPr>
          <w:rFonts w:ascii="Arial" w:cs="Arial" w:hAnsi="Arial"/>
        </w:rPr>
      </w:pPr>
      <w:r>
        <w:rPr>
          <w:rFonts w:ascii="Arial" w:cs="Arial" w:hAnsi="Arial"/>
        </w:rPr>
        <w:t xml:space="preserve">Gürel, E., &amp; Tat, M. (2017). SWOT analysis: A theoretical review. </w:t>
      </w:r>
      <w:r>
        <w:rPr>
          <w:rStyle w:val="25"/>
          <w:rFonts w:ascii="Arial" w:cs="Arial" w:hAnsi="Arial"/>
        </w:rPr>
        <w:t>Journal of International Social Research, 10</w:t>
      </w:r>
      <w:r>
        <w:rPr>
          <w:rFonts w:ascii="Arial" w:cs="Arial" w:hAnsi="Arial"/>
        </w:rPr>
        <w:t>(51), 994–1006.</w:t>
      </w:r>
    </w:p>
    <w:p>
      <w:pPr>
        <w:suppressAutoHyphens w:val="0"/>
      </w:pPr>
    </w:p>
    <w:p>
      <w:pPr>
        <w:suppressAutoHyphens w:val="0"/>
        <w:rPr>
          <w:rFonts w:eastAsia="Droid Sans"/>
          <w:kern w:val="2"/>
          <w:sz w:val="24"/>
          <w:szCs w:val="24"/>
          <w:lang w:eastAsia="en-US"/>
        </w:rPr>
      </w:pPr>
      <w:r>
        <w:rPr>
          <w:rFonts w:eastAsia="Droid Sans"/>
          <w:kern w:val="2"/>
          <w:sz w:val="24"/>
          <w:szCs w:val="24"/>
          <w:lang w:val="en-US" w:eastAsia="en-US"/>
        </w:rPr>
        <w:t>Kourkouta, L.,&amp;Papathanasiou, I. V. (2014). Communication in nursing practice. </w:t>
      </w:r>
      <w:r>
        <w:rPr>
          <w:rFonts w:eastAsia="Droid Sans"/>
          <w:i/>
          <w:iCs/>
          <w:kern w:val="2"/>
          <w:sz w:val="24"/>
          <w:szCs w:val="24"/>
          <w:lang w:val="en-US" w:eastAsia="en-US"/>
        </w:rPr>
        <w:t>Materia socio-medica</w:t>
      </w:r>
      <w:r>
        <w:rPr>
          <w:rFonts w:eastAsia="Droid Sans"/>
          <w:kern w:val="2"/>
          <w:sz w:val="24"/>
          <w:szCs w:val="24"/>
          <w:lang w:val="en-US" w:eastAsia="en-US"/>
        </w:rPr>
        <w:t>, </w:t>
      </w:r>
      <w:r>
        <w:rPr>
          <w:rFonts w:eastAsia="Droid Sans"/>
          <w:i/>
          <w:iCs/>
          <w:kern w:val="2"/>
          <w:sz w:val="24"/>
          <w:szCs w:val="24"/>
          <w:lang w:val="en-US" w:eastAsia="en-US"/>
        </w:rPr>
        <w:t>26</w:t>
      </w:r>
      <w:r>
        <w:rPr>
          <w:rFonts w:eastAsia="Droid Sans"/>
          <w:kern w:val="2"/>
          <w:sz w:val="24"/>
          <w:szCs w:val="24"/>
          <w:lang w:val="en-US" w:eastAsia="en-US"/>
        </w:rPr>
        <w:t>(1), 65–67. https://doi.org/10.5455/msm.2014.26.65-67</w:t>
      </w:r>
    </w:p>
    <w:p>
      <w:pPr>
        <w:pStyle w:val="22"/>
        <w:rPr>
          <w:rFonts w:ascii="Arial" w:cs="Arial" w:hAnsi="Arial"/>
        </w:rPr>
      </w:pPr>
    </w:p>
    <w:p>
      <w:pPr>
        <w:pStyle w:val="22"/>
        <w:rPr>
          <w:rFonts w:ascii="Arial" w:cs="Arial" w:hAnsi="Arial"/>
        </w:rPr>
      </w:pPr>
      <w:r>
        <w:rPr>
          <w:rFonts w:ascii="Arial" w:cs="Arial" w:hAnsi="Arial"/>
        </w:rPr>
        <w:t xml:space="preserve">Merriam Webster Dictionary (nd). Portfolio. Online: </w:t>
      </w:r>
      <w:r>
        <w:rPr>
          <w:rStyle w:val="26"/>
          <w:rFonts w:ascii="Arial" w:cs="Arial" w:hAnsi="Arial"/>
        </w:rPr>
        <w:fldChar w:fldCharType="begin"/>
      </w:r>
      <w:r>
        <w:instrText>HYPERLINK "https://www.merriam-webster.com/dictionary/portfolio"</w:instrText>
      </w:r>
      <w:r>
        <w:rPr>
          <w:rStyle w:val="26"/>
          <w:rFonts w:ascii="Arial" w:cs="Arial" w:hAnsi="Arial"/>
        </w:rPr>
        <w:fldChar w:fldCharType="separate"/>
      </w:r>
      <w:r>
        <w:rPr>
          <w:rStyle w:val="26"/>
          <w:rFonts w:ascii="Arial" w:cs="Arial" w:hAnsi="Arial"/>
        </w:rPr>
        <w:t>https://www.merriam-webster.com/dictionary/portfolio</w:t>
      </w:r>
      <w:r>
        <w:rPr>
          <w:rStyle w:val="26"/>
          <w:rFonts w:ascii="Arial" w:cs="Arial" w:hAnsi="Arial"/>
        </w:rPr>
        <w:fldChar w:fldCharType="end"/>
      </w:r>
      <w:r>
        <w:rPr>
          <w:rFonts w:ascii="Arial" w:cs="Arial" w:hAnsi="Arial"/>
        </w:rPr>
        <w:t xml:space="preserve"> {accessed: 08/03/2025}</w:t>
      </w:r>
    </w:p>
    <w:p>
      <w:pPr>
        <w:pStyle w:val="22"/>
        <w:rPr>
          <w:rFonts w:ascii="Arial" w:cs="Arial" w:hAnsi="Arial"/>
        </w:rPr>
      </w:pPr>
    </w:p>
    <w:p>
      <w:pPr>
        <w:pStyle w:val="22"/>
      </w:pPr>
      <w:r>
        <w:rPr>
          <w:lang w:val="en-US"/>
        </w:rPr>
        <w:t>Kourkouta, L.,&amp;Papathanasiou, I. V. (2014). Communication in nursing practice. </w:t>
      </w:r>
      <w:r>
        <w:rPr>
          <w:i/>
          <w:iCs/>
          <w:lang w:val="en-US"/>
        </w:rPr>
        <w:t>Materia socio-medica</w:t>
      </w:r>
      <w:r>
        <w:rPr>
          <w:lang w:val="en-US"/>
        </w:rPr>
        <w:t>, </w:t>
      </w:r>
      <w:r>
        <w:rPr>
          <w:i/>
          <w:iCs/>
          <w:lang w:val="en-US"/>
        </w:rPr>
        <w:t>26</w:t>
      </w:r>
      <w:r>
        <w:rPr>
          <w:lang w:val="en-US"/>
        </w:rPr>
        <w:t>(1), 65–67. https://doi.org/10.5455/msm.2014.26.65-67</w:t>
      </w:r>
    </w:p>
    <w:p>
      <w:pPr>
        <w:pStyle w:val="22"/>
        <w:rPr>
          <w:rFonts w:ascii="Arial" w:cs="Arial" w:hAnsi="Arial"/>
        </w:rPr>
      </w:pPr>
    </w:p>
    <w:p>
      <w:pPr>
        <w:spacing w:before="100" w:beforeAutospacing="1" w:after="100" w:afterAutospacing="1" w:line="240" w:lineRule="auto"/>
        <w:rPr>
          <w:rFonts w:eastAsia="Times New Roman"/>
          <w:sz w:val="24"/>
          <w:szCs w:val="24"/>
        </w:rPr>
      </w:pPr>
    </w:p>
    <w:sectPr>
      <w:footerReference w:type="default" r:id="rId2"/>
      <w:pgSz w:w="11909" w:h="16834"/>
      <w:pgMar w:top="1440" w:right="1440" w:bottom="1440" w:left="1440" w:header="720" w:footer="720"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等线">
    <w:panose1 w:val="00000000000000000000"/>
    <w:charset w:val="00"/>
    <w:family w:val="auto"/>
    <w:pitch w:val="variable"/>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9"/>
      <w:tabs>
        <w:tab w:val="center" w:pos="4513"/>
        <w:tab w:val="right" w:pos="9026"/>
      </w:tabs>
      <w:jc w:val="right"/>
    </w:pPr>
    <w:r>
      <w:fldChar w:fldCharType="begin"/>
    </w:r>
    <w:r>
      <w:instrText xml:space="preserve"> PAGE </w:instrText>
    </w:r>
    <w:r>
      <w:fldChar w:fldCharType="separate"/>
    </w:r>
    <w:r>
      <w:t>2</w:t>
    </w:r>
    <w:r>
      <w:fldChar w:fldCharType="end"/>
    </w:r>
  </w:p>
  <w:p>
    <w:pPr>
      <w:pStyle w:val="19"/>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C688F10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F482B8D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multiLevelType w:val="hybridMultilevel"/>
    <w:tmpl w:val="3414567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multiLevelType w:val="hybridMultilevel"/>
    <w:tmpl w:val="2B42C76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multiLevelType w:val="singleLevel"/>
    <w:tmpl w:val="9BBABBD8"/>
    <w:lvl w:ilvl="0">
      <w:start w:val="1"/>
      <w:numFmt w:val="bullet"/>
      <w:lvlRestart w:val="0"/>
      <w:pStyle w:val="28"/>
      <w:lvlText w:val=""/>
      <w:lvlJc w:val="left"/>
      <w:pPr>
        <w:tabs>
          <w:tab w:val="num" w:pos="360"/>
        </w:tabs>
        <w:ind w:left="360" w:hanging="360"/>
      </w:pPr>
      <w:rPr>
        <w:rFonts w:ascii="Symbol" w:hAnsi="Symbol"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20"/>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uppressAutoHyphens/>
      <w:autoSpaceDN w:val="0"/>
      <w:spacing w:line="276" w:lineRule="auto"/>
      <w:textAlignment w:val="baseline"/>
    </w:pPr>
    <w:rPr>
      <w:rFonts w:ascii="Arial" w:eastAsia="Arial" w:cs="Arial" w:hAnsi="Arial"/>
      <w:sz w:val="22"/>
      <w:szCs w:val="22"/>
      <w:lang w:val="en-GB" w:eastAsia="en-GB" w:bidi="ar-SA"/>
    </w:rPr>
  </w:style>
  <w:style w:type="paragraph" w:styleId="1">
    <w:name w:val="heading 1"/>
    <w:basedOn w:val="0"/>
    <w:next w:val="0"/>
    <w:pPr>
      <w:keepNext/>
      <w:keepLines/>
      <w:suppressAutoHyphens/>
      <w:spacing w:before="400" w:after="120"/>
      <w:outlineLvl w:val="0"/>
    </w:pPr>
    <w:rPr>
      <w:sz w:val="40"/>
      <w:szCs w:val="40"/>
    </w:rPr>
  </w:style>
  <w:style w:type="paragraph" w:styleId="2">
    <w:name w:val="heading 2"/>
    <w:basedOn w:val="0"/>
    <w:next w:val="0"/>
    <w:pPr>
      <w:keepNext/>
      <w:keepLines/>
      <w:suppressAutoHyphens/>
      <w:spacing w:before="360" w:after="120"/>
      <w:outlineLvl w:val="1"/>
    </w:pPr>
    <w:rPr>
      <w:sz w:val="32"/>
      <w:szCs w:val="32"/>
    </w:rPr>
  </w:style>
  <w:style w:type="paragraph" w:styleId="3">
    <w:name w:val="heading 3"/>
    <w:basedOn w:val="0"/>
    <w:next w:val="0"/>
    <w:pPr>
      <w:keepNext/>
      <w:keepLines/>
      <w:suppressAutoHyphens/>
      <w:spacing w:before="320" w:after="80"/>
      <w:outlineLvl w:val="2"/>
    </w:pPr>
    <w:rPr>
      <w:color w:val="434343"/>
      <w:sz w:val="28"/>
      <w:szCs w:val="28"/>
    </w:rPr>
  </w:style>
  <w:style w:type="paragraph" w:styleId="4">
    <w:name w:val="heading 4"/>
    <w:basedOn w:val="0"/>
    <w:next w:val="0"/>
    <w:pPr>
      <w:keepNext/>
      <w:keepLines/>
      <w:suppressAutoHyphens/>
      <w:spacing w:before="280" w:after="80"/>
      <w:outlineLvl w:val="3"/>
    </w:pPr>
    <w:rPr>
      <w:color w:val="666666"/>
      <w:sz w:val="24"/>
      <w:szCs w:val="24"/>
    </w:rPr>
  </w:style>
  <w:style w:type="paragraph" w:styleId="5">
    <w:name w:val="heading 5"/>
    <w:basedOn w:val="0"/>
    <w:next w:val="0"/>
    <w:pPr>
      <w:keepNext/>
      <w:keepLines/>
      <w:suppressAutoHyphens/>
      <w:spacing w:before="240" w:after="80"/>
      <w:outlineLvl w:val="4"/>
    </w:pPr>
    <w:rPr>
      <w:color w:val="666666"/>
    </w:rPr>
  </w:style>
  <w:style w:type="paragraph" w:styleId="6">
    <w:name w:val="heading 6"/>
    <w:basedOn w:val="0"/>
    <w:next w:val="0"/>
    <w:pPr>
      <w:keepNext/>
      <w:keepLines/>
      <w:suppressAutoHyphens/>
      <w:spacing w:before="240" w:after="80"/>
      <w:outlineLvl w:val="5"/>
    </w:pPr>
    <w:rPr>
      <w:i/>
      <w:color w:val="666666"/>
    </w:rPr>
  </w:style>
  <w:style w:type="character" w:default="1" w:styleId="10">
    <w:name w:val="Default Paragraph Font"/>
  </w:style>
  <w:style w:type="paragraph" w:styleId="15">
    <w:name w:val="Title"/>
    <w:basedOn w:val="0"/>
    <w:next w:val="0"/>
    <w:pPr>
      <w:keepNext/>
      <w:keepLines/>
      <w:suppressAutoHyphens/>
      <w:spacing w:after="60"/>
    </w:pPr>
    <w:rPr>
      <w:sz w:val="52"/>
      <w:szCs w:val="52"/>
    </w:rPr>
  </w:style>
  <w:style w:type="paragraph" w:styleId="16">
    <w:name w:val="Subtitle"/>
    <w:basedOn w:val="0"/>
    <w:next w:val="0"/>
    <w:pPr>
      <w:keepNext/>
      <w:keepLines/>
      <w:suppressAutoHyphens/>
      <w:spacing w:after="320"/>
    </w:pPr>
    <w:rPr>
      <w:color w:val="666666"/>
      <w:sz w:val="30"/>
      <w:szCs w:val="30"/>
    </w:rPr>
  </w:style>
  <w:style w:type="paragraph" w:styleId="17">
    <w:name w:val="header"/>
    <w:basedOn w:val="0"/>
    <w:pPr>
      <w:tabs>
        <w:tab w:val="center" w:pos="4513"/>
        <w:tab w:val="right" w:pos="9026"/>
      </w:tabs>
      <w:spacing w:line="240" w:lineRule="auto"/>
    </w:pPr>
  </w:style>
  <w:style w:type="character" w:customStyle="1" w:styleId="18">
    <w:name w:val="Header Char"/>
    <w:basedOn w:val="10"/>
  </w:style>
  <w:style w:type="paragraph" w:styleId="19">
    <w:name w:val="footer"/>
    <w:basedOn w:val="0"/>
    <w:pPr>
      <w:tabs>
        <w:tab w:val="center" w:pos="4513"/>
        <w:tab w:val="right" w:pos="9026"/>
      </w:tabs>
      <w:spacing w:line="240" w:lineRule="auto"/>
    </w:pPr>
  </w:style>
  <w:style w:type="character" w:customStyle="1" w:styleId="20">
    <w:name w:val="Footer Char"/>
    <w:basedOn w:val="10"/>
  </w:style>
  <w:style w:type="paragraph" w:customStyle="1" w:styleId="21">
    <w:name w:val="List Paragraph"/>
    <w:basedOn w:val="0"/>
    <w:pPr>
      <w:suppressAutoHyphens w:val="0"/>
      <w:spacing w:line="240" w:lineRule="auto"/>
      <w:ind w:left="720"/>
      <w:contextualSpacing/>
      <w:textAlignment w:val="auto"/>
    </w:pPr>
    <w:rPr>
      <w:rFonts w:ascii="Times New Roman" w:eastAsia="Times New Roman" w:cs="Times New Roman" w:hAnsi="Times New Roman"/>
      <w:sz w:val="24"/>
      <w:szCs w:val="24"/>
    </w:rPr>
  </w:style>
  <w:style w:type="paragraph" w:customStyle="1" w:styleId="22">
    <w:name w:val="No Spacing"/>
    <w:pPr>
      <w:autoSpaceDN/>
      <w:spacing w:line="240" w:lineRule="auto"/>
      <w:textAlignment w:val="auto"/>
    </w:pPr>
    <w:rPr>
      <w:rFonts w:ascii="Droid Sans" w:eastAsia="Droid Sans" w:cs="Arial"/>
      <w:kern w:val="2"/>
      <w:sz w:val="24"/>
      <w:szCs w:val="24"/>
      <w:lang w:val="en-GB" w:eastAsia="en-US" w:bidi="ar-SA"/>
    </w:rPr>
  </w:style>
  <w:style w:type="paragraph" w:styleId="23">
    <w:name w:val="Normal (Web)"/>
    <w:basedOn w:val="0"/>
    <w:pPr>
      <w:suppressAutoHyphens w:val="0"/>
      <w:autoSpaceDN/>
      <w:spacing w:before="100" w:beforeAutospacing="1" w:after="100" w:afterAutospacing="1" w:line="240" w:lineRule="auto"/>
      <w:textAlignment w:val="auto"/>
    </w:pPr>
    <w:rPr>
      <w:rFonts w:ascii="Times New Roman" w:eastAsia="Times New Roman" w:cs="Times New Roman" w:hAnsi="Times New Roman"/>
      <w:sz w:val="24"/>
      <w:szCs w:val="24"/>
    </w:rPr>
  </w:style>
  <w:style w:type="character" w:styleId="24">
    <w:name w:val="Strong"/>
    <w:basedOn w:val="10"/>
    <w:rPr>
      <w:b/>
      <w:bCs/>
    </w:rPr>
  </w:style>
  <w:style w:type="character" w:styleId="25">
    <w:name w:val="Emphasis"/>
    <w:basedOn w:val="10"/>
    <w:rPr>
      <w:i/>
      <w:iCs/>
    </w:rPr>
  </w:style>
  <w:style w:type="character" w:styleId="26">
    <w:name w:val="Hyperlink"/>
    <w:basedOn w:val="10"/>
    <w:rPr>
      <w:color w:val="467886"/>
      <w:u w:val="single"/>
    </w:rPr>
  </w:style>
  <w:style w:type="character" w:customStyle="1" w:styleId="27">
    <w:name w:val="Unresolved Mention"/>
    <w:basedOn w:val="10"/>
    <w:rPr>
      <w:color w:val="605E5C"/>
      <w:shd w:val="clear" w:color="auto" w:fill="E1DFDD"/>
    </w:rPr>
  </w:style>
  <w:style w:type="paragraph" w:styleId="28">
    <w:name w:val="List Bullet"/>
    <w:basedOn w:val="0"/>
    <w:pPr>
      <w:numPr>
        <w:ilvl w:val="0"/>
        <w:numId w:val="5"/>
      </w:numPr>
      <w:tabs>
        <w:tab w:val="clear" w:pos="360"/>
      </w:tabs>
      <w:suppressAutoHyphens w:val="0"/>
      <w:autoSpaceDN/>
      <w:spacing w:after="200"/>
      <w:ind w:left="0" w:firstLine="0"/>
      <w:contextualSpacing/>
      <w:textAlignment w:val="auto"/>
    </w:pPr>
    <w:rPr>
      <w:rFonts w:ascii="Droid Sans" w:eastAsia="等线" w:cs="Arial" w:hAnsi="Droid Sans"/>
      <w:lang w:val="en-US" w:eastAsia="en-U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44</TotalTime>
  <Application>Honor_Office</Application>
  <Pages>13</Pages>
  <Words>2512</Words>
  <Characters>14650</Characters>
  <Lines>485</Lines>
  <Paragraphs>154</Paragraphs>
  <CharactersWithSpaces>17701</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title>Job application form template</dc:title>
  <dc:creator>Frank Fitzgerald</dc:creator>
  <cp:lastModifiedBy>HONOR Docs</cp:lastModifiedBy>
  <cp:revision>13</cp:revision>
  <dcterms:created xsi:type="dcterms:W3CDTF">2026-08-12T09:37:00Z</dcterms:created>
  <dcterms:modified xsi:type="dcterms:W3CDTF">2026-08-12T09:14:18Z</dcterms:modified>
</cp:coreProperties>
</file>