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C24DA9" w14:textId="0F67442F" w:rsidR="00F62CA0" w:rsidRDefault="00F62CA0" w:rsidP="00F62CA0">
      <w:pPr>
        <w:rPr>
          <w:b/>
        </w:rPr>
      </w:pPr>
    </w:p>
    <w:p w14:paraId="148E3F0D" w14:textId="03EBAB0F" w:rsidR="00F62CA0" w:rsidRDefault="00F62CA0" w:rsidP="00BE4797">
      <w:pPr>
        <w:spacing w:line="276" w:lineRule="auto"/>
        <w:rPr>
          <w:b/>
        </w:rPr>
      </w:pPr>
      <w:r>
        <w:rPr>
          <w:b/>
        </w:rPr>
        <w:t>Analyse the role of independent bodies (i.e., IOPC/HMICFRS) in holding the police accountable to those they serve.</w:t>
      </w:r>
    </w:p>
    <w:p w14:paraId="3015915E" w14:textId="77777777" w:rsidR="00F62CA0" w:rsidRDefault="00F62CA0" w:rsidP="00BE4797">
      <w:pPr>
        <w:spacing w:line="276" w:lineRule="auto"/>
      </w:pPr>
      <w:r>
        <w:t xml:space="preserve">During this essay, I will be discussing the role of independent bodies such as the Independent Office for Police Conduct (IOPC), Her Majesty’s Inspectorate of Constabulary and Fire &amp; Rescue Services (HMICFRS) and the College of Policing. I will analyse how all three bodies hold the police accountable and how they work together to ensure a professional service is delivered to the public. I will also use real life examples to explain the importance and benefits to having the independent bodies within policing. </w:t>
      </w:r>
    </w:p>
    <w:p w14:paraId="46768D1A" w14:textId="7B494D59" w:rsidR="00F62CA0" w:rsidRDefault="00F62CA0" w:rsidP="00BE4797">
      <w:pPr>
        <w:spacing w:line="276" w:lineRule="auto"/>
      </w:pPr>
      <w:r>
        <w:t xml:space="preserve">The College of Policing is a statutory body, which is in place to set the standards for policing throughout England and Wales. The College of Policing have </w:t>
      </w:r>
      <w:r w:rsidRPr="00F25E76">
        <w:t>outlined nine policing principles and ten professional standards of behaviour</w:t>
      </w:r>
      <w:r w:rsidR="00F25E76">
        <w:t xml:space="preserve"> </w:t>
      </w:r>
      <w:r w:rsidR="00F25E76">
        <w:fldChar w:fldCharType="begin" w:fldLock="1"/>
      </w:r>
      <w:r w:rsidR="00F25E76">
        <w:instrText>ADDIN CSL_CITATION {"citationItems":[{"id":"ITEM-1","itemData":{"ISBN":"9781474109031","author":[{"dropping-particle":"","family":"College of Policing","given":"","non-dropping-particle":"","parse-names":false,"suffix":""}],"id":"ITEM-1","issued":{"date-parts":[["2014"]]},"title":"Code of Ethics A Code of Practice for the Principles and Standards of Professional Behaviour for the Policing Profession of England and Wales","type":"article-journal"},"uris":["http://www.mendeley.com/documents/?uuid=3ad16c0e-6428-3614-a55c-ea8956b98029"]}],"mendeley":{"formattedCitation":"(College of Policing, 2014)","plainTextFormattedCitation":"(College of Policing, 2014)","previouslyFormattedCitation":"(College of Policing, 2014)"},"properties":{"noteIndex":0},"schema":"https://github.com/citation-style-language/schema/raw/master/csl-citation.json"}</w:instrText>
      </w:r>
      <w:r w:rsidR="00F25E76">
        <w:fldChar w:fldCharType="separate"/>
      </w:r>
      <w:r w:rsidR="00F25E76" w:rsidRPr="009E24E3">
        <w:rPr>
          <w:noProof/>
        </w:rPr>
        <w:t>(College of Policing, 2014)</w:t>
      </w:r>
      <w:r w:rsidR="00F25E76">
        <w:fldChar w:fldCharType="end"/>
      </w:r>
      <w:r w:rsidR="00F25E76" w:rsidRPr="009E24E3">
        <w:t>.</w:t>
      </w:r>
      <w:r w:rsidR="00F25E76">
        <w:t xml:space="preserve"> </w:t>
      </w:r>
      <w:r>
        <w:t xml:space="preserve"> The principles and standards have been put in place to provide a decision-making framework that will be conducive to a professional response from police officers to incidents, this will in-turn gain an uplift in confidence from the public while also reassuring them that Police have the best intentions for those they serve.  When carrying out your role as a police officer every decision made must fall in line with the principles set out by the College of Policing. Due to actions being monitored and scrutinised it provides a transparency to the public that will gain trust and respect from the public. The historian Charles Reith said that under this philosophy, policing is not derived from fear, but almost exclusively from public cooperation.</w:t>
      </w:r>
      <w:r>
        <w:fldChar w:fldCharType="begin" w:fldLock="1"/>
      </w:r>
      <w:r>
        <w:instrText>ADDIN CSL_CITATION {"citationItems":[{"id":"ITEM-1","itemData":{"abstract":"This briefing sets out how the police service in the UK is governed, including details of recent reforms. It also focuses on how the police are held accountable for their actions through systems of oversight and complaints. Devolution has enabled different countries in the UK to take varying approaches to the organisation of policing services. As a result, the police service is divided into separate forces. There are 43 territorial police forces in England and Wales, and a national police force in Scotland (Police Scotland) and Northern Ireland","author":[{"dropping-particle":"","family":"Houseof Lords Library","given":"House","non-dropping-particle":"","parse-names":false,"suffix":""}],"id":"ITEM-1","issued":{"date-parts":[["0"]]},"title":"Policing in the UK: Governance, Oversight and Complaints","type":"report"},"uris":["http://www.mendeley.com/documents/?uuid=a955edef-3749-3264-97a4-691d48a36b17"]}],"mendeley":{"formattedCitation":"(Houseof Lords Library, no date)","manualFormatting":"(House of Lords Library, 2020, p2)","plainTextFormattedCitation":"(Houseof Lords Library, no date)","previouslyFormattedCitation":"(Houseof Lords Library, no date)"},"properties":{"noteIndex":0},"schema":"https://github.com/citation-style-language/schema/raw/master/csl-citation.json"}</w:instrText>
      </w:r>
      <w:r>
        <w:fldChar w:fldCharType="separate"/>
      </w:r>
      <w:r>
        <w:rPr>
          <w:noProof/>
        </w:rPr>
        <w:t>(House of Lords Library, 2020, p2)</w:t>
      </w:r>
      <w:r>
        <w:fldChar w:fldCharType="end"/>
      </w:r>
      <w:r>
        <w:t xml:space="preserve"> </w:t>
      </w:r>
    </w:p>
    <w:p w14:paraId="4D100300" w14:textId="77777777" w:rsidR="00F62CA0" w:rsidRDefault="00F62CA0" w:rsidP="00BE4797">
      <w:pPr>
        <w:spacing w:line="276" w:lineRule="auto"/>
      </w:pPr>
      <w:r>
        <w:t>In order to regulate the police in regards to the principles outlined to them there is a separate department within the police called professional standards. Any misconduct, complaints, and corruption within the police is investigated through this department.  Not all cases can be investigated by professional standards therefore the IOPC has been established in order to scrutinise most serious allegations made against the police in England and Wales. he IOPC is a non-departmental public body sponsored by the Home Office, which oversees the police complaints system in England and Wales. It investigates the most serious police complaint and conduct matters, including deaths following police contact, and sets the standards by which the police should handle complaints.</w:t>
      </w:r>
      <w:r>
        <w:fldChar w:fldCharType="begin" w:fldLock="1"/>
      </w:r>
      <w:r>
        <w:instrText>ADDIN CSL_CITATION {"citationItems":[{"id":"ITEM-1","itemData":{"URL":"https://www.legislation.gov.uk/ukpga/2002/30/section/10","abstract":"UK Public General Acts2002 c. 30Part 2The Independent Office for...Section 10","accessed":{"date-parts":[["2022","5","9"]]},"author":[{"dropping-particle":"","family":"HM Government","given":"","non-dropping-particle":"","parse-names":false,"suffix":""}],"container-title":"Police Reform Act","id":"ITEM-1","issued":{"date-parts":[["2002"]]},"title":"Police Reform Act 2002","type":"webpage"},"uris":["http://www.mendeley.com/documents/?uuid=b5e63cf7-f8e1-3503-9714-55147525cbf9"]}],"mendeley":{"formattedCitation":"(HM Government, 2002)","plainTextFormattedCitation":"(HM Government, 2002)","previouslyFormattedCitation":"(HM Government, 2002)"},"properties":{"noteIndex":0},"schema":"https://github.com/citation-style-language/schema/raw/master/csl-citation.json"}</w:instrText>
      </w:r>
      <w:r>
        <w:fldChar w:fldCharType="separate"/>
      </w:r>
      <w:r>
        <w:rPr>
          <w:noProof/>
        </w:rPr>
        <w:t>(HM Government, 2002)</w:t>
      </w:r>
      <w:r>
        <w:fldChar w:fldCharType="end"/>
      </w:r>
      <w:r>
        <w:t xml:space="preserve"> Allegations which are dealt with can include serious assaults, corruption and misconduct by officers or staff suggesting that a criminal offence has been committed. This also includes any death that has occurred 48 hours after police contact. </w:t>
      </w:r>
    </w:p>
    <w:p w14:paraId="7A4FE7B2" w14:textId="77777777" w:rsidR="00F62CA0" w:rsidRDefault="00F62CA0" w:rsidP="00BE4797">
      <w:pPr>
        <w:spacing w:line="276" w:lineRule="auto"/>
      </w:pPr>
      <w:r>
        <w:t xml:space="preserve">Once a referral is made from the police force the IOPC will assess with the information provided what kind of investigation is required of which there are three types of investigation. The first type is where the IOPC will conduct their own independent investigation using their own investigators. The second type is the IOPC have direct control of the investigation but use police resources to undertake this. The third method is local and therefore, the police force will investigate the allegation using their department of Professional Standards. </w:t>
      </w:r>
    </w:p>
    <w:p w14:paraId="6678898E" w14:textId="77777777" w:rsidR="00F62CA0" w:rsidRDefault="00F62CA0" w:rsidP="00BE4797">
      <w:pPr>
        <w:spacing w:line="276" w:lineRule="auto"/>
      </w:pPr>
      <w:r>
        <w:t xml:space="preserve">During an IOPC investigation they will outline which parts of the incident that they will investigate. The investigators will then gather their own evidence to establish the circumstances of the incident. This entails: taking witness statements, interviewing police staff/officers, reviewing footage from body worn cameras or CCTV, gathering documents and records, and reviewing the policies, which </w:t>
      </w:r>
      <w:r>
        <w:lastRenderedPageBreak/>
        <w:t xml:space="preserve">are relevant to the incident. Once the initial parts of the investigation have been completed, the IOPC will produce a report that will specify: what happened, what they investigated and why, what evidence has been found, and the IOPC’s analysis of the evidence. The report is then sent back to the police force and the IOPC will decide what actions need taking, this could include further training, misconduct meeting or gross misconduct hearing. The police force will then provide their representation about what should happen. The IOPC will consider this but will ultimately make the decision on the outcome independently. Once the decision has been made the police force will carry out the disciplinary action which could include any of the following: written warning, final written warning, reduction on rank, dismissal without notice, and any training or informal advice they can provide. </w:t>
      </w:r>
    </w:p>
    <w:p w14:paraId="71EEE52B" w14:textId="0BF69944" w:rsidR="00F25E76" w:rsidRDefault="00F62CA0" w:rsidP="00BE4797">
      <w:pPr>
        <w:spacing w:line="276" w:lineRule="auto"/>
      </w:pPr>
      <w:r>
        <w:t xml:space="preserve">Although the IOPC is seen as a positive reinforcement within the public, due to timely investigations there has been frustration within the police force for officer’s mental wellbeing.  The house of commons home affairs committee released a report on police conduct and complaints where it </w:t>
      </w:r>
      <w:r w:rsidRPr="00F25E76">
        <w:t>stated</w:t>
      </w:r>
      <w:r w:rsidR="00F25E76" w:rsidRPr="00F25E76">
        <w:t>:</w:t>
      </w:r>
      <w:r w:rsidRPr="00F25E76">
        <w:t xml:space="preserve"> </w:t>
      </w:r>
    </w:p>
    <w:p w14:paraId="0C475FDF" w14:textId="77777777" w:rsidR="00F25E76" w:rsidRDefault="00F25E76" w:rsidP="00BE4797">
      <w:pPr>
        <w:spacing w:line="276" w:lineRule="auto"/>
        <w:ind w:left="720"/>
      </w:pPr>
      <w:r w:rsidRPr="009E24E3">
        <w:t>“The example of its taking seven years to clear one police officer of misconduct is exceptional, but demonstrates why the IOPC must focus its efforts on concluding investigations as quickly as possible. Quite aside from the effect on an individual’s morale, the removal from officers under investigation from front-line duties for lengthy periods may add to strain on police resources.”</w:t>
      </w:r>
    </w:p>
    <w:p w14:paraId="019A01E5" w14:textId="6F03F00F" w:rsidR="00F25E76" w:rsidRDefault="00F25E76" w:rsidP="00BE4797">
      <w:pPr>
        <w:spacing w:line="276" w:lineRule="auto"/>
        <w:ind w:left="720"/>
      </w:pPr>
      <w:r>
        <w:tab/>
      </w:r>
      <w:r>
        <w:tab/>
      </w:r>
      <w:r>
        <w:tab/>
      </w:r>
      <w:r>
        <w:tab/>
      </w:r>
      <w:r>
        <w:tab/>
      </w:r>
      <w:r>
        <w:tab/>
      </w:r>
      <w:r>
        <w:tab/>
      </w:r>
      <w:r w:rsidRPr="009914DE">
        <w:t xml:space="preserve"> </w:t>
      </w:r>
      <w:r>
        <w:fldChar w:fldCharType="begin" w:fldLock="1"/>
      </w:r>
      <w:r w:rsidR="00E35A63">
        <w:instrText>ADDIN CSL_CITATION {"citationItems":[{"id":"ITEM-1","itemData":{"URL":"https://publications.parliament.uk/pa/cm5802/cmselect/cmhaff/140/report.html?msclkid=a7b840f1cf8d11eca2f8d2ee4d42cdb4","accessed":{"date-parts":[["2022","5","9"]]},"author":[{"dropping-particle":"","family":"Home Affairs Committee","given":"","non-dropping-particle":"","parse-names":false,"suffix":""}],"id":"ITEM-1","issued":{"date-parts":[["2022"]]},"title":"Police Conduct and Complaints - Home Affairs Committee","type":"webpage"},"uris":["http://www.mendeley.com/documents/?uuid=a08c1215-718a-3a15-9ea1-cc873f713b26"]}],"mendeley":{"formattedCitation":"(Home Affairs Committee, 2022)","plainTextFormattedCitation":"(Home Affairs Committee, 2022)","previouslyFormattedCitation":"(Home Affairs Committee, 2022)"},"properties":{"noteIndex":0},"schema":"https://github.com/citation-style-language/schema/raw/master/csl-citation.json"}</w:instrText>
      </w:r>
      <w:r>
        <w:fldChar w:fldCharType="separate"/>
      </w:r>
      <w:r w:rsidRPr="009E24E3">
        <w:rPr>
          <w:noProof/>
        </w:rPr>
        <w:t>(Home Affairs Committee, 2022)</w:t>
      </w:r>
      <w:r>
        <w:fldChar w:fldCharType="end"/>
      </w:r>
      <w:r>
        <w:t>.</w:t>
      </w:r>
    </w:p>
    <w:p w14:paraId="3941EA06" w14:textId="74DA9BDA" w:rsidR="00F62CA0" w:rsidRDefault="00F62CA0" w:rsidP="00BE4797">
      <w:pPr>
        <w:spacing w:line="276" w:lineRule="auto"/>
      </w:pPr>
      <w:r>
        <w:t xml:space="preserve">It also stated that there should be a minimum of 12 months to conclude their investigations. These prolonged investigations can also impact public perception of the police and question the legitimacy of the IOPC.  </w:t>
      </w:r>
    </w:p>
    <w:p w14:paraId="30BBAF10" w14:textId="77777777" w:rsidR="00F62CA0" w:rsidRDefault="00F62CA0" w:rsidP="00BE4797">
      <w:pPr>
        <w:spacing w:line="276" w:lineRule="auto"/>
      </w:pPr>
      <w:r>
        <w:t xml:space="preserve">Another independent body founded to improve the policing standards and the services accountability is the HMICFRS. The HMICFRS independently assesses the effectiveness and efficiency of police forces and fire &amp; rescue services all within in the public interest </w:t>
      </w:r>
      <w:r>
        <w:fldChar w:fldCharType="begin" w:fldLock="1"/>
      </w:r>
      <w:r>
        <w:instrText>ADDIN CSL_CITATION {"citationItems":[{"id":"ITEM-1","itemData":{"URL":"https://www.justiceinspectorates.gov.uk/hmicfrs/","accessed":{"date-parts":[["2022","5","9"]]},"author":[{"dropping-particle":"","family":"Her Majesty's Inspectorate of Constabulary and Fire &amp; Rescue Services","given":"","non-dropping-particle":"","parse-names":false,"suffix":""}],"id":"ITEM-1","issued":{"date-parts":[["2022"]]},"title":"HMICFRS - Home","type":"webpage"},"uris":["http://www.mendeley.com/documents/?uuid=ed87b46c-734b-3d74-bfdd-2b392e95a6ec"]}],"mendeley":{"formattedCitation":"(Her Majesty’s Inspectorate of Constabulary and Fire &amp; Rescue Services, 2022)","plainTextFormattedCitation":"(Her Majesty’s Inspectorate of Constabulary and Fire &amp; Rescue Services, 2022)","previouslyFormattedCitation":"(Her Majesty’s Inspectorate of Constabulary and Fire &amp; Rescue Services, 2022)"},"properties":{"noteIndex":0},"schema":"https://github.com/citation-style-language/schema/raw/master/csl-citation.json"}</w:instrText>
      </w:r>
      <w:r>
        <w:fldChar w:fldCharType="separate"/>
      </w:r>
      <w:r>
        <w:rPr>
          <w:noProof/>
        </w:rPr>
        <w:t>(Her Majesty’s Inspectorate of Constabulary and Fire &amp; Rescue Services, 2022)</w:t>
      </w:r>
      <w:r>
        <w:fldChar w:fldCharType="end"/>
      </w:r>
      <w:r>
        <w:t>. This independent body ask questions that they believe the public wish to be answered. They then publish their findings, recommendations and issue the reports to police forces across England and Wales. HMICFRS publishes its findings in a free and accessible way for the public to view which once again provides transparency and establishes integrity of the body.</w:t>
      </w:r>
    </w:p>
    <w:p w14:paraId="2B37CC36" w14:textId="77777777" w:rsidR="00F62CA0" w:rsidRDefault="00F62CA0" w:rsidP="00BE4797">
      <w:pPr>
        <w:spacing w:line="276" w:lineRule="auto"/>
      </w:pPr>
      <w:r>
        <w:t>The role of the HMICFRS is not to scrutinise officers or staff behaviour but to review the overall police constabulary and fire service, with the intention to promote improvements that will make everyone safer. They do this by using the Police efficiency, effectiveness and legitimacy (PEEL) Inspection programme, which has now changed to the Integrated PEEL assessment (IPA)</w:t>
      </w:r>
      <w:r>
        <w:fldChar w:fldCharType="begin" w:fldLock="1"/>
      </w:r>
      <w:r>
        <w:instrText>ADDIN CSL_CITATION {"citationItems":[{"id":"ITEM-1","itemData":{"URL":"https://www.justiceinspectorates.gov.uk/hmicfrs/peel-assessments/what-is-peel/","accessed":{"date-parts":[["2022","5","9"]]},"author":[{"dropping-particle":"","family":"Her Majesty's Inspectorate of Constabulary and Fire &amp; Rescue Services","given":"","non-dropping-particle":"","parse-names":false,"suffix":""}],"id":"ITEM-1","issued":{"date-parts":[["2021","10"]]},"title":"HMICFRS - PEEL","type":"webpage"},"uris":["http://www.mendeley.com/documents/?uuid=82b96270-2320-34b0-bc72-2583e93f37ce"]}],"mendeley":{"formattedCitation":"(Her Majesty’s Inspectorate of Constabulary and Fire &amp; Rescue Services, 2021)","plainTextFormattedCitation":"(Her Majesty’s Inspectorate of Constabulary and Fire &amp; Rescue Services, 2021)","previouslyFormattedCitation":"(Her Majesty’s Inspectorate of Constabulary and Fire &amp; Rescue Services, 2021)"},"properties":{"noteIndex":0},"schema":"https://github.com/citation-style-language/schema/raw/master/csl-citation.json"}</w:instrText>
      </w:r>
      <w:r>
        <w:fldChar w:fldCharType="separate"/>
      </w:r>
      <w:r>
        <w:rPr>
          <w:noProof/>
        </w:rPr>
        <w:t>(Her Majesty’s Inspectorate of Constabulary and Fire &amp; Rescue Services, 2021)</w:t>
      </w:r>
      <w:r>
        <w:fldChar w:fldCharType="end"/>
      </w:r>
      <w:r>
        <w:t>. The HMICRF acts on behalf of the secretary of state to examine the effectiveness, efficiency and legitimacy of the police. The main purpose of the body is to give direction to the police and fire service on how to improve, HMICFRS do not have royal warrant despite being appointed by the queen and therefore no powers to directly impose any corrective actions they believe they may have found.</w:t>
      </w:r>
    </w:p>
    <w:p w14:paraId="36F892D2" w14:textId="77777777" w:rsidR="00E35A63" w:rsidRDefault="00F62CA0" w:rsidP="00BE4797">
      <w:pPr>
        <w:spacing w:line="276" w:lineRule="auto"/>
      </w:pPr>
      <w:r>
        <w:lastRenderedPageBreak/>
        <w:t xml:space="preserve">To conclude, there are a number of independent bodies in place to act on behalf of the publics with only the publics interests at the forefront of the work in which they conduct. While some independent bodies such as the HMICFRS want to proactively improve the policing service standards, There are independent bodies such as the IOPC which will independently investigate any serious allegation and discipline respectively. The IOPC therefore holds the police accountable and ensures the nine principles of policing and ten professional standards which are outlined by the College of Policing are being abided by. </w:t>
      </w:r>
    </w:p>
    <w:p w14:paraId="5D1FAA65" w14:textId="030E178C" w:rsidR="00F62CA0" w:rsidRDefault="00F62CA0" w:rsidP="00BE4797">
      <w:pPr>
        <w:spacing w:line="276" w:lineRule="auto"/>
      </w:pPr>
      <w:r>
        <w:t xml:space="preserve"> 1</w:t>
      </w:r>
      <w:r w:rsidR="00E35A63">
        <w:t>092</w:t>
      </w:r>
    </w:p>
    <w:p w14:paraId="4EAA1912" w14:textId="6E909EC1" w:rsidR="00B26A05" w:rsidRDefault="00B26A05" w:rsidP="00BE4797">
      <w:pPr>
        <w:spacing w:line="276" w:lineRule="auto"/>
      </w:pPr>
    </w:p>
    <w:p w14:paraId="3D275371" w14:textId="28B8DD4F" w:rsidR="00B26A05" w:rsidRDefault="00B26A05" w:rsidP="00BE4797">
      <w:pPr>
        <w:spacing w:line="276" w:lineRule="auto"/>
      </w:pPr>
    </w:p>
    <w:p w14:paraId="570EEF92" w14:textId="7309A601" w:rsidR="00B26A05" w:rsidRDefault="00B26A05" w:rsidP="00BE4797">
      <w:pPr>
        <w:spacing w:line="276" w:lineRule="auto"/>
      </w:pPr>
    </w:p>
    <w:p w14:paraId="543258C4" w14:textId="2A844054" w:rsidR="00B26A05" w:rsidRDefault="00B26A05" w:rsidP="00BE4797">
      <w:pPr>
        <w:spacing w:line="276" w:lineRule="auto"/>
      </w:pPr>
    </w:p>
    <w:p w14:paraId="2EA4AA49" w14:textId="7E258F34" w:rsidR="00B26A05" w:rsidRDefault="00B26A05" w:rsidP="00BE4797">
      <w:pPr>
        <w:spacing w:line="276" w:lineRule="auto"/>
      </w:pPr>
    </w:p>
    <w:p w14:paraId="01F3B22F" w14:textId="7D0764F3" w:rsidR="00B26A05" w:rsidRDefault="00B26A05" w:rsidP="00BE4797">
      <w:pPr>
        <w:spacing w:line="276" w:lineRule="auto"/>
      </w:pPr>
    </w:p>
    <w:p w14:paraId="1FB8C11B" w14:textId="0DD4F8E9" w:rsidR="00B26A05" w:rsidRDefault="00B26A05" w:rsidP="00BE4797">
      <w:pPr>
        <w:spacing w:line="276" w:lineRule="auto"/>
      </w:pPr>
    </w:p>
    <w:p w14:paraId="3E5DBCCA" w14:textId="2D20696D" w:rsidR="00B26A05" w:rsidRDefault="00B26A05" w:rsidP="00BE4797">
      <w:pPr>
        <w:spacing w:line="276" w:lineRule="auto"/>
      </w:pPr>
    </w:p>
    <w:p w14:paraId="4F793E7B" w14:textId="795EE440" w:rsidR="00B26A05" w:rsidRDefault="00B26A05" w:rsidP="00BE4797">
      <w:pPr>
        <w:spacing w:line="276" w:lineRule="auto"/>
      </w:pPr>
    </w:p>
    <w:p w14:paraId="486756D9" w14:textId="3F7B9661" w:rsidR="00B26A05" w:rsidRDefault="00B26A05" w:rsidP="00BE4797">
      <w:pPr>
        <w:spacing w:line="276" w:lineRule="auto"/>
      </w:pPr>
    </w:p>
    <w:p w14:paraId="0344CF06" w14:textId="01C6CD1C" w:rsidR="00B26A05" w:rsidRDefault="00B26A05" w:rsidP="00BE4797">
      <w:pPr>
        <w:spacing w:line="276" w:lineRule="auto"/>
      </w:pPr>
    </w:p>
    <w:p w14:paraId="42B759EE" w14:textId="0F01D720" w:rsidR="00B26A05" w:rsidRDefault="00B26A05" w:rsidP="00BE4797">
      <w:pPr>
        <w:spacing w:line="276" w:lineRule="auto"/>
      </w:pPr>
    </w:p>
    <w:p w14:paraId="54A6A663" w14:textId="184A13E9" w:rsidR="00B26A05" w:rsidRDefault="00B26A05" w:rsidP="00BE4797">
      <w:pPr>
        <w:spacing w:line="276" w:lineRule="auto"/>
      </w:pPr>
    </w:p>
    <w:p w14:paraId="6CEA935B" w14:textId="7E23EF5C" w:rsidR="00B26A05" w:rsidRDefault="00B26A05" w:rsidP="00BE4797">
      <w:pPr>
        <w:spacing w:line="276" w:lineRule="auto"/>
      </w:pPr>
    </w:p>
    <w:p w14:paraId="43A28C71" w14:textId="4DF293CE" w:rsidR="00B26A05" w:rsidRDefault="00B26A05" w:rsidP="00BE4797">
      <w:pPr>
        <w:spacing w:line="276" w:lineRule="auto"/>
      </w:pPr>
    </w:p>
    <w:p w14:paraId="6E1D2DFC" w14:textId="707A08D1" w:rsidR="00B26A05" w:rsidRDefault="00B26A05" w:rsidP="00BE4797">
      <w:pPr>
        <w:spacing w:line="276" w:lineRule="auto"/>
      </w:pPr>
    </w:p>
    <w:p w14:paraId="14B125E7" w14:textId="6B07B8A7" w:rsidR="00B26A05" w:rsidRDefault="00B26A05" w:rsidP="00BE4797">
      <w:pPr>
        <w:spacing w:line="276" w:lineRule="auto"/>
      </w:pPr>
    </w:p>
    <w:p w14:paraId="2243BF2E" w14:textId="1C09F964" w:rsidR="00B26A05" w:rsidRDefault="00B26A05" w:rsidP="00BE4797">
      <w:pPr>
        <w:spacing w:line="276" w:lineRule="auto"/>
      </w:pPr>
    </w:p>
    <w:p w14:paraId="45B13537" w14:textId="3A534830" w:rsidR="00B26A05" w:rsidRDefault="00B26A05" w:rsidP="00BE4797">
      <w:pPr>
        <w:spacing w:line="276" w:lineRule="auto"/>
      </w:pPr>
    </w:p>
    <w:p w14:paraId="28051EAC" w14:textId="67768007" w:rsidR="00B26A05" w:rsidRDefault="00B26A05" w:rsidP="00BE4797">
      <w:pPr>
        <w:spacing w:line="276" w:lineRule="auto"/>
      </w:pPr>
    </w:p>
    <w:p w14:paraId="481A7AB0" w14:textId="3AE18C3A" w:rsidR="00B26A05" w:rsidRDefault="00B26A05" w:rsidP="00BE4797">
      <w:pPr>
        <w:spacing w:line="276" w:lineRule="auto"/>
      </w:pPr>
    </w:p>
    <w:p w14:paraId="79CD6230" w14:textId="573CB276" w:rsidR="00B26A05" w:rsidRDefault="00B26A05" w:rsidP="00BE4797">
      <w:pPr>
        <w:spacing w:line="276" w:lineRule="auto"/>
      </w:pPr>
    </w:p>
    <w:p w14:paraId="4E974FC7" w14:textId="1DDC6940" w:rsidR="00B26A05" w:rsidRDefault="00B26A05" w:rsidP="00BE4797">
      <w:pPr>
        <w:spacing w:line="276" w:lineRule="auto"/>
      </w:pPr>
    </w:p>
    <w:p w14:paraId="2BBE7B91" w14:textId="77777777" w:rsidR="00B26A05" w:rsidRDefault="00B26A05" w:rsidP="00BE4797">
      <w:pPr>
        <w:spacing w:line="276" w:lineRule="auto"/>
      </w:pPr>
      <w:bookmarkStart w:id="0" w:name="_GoBack"/>
      <w:bookmarkEnd w:id="0"/>
    </w:p>
    <w:p w14:paraId="0C6B9DA8" w14:textId="77777777" w:rsidR="005142B0" w:rsidRPr="005142B0" w:rsidRDefault="005142B0" w:rsidP="00BE4797">
      <w:pPr>
        <w:spacing w:line="276" w:lineRule="auto"/>
        <w:rPr>
          <w:b/>
          <w:bCs/>
        </w:rPr>
      </w:pPr>
      <w:r w:rsidRPr="005142B0">
        <w:rPr>
          <w:b/>
          <w:bCs/>
        </w:rPr>
        <w:lastRenderedPageBreak/>
        <w:t xml:space="preserve">Analyse potential links between serious and organised crime and public protection issues. </w:t>
      </w:r>
    </w:p>
    <w:p w14:paraId="178BF68C" w14:textId="77777777" w:rsidR="005142B0" w:rsidRDefault="005142B0" w:rsidP="00BE4797">
      <w:pPr>
        <w:spacing w:line="276" w:lineRule="auto"/>
      </w:pPr>
      <w:r>
        <w:t xml:space="preserve">In this essay I will define serious crime and organised crime groups (OCG) in order to establish what </w:t>
      </w:r>
      <w:proofErr w:type="spellStart"/>
      <w:r>
        <w:t>Iinks</w:t>
      </w:r>
      <w:proofErr w:type="spellEnd"/>
      <w:r>
        <w:t xml:space="preserve"> them so closely together. This will help to clarify how issues around personal protection can allow for such crime to be facilitated. In order to do this, I will draw upon personal experiences along with discussing a case where authorities have failed to recognise exploitation, looking at why and what methods can be put in place in order to safeguard those being exploited. Organised crime is defined by The Crown Prosecution Service as:</w:t>
      </w:r>
    </w:p>
    <w:p w14:paraId="6F7E1B65" w14:textId="77777777" w:rsidR="005142B0" w:rsidRDefault="005142B0" w:rsidP="00BE4797">
      <w:pPr>
        <w:spacing w:line="276" w:lineRule="auto"/>
      </w:pPr>
      <w:r>
        <w:t>“Planned and co-ordinated criminal behaviour and conduct by people working together on a continuing basis. Their motivation is often, but not always, financial gain. Organised crime in this and other countries recognises neither national borders nor national interests.”</w:t>
      </w:r>
    </w:p>
    <w:p w14:paraId="53EDD6EB" w14:textId="77777777" w:rsidR="005142B0" w:rsidRDefault="005142B0" w:rsidP="00BE4797">
      <w:pPr>
        <w:spacing w:line="276" w:lineRule="auto"/>
      </w:pPr>
      <w:r>
        <w:tab/>
      </w:r>
      <w:r>
        <w:tab/>
      </w:r>
      <w:r>
        <w:tab/>
        <w:t xml:space="preserve">(The Crown Prosecution Service, 2017, Organised </w:t>
      </w:r>
      <w:proofErr w:type="spellStart"/>
      <w:r>
        <w:t>Aquisitive</w:t>
      </w:r>
      <w:proofErr w:type="spellEnd"/>
      <w:r>
        <w:t xml:space="preserve"> Crime)</w:t>
      </w:r>
    </w:p>
    <w:p w14:paraId="665ADE7E" w14:textId="77777777" w:rsidR="005142B0" w:rsidRDefault="005142B0" w:rsidP="00BE4797">
      <w:pPr>
        <w:spacing w:line="276" w:lineRule="auto"/>
      </w:pPr>
      <w:r>
        <w:t xml:space="preserve">There are many crimes that come under the umbrella of organised crime: drug trafficking, firearms trafficking, immigration crime (human trafficking, modern slavery), child sexual exploitation, money laundering and cybercrime, to name a few.  Within this essay I will be focusing on drugs trafficking, also known as county lines and how vulnerable people are coerced into cuckooing. </w:t>
      </w:r>
    </w:p>
    <w:p w14:paraId="471681E8" w14:textId="77777777" w:rsidR="005142B0" w:rsidRDefault="005142B0" w:rsidP="00BE4797">
      <w:pPr>
        <w:spacing w:line="276" w:lineRule="auto"/>
      </w:pPr>
      <w:r>
        <w:t>The College of Policing defines Vulnerability as “A person is vulnerable if, as a result of their situation or circumstances, they are unable to take care of or protect themselves or others from harm or exploitation” (College of Policing, 2020, p4).  Vulnerable people are often the victims of organised crime. Vulnerability comes in many different forms and organised crime offenders utilise these vulnerabilities in order to commit crime. Victims who are sometimes targeted by OCG’s are: people with mental health issues, people with learning difficulties, those suffering from drug or alcohol addiction, the elderly, children from broken homes or in care. The UK Government defines ‘county lines’ as:</w:t>
      </w:r>
    </w:p>
    <w:p w14:paraId="45827DF8" w14:textId="77777777" w:rsidR="005142B0" w:rsidRDefault="005142B0" w:rsidP="00BE4797">
      <w:pPr>
        <w:spacing w:line="276" w:lineRule="auto"/>
      </w:pPr>
      <w:r>
        <w:t xml:space="preserve">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w:t>
      </w:r>
    </w:p>
    <w:p w14:paraId="3A276105" w14:textId="77777777" w:rsidR="005142B0" w:rsidRDefault="005142B0" w:rsidP="00BE4797">
      <w:pPr>
        <w:spacing w:line="276" w:lineRule="auto"/>
      </w:pPr>
      <w:r>
        <w:t>(National Crime Agency, 2022, p1)</w:t>
      </w:r>
    </w:p>
    <w:p w14:paraId="13C1D310" w14:textId="77777777" w:rsidR="005142B0" w:rsidRDefault="005142B0" w:rsidP="00BE4797">
      <w:pPr>
        <w:spacing w:line="276" w:lineRule="auto"/>
      </w:pPr>
      <w:r>
        <w:t xml:space="preserve">Cuckooing can be defined as a practice where people take over a person’s dwelling and use the property to facilitate exploitation (Oxford City Council, 2022) . Cuckooing often starts by gang members befriending a vulnerable adult. These members tend to have charming or manipulative characteristics which can gain them a rapport quickly with the vulnerable person. They will seek out interests of the vulnerable person and offer them friendship, drugs/alcohol, money, or gifts. In exchange, they will ask a favour such as asking if they can borrow a room in their property or if they can drop a parcel off. In some instances the gangs may make the person aware that it is to carry out criminal proceedings but not always. This often continues for a period of time before the vulnerable person that they are actively involved in crime and if they want out of the criminal activity then the gang members may then blackmail them or use violence. </w:t>
      </w:r>
    </w:p>
    <w:p w14:paraId="0DCAC2EA" w14:textId="77777777" w:rsidR="005142B0" w:rsidRDefault="005142B0" w:rsidP="00BE4797">
      <w:pPr>
        <w:spacing w:line="276" w:lineRule="auto"/>
      </w:pPr>
      <w:r>
        <w:lastRenderedPageBreak/>
        <w:t xml:space="preserve">Often once a vulnerable adult is subject to cuckooing they may believe there is no way of getting out. This can be due to many reasons, often due to criminal offences being carried out and the vulnerable adult may believe that they would be arrested and the subject of the criminal proceedings. This can be a traumatic experience resulting in the vulnerable person not seeking help and further deteriorating within their mental health or substance misuse. Often the vulnerable adults may be threatened with violence, or members of their family are threatened if they tried to seek for a way out. If the vulnerable adults property is then discovered to have any controlled substances within it, they then may be evicted and could lose their state benefits. This then only benefits the OCG group, allowing them to have complete control of the property and the vulnerable adult. </w:t>
      </w:r>
    </w:p>
    <w:p w14:paraId="36A44407" w14:textId="77777777" w:rsidR="005142B0" w:rsidRDefault="005142B0" w:rsidP="00BE4797">
      <w:pPr>
        <w:spacing w:line="276" w:lineRule="auto"/>
      </w:pPr>
      <w:r>
        <w:t>An example of this taking place is in Chingford, North London back in 2018, where a disabled man Mark Smith was murdered. It’s believed that Mark had asked the housing association that owned the block of flats he was living in to change the locks on his front door, due to some “friends” that had taken over his flat and changed the locks. Investigations following Marks death concluded that agencies that had repeat contact with Mark failed to work together in order to protect him. Police officers had five incidents involving Mark and each time made referrals to the multi-agency safeguarding system about Marks safety and wellbeing in the years before his murder. These referrals had been screened and after each referral social workers made no contact with Mark and subsequently was referred to drug and alcohol abuse services. It found that the councils adult social care department, NHS bodies, and housing associations failed to share the information between each other about Mark’s health and welfare. It is stated that a lack of multi-agency approach led to missed opportunities to share information and support Mark effectively. This is just one example of the failures of multi-agencies identifying the exploitation of vulnerable adults. (John Ping and Disability News Service, 2019)</w:t>
      </w:r>
    </w:p>
    <w:p w14:paraId="56D2A326" w14:textId="77777777" w:rsidR="005142B0" w:rsidRDefault="005142B0" w:rsidP="00BE4797">
      <w:pPr>
        <w:spacing w:line="276" w:lineRule="auto"/>
      </w:pPr>
      <w:r>
        <w:t xml:space="preserve">A multi-agency response is vital when dealing with potential cases of cuckooing. The multi-agencies can include police, social services, health workers, voluntary sectors, substance abuse support agencies, local authority, and housing association. By working together and sharing information these agencies can begin to highlight a vulnerable individual and plan to prevent the exploitation of vulnerable adults. There are also powers which can be utilised during extreme cases to prohibit access to properties; consequently, people found in said property could be arrested immediately for breaking the closure order. Such actions disrupt whatever ‘claim’ the OCG had on the vulnerable adults address.  </w:t>
      </w:r>
    </w:p>
    <w:p w14:paraId="69C9C424" w14:textId="77777777" w:rsidR="005142B0" w:rsidRDefault="005142B0" w:rsidP="00BE4797">
      <w:pPr>
        <w:spacing w:line="276" w:lineRule="auto"/>
      </w:pPr>
      <w:r>
        <w:t>To conclude, organised crime can involve multiple different offences. It typically involves a group of individuals working together to plan and co-ordinate criminal activity for financial gain, but not always. These OCG groups target vulnerable people in order to recruit them to conduct their crime or use their properties to commit crime behind closed doors. Utilising violence and threats in order to trap the vulnerable person. I also analysed the multi-agencies and their approach in order to identify cuckooing and protect those vulnerable adults being targeted. Whilst it is important for the multi-agency approach, questions arise on what work can these agencies do for these vulnerable adults before they fall victim. Are the government doing enough to support these vulnerable adults? Why do these vulnerable adults only ever enter the agencies spectrum once an incident has occurred?</w:t>
      </w:r>
    </w:p>
    <w:p w14:paraId="275DAA18" w14:textId="4F531A1C" w:rsidR="005719D2" w:rsidRDefault="005142B0" w:rsidP="00BE4797">
      <w:pPr>
        <w:spacing w:line="276" w:lineRule="auto"/>
      </w:pPr>
      <w:r>
        <w:t>1007</w:t>
      </w:r>
    </w:p>
    <w:p w14:paraId="71AD574B" w14:textId="77777777" w:rsidR="005719D2" w:rsidRPr="005719D2" w:rsidRDefault="005719D2" w:rsidP="00BE4797">
      <w:pPr>
        <w:tabs>
          <w:tab w:val="left" w:pos="1345"/>
        </w:tabs>
        <w:spacing w:line="276" w:lineRule="auto"/>
        <w:rPr>
          <w:b/>
        </w:rPr>
      </w:pPr>
      <w:r w:rsidRPr="005719D2">
        <w:rPr>
          <w:b/>
        </w:rPr>
        <w:lastRenderedPageBreak/>
        <w:t xml:space="preserve">Examine the ethical dimension of ‘real time’ operational decisions. </w:t>
      </w:r>
    </w:p>
    <w:p w14:paraId="21FABBE7" w14:textId="77777777" w:rsidR="005719D2" w:rsidRPr="005719D2" w:rsidRDefault="005719D2" w:rsidP="00BE4797">
      <w:pPr>
        <w:tabs>
          <w:tab w:val="left" w:pos="1345"/>
        </w:tabs>
        <w:spacing w:line="276" w:lineRule="auto"/>
      </w:pPr>
      <w:r w:rsidRPr="005719D2">
        <w:t>Throughout this essay I will be discussing the ways in which police officers are subject to make decisions in ‘real time’. How the ethics and morals of the individual who is required to make the choice can affect decision-making depending on what dimension it has to be made under and how this all dictates the decision that is made. I will also be discussing tools that officers are taught to assist them when making decisions.</w:t>
      </w:r>
    </w:p>
    <w:p w14:paraId="2B0756E0" w14:textId="77777777" w:rsidR="005719D2" w:rsidRPr="005719D2" w:rsidRDefault="005719D2" w:rsidP="00BE4797">
      <w:pPr>
        <w:tabs>
          <w:tab w:val="left" w:pos="1345"/>
        </w:tabs>
        <w:spacing w:line="276" w:lineRule="auto"/>
      </w:pPr>
      <w:r w:rsidRPr="005719D2">
        <w:t xml:space="preserve">Ethics are described by Cambridge dictionary as “a system of accepted beliefs that control behaviour, especially such a system based on morals” </w:t>
      </w:r>
      <w:r w:rsidRPr="005719D2">
        <w:fldChar w:fldCharType="begin" w:fldLock="1"/>
      </w:r>
      <w:r w:rsidRPr="005719D2">
        <w:instrText>ADDIN CSL_CITATION {"citationItems":[{"id":"ITEM-1","itemData":{"URL":"https://dictionary.cambridge.org/dictionary/english/ethic","accessed":{"date-parts":[["2022","5","9"]]},"author":[{"dropping-particle":"","family":"Cambridge English Dictionary","given":"","non-dropping-particle":"","parse-names":false,"suffix":""}],"container-title":"Cambridge English Dictionary","id":"ITEM-1","issued":{"date-parts":[["2022"]]},"title":"ETHIC | meaning in the Cambridge English Dictionary","type":"webpage"},"uris":["http://www.mendeley.com/documents/?uuid=fa140293-d532-3fc6-872a-d2d36b623012"]}],"mendeley":{"formattedCitation":"(Cambridge English Dictionary, 2022)","manualFormatting":"(Cambridge English Dictionary, 2022)","plainTextFormattedCitation":"(Cambridge English Dictionary, 2022)","previouslyFormattedCitation":"(Cambridge English Dictionary, 2022)"},"properties":{"noteIndex":0},"schema":"https://github.com/citation-style-language/schema/raw/master/csl-citation.json"}</w:instrText>
      </w:r>
      <w:r w:rsidRPr="005719D2">
        <w:fldChar w:fldCharType="separate"/>
      </w:r>
      <w:r w:rsidRPr="005719D2">
        <w:rPr>
          <w:noProof/>
        </w:rPr>
        <w:t>(Cambridge English Dictionary, 2022)</w:t>
      </w:r>
      <w:r w:rsidRPr="005719D2">
        <w:fldChar w:fldCharType="end"/>
      </w:r>
      <w:r w:rsidRPr="005719D2">
        <w:t xml:space="preserve">. Morals are defined as “relating to the standards of good or bad behaviour, fairness, honesty, etc. that each person believes in, rather than to laws” </w:t>
      </w:r>
      <w:hyperlink r:id="rId7" w:history="1">
        <w:r w:rsidRPr="005719D2">
          <w:rPr>
            <w:noProof/>
          </w:rPr>
          <w:t>(Cambridge English Dictionary, 2022)</w:t>
        </w:r>
      </w:hyperlink>
      <w:r w:rsidRPr="005719D2">
        <w:t xml:space="preserve">. The British Society is based on morals, we as a society dictate our customs and laws based on our moral framework. </w:t>
      </w:r>
    </w:p>
    <w:p w14:paraId="539C8D91" w14:textId="77777777" w:rsidR="005719D2" w:rsidRPr="005719D2" w:rsidRDefault="005719D2" w:rsidP="00BE4797">
      <w:pPr>
        <w:tabs>
          <w:tab w:val="left" w:pos="1345"/>
        </w:tabs>
        <w:spacing w:line="276" w:lineRule="auto"/>
      </w:pPr>
      <w:r w:rsidRPr="005719D2">
        <w:t xml:space="preserve">Communities rely on the police, therefore they expect transparency from officer acting morally and ethically performing their duties. If they do not, why should the rest of society be expected to do so? Police officers follow the code of ethics, which is a framework based on values and standards, which are set in order to encourage officers to act fairly and ethically; holistically this is what will give the Police the respect of the public. </w:t>
      </w:r>
    </w:p>
    <w:p w14:paraId="37EFC460" w14:textId="77777777" w:rsidR="005719D2" w:rsidRPr="005719D2" w:rsidRDefault="005719D2" w:rsidP="00BE4797">
      <w:pPr>
        <w:tabs>
          <w:tab w:val="left" w:pos="1345"/>
        </w:tabs>
        <w:spacing w:line="276" w:lineRule="auto"/>
      </w:pPr>
      <w:r w:rsidRPr="005719D2">
        <w:t xml:space="preserve">The Code of Ethics is about self-awareness, ensuring that everyone in policing feels able to do the right thing and is confident to challenge colleagues irrespective of their rank, role or position </w:t>
      </w:r>
      <w:r w:rsidRPr="005719D2">
        <w:fldChar w:fldCharType="begin" w:fldLock="1"/>
      </w:r>
      <w:r w:rsidRPr="005719D2">
        <w:instrText>ADDIN CSL_CITATION {"citationItems":[{"id":"ITEM-1","itemData":{"URL":"https://www.college.police.uk/ethics/code-of-ethics","accessed":{"date-parts":[["2022","5","9"]]},"author":[{"dropping-particle":"","family":"College of Policing","given":"","non-dropping-particle":"","parse-names":false,"suffix":""}],"id":"ITEM-1","issued":{"date-parts":[["2022"]]},"title":"Code of Ethics | College of Policing","type":"webpage"},"uris":["http://www.mendeley.com/documents/?uuid=fe9731e1-0513-34cd-ba64-9979b6e98c7a"]}],"mendeley":{"formattedCitation":"(College of Policing, 2022)","plainTextFormattedCitation":"(College of Policing, 2022)","previouslyFormattedCitation":"(College of Policing, 2022)"},"properties":{"noteIndex":0},"schema":"https://github.com/citation-style-language/schema/raw/master/csl-citation.json"}</w:instrText>
      </w:r>
      <w:r w:rsidRPr="005719D2">
        <w:fldChar w:fldCharType="separate"/>
      </w:r>
      <w:r w:rsidRPr="005719D2">
        <w:rPr>
          <w:noProof/>
        </w:rPr>
        <w:t>(College of Policing, 2022)</w:t>
      </w:r>
      <w:r w:rsidRPr="005719D2">
        <w:fldChar w:fldCharType="end"/>
      </w:r>
      <w:r w:rsidRPr="005719D2">
        <w:t xml:space="preserve">. The code of ethics is critical to underpinning what the police uphold however it will always become difficult and hard to put into practice due to the magnitude of traumatic, chaotic and dangerous incidents the officers are regularly faced with. Chaotic Incidents require immediate split second decision-making, taking into account the risk to the public, the risk to officers, while also identifying what has happened and what offences have been committed, the level of situational awareness required can be over bearing at times for any human. </w:t>
      </w:r>
    </w:p>
    <w:p w14:paraId="044D6268" w14:textId="77777777" w:rsidR="005719D2" w:rsidRPr="005719D2" w:rsidRDefault="005719D2" w:rsidP="00BE4797">
      <w:pPr>
        <w:tabs>
          <w:tab w:val="left" w:pos="1345"/>
        </w:tabs>
        <w:spacing w:line="276" w:lineRule="auto"/>
      </w:pPr>
      <w:r w:rsidRPr="005719D2">
        <w:t xml:space="preserve">Officers are taught the National Decision Making model to help them. The code of ethics is at the heart of the model, ensuring policing decisions are consistent with the standards set out by the code. Officers will gather as much information and intelligence during an incident, such as what has happened, who is present, what intelligence is required at this time. They will then assess the threat, risk or harm; they will look at the level of seriousness of the incident, and determine if further resources are required. Officers will then consider what powers, policy, and legislation that may apply within the incident. They will then consider their options here and use their discretion, which I will discuss later on during this essay. Officers will then implement the options they selected and take action, and review the decision once the incident is over.  This model can be cycled many times during an incident and as an officer gains experience it becomes a more swift and timely process. </w:t>
      </w:r>
    </w:p>
    <w:p w14:paraId="27C4E6DB" w14:textId="77777777" w:rsidR="005719D2" w:rsidRPr="005719D2" w:rsidRDefault="005719D2" w:rsidP="00BE4797">
      <w:pPr>
        <w:tabs>
          <w:tab w:val="left" w:pos="1345"/>
        </w:tabs>
        <w:spacing w:line="276" w:lineRule="auto"/>
      </w:pPr>
      <w:r w:rsidRPr="005719D2">
        <w:t xml:space="preserve">When making decisions officers can use their discretion. Discretion is when police officers use their own judgement in what decision they make when dealing with an incident. E.g. youths smoking cannabis in a skate park. Officers attend the area and conduct a stop and search on the youth and find a small amount of cannabis. Officers conduct a person check and the youth has no previous convictions. Therefore the officer has all the information they need to make their decision. They can consider arresting the youth for possession, or consider a cannabis warning ensuring all the conditions are met. However, the decision being made is that of the officer who attends. Therefore, </w:t>
      </w:r>
      <w:r w:rsidRPr="005719D2">
        <w:lastRenderedPageBreak/>
        <w:t>discretion must be in line with policy and procedure in order to ensure consistency amongst officer’s decisions.</w:t>
      </w:r>
    </w:p>
    <w:p w14:paraId="47D92671" w14:textId="77777777" w:rsidR="005719D2" w:rsidRPr="005719D2" w:rsidRDefault="005719D2" w:rsidP="00BE4797">
      <w:pPr>
        <w:tabs>
          <w:tab w:val="left" w:pos="1345"/>
        </w:tabs>
        <w:spacing w:line="276" w:lineRule="auto"/>
      </w:pPr>
      <w:r w:rsidRPr="005719D2">
        <w:t xml:space="preserve">Discretion has been utilised by the police over a number of years. Maintaining policy and procedure in line with discretion is vital. Back in the 1970’s domestic violence cases were largely dismissed and there were no legal protocols. Stated in the National Library of Medicine “Culturally, woman battering was deemed a “private matter” and one not worth intervening into. Police and medical practitioners alike were reluctant to intervene into “private affairs,” or what was then deemed “matters between a husband and his wife.” </w:t>
      </w:r>
      <w:r w:rsidRPr="005719D2">
        <w:fldChar w:fldCharType="begin" w:fldLock="1"/>
      </w:r>
      <w:r w:rsidRPr="005719D2">
        <w:instrText>ADDIN CSL_CITATION {"citationItems":[{"id":"ITEM-1","itemData":{"URL":"https://circulatingnow.nlm.nih.gov/2015/10/15/domestic-violence-in-the-1970s/","accessed":{"date-parts":[["2022","5","9"]]},"author":[{"dropping-particle":"","family":"National Library of Medicine","given":"","non-dropping-particle":"","parse-names":false,"suffix":""}],"id":"ITEM-1","issued":{"date-parts":[["2015","10"]]},"title":"Domestic Violence in the 1970s – Circulating Now from NLM","type":"webpage"},"uris":["http://www.mendeley.com/documents/?uuid=4c259043-388b-3ed9-96c3-792b6134d95f"]}],"mendeley":{"formattedCitation":"(National Library of Medicine, 2015)","plainTextFormattedCitation":"(National Library of Medicine, 2015)","previouslyFormattedCitation":"(National Library of Medicine, 2015)"},"properties":{"noteIndex":0},"schema":"https://github.com/citation-style-language/schema/raw/master/csl-citation.json"}</w:instrText>
      </w:r>
      <w:r w:rsidRPr="005719D2">
        <w:fldChar w:fldCharType="separate"/>
      </w:r>
      <w:r w:rsidRPr="005719D2">
        <w:rPr>
          <w:noProof/>
        </w:rPr>
        <w:t>(National Library of Medicine, 2015)</w:t>
      </w:r>
      <w:r w:rsidRPr="005719D2">
        <w:fldChar w:fldCharType="end"/>
      </w:r>
      <w:r w:rsidRPr="005719D2">
        <w:t xml:space="preserve">. However, the government now have legislation and policies in place that dictate officers who attend a domestic must have their body worn cameras on and positive action must be taken. </w:t>
      </w:r>
    </w:p>
    <w:p w14:paraId="70A49071" w14:textId="77777777" w:rsidR="005719D2" w:rsidRPr="005719D2" w:rsidRDefault="005719D2" w:rsidP="00BE4797">
      <w:pPr>
        <w:tabs>
          <w:tab w:val="left" w:pos="1345"/>
        </w:tabs>
        <w:spacing w:line="276" w:lineRule="auto"/>
      </w:pPr>
      <w:r w:rsidRPr="005719D2">
        <w:t xml:space="preserve">The use of force is a category where officers have to make a decision under intense pressure and risk. Here officers must only use force which is proportionate and necessary, and must always justify their actions.  Any force used must be necessary to achieve a legitimate purpose such as to effect an arrest, the force must be reasonable taking in to account all available information, proportionate to the circumstances making the force necessary and only the minimum force required, as perceived by the officer at the time </w:t>
      </w:r>
      <w:r w:rsidRPr="005719D2">
        <w:fldChar w:fldCharType="begin" w:fldLock="1"/>
      </w:r>
      <w:r w:rsidRPr="005719D2">
        <w:instrText>ADDIN CSL_CITATION {"citationItems":[{"id":"ITEM-1","itemData":{"URL":"https://www.nottinghamshire.police.uk/sites/default/files/documents/files/Police_Use_of_Force_1.pdf","accessed":{"date-parts":[["2022","5","9"]]},"author":[{"dropping-particle":"","family":"Nottinghamshire Police","given":"","non-dropping-particle":"","parse-names":false,"suffix":""}],"id":"ITEM-1","issued":{"date-parts":[["2022"]]},"title":"Police Use of Force Legislation ","type":"webpage"},"uris":["http://www.mendeley.com/documents/?uuid=03a03b90-687e-30bb-ab26-0f3b2759deb4"]}],"mendeley":{"formattedCitation":"(Nottinghamshire Police, 2022)","plainTextFormattedCitation":"(Nottinghamshire Police, 2022)","previouslyFormattedCitation":"(Nottinghamshire Police, 2022)"},"properties":{"noteIndex":0},"schema":"https://github.com/citation-style-language/schema/raw/master/csl-citation.json"}</w:instrText>
      </w:r>
      <w:r w:rsidRPr="005719D2">
        <w:fldChar w:fldCharType="separate"/>
      </w:r>
      <w:r w:rsidRPr="005719D2">
        <w:rPr>
          <w:noProof/>
        </w:rPr>
        <w:t>(Nottinghamshire Police, 2022)</w:t>
      </w:r>
      <w:r w:rsidRPr="005719D2">
        <w:fldChar w:fldCharType="end"/>
      </w:r>
      <w:hyperlink r:id="rId8" w:history="1"/>
      <w:r w:rsidRPr="005719D2">
        <w:t xml:space="preserve">. Officers are placed in extreme conditions and their decisions are then scrutinised the following day when there is no external pressures, officers are very much undertrained in hand to hand combat which only adds to the likelihood of the officer retaliating being unsuccessful in their intent. </w:t>
      </w:r>
    </w:p>
    <w:p w14:paraId="7446459E" w14:textId="77777777" w:rsidR="005719D2" w:rsidRPr="005719D2" w:rsidRDefault="005719D2" w:rsidP="00BE4797">
      <w:pPr>
        <w:tabs>
          <w:tab w:val="left" w:pos="1345"/>
        </w:tabs>
        <w:spacing w:line="276" w:lineRule="auto"/>
      </w:pPr>
      <w:r w:rsidRPr="005719D2">
        <w:t xml:space="preserve">Policing has changed significantly within the last 20 years. Police officers have a greater understanding of The Human Rights Act 1988 (HRA) has helped officers to be more effective at identifying and responding to incidents. </w:t>
      </w:r>
    </w:p>
    <w:p w14:paraId="46E9C74B" w14:textId="77777777" w:rsidR="005719D2" w:rsidRPr="005719D2" w:rsidRDefault="005719D2" w:rsidP="00BE4797">
      <w:pPr>
        <w:tabs>
          <w:tab w:val="left" w:pos="1345"/>
        </w:tabs>
        <w:spacing w:line="276" w:lineRule="auto"/>
        <w:ind w:left="720"/>
      </w:pPr>
      <w:r w:rsidRPr="005719D2">
        <w:t xml:space="preserve">“The HRA acts as a moral compass and helps us to steer our way through both fast-time situations where there is a threat to life and slower-time investigative or public order dilemmas, where there is no obvious right or wrong. It is clear that some of this change has been thrust upon the police through tragedy and rightful criticism, but of equal importance in this journey is the willingness and professionalism of those working within the police service to embrace the HRA and seek to apply it so that its original purpose is achieved.” </w:t>
      </w:r>
    </w:p>
    <w:p w14:paraId="118F5CB2" w14:textId="77777777" w:rsidR="005719D2" w:rsidRPr="005719D2" w:rsidRDefault="005719D2" w:rsidP="00BE4797">
      <w:pPr>
        <w:tabs>
          <w:tab w:val="left" w:pos="1345"/>
        </w:tabs>
        <w:spacing w:line="276" w:lineRule="auto"/>
        <w:ind w:left="720"/>
      </w:pPr>
      <w:r w:rsidRPr="005719D2">
        <w:tab/>
      </w:r>
      <w:r w:rsidRPr="005719D2">
        <w:tab/>
      </w:r>
      <w:r w:rsidRPr="005719D2">
        <w:tab/>
      </w:r>
      <w:r w:rsidRPr="005719D2">
        <w:tab/>
      </w:r>
      <w:r w:rsidRPr="005719D2">
        <w:tab/>
      </w:r>
      <w:r w:rsidRPr="005719D2">
        <w:tab/>
      </w:r>
      <w:r w:rsidRPr="005719D2">
        <w:tab/>
      </w:r>
      <w:r w:rsidRPr="005719D2">
        <w:fldChar w:fldCharType="begin" w:fldLock="1"/>
      </w:r>
      <w:r w:rsidRPr="005719D2">
        <w:instrText>ADDIN CSL_CITATION {"citationItems":[{"id":"ITEM-1","itemData":{"abstract":"This article seeks to demonstrate, largely from practitioners' perspectives, the growing evolution in understanding and implementation of meaningful human rights standards within the policing context. In the early 2000s, 'human rights' were perceived and treated as a rather restrictive framework in UK policing. They are now more readily seen as a set of tools that guide and help the police to balance the views and interests of all parties to the criminal justice process. Human rights values enable police in the UK to better endeavour to do the right thing, 'without fear or favour'. Keywords: Evolution in application of HRA to operational policing, balancing of competing rights, duty to protect the most vulnerable, human rights and the policing of protest and public order.","author":[{"dropping-particle":"","family":"Poolman","given":"Sarah","non-dropping-particle":"","parse-names":false,"suffix":""},{"dropping-particle":"","family":"Wilshaw","given":"Richard","non-dropping-particle":"","parse-names":false,"suffix":""},{"dropping-particle":"","family":"Grace","given":"Jamie","non-dropping-particle":"","parse-names":false,"suffix":""}],"id":"ITEM-1","issued":{"date-parts":[["2019"]]},"title":"Human rights in policing-the past, present and future","type":"article-journal"},"uris":["http://www.mendeley.com/documents/?uuid=2fc79a43-0c8e-3de3-aa20-d2c13607dd6c"]}],"mendeley":{"formattedCitation":"(Poolman, Wilshaw and Grace, 2019)","plainTextFormattedCitation":"(Poolman, Wilshaw and Grace, 2019)","previouslyFormattedCitation":"(Poolman, Wilshaw and Grace, 2019)"},"properties":{"noteIndex":0},"schema":"https://github.com/citation-style-language/schema/raw/master/csl-citation.json"}</w:instrText>
      </w:r>
      <w:r w:rsidRPr="005719D2">
        <w:fldChar w:fldCharType="separate"/>
      </w:r>
      <w:r w:rsidRPr="005719D2">
        <w:rPr>
          <w:noProof/>
        </w:rPr>
        <w:t>(Poolman, Wilshaw and Grace, 2019)</w:t>
      </w:r>
      <w:r w:rsidRPr="005719D2">
        <w:fldChar w:fldCharType="end"/>
      </w:r>
    </w:p>
    <w:p w14:paraId="43E3C0FA" w14:textId="77777777" w:rsidR="005719D2" w:rsidRPr="005719D2" w:rsidRDefault="005719D2" w:rsidP="00BE4797">
      <w:pPr>
        <w:tabs>
          <w:tab w:val="left" w:pos="1345"/>
        </w:tabs>
        <w:spacing w:line="276" w:lineRule="auto"/>
      </w:pPr>
      <w:r w:rsidRPr="005719D2">
        <w:t>Initially there was fear amongst officers in potential breaches of the HRA mainly article 10 ‘Freedom of expression’ and 11 ‘protects the right to freedom of assembly and association’. These rights, which relate to public order incidents HRA allows officers to understand a balance of the rights of protestors and the rights of people going about their normal daily business. The complexity of dealing with such incidents of risks can cause officers to make genuine mistakes. The importance of then dealing with the aftermath of a genuine mistake is that officers are not blamed, they are given further guidance and training. A risk averse culture can become prominent amongst the police due to officers carrying out their duty being in fear that they are going to be blamed for an action and therefore they do not do anything which can also have consequences for the public. It is important that officers are supported carrying out their legal and professional duties. Regular training and guidance provided to officers could see significant improvements to an individual’s professionalism and ethics this would also give officers the best chance of success during work in intense situations.</w:t>
      </w:r>
    </w:p>
    <w:p w14:paraId="1371FECF" w14:textId="09149BF4" w:rsidR="002E5ED8" w:rsidRDefault="005719D2" w:rsidP="00BE4797">
      <w:pPr>
        <w:tabs>
          <w:tab w:val="left" w:pos="1345"/>
        </w:tabs>
        <w:spacing w:line="276" w:lineRule="auto"/>
      </w:pPr>
      <w:r w:rsidRPr="005719D2">
        <w:lastRenderedPageBreak/>
        <w:t>1096</w:t>
      </w:r>
    </w:p>
    <w:p w14:paraId="68241FC5" w14:textId="77777777" w:rsidR="002E5ED8" w:rsidRPr="00C11998" w:rsidRDefault="002E5ED8" w:rsidP="00BE4797">
      <w:pPr>
        <w:pStyle w:val="NormalWeb"/>
        <w:spacing w:line="276" w:lineRule="auto"/>
        <w:rPr>
          <w:rFonts w:asciiTheme="minorHAnsi" w:hAnsiTheme="minorHAnsi" w:cstheme="minorHAnsi"/>
          <w:b/>
          <w:bCs/>
          <w:color w:val="000000"/>
          <w:sz w:val="22"/>
          <w:szCs w:val="22"/>
        </w:rPr>
      </w:pPr>
      <w:r w:rsidRPr="00C11998">
        <w:rPr>
          <w:rFonts w:asciiTheme="minorHAnsi" w:hAnsiTheme="minorHAnsi" w:cstheme="minorHAnsi"/>
          <w:b/>
          <w:bCs/>
          <w:color w:val="000000"/>
          <w:sz w:val="22"/>
          <w:szCs w:val="22"/>
        </w:rPr>
        <w:t>Assess the impact of organisational justice on police agency</w:t>
      </w:r>
    </w:p>
    <w:p w14:paraId="4CE3A447"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 xml:space="preserve">Within this essay I will define organisational justice and assess the impact it has within the police force. I will be discussing three main types of organisational justice; distributive, procedural and interactional justice. I will analyse how these can affect the individual police officers and </w:t>
      </w:r>
      <w:r>
        <w:rPr>
          <w:rFonts w:asciiTheme="minorHAnsi" w:hAnsiTheme="minorHAnsi" w:cstheme="minorHAnsi"/>
          <w:color w:val="000000"/>
          <w:sz w:val="22"/>
          <w:szCs w:val="22"/>
        </w:rPr>
        <w:t xml:space="preserve">the </w:t>
      </w:r>
      <w:r w:rsidRPr="00C11998">
        <w:rPr>
          <w:rFonts w:asciiTheme="minorHAnsi" w:hAnsiTheme="minorHAnsi" w:cstheme="minorHAnsi"/>
          <w:color w:val="000000"/>
          <w:sz w:val="22"/>
          <w:szCs w:val="22"/>
        </w:rPr>
        <w:t>police force as</w:t>
      </w:r>
      <w:r>
        <w:rPr>
          <w:rFonts w:asciiTheme="minorHAnsi" w:hAnsiTheme="minorHAnsi" w:cstheme="minorHAnsi"/>
          <w:color w:val="000000"/>
          <w:sz w:val="22"/>
          <w:szCs w:val="22"/>
        </w:rPr>
        <w:t xml:space="preserve"> a</w:t>
      </w:r>
      <w:r w:rsidRPr="00C11998">
        <w:rPr>
          <w:rFonts w:asciiTheme="minorHAnsi" w:hAnsiTheme="minorHAnsi" w:cstheme="minorHAnsi"/>
          <w:color w:val="000000"/>
          <w:sz w:val="22"/>
          <w:szCs w:val="22"/>
        </w:rPr>
        <w:t xml:space="preserve"> whole.</w:t>
      </w:r>
    </w:p>
    <w:p w14:paraId="54221E38" w14:textId="77777777" w:rsidR="002E5ED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The Institute of Employment Studies defines organisational justice as</w:t>
      </w:r>
      <w:r>
        <w:rPr>
          <w:rFonts w:asciiTheme="minorHAnsi" w:hAnsiTheme="minorHAnsi" w:cstheme="minorHAnsi"/>
          <w:color w:val="000000"/>
          <w:sz w:val="22"/>
          <w:szCs w:val="22"/>
        </w:rPr>
        <w:t>:</w:t>
      </w:r>
    </w:p>
    <w:p w14:paraId="3BEE2FCC" w14:textId="77777777" w:rsidR="002E5ED8" w:rsidRDefault="002E5ED8" w:rsidP="00BE4797">
      <w:pPr>
        <w:pStyle w:val="NormalWeb"/>
        <w:spacing w:line="276" w:lineRule="auto"/>
        <w:ind w:left="720"/>
        <w:rPr>
          <w:rFonts w:asciiTheme="minorHAnsi" w:hAnsiTheme="minorHAnsi" w:cstheme="minorHAnsi"/>
          <w:color w:val="000000"/>
          <w:sz w:val="22"/>
          <w:szCs w:val="22"/>
        </w:rPr>
      </w:pPr>
      <w:r w:rsidRPr="00C11998">
        <w:rPr>
          <w:rFonts w:asciiTheme="minorHAnsi" w:hAnsiTheme="minorHAnsi" w:cstheme="minorHAnsi"/>
          <w:color w:val="000000"/>
          <w:sz w:val="22"/>
          <w:szCs w:val="22"/>
        </w:rPr>
        <w:t xml:space="preserve"> </w:t>
      </w:r>
      <w:r>
        <w:rPr>
          <w:rFonts w:asciiTheme="minorHAnsi" w:hAnsiTheme="minorHAnsi" w:cstheme="minorHAnsi"/>
          <w:color w:val="000000"/>
          <w:sz w:val="22"/>
          <w:szCs w:val="22"/>
        </w:rPr>
        <w:t>“the</w:t>
      </w:r>
      <w:r w:rsidRPr="00C11998">
        <w:rPr>
          <w:rFonts w:asciiTheme="minorHAnsi" w:hAnsiTheme="minorHAnsi" w:cstheme="minorHAnsi"/>
          <w:color w:val="000000"/>
          <w:sz w:val="22"/>
          <w:szCs w:val="22"/>
        </w:rPr>
        <w:t xml:space="preserve"> extent to which employees perceive workplace procedures, interactions and outcomes to be fair in nature.</w:t>
      </w:r>
      <w:r>
        <w:rPr>
          <w:rFonts w:asciiTheme="minorHAnsi" w:hAnsiTheme="minorHAnsi" w:cstheme="minorHAnsi"/>
          <w:color w:val="000000"/>
          <w:sz w:val="22"/>
          <w:szCs w:val="22"/>
        </w:rPr>
        <w:t xml:space="preserve"> </w:t>
      </w:r>
      <w:r w:rsidRPr="00C11998">
        <w:rPr>
          <w:rFonts w:asciiTheme="minorHAnsi" w:hAnsiTheme="minorHAnsi" w:cstheme="minorHAnsi"/>
          <w:color w:val="000000"/>
          <w:sz w:val="22"/>
          <w:szCs w:val="22"/>
        </w:rPr>
        <w:t xml:space="preserve">These perceptions can influence attitudes and behaviour for good or </w:t>
      </w:r>
      <w:r>
        <w:rPr>
          <w:rFonts w:asciiTheme="minorHAnsi" w:hAnsiTheme="minorHAnsi" w:cstheme="minorHAnsi"/>
          <w:color w:val="000000"/>
          <w:sz w:val="22"/>
          <w:szCs w:val="22"/>
        </w:rPr>
        <w:t>bad</w:t>
      </w:r>
      <w:r w:rsidRPr="00C11998">
        <w:rPr>
          <w:rFonts w:asciiTheme="minorHAnsi" w:hAnsiTheme="minorHAnsi" w:cstheme="minorHAnsi"/>
          <w:color w:val="000000"/>
          <w:sz w:val="22"/>
          <w:szCs w:val="22"/>
        </w:rPr>
        <w:t>, in turn having a positive or negative impact on employee performance and the organisation's success</w:t>
      </w:r>
      <w:r>
        <w:rPr>
          <w:rFonts w:asciiTheme="minorHAnsi" w:hAnsiTheme="minorHAnsi" w:cstheme="minorHAnsi"/>
          <w:color w:val="000000"/>
          <w:sz w:val="22"/>
          <w:szCs w:val="22"/>
        </w:rPr>
        <w:t>”</w:t>
      </w:r>
    </w:p>
    <w:p w14:paraId="3BAC7CB3" w14:textId="77777777" w:rsidR="002E5ED8" w:rsidRDefault="002E5ED8" w:rsidP="00BE4797">
      <w:pPr>
        <w:pStyle w:val="NormalWeb"/>
        <w:spacing w:line="276" w:lineRule="auto"/>
        <w:rPr>
          <w:rFonts w:asciiTheme="minorHAnsi" w:hAnsiTheme="minorHAnsi" w:cstheme="minorHAnsi"/>
          <w:color w:val="000000"/>
          <w:sz w:val="22"/>
          <w:szCs w:val="22"/>
        </w:rPr>
      </w:pP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r>
      <w:r>
        <w:rPr>
          <w:rFonts w:asciiTheme="minorHAnsi" w:hAnsiTheme="minorHAnsi" w:cstheme="minorHAnsi"/>
          <w:color w:val="000000"/>
          <w:sz w:val="22"/>
          <w:szCs w:val="22"/>
        </w:rPr>
        <w:tab/>
        <w:t xml:space="preserve"> </w:t>
      </w:r>
      <w:r>
        <w:rPr>
          <w:rFonts w:asciiTheme="minorHAnsi" w:hAnsiTheme="minorHAnsi" w:cstheme="minorHAnsi"/>
          <w:color w:val="000000"/>
          <w:sz w:val="22"/>
          <w:szCs w:val="22"/>
        </w:rPr>
        <w:fldChar w:fldCharType="begin" w:fldLock="1"/>
      </w:r>
      <w:r>
        <w:rPr>
          <w:rFonts w:asciiTheme="minorHAnsi" w:hAnsiTheme="minorHAnsi" w:cstheme="minorHAnsi"/>
          <w:color w:val="000000"/>
          <w:sz w:val="22"/>
          <w:szCs w:val="22"/>
        </w:rPr>
        <w:instrText>ADDIN CSL_CITATION {"citationItems":[{"id":"ITEM-1","itemData":{"abstract":"The Institute for Employment Studies is an independent, apolitical, international centre of research and consultancy in human resource issues. It works closely with employers in the manufacturing, service and public sectors, government departments, agencies, and professional and employee bodies. For over 35 years the Institute has been a focus of knowledge and practical experience in employment and training policy, the operation of labour markets and human resource planning and development. IES is a not-for-profit organisation which has over 60 multidisciplinary staff and international associates. IES expertise is available to all organisations through research, consultancy, publications and the Internet. IES aims to help bring about sustainable improvements in employment policy and human resource management. IES achieves this by increasing the understanding and improving the practice of key decision makers in policy bodies and employing organisations.","author":[{"dropping-particle":"","family":"Baldwin","given":"Susanna","non-dropping-particle":"","parse-names":false,"suffix":""},{"dropping-particle":"","family":"Building","given":"Mantell","non-dropping-particle":"","parse-names":false,"suffix":""},{"dropping-particle":"","family":"Justice","given":"Organisational","non-dropping-particle":"","parse-names":false,"suffix":""}],"id":"ITEM-1","issued":{"date-parts":[["2006"]]},"page":"1-15","title":"Organisational Justice INSTITUTE FOR EMPLOYMENT STUDIES The Institute for Employment Studies","type":"article-journal"},"uris":["http://www.mendeley.com/documents/?uuid=81af4827-8802-3f3f-8045-f96beab34807"]}],"mendeley":{"formattedCitation":"(Baldwin, Building and Justice, 2006)","manualFormatting":"(Baldwin, Building and Justice, 2006, p3)","plainTextFormattedCitation":"(Baldwin, Building and Justice, 2006)","previouslyFormattedCitation":"(Baldwin, Building and Justice, 2006)"},"properties":{"noteIndex":0},"schema":"https://github.com/citation-style-language/schema/raw/master/csl-citation.json"}</w:instrText>
      </w:r>
      <w:r>
        <w:rPr>
          <w:rFonts w:asciiTheme="minorHAnsi" w:hAnsiTheme="minorHAnsi" w:cstheme="minorHAnsi"/>
          <w:color w:val="000000"/>
          <w:sz w:val="22"/>
          <w:szCs w:val="22"/>
        </w:rPr>
        <w:fldChar w:fldCharType="separate"/>
      </w:r>
      <w:r w:rsidRPr="00AE2C11">
        <w:rPr>
          <w:rFonts w:asciiTheme="minorHAnsi" w:hAnsiTheme="minorHAnsi" w:cstheme="minorHAnsi"/>
          <w:noProof/>
          <w:color w:val="000000"/>
          <w:sz w:val="22"/>
          <w:szCs w:val="22"/>
        </w:rPr>
        <w:t>(Baldwin, Building and Justice, 2006</w:t>
      </w:r>
      <w:r>
        <w:rPr>
          <w:rFonts w:asciiTheme="minorHAnsi" w:hAnsiTheme="minorHAnsi" w:cstheme="minorHAnsi"/>
          <w:noProof/>
          <w:color w:val="000000"/>
          <w:sz w:val="22"/>
          <w:szCs w:val="22"/>
        </w:rPr>
        <w:t>, p3</w:t>
      </w:r>
      <w:r w:rsidRPr="00AE2C11">
        <w:rPr>
          <w:rFonts w:asciiTheme="minorHAnsi" w:hAnsiTheme="minorHAnsi" w:cstheme="minorHAnsi"/>
          <w:noProof/>
          <w:color w:val="000000"/>
          <w:sz w:val="22"/>
          <w:szCs w:val="22"/>
        </w:rPr>
        <w:t>)</w:t>
      </w:r>
      <w:r>
        <w:rPr>
          <w:rFonts w:asciiTheme="minorHAnsi" w:hAnsiTheme="minorHAnsi" w:cstheme="minorHAnsi"/>
          <w:color w:val="000000"/>
          <w:sz w:val="22"/>
          <w:szCs w:val="22"/>
        </w:rPr>
        <w:fldChar w:fldCharType="end"/>
      </w:r>
      <w:r>
        <w:rPr>
          <w:rFonts w:asciiTheme="minorHAnsi" w:hAnsiTheme="minorHAnsi" w:cstheme="minorHAnsi"/>
          <w:color w:val="000000"/>
          <w:sz w:val="22"/>
          <w:szCs w:val="22"/>
        </w:rPr>
        <w:t xml:space="preserve">. </w:t>
      </w:r>
    </w:p>
    <w:p w14:paraId="6338C5D4"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Organisational justice is based on individual judgment and perception of how and employee’s feel on how their establishment makes decisions. What employee’s think is unfair or fair depends on their perception and this eventually has an impact on the employee’s performance level.</w:t>
      </w:r>
      <w:r>
        <w:rPr>
          <w:rFonts w:asciiTheme="minorHAnsi" w:hAnsiTheme="minorHAnsi" w:cstheme="minorHAnsi"/>
          <w:color w:val="000000"/>
          <w:sz w:val="22"/>
          <w:szCs w:val="22"/>
        </w:rPr>
        <w:t xml:space="preserve"> It is worth also noting that I have seen this take effect more so when a large percentage of the work force feel the same it can alter other </w:t>
      </w:r>
      <w:proofErr w:type="spellStart"/>
      <w:r>
        <w:rPr>
          <w:rFonts w:asciiTheme="minorHAnsi" w:hAnsiTheme="minorHAnsi" w:cstheme="minorHAnsi"/>
          <w:color w:val="000000"/>
          <w:sz w:val="22"/>
          <w:szCs w:val="22"/>
        </w:rPr>
        <w:t>peoples</w:t>
      </w:r>
      <w:proofErr w:type="spellEnd"/>
      <w:r>
        <w:rPr>
          <w:rFonts w:asciiTheme="minorHAnsi" w:hAnsiTheme="minorHAnsi" w:cstheme="minorHAnsi"/>
          <w:color w:val="000000"/>
          <w:sz w:val="22"/>
          <w:szCs w:val="22"/>
        </w:rPr>
        <w:t xml:space="preserve"> opinions. </w:t>
      </w:r>
    </w:p>
    <w:p w14:paraId="140A37F3"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Distributive Organisational justice</w:t>
      </w:r>
      <w:r>
        <w:rPr>
          <w:rFonts w:asciiTheme="minorHAnsi" w:hAnsiTheme="minorHAnsi" w:cstheme="minorHAnsi"/>
          <w:color w:val="000000"/>
          <w:sz w:val="22"/>
          <w:szCs w:val="22"/>
        </w:rPr>
        <w:t xml:space="preserve"> </w:t>
      </w:r>
      <w:r w:rsidRPr="00C11998">
        <w:rPr>
          <w:rFonts w:asciiTheme="minorHAnsi" w:hAnsiTheme="minorHAnsi" w:cstheme="minorHAnsi"/>
          <w:color w:val="000000"/>
          <w:sz w:val="22"/>
          <w:szCs w:val="22"/>
        </w:rPr>
        <w:t>relates to input vs output. Whether the employee feels the effort they put in is proportionate to the output from the employer. For example, the employee’s experience, effort levels, training, education, and the output could be promotion, pay rise, job security and career opportunities. Organisations can distribute organisational justice by tangible means, intangible e.g. feedback and by communicating effectively with their employees. If the ratio of input v output are equal, then employees may feel satisfied, if they are unequal then they may change their input to meet the output. This can have a negative effect, if the organisations output is lower than that of the employees perceived input. Furthermore</w:t>
      </w:r>
      <w:r>
        <w:rPr>
          <w:rFonts w:asciiTheme="minorHAnsi" w:hAnsiTheme="minorHAnsi" w:cstheme="minorHAnsi"/>
          <w:color w:val="000000"/>
          <w:sz w:val="22"/>
          <w:szCs w:val="22"/>
        </w:rPr>
        <w:t>,</w:t>
      </w:r>
      <w:r w:rsidRPr="00C11998">
        <w:rPr>
          <w:rFonts w:asciiTheme="minorHAnsi" w:hAnsiTheme="minorHAnsi" w:cstheme="minorHAnsi"/>
          <w:color w:val="000000"/>
          <w:sz w:val="22"/>
          <w:szCs w:val="22"/>
        </w:rPr>
        <w:t xml:space="preserve"> police officers deal with incidents which can result in a risk to officer’s lives, therefore the police as an organisation must significantly support officers in </w:t>
      </w:r>
      <w:r>
        <w:rPr>
          <w:rFonts w:asciiTheme="minorHAnsi" w:hAnsiTheme="minorHAnsi" w:cstheme="minorHAnsi"/>
          <w:color w:val="000000"/>
          <w:sz w:val="22"/>
          <w:szCs w:val="22"/>
        </w:rPr>
        <w:t>more specific ways unlike other employees, as currently</w:t>
      </w:r>
      <w:r w:rsidRPr="00C11998">
        <w:rPr>
          <w:rFonts w:asciiTheme="minorHAnsi" w:hAnsiTheme="minorHAnsi" w:cstheme="minorHAnsi"/>
          <w:color w:val="000000"/>
          <w:sz w:val="22"/>
          <w:szCs w:val="22"/>
        </w:rPr>
        <w:t xml:space="preserve"> more and more police officers are leaving the force having </w:t>
      </w:r>
      <w:r>
        <w:rPr>
          <w:rFonts w:asciiTheme="minorHAnsi" w:hAnsiTheme="minorHAnsi" w:cstheme="minorHAnsi"/>
          <w:color w:val="000000"/>
          <w:sz w:val="22"/>
          <w:szCs w:val="22"/>
        </w:rPr>
        <w:t>as</w:t>
      </w:r>
      <w:r w:rsidRPr="00C11998">
        <w:rPr>
          <w:rFonts w:asciiTheme="minorHAnsi" w:hAnsiTheme="minorHAnsi" w:cstheme="minorHAnsi"/>
          <w:color w:val="000000"/>
          <w:sz w:val="22"/>
          <w:szCs w:val="22"/>
        </w:rPr>
        <w:t xml:space="preserve"> they</w:t>
      </w:r>
      <w:r>
        <w:rPr>
          <w:rFonts w:asciiTheme="minorHAnsi" w:hAnsiTheme="minorHAnsi" w:cstheme="minorHAnsi"/>
          <w:color w:val="000000"/>
          <w:sz w:val="22"/>
          <w:szCs w:val="22"/>
        </w:rPr>
        <w:t xml:space="preserve"> feel they</w:t>
      </w:r>
      <w:r w:rsidRPr="00C11998">
        <w:rPr>
          <w:rFonts w:asciiTheme="minorHAnsi" w:hAnsiTheme="minorHAnsi" w:cstheme="minorHAnsi"/>
          <w:color w:val="000000"/>
          <w:sz w:val="22"/>
          <w:szCs w:val="22"/>
        </w:rPr>
        <w:t xml:space="preserve"> are </w:t>
      </w:r>
      <w:r>
        <w:rPr>
          <w:rFonts w:asciiTheme="minorHAnsi" w:hAnsiTheme="minorHAnsi" w:cstheme="minorHAnsi"/>
          <w:color w:val="000000"/>
          <w:sz w:val="22"/>
          <w:szCs w:val="22"/>
        </w:rPr>
        <w:t>not being</w:t>
      </w:r>
      <w:r w:rsidRPr="00C11998">
        <w:rPr>
          <w:rFonts w:asciiTheme="minorHAnsi" w:hAnsiTheme="minorHAnsi" w:cstheme="minorHAnsi"/>
          <w:color w:val="000000"/>
          <w:sz w:val="22"/>
          <w:szCs w:val="22"/>
        </w:rPr>
        <w:t xml:space="preserve"> treated</w:t>
      </w:r>
      <w:r>
        <w:rPr>
          <w:rFonts w:asciiTheme="minorHAnsi" w:hAnsiTheme="minorHAnsi" w:cstheme="minorHAnsi"/>
          <w:color w:val="000000"/>
          <w:sz w:val="22"/>
          <w:szCs w:val="22"/>
        </w:rPr>
        <w:t xml:space="preserve"> </w:t>
      </w:r>
      <w:r w:rsidRPr="00C11998">
        <w:rPr>
          <w:rFonts w:asciiTheme="minorHAnsi" w:hAnsiTheme="minorHAnsi" w:cstheme="minorHAnsi"/>
          <w:color w:val="000000"/>
          <w:sz w:val="22"/>
          <w:szCs w:val="22"/>
        </w:rPr>
        <w:t>fairly</w:t>
      </w:r>
      <w:r>
        <w:rPr>
          <w:rFonts w:asciiTheme="minorHAnsi" w:hAnsiTheme="minorHAnsi" w:cstheme="minorHAnsi"/>
          <w:color w:val="000000"/>
          <w:sz w:val="22"/>
          <w:szCs w:val="22"/>
        </w:rPr>
        <w:t xml:space="preserve"> or like they are supported to complete the job</w:t>
      </w:r>
      <w:r w:rsidRPr="00C11998">
        <w:rPr>
          <w:rFonts w:asciiTheme="minorHAnsi" w:hAnsiTheme="minorHAnsi" w:cstheme="minorHAnsi"/>
          <w:color w:val="000000"/>
          <w:sz w:val="22"/>
          <w:szCs w:val="22"/>
        </w:rPr>
        <w:t xml:space="preserve"> i.e. the output from the organisation does not meet their perceived input. Officers asking the questions “should police pay reflect the dangers of the job?”</w:t>
      </w:r>
    </w:p>
    <w:p w14:paraId="67112843"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Procedural organisational Justice consists of whether the employee believes the procedure used by the organisation decision making is fair or unfair. Employees will feel that procedural organisational justice has occurred when they are given a voice in the decision-making. This gives confirmation that the employee is valued and heard within the organisation. In order for procedural justice to be followed the employer must be consistent, ethical, accurate, objective and represented. Therefore employees need to feel they are respected and treated fairly and equally to those carrying out the same role.</w:t>
      </w:r>
    </w:p>
    <w:p w14:paraId="18427B04"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lastRenderedPageBreak/>
        <w:t xml:space="preserve">The importance of this within policing can determine the effectiveness of a team. If members of </w:t>
      </w:r>
      <w:r>
        <w:rPr>
          <w:rFonts w:asciiTheme="minorHAnsi" w:hAnsiTheme="minorHAnsi" w:cstheme="minorHAnsi"/>
          <w:color w:val="000000"/>
          <w:sz w:val="22"/>
          <w:szCs w:val="22"/>
        </w:rPr>
        <w:t>a</w:t>
      </w:r>
      <w:r w:rsidRPr="00C11998">
        <w:rPr>
          <w:rFonts w:asciiTheme="minorHAnsi" w:hAnsiTheme="minorHAnsi" w:cstheme="minorHAnsi"/>
          <w:color w:val="000000"/>
          <w:sz w:val="22"/>
          <w:szCs w:val="22"/>
        </w:rPr>
        <w:t xml:space="preserve"> team do not believe that they are being treated fairly and equally to those around them and given equal opportunity then this can cause an imbalance amongst the team. This can lead to feelings of resentment to members of the team. Those who perceive this imbalance may become unwilling to support members of their team thus leading to poor working relationships. </w:t>
      </w:r>
      <w:r>
        <w:rPr>
          <w:rFonts w:asciiTheme="minorHAnsi" w:hAnsiTheme="minorHAnsi" w:cstheme="minorHAnsi"/>
          <w:color w:val="000000"/>
          <w:sz w:val="22"/>
          <w:szCs w:val="22"/>
        </w:rPr>
        <w:t>If this was to prevail</w:t>
      </w:r>
      <w:r w:rsidRPr="00C11998">
        <w:rPr>
          <w:rFonts w:asciiTheme="minorHAnsi" w:hAnsiTheme="minorHAnsi" w:cstheme="minorHAnsi"/>
          <w:color w:val="000000"/>
          <w:sz w:val="22"/>
          <w:szCs w:val="22"/>
        </w:rPr>
        <w:t xml:space="preserve"> amongst policing</w:t>
      </w:r>
      <w:r>
        <w:rPr>
          <w:rFonts w:asciiTheme="minorHAnsi" w:hAnsiTheme="minorHAnsi" w:cstheme="minorHAnsi"/>
          <w:color w:val="000000"/>
          <w:sz w:val="22"/>
          <w:szCs w:val="22"/>
        </w:rPr>
        <w:t xml:space="preserve"> it would have a </w:t>
      </w:r>
      <w:proofErr w:type="spellStart"/>
      <w:r>
        <w:rPr>
          <w:rFonts w:asciiTheme="minorHAnsi" w:hAnsiTheme="minorHAnsi" w:cstheme="minorHAnsi"/>
          <w:color w:val="000000"/>
          <w:sz w:val="22"/>
          <w:szCs w:val="22"/>
        </w:rPr>
        <w:t>noticable</w:t>
      </w:r>
      <w:proofErr w:type="spellEnd"/>
      <w:r w:rsidRPr="00C11998">
        <w:rPr>
          <w:rFonts w:asciiTheme="minorHAnsi" w:hAnsiTheme="minorHAnsi" w:cstheme="minorHAnsi"/>
          <w:color w:val="000000"/>
          <w:sz w:val="22"/>
          <w:szCs w:val="22"/>
        </w:rPr>
        <w:t xml:space="preserve"> effect on customer service</w:t>
      </w:r>
      <w:r>
        <w:rPr>
          <w:rFonts w:asciiTheme="minorHAnsi" w:hAnsiTheme="minorHAnsi" w:cstheme="minorHAnsi"/>
          <w:color w:val="000000"/>
          <w:sz w:val="22"/>
          <w:szCs w:val="22"/>
        </w:rPr>
        <w:t xml:space="preserve"> which would then alter the views and feelings of the public correctly or professionally</w:t>
      </w:r>
      <w:r w:rsidRPr="00C11998">
        <w:rPr>
          <w:rFonts w:asciiTheme="minorHAnsi" w:hAnsiTheme="minorHAnsi" w:cstheme="minorHAnsi"/>
          <w:color w:val="000000"/>
          <w:sz w:val="22"/>
          <w:szCs w:val="22"/>
        </w:rPr>
        <w:t>. There is a positive correlation between ethical leadership and the perceived support</w:t>
      </w:r>
      <w:r>
        <w:rPr>
          <w:rFonts w:asciiTheme="minorHAnsi" w:hAnsiTheme="minorHAnsi" w:cstheme="minorHAnsi"/>
          <w:color w:val="000000"/>
          <w:sz w:val="22"/>
          <w:szCs w:val="22"/>
        </w:rPr>
        <w:t xml:space="preserve"> </w:t>
      </w:r>
      <w:r w:rsidRPr="00C11998">
        <w:rPr>
          <w:rFonts w:asciiTheme="minorHAnsi" w:hAnsiTheme="minorHAnsi" w:cstheme="minorHAnsi"/>
          <w:color w:val="000000"/>
          <w:sz w:val="22"/>
          <w:szCs w:val="22"/>
        </w:rPr>
        <w:t>from supervisors</w:t>
      </w:r>
      <w:r>
        <w:rPr>
          <w:rFonts w:asciiTheme="minorHAnsi" w:hAnsiTheme="minorHAnsi" w:cstheme="minorHAnsi"/>
          <w:color w:val="000000"/>
          <w:sz w:val="22"/>
          <w:szCs w:val="22"/>
        </w:rPr>
        <w:t xml:space="preserve">, the supervisors that serve </w:t>
      </w:r>
      <w:proofErr w:type="spellStart"/>
      <w:r>
        <w:rPr>
          <w:rFonts w:asciiTheme="minorHAnsi" w:hAnsiTheme="minorHAnsi" w:cstheme="minorHAnsi"/>
          <w:color w:val="000000"/>
          <w:sz w:val="22"/>
          <w:szCs w:val="22"/>
        </w:rPr>
        <w:t>there</w:t>
      </w:r>
      <w:proofErr w:type="spellEnd"/>
      <w:r w:rsidRPr="00C11998">
        <w:rPr>
          <w:rFonts w:asciiTheme="minorHAnsi" w:hAnsiTheme="minorHAnsi" w:cstheme="minorHAnsi"/>
          <w:color w:val="000000"/>
          <w:sz w:val="22"/>
          <w:szCs w:val="22"/>
        </w:rPr>
        <w:t xml:space="preserve"> teams and their obligations </w:t>
      </w:r>
      <w:r>
        <w:rPr>
          <w:rFonts w:asciiTheme="minorHAnsi" w:hAnsiTheme="minorHAnsi" w:cstheme="minorHAnsi"/>
          <w:color w:val="000000"/>
          <w:sz w:val="22"/>
          <w:szCs w:val="22"/>
        </w:rPr>
        <w:t>will always produce a</w:t>
      </w:r>
      <w:r w:rsidRPr="00C11998">
        <w:rPr>
          <w:rFonts w:asciiTheme="minorHAnsi" w:hAnsiTheme="minorHAnsi" w:cstheme="minorHAnsi"/>
          <w:color w:val="000000"/>
          <w:sz w:val="22"/>
          <w:szCs w:val="22"/>
        </w:rPr>
        <w:t xml:space="preserve"> perform</w:t>
      </w:r>
      <w:r>
        <w:rPr>
          <w:rFonts w:asciiTheme="minorHAnsi" w:hAnsiTheme="minorHAnsi" w:cstheme="minorHAnsi"/>
          <w:color w:val="000000"/>
          <w:sz w:val="22"/>
          <w:szCs w:val="22"/>
        </w:rPr>
        <w:t>ing team</w:t>
      </w:r>
      <w:r w:rsidRPr="00C11998">
        <w:rPr>
          <w:rFonts w:asciiTheme="minorHAnsi" w:hAnsiTheme="minorHAnsi" w:cstheme="minorHAnsi"/>
          <w:color w:val="000000"/>
          <w:sz w:val="22"/>
          <w:szCs w:val="22"/>
        </w:rPr>
        <w:t xml:space="preserve">. </w:t>
      </w:r>
      <w:r>
        <w:rPr>
          <w:rFonts w:asciiTheme="minorHAnsi" w:hAnsiTheme="minorHAnsi" w:cstheme="minorHAnsi"/>
          <w:color w:val="000000"/>
          <w:sz w:val="22"/>
          <w:szCs w:val="22"/>
        </w:rPr>
        <w:t xml:space="preserve">Such findings prove that if a </w:t>
      </w:r>
      <w:r w:rsidRPr="00C11998">
        <w:rPr>
          <w:rFonts w:asciiTheme="minorHAnsi" w:hAnsiTheme="minorHAnsi" w:cstheme="minorHAnsi"/>
          <w:color w:val="000000"/>
          <w:sz w:val="22"/>
          <w:szCs w:val="22"/>
        </w:rPr>
        <w:t xml:space="preserve"> </w:t>
      </w:r>
      <w:r>
        <w:rPr>
          <w:rFonts w:asciiTheme="minorHAnsi" w:hAnsiTheme="minorHAnsi" w:cstheme="minorHAnsi"/>
          <w:color w:val="000000"/>
          <w:sz w:val="22"/>
          <w:szCs w:val="22"/>
        </w:rPr>
        <w:t>manager</w:t>
      </w:r>
      <w:r w:rsidRPr="00C11998">
        <w:rPr>
          <w:rFonts w:asciiTheme="minorHAnsi" w:hAnsiTheme="minorHAnsi" w:cstheme="minorHAnsi"/>
          <w:color w:val="000000"/>
          <w:sz w:val="22"/>
          <w:szCs w:val="22"/>
        </w:rPr>
        <w:t xml:space="preserve"> treat</w:t>
      </w:r>
      <w:r>
        <w:rPr>
          <w:rFonts w:asciiTheme="minorHAnsi" w:hAnsiTheme="minorHAnsi" w:cstheme="minorHAnsi"/>
          <w:color w:val="000000"/>
          <w:sz w:val="22"/>
          <w:szCs w:val="22"/>
        </w:rPr>
        <w:t>s</w:t>
      </w:r>
      <w:r w:rsidRPr="00C11998">
        <w:rPr>
          <w:rFonts w:asciiTheme="minorHAnsi" w:hAnsiTheme="minorHAnsi" w:cstheme="minorHAnsi"/>
          <w:color w:val="000000"/>
          <w:sz w:val="22"/>
          <w:szCs w:val="22"/>
        </w:rPr>
        <w:t xml:space="preserve"> </w:t>
      </w:r>
      <w:r>
        <w:rPr>
          <w:rFonts w:asciiTheme="minorHAnsi" w:hAnsiTheme="minorHAnsi" w:cstheme="minorHAnsi"/>
          <w:color w:val="000000"/>
          <w:sz w:val="22"/>
          <w:szCs w:val="22"/>
        </w:rPr>
        <w:t>subordinates</w:t>
      </w:r>
      <w:r w:rsidRPr="00C11998">
        <w:rPr>
          <w:rFonts w:asciiTheme="minorHAnsi" w:hAnsiTheme="minorHAnsi" w:cstheme="minorHAnsi"/>
          <w:color w:val="000000"/>
          <w:sz w:val="22"/>
          <w:szCs w:val="22"/>
        </w:rPr>
        <w:t xml:space="preserve"> fairly</w:t>
      </w:r>
      <w:r>
        <w:rPr>
          <w:rFonts w:asciiTheme="minorHAnsi" w:hAnsiTheme="minorHAnsi" w:cstheme="minorHAnsi"/>
          <w:color w:val="000000"/>
          <w:sz w:val="22"/>
          <w:szCs w:val="22"/>
        </w:rPr>
        <w:t xml:space="preserve"> it will</w:t>
      </w:r>
      <w:r w:rsidRPr="00C11998">
        <w:rPr>
          <w:rFonts w:asciiTheme="minorHAnsi" w:hAnsiTheme="minorHAnsi" w:cstheme="minorHAnsi"/>
          <w:color w:val="000000"/>
          <w:sz w:val="22"/>
          <w:szCs w:val="22"/>
        </w:rPr>
        <w:t xml:space="preserve"> ha</w:t>
      </w:r>
      <w:r>
        <w:rPr>
          <w:rFonts w:asciiTheme="minorHAnsi" w:hAnsiTheme="minorHAnsi" w:cstheme="minorHAnsi"/>
          <w:color w:val="000000"/>
          <w:sz w:val="22"/>
          <w:szCs w:val="22"/>
        </w:rPr>
        <w:t>ve</w:t>
      </w:r>
      <w:r w:rsidRPr="00C11998">
        <w:rPr>
          <w:rFonts w:asciiTheme="minorHAnsi" w:hAnsiTheme="minorHAnsi" w:cstheme="minorHAnsi"/>
          <w:color w:val="000000"/>
          <w:sz w:val="22"/>
          <w:szCs w:val="22"/>
        </w:rPr>
        <w:t xml:space="preserve"> a positive impact and benefit an </w:t>
      </w:r>
      <w:r>
        <w:rPr>
          <w:rFonts w:asciiTheme="minorHAnsi" w:hAnsiTheme="minorHAnsi" w:cstheme="minorHAnsi"/>
          <w:color w:val="000000"/>
          <w:sz w:val="22"/>
          <w:szCs w:val="22"/>
        </w:rPr>
        <w:t xml:space="preserve">the </w:t>
      </w:r>
      <w:r w:rsidRPr="00C11998">
        <w:rPr>
          <w:rFonts w:asciiTheme="minorHAnsi" w:hAnsiTheme="minorHAnsi" w:cstheme="minorHAnsi"/>
          <w:color w:val="000000"/>
          <w:sz w:val="22"/>
          <w:szCs w:val="22"/>
        </w:rPr>
        <w:t>organisation</w:t>
      </w:r>
      <w:r>
        <w:rPr>
          <w:rFonts w:asciiTheme="minorHAnsi" w:hAnsiTheme="minorHAnsi" w:cstheme="minorHAnsi"/>
          <w:color w:val="000000"/>
          <w:sz w:val="22"/>
          <w:szCs w:val="22"/>
        </w:rPr>
        <w:t>,</w:t>
      </w:r>
      <w:r w:rsidRPr="00C11998">
        <w:rPr>
          <w:rFonts w:asciiTheme="minorHAnsi" w:hAnsiTheme="minorHAnsi" w:cstheme="minorHAnsi"/>
          <w:color w:val="000000"/>
          <w:sz w:val="22"/>
          <w:szCs w:val="22"/>
        </w:rPr>
        <w:t xml:space="preserve"> </w:t>
      </w:r>
      <w:r>
        <w:rPr>
          <w:rFonts w:asciiTheme="minorHAnsi" w:hAnsiTheme="minorHAnsi" w:cstheme="minorHAnsi"/>
          <w:color w:val="000000"/>
          <w:sz w:val="22"/>
          <w:szCs w:val="22"/>
        </w:rPr>
        <w:t>r</w:t>
      </w:r>
      <w:r w:rsidRPr="00C11998">
        <w:rPr>
          <w:rFonts w:asciiTheme="minorHAnsi" w:hAnsiTheme="minorHAnsi" w:cstheme="minorHAnsi"/>
          <w:color w:val="000000"/>
          <w:sz w:val="22"/>
          <w:szCs w:val="22"/>
        </w:rPr>
        <w:t>esulting in employees feeling fairly treated and working as a team effectively generat</w:t>
      </w:r>
      <w:r>
        <w:rPr>
          <w:rFonts w:asciiTheme="minorHAnsi" w:hAnsiTheme="minorHAnsi" w:cstheme="minorHAnsi"/>
          <w:color w:val="000000"/>
          <w:sz w:val="22"/>
          <w:szCs w:val="22"/>
        </w:rPr>
        <w:t>es</w:t>
      </w:r>
      <w:r w:rsidRPr="00C11998">
        <w:rPr>
          <w:rFonts w:asciiTheme="minorHAnsi" w:hAnsiTheme="minorHAnsi" w:cstheme="minorHAnsi"/>
          <w:color w:val="000000"/>
          <w:sz w:val="22"/>
          <w:szCs w:val="22"/>
        </w:rPr>
        <w:t xml:space="preserve"> a positive outcome for all.</w:t>
      </w:r>
    </w:p>
    <w:p w14:paraId="497618C7"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Interactional Organisational Justice</w:t>
      </w:r>
      <w:r>
        <w:rPr>
          <w:rFonts w:asciiTheme="minorHAnsi" w:hAnsiTheme="minorHAnsi" w:cstheme="minorHAnsi"/>
          <w:color w:val="000000"/>
          <w:sz w:val="22"/>
          <w:szCs w:val="22"/>
        </w:rPr>
        <w:t xml:space="preserve"> </w:t>
      </w:r>
      <w:r w:rsidRPr="00C11998">
        <w:rPr>
          <w:rFonts w:asciiTheme="minorHAnsi" w:hAnsiTheme="minorHAnsi" w:cstheme="minorHAnsi"/>
          <w:color w:val="000000"/>
          <w:sz w:val="22"/>
          <w:szCs w:val="22"/>
        </w:rPr>
        <w:t>is where the employee is concerned whether the information of an outcome was handled sensitively and appropriately by an organisation o</w:t>
      </w:r>
      <w:r>
        <w:rPr>
          <w:rFonts w:asciiTheme="minorHAnsi" w:hAnsiTheme="minorHAnsi" w:cstheme="minorHAnsi"/>
          <w:color w:val="000000"/>
          <w:sz w:val="22"/>
          <w:szCs w:val="22"/>
        </w:rPr>
        <w:t>r</w:t>
      </w:r>
      <w:r w:rsidRPr="00C11998">
        <w:rPr>
          <w:rFonts w:asciiTheme="minorHAnsi" w:hAnsiTheme="minorHAnsi" w:cstheme="minorHAnsi"/>
          <w:color w:val="000000"/>
          <w:sz w:val="22"/>
          <w:szCs w:val="22"/>
        </w:rPr>
        <w:t xml:space="preserve"> not. It is whether the employers have provided sufficient information/justification for their decision and whether the employees who it impacts are treated with compassion, respect </w:t>
      </w:r>
      <w:r>
        <w:rPr>
          <w:rFonts w:asciiTheme="minorHAnsi" w:hAnsiTheme="minorHAnsi" w:cstheme="minorHAnsi"/>
          <w:color w:val="000000"/>
          <w:sz w:val="22"/>
          <w:szCs w:val="22"/>
        </w:rPr>
        <w:t xml:space="preserve">with </w:t>
      </w:r>
      <w:r w:rsidRPr="00C11998">
        <w:rPr>
          <w:rFonts w:asciiTheme="minorHAnsi" w:hAnsiTheme="minorHAnsi" w:cstheme="minorHAnsi"/>
          <w:color w:val="000000"/>
          <w:sz w:val="22"/>
          <w:szCs w:val="22"/>
        </w:rPr>
        <w:t>their feelings taken into account.</w:t>
      </w:r>
    </w:p>
    <w:p w14:paraId="52A15957"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There are two types of interactional justice: interpersonal justice where the employee views the employer communicated the information with fairness and sensitivity, providing courtesy and respect to the ones effected. The second type is informational justice, the employee looks at the quality of the decision made, requiring the employer to explain themselves adequately, truthfully and specifically.</w:t>
      </w:r>
    </w:p>
    <w:p w14:paraId="12ED50A6"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If organisational justice is not found, absenteeism can often be a result. Poor engagement within distributive and procedural engagement where the employee has perceived a level of unfairness can affect a person’s health and wellbeing, resulting in stress, burn out, leading to sickness. Leading onto unwillingness and lack of motivation to turn up to work every day. This can have an effect in policing; less officers, resulting in a pattern of burnout and sickness, detrimentally effecting the levels of service the police can provide to the public. Resulting in a further dissatisfaction from the public it serves</w:t>
      </w:r>
      <w:r>
        <w:rPr>
          <w:rFonts w:asciiTheme="minorHAnsi" w:hAnsiTheme="minorHAnsi" w:cstheme="minorHAnsi"/>
          <w:color w:val="000000"/>
          <w:sz w:val="22"/>
          <w:szCs w:val="22"/>
        </w:rPr>
        <w:t>, all of which is an undesirable cycle.</w:t>
      </w:r>
    </w:p>
    <w:p w14:paraId="353BB551"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Employees, who are dissatisfied with their employers and their perception on how they are treated, will leave the organisation. Effecting costs for the organisation on needing to recruit further employees and train them. Furthermore</w:t>
      </w:r>
      <w:r>
        <w:rPr>
          <w:rFonts w:asciiTheme="minorHAnsi" w:hAnsiTheme="minorHAnsi" w:cstheme="minorHAnsi"/>
          <w:color w:val="000000"/>
          <w:sz w:val="22"/>
          <w:szCs w:val="22"/>
        </w:rPr>
        <w:t>,</w:t>
      </w:r>
      <w:r w:rsidRPr="00C11998">
        <w:rPr>
          <w:rFonts w:asciiTheme="minorHAnsi" w:hAnsiTheme="minorHAnsi" w:cstheme="minorHAnsi"/>
          <w:color w:val="000000"/>
          <w:sz w:val="22"/>
          <w:szCs w:val="22"/>
        </w:rPr>
        <w:t xml:space="preserve"> new staff members may be less experienced</w:t>
      </w:r>
      <w:r>
        <w:rPr>
          <w:rFonts w:asciiTheme="minorHAnsi" w:hAnsiTheme="minorHAnsi" w:cstheme="minorHAnsi"/>
          <w:color w:val="000000"/>
          <w:sz w:val="22"/>
          <w:szCs w:val="22"/>
        </w:rPr>
        <w:t xml:space="preserve"> thus diluting the skill pool and potentially</w:t>
      </w:r>
      <w:r w:rsidRPr="00C11998">
        <w:rPr>
          <w:rFonts w:asciiTheme="minorHAnsi" w:hAnsiTheme="minorHAnsi" w:cstheme="minorHAnsi"/>
          <w:color w:val="000000"/>
          <w:sz w:val="22"/>
          <w:szCs w:val="22"/>
        </w:rPr>
        <w:t xml:space="preserve"> impacting individuals who have been at the organisation for longer generating a larger workload, </w:t>
      </w:r>
      <w:r>
        <w:rPr>
          <w:rFonts w:asciiTheme="minorHAnsi" w:hAnsiTheme="minorHAnsi" w:cstheme="minorHAnsi"/>
          <w:color w:val="000000"/>
          <w:sz w:val="22"/>
          <w:szCs w:val="22"/>
        </w:rPr>
        <w:t>this would</w:t>
      </w:r>
      <w:r w:rsidRPr="00C11998">
        <w:rPr>
          <w:rFonts w:asciiTheme="minorHAnsi" w:hAnsiTheme="minorHAnsi" w:cstheme="minorHAnsi"/>
          <w:color w:val="000000"/>
          <w:sz w:val="22"/>
          <w:szCs w:val="22"/>
        </w:rPr>
        <w:t xml:space="preserve"> increase</w:t>
      </w:r>
      <w:r>
        <w:rPr>
          <w:rFonts w:asciiTheme="minorHAnsi" w:hAnsiTheme="minorHAnsi" w:cstheme="minorHAnsi"/>
          <w:color w:val="000000"/>
          <w:sz w:val="22"/>
          <w:szCs w:val="22"/>
        </w:rPr>
        <w:t xml:space="preserve"> </w:t>
      </w:r>
      <w:r w:rsidRPr="00C11998">
        <w:rPr>
          <w:rFonts w:asciiTheme="minorHAnsi" w:hAnsiTheme="minorHAnsi" w:cstheme="minorHAnsi"/>
          <w:color w:val="000000"/>
          <w:sz w:val="22"/>
          <w:szCs w:val="22"/>
        </w:rPr>
        <w:t>stress again</w:t>
      </w:r>
      <w:r>
        <w:rPr>
          <w:rFonts w:asciiTheme="minorHAnsi" w:hAnsiTheme="minorHAnsi" w:cstheme="minorHAnsi"/>
          <w:color w:val="000000"/>
          <w:sz w:val="22"/>
          <w:szCs w:val="22"/>
        </w:rPr>
        <w:t xml:space="preserve"> and effect</w:t>
      </w:r>
      <w:r w:rsidRPr="00C11998">
        <w:rPr>
          <w:rFonts w:asciiTheme="minorHAnsi" w:hAnsiTheme="minorHAnsi" w:cstheme="minorHAnsi"/>
          <w:color w:val="000000"/>
          <w:sz w:val="22"/>
          <w:szCs w:val="22"/>
        </w:rPr>
        <w:t xml:space="preserve"> their health and wellbeing and the cycle continues.</w:t>
      </w:r>
    </w:p>
    <w:p w14:paraId="4EA7A311" w14:textId="77777777" w:rsidR="002E5ED8" w:rsidRPr="00C11998" w:rsidRDefault="002E5ED8" w:rsidP="00BE4797">
      <w:pPr>
        <w:pStyle w:val="NormalWeb"/>
        <w:spacing w:line="276" w:lineRule="auto"/>
        <w:rPr>
          <w:rFonts w:asciiTheme="minorHAnsi" w:hAnsiTheme="minorHAnsi" w:cstheme="minorHAnsi"/>
          <w:color w:val="000000"/>
          <w:sz w:val="22"/>
          <w:szCs w:val="22"/>
        </w:rPr>
      </w:pPr>
      <w:r w:rsidRPr="00C11998">
        <w:rPr>
          <w:rFonts w:asciiTheme="minorHAnsi" w:hAnsiTheme="minorHAnsi" w:cstheme="minorHAnsi"/>
          <w:color w:val="000000"/>
          <w:sz w:val="22"/>
          <w:szCs w:val="22"/>
        </w:rPr>
        <w:t>Organisational justice is an effective management tool. Utilising the distributive, procedural and interactional justice as a mechanism to provide a</w:t>
      </w:r>
      <w:r>
        <w:rPr>
          <w:rFonts w:asciiTheme="minorHAnsi" w:hAnsiTheme="minorHAnsi" w:cstheme="minorHAnsi"/>
          <w:color w:val="000000"/>
          <w:sz w:val="22"/>
          <w:szCs w:val="22"/>
        </w:rPr>
        <w:t>n</w:t>
      </w:r>
      <w:r w:rsidRPr="00C11998">
        <w:rPr>
          <w:rFonts w:asciiTheme="minorHAnsi" w:hAnsiTheme="minorHAnsi" w:cstheme="minorHAnsi"/>
          <w:color w:val="000000"/>
          <w:sz w:val="22"/>
          <w:szCs w:val="22"/>
        </w:rPr>
        <w:t xml:space="preserve"> ethical, truthful and fulfilling role for an employee</w:t>
      </w:r>
      <w:r>
        <w:rPr>
          <w:rFonts w:asciiTheme="minorHAnsi" w:hAnsiTheme="minorHAnsi" w:cstheme="minorHAnsi"/>
          <w:color w:val="000000"/>
          <w:sz w:val="22"/>
          <w:szCs w:val="22"/>
        </w:rPr>
        <w:t>,</w:t>
      </w:r>
      <w:r w:rsidRPr="00C11998">
        <w:rPr>
          <w:rFonts w:asciiTheme="minorHAnsi" w:hAnsiTheme="minorHAnsi" w:cstheme="minorHAnsi"/>
          <w:color w:val="000000"/>
          <w:sz w:val="22"/>
          <w:szCs w:val="22"/>
        </w:rPr>
        <w:t xml:space="preserve"> not only </w:t>
      </w:r>
      <w:r>
        <w:rPr>
          <w:rFonts w:asciiTheme="minorHAnsi" w:hAnsiTheme="minorHAnsi" w:cstheme="minorHAnsi"/>
          <w:color w:val="000000"/>
          <w:sz w:val="22"/>
          <w:szCs w:val="22"/>
        </w:rPr>
        <w:t xml:space="preserve">does this </w:t>
      </w:r>
      <w:r w:rsidRPr="00C11998">
        <w:rPr>
          <w:rFonts w:asciiTheme="minorHAnsi" w:hAnsiTheme="minorHAnsi" w:cstheme="minorHAnsi"/>
          <w:color w:val="000000"/>
          <w:sz w:val="22"/>
          <w:szCs w:val="22"/>
        </w:rPr>
        <w:t>benefit the individual but</w:t>
      </w:r>
      <w:r>
        <w:rPr>
          <w:rFonts w:asciiTheme="minorHAnsi" w:hAnsiTheme="minorHAnsi" w:cstheme="minorHAnsi"/>
          <w:color w:val="000000"/>
          <w:sz w:val="22"/>
          <w:szCs w:val="22"/>
        </w:rPr>
        <w:t xml:space="preserve"> it greatly</w:t>
      </w:r>
      <w:r w:rsidRPr="00C11998">
        <w:rPr>
          <w:rFonts w:asciiTheme="minorHAnsi" w:hAnsiTheme="minorHAnsi" w:cstheme="minorHAnsi"/>
          <w:color w:val="000000"/>
          <w:sz w:val="22"/>
          <w:szCs w:val="22"/>
        </w:rPr>
        <w:t xml:space="preserve"> benefits the organisation as a whole. If employees believe they are respected and they have a voice amongst the organisation, they will provide their greatest work. Consequently, the public/customer will receive the service </w:t>
      </w:r>
      <w:r w:rsidRPr="00C11998">
        <w:rPr>
          <w:rFonts w:asciiTheme="minorHAnsi" w:hAnsiTheme="minorHAnsi" w:cstheme="minorHAnsi"/>
          <w:color w:val="000000"/>
          <w:sz w:val="22"/>
          <w:szCs w:val="22"/>
        </w:rPr>
        <w:lastRenderedPageBreak/>
        <w:t>they expect and deserve. This results in legitimacy and enhanced confidence of the police, providing the public with a positive perception and a greater reputation amongst society.</w:t>
      </w:r>
    </w:p>
    <w:p w14:paraId="10279753" w14:textId="77777777" w:rsidR="002E5ED8" w:rsidRDefault="002E5ED8" w:rsidP="00BE4797">
      <w:pPr>
        <w:spacing w:line="276" w:lineRule="auto"/>
      </w:pPr>
      <w:r>
        <w:t>988</w:t>
      </w:r>
    </w:p>
    <w:p w14:paraId="66C67FDD" w14:textId="69CDD0EC" w:rsidR="002E5ED8" w:rsidRPr="005719D2" w:rsidRDefault="008B6861" w:rsidP="00BE4797">
      <w:pPr>
        <w:tabs>
          <w:tab w:val="left" w:pos="1345"/>
        </w:tabs>
        <w:spacing w:line="276" w:lineRule="auto"/>
        <w:rPr>
          <w:b/>
          <w:bCs/>
          <w:u w:val="single"/>
        </w:rPr>
      </w:pPr>
      <w:r w:rsidRPr="008B6861">
        <w:rPr>
          <w:b/>
          <w:bCs/>
          <w:u w:val="single"/>
        </w:rPr>
        <w:t>Bibliography</w:t>
      </w:r>
    </w:p>
    <w:p w14:paraId="56E6DCFB" w14:textId="5FB38A8F" w:rsidR="0082613E" w:rsidRPr="00E35A63" w:rsidRDefault="008B6861" w:rsidP="00BE4797">
      <w:pPr>
        <w:spacing w:line="276" w:lineRule="auto"/>
        <w:rPr>
          <w:b/>
          <w:bCs/>
        </w:rPr>
      </w:pPr>
      <w:r w:rsidRPr="008B6861">
        <w:rPr>
          <w:b/>
          <w:bCs/>
        </w:rPr>
        <w:t>Task 1</w:t>
      </w:r>
      <w:r>
        <w:rPr>
          <w:b/>
          <w:bCs/>
        </w:rPr>
        <w:t>:</w:t>
      </w:r>
    </w:p>
    <w:p w14:paraId="51AAEEC5" w14:textId="7F94DE83" w:rsidR="00E35A63" w:rsidRPr="00E35A63" w:rsidRDefault="00E35A63" w:rsidP="00BE4797">
      <w:pPr>
        <w:widowControl w:val="0"/>
        <w:autoSpaceDE w:val="0"/>
        <w:autoSpaceDN w:val="0"/>
        <w:adjustRightInd w:val="0"/>
        <w:spacing w:line="276" w:lineRule="auto"/>
        <w:rPr>
          <w:rFonts w:ascii="Calibri" w:hAnsi="Calibri" w:cs="Calibri"/>
          <w:noProof/>
          <w:szCs w:val="24"/>
        </w:rPr>
      </w:pPr>
      <w:r>
        <w:fldChar w:fldCharType="begin" w:fldLock="1"/>
      </w:r>
      <w:r>
        <w:instrText xml:space="preserve">ADDIN Mendeley Bibliography CSL_BIBLIOGRAPHY </w:instrText>
      </w:r>
      <w:r>
        <w:fldChar w:fldCharType="separate"/>
      </w:r>
      <w:r w:rsidRPr="00E35A63">
        <w:rPr>
          <w:rFonts w:ascii="Calibri" w:hAnsi="Calibri" w:cs="Calibri"/>
          <w:noProof/>
          <w:szCs w:val="24"/>
        </w:rPr>
        <w:t>College of Policing (2014) ‘Code of Ethics A Code of Practice for the Principles and Standards of Professional Behaviour for the Policing Profession of England and Wales’. Available at: https://assets.college.police.uk/s3fs-public/2021-02/code_of_ethics.pdf (Accessed: 9 May 2022).</w:t>
      </w:r>
    </w:p>
    <w:p w14:paraId="2596CE37" w14:textId="77777777" w:rsidR="00E35A63" w:rsidRPr="00E35A63" w:rsidRDefault="00E35A63" w:rsidP="00BE4797">
      <w:pPr>
        <w:widowControl w:val="0"/>
        <w:autoSpaceDE w:val="0"/>
        <w:autoSpaceDN w:val="0"/>
        <w:adjustRightInd w:val="0"/>
        <w:spacing w:line="276" w:lineRule="auto"/>
        <w:rPr>
          <w:rFonts w:ascii="Calibri" w:hAnsi="Calibri" w:cs="Calibri"/>
          <w:noProof/>
          <w:szCs w:val="24"/>
        </w:rPr>
      </w:pPr>
      <w:r w:rsidRPr="00E35A63">
        <w:rPr>
          <w:rFonts w:ascii="Calibri" w:hAnsi="Calibri" w:cs="Calibri"/>
          <w:noProof/>
          <w:szCs w:val="24"/>
        </w:rPr>
        <w:t xml:space="preserve">Her Majesty’s Inspectorate of Constabulary and Fire &amp; Rescue Services (2021) </w:t>
      </w:r>
      <w:r w:rsidRPr="00E35A63">
        <w:rPr>
          <w:rFonts w:ascii="Calibri" w:hAnsi="Calibri" w:cs="Calibri"/>
          <w:i/>
          <w:iCs/>
          <w:noProof/>
          <w:szCs w:val="24"/>
        </w:rPr>
        <w:t>HMICFRS - PEEL</w:t>
      </w:r>
      <w:r w:rsidRPr="00E35A63">
        <w:rPr>
          <w:rFonts w:ascii="Calibri" w:hAnsi="Calibri" w:cs="Calibri"/>
          <w:noProof/>
          <w:szCs w:val="24"/>
        </w:rPr>
        <w:t>. Available at: https://www.justiceinspectorates.gov.uk/hmicfrs/peel-assessments/what-is-peel/ (Accessed: 9 May 2022).</w:t>
      </w:r>
    </w:p>
    <w:p w14:paraId="2571D4DF" w14:textId="77777777" w:rsidR="00E35A63" w:rsidRPr="00E35A63" w:rsidRDefault="00E35A63" w:rsidP="00BE4797">
      <w:pPr>
        <w:widowControl w:val="0"/>
        <w:autoSpaceDE w:val="0"/>
        <w:autoSpaceDN w:val="0"/>
        <w:adjustRightInd w:val="0"/>
        <w:spacing w:line="276" w:lineRule="auto"/>
        <w:rPr>
          <w:rFonts w:ascii="Calibri" w:hAnsi="Calibri" w:cs="Calibri"/>
          <w:noProof/>
          <w:szCs w:val="24"/>
        </w:rPr>
      </w:pPr>
      <w:r w:rsidRPr="00E35A63">
        <w:rPr>
          <w:rFonts w:ascii="Calibri" w:hAnsi="Calibri" w:cs="Calibri"/>
          <w:noProof/>
          <w:szCs w:val="24"/>
        </w:rPr>
        <w:t xml:space="preserve">Her Majesty’s Inspectorate of Constabulary and Fire &amp; Rescue Services (2022) </w:t>
      </w:r>
      <w:r w:rsidRPr="00E35A63">
        <w:rPr>
          <w:rFonts w:ascii="Calibri" w:hAnsi="Calibri" w:cs="Calibri"/>
          <w:i/>
          <w:iCs/>
          <w:noProof/>
          <w:szCs w:val="24"/>
        </w:rPr>
        <w:t>HMICFRS - Home</w:t>
      </w:r>
      <w:r w:rsidRPr="00E35A63">
        <w:rPr>
          <w:rFonts w:ascii="Calibri" w:hAnsi="Calibri" w:cs="Calibri"/>
          <w:noProof/>
          <w:szCs w:val="24"/>
        </w:rPr>
        <w:t>. Available at: https://www.justiceinspectorates.gov.uk/hmicfrs/ (Accessed: 9 May 2022).</w:t>
      </w:r>
    </w:p>
    <w:p w14:paraId="1B002E07" w14:textId="77777777" w:rsidR="00E35A63" w:rsidRPr="00E35A63" w:rsidRDefault="00E35A63" w:rsidP="00BE4797">
      <w:pPr>
        <w:widowControl w:val="0"/>
        <w:autoSpaceDE w:val="0"/>
        <w:autoSpaceDN w:val="0"/>
        <w:adjustRightInd w:val="0"/>
        <w:spacing w:line="276" w:lineRule="auto"/>
        <w:rPr>
          <w:rFonts w:ascii="Calibri" w:hAnsi="Calibri" w:cs="Calibri"/>
          <w:noProof/>
          <w:szCs w:val="24"/>
        </w:rPr>
      </w:pPr>
      <w:r w:rsidRPr="00E35A63">
        <w:rPr>
          <w:rFonts w:ascii="Calibri" w:hAnsi="Calibri" w:cs="Calibri"/>
          <w:noProof/>
          <w:szCs w:val="24"/>
        </w:rPr>
        <w:t xml:space="preserve">HM Government (2002) </w:t>
      </w:r>
      <w:r w:rsidRPr="00E35A63">
        <w:rPr>
          <w:rFonts w:ascii="Calibri" w:hAnsi="Calibri" w:cs="Calibri"/>
          <w:i/>
          <w:iCs/>
          <w:noProof/>
          <w:szCs w:val="24"/>
        </w:rPr>
        <w:t>Police Reform Act 2002</w:t>
      </w:r>
      <w:r w:rsidRPr="00E35A63">
        <w:rPr>
          <w:rFonts w:ascii="Calibri" w:hAnsi="Calibri" w:cs="Calibri"/>
          <w:noProof/>
          <w:szCs w:val="24"/>
        </w:rPr>
        <w:t xml:space="preserve">, </w:t>
      </w:r>
      <w:r w:rsidRPr="00E35A63">
        <w:rPr>
          <w:rFonts w:ascii="Calibri" w:hAnsi="Calibri" w:cs="Calibri"/>
          <w:i/>
          <w:iCs/>
          <w:noProof/>
          <w:szCs w:val="24"/>
        </w:rPr>
        <w:t>Police Reform Act</w:t>
      </w:r>
      <w:r w:rsidRPr="00E35A63">
        <w:rPr>
          <w:rFonts w:ascii="Calibri" w:hAnsi="Calibri" w:cs="Calibri"/>
          <w:noProof/>
          <w:szCs w:val="24"/>
        </w:rPr>
        <w:t>. Available at: https://www.legislation.gov.uk/ukpga/2002/30/section/10 (Accessed: 9 May 2022).</w:t>
      </w:r>
    </w:p>
    <w:p w14:paraId="70F2932A" w14:textId="77777777" w:rsidR="00E35A63" w:rsidRPr="00E35A63" w:rsidRDefault="00E35A63" w:rsidP="00BE4797">
      <w:pPr>
        <w:widowControl w:val="0"/>
        <w:autoSpaceDE w:val="0"/>
        <w:autoSpaceDN w:val="0"/>
        <w:adjustRightInd w:val="0"/>
        <w:spacing w:line="276" w:lineRule="auto"/>
        <w:rPr>
          <w:rFonts w:ascii="Calibri" w:hAnsi="Calibri" w:cs="Calibri"/>
          <w:noProof/>
          <w:szCs w:val="24"/>
        </w:rPr>
      </w:pPr>
      <w:r w:rsidRPr="00E35A63">
        <w:rPr>
          <w:rFonts w:ascii="Calibri" w:hAnsi="Calibri" w:cs="Calibri"/>
          <w:noProof/>
          <w:szCs w:val="24"/>
        </w:rPr>
        <w:t xml:space="preserve">Home Affairs Committee (2022) </w:t>
      </w:r>
      <w:r w:rsidRPr="00E35A63">
        <w:rPr>
          <w:rFonts w:ascii="Calibri" w:hAnsi="Calibri" w:cs="Calibri"/>
          <w:i/>
          <w:iCs/>
          <w:noProof/>
          <w:szCs w:val="24"/>
        </w:rPr>
        <w:t>Police Conduct and Complaints - Home Affairs Committee</w:t>
      </w:r>
      <w:r w:rsidRPr="00E35A63">
        <w:rPr>
          <w:rFonts w:ascii="Calibri" w:hAnsi="Calibri" w:cs="Calibri"/>
          <w:noProof/>
          <w:szCs w:val="24"/>
        </w:rPr>
        <w:t>. Available at: https://publications.parliament.uk/pa/cm5802/cmselect/cmhaff/140/report.html?msclkid=a7b840f1cf8d11eca2f8d2ee4d42cdb4 (Accessed: 9 May 2022).</w:t>
      </w:r>
    </w:p>
    <w:p w14:paraId="25049D2F" w14:textId="77777777" w:rsidR="00E35A63" w:rsidRPr="00E35A63" w:rsidRDefault="00E35A63" w:rsidP="00BE4797">
      <w:pPr>
        <w:widowControl w:val="0"/>
        <w:autoSpaceDE w:val="0"/>
        <w:autoSpaceDN w:val="0"/>
        <w:adjustRightInd w:val="0"/>
        <w:spacing w:line="276" w:lineRule="auto"/>
        <w:rPr>
          <w:rFonts w:ascii="Calibri" w:hAnsi="Calibri" w:cs="Calibri"/>
          <w:noProof/>
        </w:rPr>
      </w:pPr>
      <w:r w:rsidRPr="00E35A63">
        <w:rPr>
          <w:rFonts w:ascii="Calibri" w:hAnsi="Calibri" w:cs="Calibri"/>
          <w:noProof/>
          <w:szCs w:val="24"/>
        </w:rPr>
        <w:t xml:space="preserve">Houseof Lords Library, H. (no date) </w:t>
      </w:r>
      <w:r w:rsidRPr="00E35A63">
        <w:rPr>
          <w:rFonts w:ascii="Calibri" w:hAnsi="Calibri" w:cs="Calibri"/>
          <w:i/>
          <w:iCs/>
          <w:noProof/>
          <w:szCs w:val="24"/>
        </w:rPr>
        <w:t>Policing in the UK: Governance, Oversight and Complaints</w:t>
      </w:r>
      <w:r w:rsidRPr="00E35A63">
        <w:rPr>
          <w:rFonts w:ascii="Calibri" w:hAnsi="Calibri" w:cs="Calibri"/>
          <w:noProof/>
          <w:szCs w:val="24"/>
        </w:rPr>
        <w:t>.</w:t>
      </w:r>
    </w:p>
    <w:p w14:paraId="5921FAE8" w14:textId="2A461271" w:rsidR="00E35A63" w:rsidRDefault="00E35A63" w:rsidP="00BE4797">
      <w:pPr>
        <w:spacing w:line="276" w:lineRule="auto"/>
        <w:rPr>
          <w:b/>
          <w:bCs/>
        </w:rPr>
      </w:pPr>
      <w:r>
        <w:fldChar w:fldCharType="end"/>
      </w:r>
      <w:r w:rsidR="005142B0" w:rsidRPr="005142B0">
        <w:rPr>
          <w:b/>
          <w:bCs/>
        </w:rPr>
        <w:t>T</w:t>
      </w:r>
      <w:r w:rsidR="008B6861">
        <w:rPr>
          <w:b/>
          <w:bCs/>
        </w:rPr>
        <w:t>ask 2:</w:t>
      </w:r>
    </w:p>
    <w:p w14:paraId="34511F78" w14:textId="77777777" w:rsidR="0032142E" w:rsidRDefault="0032142E" w:rsidP="00BE4797">
      <w:pPr>
        <w:spacing w:line="276" w:lineRule="auto"/>
      </w:pPr>
      <w:r>
        <w:t>John Ping and Disability News Service (2019) Agencies ‘failed to work together’ to save disabled man murdered by friend – Disability News Service. Available at: https://www.disabilitynewsservice.com/agencies-failed-to-work-together-to-save-disabled-man-murdered-by-friend/?msclkid=9e3a9e4ecfab11ecbdb0b3170b6123c7 (Accessed: 9 May 2022).</w:t>
      </w:r>
    </w:p>
    <w:p w14:paraId="2730FBBD" w14:textId="77777777" w:rsidR="0032142E" w:rsidRDefault="0032142E" w:rsidP="00BE4797">
      <w:pPr>
        <w:spacing w:line="276" w:lineRule="auto"/>
      </w:pPr>
      <w:r>
        <w:t>National Crime Agency (2022) County Lines - National Crime Agency. Available at: https://www.nationalcrimeagency.gov.uk/what-we-do/crime-threats/drug-trafficking/county-lines?msclkid=ffeb4adfcfab11ec8827cd4d8c9f9cdd (Accessed: 9 May 2022).</w:t>
      </w:r>
    </w:p>
    <w:p w14:paraId="1D363D88" w14:textId="77777777" w:rsidR="0032142E" w:rsidRDefault="0032142E" w:rsidP="00BE4797">
      <w:pPr>
        <w:spacing w:line="276" w:lineRule="auto"/>
      </w:pPr>
      <w:r>
        <w:t>Policing, C. of (2020) ‘Recognising and responding to vulnerability related risks guidelines: Consultation’, Recognising and responding to vulnerability related risks.</w:t>
      </w:r>
    </w:p>
    <w:p w14:paraId="7E7A3FE9" w14:textId="77777777" w:rsidR="008B6861" w:rsidRDefault="0032142E" w:rsidP="00BE4797">
      <w:pPr>
        <w:spacing w:line="276" w:lineRule="auto"/>
      </w:pPr>
      <w:r>
        <w:t>The Crown Prosecution Service (2017) Organised Crime - Strategy | The Crown Prosecution Service. Available at: https://www.cps.gov.uk/organised-crime-strategy (Accessed: 9 May 2022).</w:t>
      </w:r>
    </w:p>
    <w:p w14:paraId="6E1D3F6A" w14:textId="48D8F6E7" w:rsidR="001F62A0" w:rsidRPr="001F62A0" w:rsidRDefault="001F62A0" w:rsidP="00BE4797">
      <w:pPr>
        <w:spacing w:line="276" w:lineRule="auto"/>
      </w:pPr>
      <w:r w:rsidRPr="001F62A0">
        <w:rPr>
          <w:b/>
          <w:bCs/>
        </w:rPr>
        <w:t>T</w:t>
      </w:r>
      <w:r w:rsidR="008B6861">
        <w:rPr>
          <w:b/>
          <w:bCs/>
        </w:rPr>
        <w:t>ask 3:</w:t>
      </w:r>
    </w:p>
    <w:p w14:paraId="7316B047" w14:textId="77777777" w:rsidR="001F62A0" w:rsidRPr="001F62A0" w:rsidRDefault="001F62A0" w:rsidP="00BE4797">
      <w:pPr>
        <w:widowControl w:val="0"/>
        <w:autoSpaceDE w:val="0"/>
        <w:autoSpaceDN w:val="0"/>
        <w:adjustRightInd w:val="0"/>
        <w:spacing w:line="276" w:lineRule="auto"/>
        <w:rPr>
          <w:rFonts w:ascii="Calibri" w:hAnsi="Calibri" w:cs="Calibri"/>
          <w:noProof/>
          <w:szCs w:val="24"/>
        </w:rPr>
      </w:pPr>
      <w:r w:rsidRPr="001F62A0">
        <w:rPr>
          <w:b/>
          <w:bCs/>
        </w:rPr>
        <w:fldChar w:fldCharType="begin" w:fldLock="1"/>
      </w:r>
      <w:r w:rsidRPr="001F62A0">
        <w:rPr>
          <w:b/>
          <w:bCs/>
        </w:rPr>
        <w:instrText xml:space="preserve">ADDIN Mendeley Bibliography CSL_BIBLIOGRAPHY </w:instrText>
      </w:r>
      <w:r w:rsidRPr="001F62A0">
        <w:rPr>
          <w:b/>
          <w:bCs/>
        </w:rPr>
        <w:fldChar w:fldCharType="separate"/>
      </w:r>
      <w:r w:rsidRPr="001F62A0">
        <w:rPr>
          <w:rFonts w:ascii="Calibri" w:hAnsi="Calibri" w:cs="Calibri"/>
          <w:noProof/>
          <w:szCs w:val="24"/>
        </w:rPr>
        <w:t xml:space="preserve">Cambridge English Dictionary (2022) </w:t>
      </w:r>
      <w:r w:rsidRPr="001F62A0">
        <w:rPr>
          <w:rFonts w:ascii="Calibri" w:hAnsi="Calibri" w:cs="Calibri"/>
          <w:i/>
          <w:iCs/>
          <w:noProof/>
          <w:szCs w:val="24"/>
        </w:rPr>
        <w:t>ETHIC | meaning in the Cambridge English Dictionary</w:t>
      </w:r>
      <w:r w:rsidRPr="001F62A0">
        <w:rPr>
          <w:rFonts w:ascii="Calibri" w:hAnsi="Calibri" w:cs="Calibri"/>
          <w:noProof/>
          <w:szCs w:val="24"/>
        </w:rPr>
        <w:t xml:space="preserve">, </w:t>
      </w:r>
      <w:r w:rsidRPr="001F62A0">
        <w:rPr>
          <w:rFonts w:ascii="Calibri" w:hAnsi="Calibri" w:cs="Calibri"/>
          <w:i/>
          <w:iCs/>
          <w:noProof/>
          <w:szCs w:val="24"/>
        </w:rPr>
        <w:t>Cambridge English Dictionary</w:t>
      </w:r>
      <w:r w:rsidRPr="001F62A0">
        <w:rPr>
          <w:rFonts w:ascii="Calibri" w:hAnsi="Calibri" w:cs="Calibri"/>
          <w:noProof/>
          <w:szCs w:val="24"/>
        </w:rPr>
        <w:t>. Available at: https://dictionary.cambridge.org/dictionary/english/ethic (Accessed: 9 May 2022).</w:t>
      </w:r>
    </w:p>
    <w:p w14:paraId="48758DDA" w14:textId="77777777" w:rsidR="001F62A0" w:rsidRPr="001F62A0" w:rsidRDefault="001F62A0" w:rsidP="00BE4797">
      <w:pPr>
        <w:widowControl w:val="0"/>
        <w:autoSpaceDE w:val="0"/>
        <w:autoSpaceDN w:val="0"/>
        <w:adjustRightInd w:val="0"/>
        <w:spacing w:line="276" w:lineRule="auto"/>
        <w:rPr>
          <w:rFonts w:ascii="Calibri" w:hAnsi="Calibri" w:cs="Calibri"/>
          <w:noProof/>
          <w:szCs w:val="24"/>
        </w:rPr>
      </w:pPr>
      <w:r w:rsidRPr="001F62A0">
        <w:rPr>
          <w:rFonts w:ascii="Calibri" w:hAnsi="Calibri" w:cs="Calibri"/>
          <w:noProof/>
          <w:szCs w:val="24"/>
        </w:rPr>
        <w:lastRenderedPageBreak/>
        <w:t xml:space="preserve">College of Policing (2022) </w:t>
      </w:r>
      <w:r w:rsidRPr="001F62A0">
        <w:rPr>
          <w:rFonts w:ascii="Calibri" w:hAnsi="Calibri" w:cs="Calibri"/>
          <w:i/>
          <w:iCs/>
          <w:noProof/>
          <w:szCs w:val="24"/>
        </w:rPr>
        <w:t>Code of Ethics | College of Policing</w:t>
      </w:r>
      <w:r w:rsidRPr="001F62A0">
        <w:rPr>
          <w:rFonts w:ascii="Calibri" w:hAnsi="Calibri" w:cs="Calibri"/>
          <w:noProof/>
          <w:szCs w:val="24"/>
        </w:rPr>
        <w:t>. Available at: https://www.college.police.uk/ethics/code-of-ethics (Accessed: 9 May 2022).</w:t>
      </w:r>
    </w:p>
    <w:p w14:paraId="60CFB9FD" w14:textId="77777777" w:rsidR="001F62A0" w:rsidRPr="001F62A0" w:rsidRDefault="001F62A0" w:rsidP="00BE4797">
      <w:pPr>
        <w:widowControl w:val="0"/>
        <w:autoSpaceDE w:val="0"/>
        <w:autoSpaceDN w:val="0"/>
        <w:adjustRightInd w:val="0"/>
        <w:spacing w:line="276" w:lineRule="auto"/>
        <w:rPr>
          <w:rFonts w:ascii="Calibri" w:hAnsi="Calibri" w:cs="Calibri"/>
          <w:noProof/>
          <w:szCs w:val="24"/>
        </w:rPr>
      </w:pPr>
      <w:r w:rsidRPr="001F62A0">
        <w:rPr>
          <w:rFonts w:ascii="Calibri" w:hAnsi="Calibri" w:cs="Calibri"/>
          <w:noProof/>
          <w:szCs w:val="24"/>
        </w:rPr>
        <w:t xml:space="preserve">National Library of Medicine (2015) </w:t>
      </w:r>
      <w:r w:rsidRPr="001F62A0">
        <w:rPr>
          <w:rFonts w:ascii="Calibri" w:hAnsi="Calibri" w:cs="Calibri"/>
          <w:i/>
          <w:iCs/>
          <w:noProof/>
          <w:szCs w:val="24"/>
        </w:rPr>
        <w:t>Domestic Violence in the 1970s – Circulating Now from NLM</w:t>
      </w:r>
      <w:r w:rsidRPr="001F62A0">
        <w:rPr>
          <w:rFonts w:ascii="Calibri" w:hAnsi="Calibri" w:cs="Calibri"/>
          <w:noProof/>
          <w:szCs w:val="24"/>
        </w:rPr>
        <w:t>. Available at: https://circulatingnow.nlm.nih.gov/2015/10/15/domestic-violence-in-the-1970s/ (Accessed: 9 May 2022).</w:t>
      </w:r>
    </w:p>
    <w:p w14:paraId="1C1EF7ED" w14:textId="77777777" w:rsidR="001F62A0" w:rsidRPr="001F62A0" w:rsidRDefault="001F62A0" w:rsidP="00BE4797">
      <w:pPr>
        <w:widowControl w:val="0"/>
        <w:autoSpaceDE w:val="0"/>
        <w:autoSpaceDN w:val="0"/>
        <w:adjustRightInd w:val="0"/>
        <w:spacing w:line="276" w:lineRule="auto"/>
        <w:rPr>
          <w:rFonts w:ascii="Calibri" w:hAnsi="Calibri" w:cs="Calibri"/>
          <w:noProof/>
          <w:szCs w:val="24"/>
        </w:rPr>
      </w:pPr>
      <w:r w:rsidRPr="001F62A0">
        <w:rPr>
          <w:rFonts w:ascii="Calibri" w:hAnsi="Calibri" w:cs="Calibri"/>
          <w:noProof/>
          <w:szCs w:val="24"/>
        </w:rPr>
        <w:t xml:space="preserve">Nottinghamshire Police (2022) </w:t>
      </w:r>
      <w:r w:rsidRPr="001F62A0">
        <w:rPr>
          <w:rFonts w:ascii="Calibri" w:hAnsi="Calibri" w:cs="Calibri"/>
          <w:i/>
          <w:iCs/>
          <w:noProof/>
          <w:szCs w:val="24"/>
        </w:rPr>
        <w:t xml:space="preserve">Police Use of Force Legislation </w:t>
      </w:r>
      <w:r w:rsidRPr="001F62A0">
        <w:rPr>
          <w:rFonts w:ascii="Calibri" w:hAnsi="Calibri" w:cs="Calibri"/>
          <w:noProof/>
          <w:szCs w:val="24"/>
        </w:rPr>
        <w:t>. Available at: https://www.nottinghamshire.police.uk/sites/default/files/documents/files/Police_Use_of_Force_1.pdf (Accessed: 9 May 2022).</w:t>
      </w:r>
    </w:p>
    <w:p w14:paraId="6B1A10D8" w14:textId="77777777" w:rsidR="001F62A0" w:rsidRPr="001F62A0" w:rsidRDefault="001F62A0" w:rsidP="00BE4797">
      <w:pPr>
        <w:widowControl w:val="0"/>
        <w:autoSpaceDE w:val="0"/>
        <w:autoSpaceDN w:val="0"/>
        <w:adjustRightInd w:val="0"/>
        <w:spacing w:line="276" w:lineRule="auto"/>
        <w:rPr>
          <w:rFonts w:ascii="Calibri" w:hAnsi="Calibri" w:cs="Calibri"/>
          <w:noProof/>
        </w:rPr>
      </w:pPr>
      <w:r w:rsidRPr="001F62A0">
        <w:rPr>
          <w:rFonts w:ascii="Calibri" w:hAnsi="Calibri" w:cs="Calibri"/>
          <w:noProof/>
          <w:szCs w:val="24"/>
        </w:rPr>
        <w:t>Poolman, S., Wilshaw, R. and Grace, J. (2019) ‘Human rights in policing-the past, present and future’. Available at: http://shura.shu.ac.uk/24400/ (Accessed: 9 May 2022).</w:t>
      </w:r>
    </w:p>
    <w:p w14:paraId="610FC04C" w14:textId="4684E258" w:rsidR="0032142E" w:rsidRDefault="001F62A0" w:rsidP="00BE4797">
      <w:pPr>
        <w:spacing w:line="276" w:lineRule="auto"/>
        <w:rPr>
          <w:b/>
          <w:bCs/>
        </w:rPr>
      </w:pPr>
      <w:r w:rsidRPr="001F62A0">
        <w:rPr>
          <w:b/>
          <w:bCs/>
        </w:rPr>
        <w:fldChar w:fldCharType="end"/>
      </w:r>
      <w:r w:rsidR="008B6861" w:rsidRPr="008B6861">
        <w:rPr>
          <w:b/>
          <w:bCs/>
        </w:rPr>
        <w:t>Task 4</w:t>
      </w:r>
      <w:r w:rsidR="008B6861">
        <w:rPr>
          <w:b/>
          <w:bCs/>
        </w:rPr>
        <w:t>:</w:t>
      </w:r>
    </w:p>
    <w:p w14:paraId="6A260D7D" w14:textId="77777777" w:rsidR="008B6861" w:rsidRPr="007B71F8" w:rsidRDefault="008B6861" w:rsidP="00BE4797">
      <w:pPr>
        <w:widowControl w:val="0"/>
        <w:autoSpaceDE w:val="0"/>
        <w:autoSpaceDN w:val="0"/>
        <w:adjustRightInd w:val="0"/>
        <w:spacing w:line="276" w:lineRule="auto"/>
        <w:rPr>
          <w:rFonts w:ascii="Calibri" w:hAnsi="Calibri" w:cs="Calibri"/>
          <w:noProof/>
        </w:rPr>
      </w:pPr>
      <w:r>
        <w:fldChar w:fldCharType="begin" w:fldLock="1"/>
      </w:r>
      <w:r>
        <w:instrText xml:space="preserve">ADDIN Mendeley Bibliography CSL_BIBLIOGRAPHY </w:instrText>
      </w:r>
      <w:r>
        <w:fldChar w:fldCharType="separate"/>
      </w:r>
      <w:r w:rsidRPr="007B71F8">
        <w:rPr>
          <w:rFonts w:ascii="Calibri" w:hAnsi="Calibri" w:cs="Calibri"/>
          <w:noProof/>
          <w:szCs w:val="24"/>
        </w:rPr>
        <w:t>Baldwin, S., Building, M. and Justice, O. (2006) ‘Organisational Justice INSTITUTE FOR EMPLOYMENT STUDIES The Institute for Employment Studies’, pp. 1–15. Available at: https://www.employment-studies.co.uk/system/files/resources/files/mp73.pdf (Accessed: 9 May 2022).</w:t>
      </w:r>
    </w:p>
    <w:p w14:paraId="5820FBDF" w14:textId="50E052E5" w:rsidR="008B6861" w:rsidRPr="008B6861" w:rsidRDefault="008B6861" w:rsidP="00BE4797">
      <w:pPr>
        <w:spacing w:line="276" w:lineRule="auto"/>
        <w:rPr>
          <w:b/>
          <w:bCs/>
        </w:rPr>
      </w:pPr>
      <w:r>
        <w:fldChar w:fldCharType="end"/>
      </w:r>
    </w:p>
    <w:sectPr w:rsidR="008B6861" w:rsidRPr="008B686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B86A10" w14:textId="77777777" w:rsidR="00B26A05" w:rsidRDefault="00B26A05" w:rsidP="00B26A05">
      <w:pPr>
        <w:spacing w:after="0" w:line="240" w:lineRule="auto"/>
      </w:pPr>
      <w:r>
        <w:separator/>
      </w:r>
    </w:p>
  </w:endnote>
  <w:endnote w:type="continuationSeparator" w:id="0">
    <w:p w14:paraId="5A91AA1C" w14:textId="77777777" w:rsidR="00B26A05" w:rsidRDefault="00B26A05" w:rsidP="00B2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C6E2B7" w14:textId="77777777" w:rsidR="00B26A05" w:rsidRDefault="00B26A05" w:rsidP="00B26A05">
      <w:pPr>
        <w:spacing w:after="0" w:line="240" w:lineRule="auto"/>
      </w:pPr>
      <w:r>
        <w:separator/>
      </w:r>
    </w:p>
  </w:footnote>
  <w:footnote w:type="continuationSeparator" w:id="0">
    <w:p w14:paraId="42F3B8F0" w14:textId="77777777" w:rsidR="00B26A05" w:rsidRDefault="00B26A05" w:rsidP="00B26A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E540F4" w14:textId="77777777" w:rsidR="00B26A05" w:rsidRDefault="00B26A05" w:rsidP="00B26A05">
    <w:pPr>
      <w:pStyle w:val="Header"/>
      <w:jc w:val="right"/>
    </w:pPr>
    <w:r>
      <w:t>Elinor Isaac</w:t>
    </w:r>
  </w:p>
  <w:p w14:paraId="17F98F0F" w14:textId="77777777" w:rsidR="00B26A05" w:rsidRDefault="00B26A05" w:rsidP="00B26A05">
    <w:pPr>
      <w:pStyle w:val="Header"/>
      <w:jc w:val="right"/>
    </w:pPr>
    <w:r>
      <w:t>2023912</w:t>
    </w:r>
  </w:p>
  <w:p w14:paraId="3A3EB79C" w14:textId="5BF1F1B0" w:rsidR="00B26A05" w:rsidRDefault="00B26A05" w:rsidP="00B26A05">
    <w:pPr>
      <w:pStyle w:val="Header"/>
      <w:jc w:val="right"/>
    </w:pPr>
    <w:r>
      <w:t>PCDA Year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2CA0"/>
    <w:rsid w:val="001F62A0"/>
    <w:rsid w:val="002E5ED8"/>
    <w:rsid w:val="0032142E"/>
    <w:rsid w:val="005142B0"/>
    <w:rsid w:val="005719D2"/>
    <w:rsid w:val="0082613E"/>
    <w:rsid w:val="008B6861"/>
    <w:rsid w:val="00B26A05"/>
    <w:rsid w:val="00BE4797"/>
    <w:rsid w:val="00E35A63"/>
    <w:rsid w:val="00F25E76"/>
    <w:rsid w:val="00F62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A441E"/>
  <w15:chartTrackingRefBased/>
  <w15:docId w15:val="{53CE67A5-7CF5-4BED-9490-68D612420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35A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62CA0"/>
    <w:rPr>
      <w:color w:val="0563C1" w:themeColor="hyperlink"/>
      <w:u w:val="single"/>
    </w:rPr>
  </w:style>
  <w:style w:type="character" w:styleId="FollowedHyperlink">
    <w:name w:val="FollowedHyperlink"/>
    <w:basedOn w:val="DefaultParagraphFont"/>
    <w:uiPriority w:val="99"/>
    <w:semiHidden/>
    <w:unhideWhenUsed/>
    <w:rsid w:val="00F62CA0"/>
    <w:rPr>
      <w:color w:val="954F72" w:themeColor="followedHyperlink"/>
      <w:u w:val="single"/>
    </w:rPr>
  </w:style>
  <w:style w:type="paragraph" w:styleId="NormalWeb">
    <w:name w:val="Normal (Web)"/>
    <w:basedOn w:val="Normal"/>
    <w:uiPriority w:val="99"/>
    <w:semiHidden/>
    <w:unhideWhenUsed/>
    <w:rsid w:val="002E5E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2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A05"/>
  </w:style>
  <w:style w:type="paragraph" w:styleId="Footer">
    <w:name w:val="footer"/>
    <w:basedOn w:val="Normal"/>
    <w:link w:val="FooterChar"/>
    <w:uiPriority w:val="99"/>
    <w:unhideWhenUsed/>
    <w:rsid w:val="00B2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9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ttinghamshire.police.uk/sites/default/files/documents/files/Police_Use_of_Force_1.pdf" TargetMode="External"/><Relationship Id="rId3" Type="http://schemas.openxmlformats.org/officeDocument/2006/relationships/settings" Target="settings.xml"/><Relationship Id="rId7" Type="http://schemas.openxmlformats.org/officeDocument/2006/relationships/hyperlink" Target="file:///C:\Users\local_SWP6865\INetCache\Content.Outlook\J3D5N0NP\(Cambridge%20English%20Dictionary,%202022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6388CF-5D64-44FD-8C4D-DCD2D2134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6962</Words>
  <Characters>39690</Characters>
  <Application>Microsoft Office Word</Application>
  <DocSecurity>4</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Mitchell Lamb-Davies</dc:creator>
  <cp:keywords/>
  <dc:description/>
  <cp:lastModifiedBy>Isaac,Elinor swp6865</cp:lastModifiedBy>
  <cp:revision>2</cp:revision>
  <dcterms:created xsi:type="dcterms:W3CDTF">2022-05-09T21:25:00Z</dcterms:created>
  <dcterms:modified xsi:type="dcterms:W3CDTF">2022-05-09T21:25:00Z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http://www.zotero.org/styles/chicago-note-bibliography</vt:lpwstr>
  </property>
  <property fmtid="{D5CDD505-2E9C-101B-9397-08002B2CF9AE}" pid="11" name="Mendeley Recent Style Name 4_1">
    <vt:lpwstr>Chicago Manual of Style 17th edition (note)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279f5f36-e1ae-3e7d-9a02-2bfeed7c5b9a</vt:lpwstr>
  </property>
  <property fmtid="{D5CDD505-2E9C-101B-9397-08002B2CF9AE}" pid="24" name="Mendeley Citation Style_1">
    <vt:lpwstr>http://www.zotero.org/styles/harvard-cite-them-right</vt:lpwstr>
  </property>
  <property fmtid="{D5CDD505-2E9C-101B-9397-08002B2CF9AE}" pid="25" name="TitusGUID">
    <vt:lpwstr>ab3450bd-ad36-405e-bd11-9681173c035d</vt:lpwstr>
  </property>
  <property fmtid="{D5CDD505-2E9C-101B-9397-08002B2CF9AE}" pid="26" name="Classification">
    <vt:lpwstr>OFFICIAL</vt:lpwstr>
  </property>
  <property fmtid="{D5CDD505-2E9C-101B-9397-08002B2CF9AE}" pid="27" name="Visibility">
    <vt:lpwstr>NOT VISIBLE</vt:lpwstr>
  </property>
</Properties>
</file>