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672EFC" w14:textId="77777777" w:rsidR="007A6CF2" w:rsidRDefault="007A6CF2" w:rsidP="00C118FA">
      <w:pPr>
        <w:spacing w:line="360" w:lineRule="auto"/>
        <w:rPr>
          <w:rFonts w:ascii="Arial" w:hAnsi="Arial" w:cs="Arial"/>
          <w:b/>
          <w:bCs/>
          <w:sz w:val="22"/>
          <w:szCs w:val="22"/>
        </w:rPr>
      </w:pPr>
    </w:p>
    <w:p w14:paraId="1E854593" w14:textId="0AB09B1C" w:rsidR="00CC0449" w:rsidRDefault="00CC0449" w:rsidP="008E087E">
      <w:pPr>
        <w:pStyle w:val="TableParagraph"/>
        <w:spacing w:before="119" w:after="120" w:line="360" w:lineRule="auto"/>
        <w:jc w:val="center"/>
        <w:rPr>
          <w:rFonts w:ascii="Arial" w:hAnsi="Arial" w:cs="Arial"/>
          <w:b/>
        </w:rPr>
      </w:pPr>
      <w:r w:rsidRPr="008E087E">
        <w:rPr>
          <w:rFonts w:ascii="Arial" w:hAnsi="Arial" w:cs="Arial"/>
          <w:b/>
        </w:rPr>
        <w:t>BA (Hons) Leadership and Management Skills for the Workplace</w:t>
      </w:r>
      <w:r w:rsidRPr="008E087E">
        <w:rPr>
          <w:rFonts w:ascii="Arial" w:hAnsi="Arial" w:cs="Arial"/>
          <w:b/>
        </w:rPr>
        <w:br/>
      </w:r>
      <w:r w:rsidRPr="008E087E">
        <w:rPr>
          <w:rFonts w:ascii="Arial" w:hAnsi="Arial" w:cs="Arial"/>
          <w:b/>
        </w:rPr>
        <w:br/>
        <w:t>Module: Leading and Implementing Change (LCLM6003)</w:t>
      </w:r>
      <w:r w:rsidRPr="008E087E">
        <w:rPr>
          <w:rFonts w:ascii="Arial" w:hAnsi="Arial" w:cs="Arial"/>
          <w:b/>
        </w:rPr>
        <w:br/>
      </w:r>
      <w:r w:rsidRPr="008E087E">
        <w:rPr>
          <w:rFonts w:ascii="Arial" w:hAnsi="Arial" w:cs="Arial"/>
          <w:b/>
        </w:rPr>
        <w:br/>
        <w:t>Assignment Title:</w:t>
      </w:r>
      <w:r w:rsidRPr="008E087E">
        <w:rPr>
          <w:rFonts w:ascii="Arial" w:hAnsi="Arial" w:cs="Arial"/>
          <w:b/>
        </w:rPr>
        <w:br/>
        <w:t>A Strategic Change Plan</w:t>
      </w:r>
      <w:r w:rsidRPr="008E087E">
        <w:rPr>
          <w:rFonts w:ascii="Arial" w:hAnsi="Arial" w:cs="Arial"/>
          <w:b/>
        </w:rPr>
        <w:br/>
      </w:r>
      <w:r w:rsidRPr="008E087E">
        <w:rPr>
          <w:rFonts w:ascii="Arial" w:hAnsi="Arial" w:cs="Arial"/>
          <w:b/>
        </w:rPr>
        <w:br/>
        <w:t>Student Name:</w:t>
      </w:r>
      <w:r w:rsidR="004038E1" w:rsidRPr="008E087E">
        <w:rPr>
          <w:rFonts w:ascii="Arial" w:hAnsi="Arial" w:cs="Arial"/>
          <w:b/>
        </w:rPr>
        <w:t xml:space="preserve"> Nazra Parveen</w:t>
      </w:r>
      <w:r w:rsidRPr="008E087E">
        <w:rPr>
          <w:rFonts w:ascii="Arial" w:hAnsi="Arial" w:cs="Arial"/>
          <w:b/>
        </w:rPr>
        <w:br/>
        <w:t>Student ID:</w:t>
      </w:r>
      <w:r w:rsidR="004038E1" w:rsidRPr="008E087E">
        <w:rPr>
          <w:rFonts w:ascii="Arial" w:hAnsi="Arial" w:cs="Arial"/>
          <w:b/>
        </w:rPr>
        <w:t xml:space="preserve"> 2316083</w:t>
      </w:r>
      <w:r w:rsidRPr="008E087E">
        <w:rPr>
          <w:rFonts w:ascii="Arial" w:hAnsi="Arial" w:cs="Arial"/>
          <w:b/>
        </w:rPr>
        <w:br/>
      </w:r>
      <w:r w:rsidRPr="008E087E">
        <w:rPr>
          <w:rFonts w:ascii="Arial" w:hAnsi="Arial" w:cs="Arial"/>
          <w:b/>
        </w:rPr>
        <w:br/>
        <w:t>Lecturer:</w:t>
      </w:r>
      <w:r w:rsidR="00F224B3" w:rsidRPr="008E087E">
        <w:rPr>
          <w:rFonts w:ascii="Arial" w:hAnsi="Arial" w:cs="Arial"/>
          <w:b/>
        </w:rPr>
        <w:t xml:space="preserve"> </w:t>
      </w:r>
      <w:r w:rsidR="0091605C" w:rsidRPr="008E087E">
        <w:rPr>
          <w:rFonts w:ascii="Arial" w:hAnsi="Arial" w:cs="Arial"/>
          <w:b/>
        </w:rPr>
        <w:t>Sujeewa Herath</w:t>
      </w:r>
      <w:r w:rsidRPr="008E087E">
        <w:rPr>
          <w:rFonts w:ascii="Arial" w:hAnsi="Arial" w:cs="Arial"/>
          <w:b/>
        </w:rPr>
        <w:br/>
      </w:r>
      <w:r w:rsidRPr="008E087E">
        <w:rPr>
          <w:rFonts w:ascii="Arial" w:hAnsi="Arial" w:cs="Arial"/>
          <w:b/>
        </w:rPr>
        <w:br/>
        <w:t>Submission Date:</w:t>
      </w:r>
      <w:r w:rsidR="009A3FA9" w:rsidRPr="008E087E">
        <w:rPr>
          <w:rFonts w:ascii="Arial" w:hAnsi="Arial" w:cs="Arial"/>
          <w:b/>
        </w:rPr>
        <w:t xml:space="preserve"> </w:t>
      </w:r>
      <w:r w:rsidR="00713775" w:rsidRPr="008E087E">
        <w:rPr>
          <w:rFonts w:ascii="Arial" w:eastAsia="Arial" w:hAnsi="Arial" w:cs="Arial"/>
          <w:b/>
          <w:bCs/>
          <w:color w:val="000000" w:themeColor="text1"/>
        </w:rPr>
        <w:t>23/03/2026</w:t>
      </w:r>
      <w:r w:rsidRPr="008E087E">
        <w:rPr>
          <w:rFonts w:ascii="Arial" w:hAnsi="Arial" w:cs="Arial"/>
          <w:b/>
        </w:rPr>
        <w:br/>
      </w:r>
      <w:r w:rsidRPr="008E087E">
        <w:rPr>
          <w:rFonts w:ascii="Arial" w:hAnsi="Arial" w:cs="Arial"/>
          <w:b/>
        </w:rPr>
        <w:br/>
        <w:t>Word Count: 4000 words</w:t>
      </w:r>
    </w:p>
    <w:p w14:paraId="47DFD078" w14:textId="1E9530E0" w:rsidR="009F30A9" w:rsidRDefault="009F30A9" w:rsidP="008E087E">
      <w:pPr>
        <w:pStyle w:val="TableParagraph"/>
        <w:spacing w:before="119" w:after="120" w:line="360" w:lineRule="auto"/>
        <w:jc w:val="center"/>
        <w:rPr>
          <w:rFonts w:ascii="Arial" w:hAnsi="Arial" w:cs="Arial"/>
          <w:b/>
        </w:rPr>
      </w:pPr>
    </w:p>
    <w:p w14:paraId="5C80B72C" w14:textId="77777777" w:rsidR="009F30A9" w:rsidRDefault="009F30A9">
      <w:pPr>
        <w:rPr>
          <w:rFonts w:ascii="Arial" w:eastAsiaTheme="minorEastAsia" w:hAnsi="Arial" w:cs="Arial"/>
          <w:b/>
          <w:kern w:val="0"/>
          <w:sz w:val="22"/>
          <w:szCs w:val="22"/>
          <w:lang w:eastAsia="en-GB"/>
          <w14:ligatures w14:val="none"/>
        </w:rPr>
      </w:pPr>
      <w:r>
        <w:rPr>
          <w:rFonts w:ascii="Arial" w:hAnsi="Arial" w:cs="Arial"/>
          <w:b/>
        </w:rPr>
        <w:br w:type="page"/>
      </w:r>
    </w:p>
    <w:sdt>
      <w:sdtPr>
        <w:id w:val="-703407446"/>
        <w:docPartObj>
          <w:docPartGallery w:val="Table of Contents"/>
          <w:docPartUnique/>
        </w:docPartObj>
      </w:sdtPr>
      <w:sdtContent>
        <w:p w14:paraId="27F4837E" w14:textId="3069F69A" w:rsidR="00C427D3" w:rsidRDefault="00C427D3">
          <w:pPr>
            <w:pStyle w:val="TOCHeading"/>
          </w:pPr>
          <w:r>
            <w:t>Table of Contents</w:t>
          </w:r>
        </w:p>
      </w:sdtContent>
    </w:sdt>
    <w:p w14:paraId="6C2649C2" w14:textId="53DF2E32" w:rsidR="00C427D3" w:rsidRPr="009D6009" w:rsidRDefault="00C427D3" w:rsidP="00C427D3">
      <w:pPr>
        <w:spacing w:line="360" w:lineRule="auto"/>
        <w:jc w:val="both"/>
        <w:rPr>
          <w:rFonts w:ascii="Arial" w:hAnsi="Arial" w:cs="Arial"/>
          <w:b/>
          <w:bCs/>
          <w:sz w:val="22"/>
          <w:szCs w:val="22"/>
        </w:rPr>
      </w:pPr>
      <w:r>
        <w:rPr>
          <w:rFonts w:ascii="Arial" w:hAnsi="Arial" w:cs="Arial"/>
          <w:b/>
          <w:bCs/>
          <w:sz w:val="22"/>
          <w:szCs w:val="22"/>
        </w:rPr>
        <w:t>1.</w:t>
      </w:r>
      <w:r w:rsidRPr="009D6009">
        <w:rPr>
          <w:rFonts w:ascii="Arial" w:hAnsi="Arial" w:cs="Arial"/>
          <w:b/>
          <w:bCs/>
          <w:sz w:val="22"/>
          <w:szCs w:val="22"/>
        </w:rPr>
        <w:t>Introduction …………………………………………</w:t>
      </w:r>
      <w:r>
        <w:rPr>
          <w:rFonts w:ascii="Arial" w:hAnsi="Arial" w:cs="Arial"/>
          <w:b/>
          <w:bCs/>
          <w:sz w:val="22"/>
          <w:szCs w:val="22"/>
        </w:rPr>
        <w:t>…………………………</w:t>
      </w:r>
      <w:r w:rsidR="00C31CC1">
        <w:rPr>
          <w:rFonts w:ascii="Arial" w:hAnsi="Arial" w:cs="Arial"/>
          <w:b/>
          <w:bCs/>
          <w:sz w:val="22"/>
          <w:szCs w:val="22"/>
        </w:rPr>
        <w:t>…</w:t>
      </w:r>
      <w:r>
        <w:rPr>
          <w:rFonts w:ascii="Arial" w:hAnsi="Arial" w:cs="Arial"/>
          <w:b/>
          <w:bCs/>
          <w:sz w:val="22"/>
          <w:szCs w:val="22"/>
        </w:rPr>
        <w:t>4</w:t>
      </w:r>
    </w:p>
    <w:p w14:paraId="13E89330" w14:textId="77777777" w:rsidR="00C427D3" w:rsidRPr="009D6009" w:rsidRDefault="00C427D3" w:rsidP="00C427D3">
      <w:pPr>
        <w:spacing w:line="360" w:lineRule="auto"/>
        <w:jc w:val="both"/>
        <w:rPr>
          <w:rFonts w:ascii="Arial" w:hAnsi="Arial" w:cs="Arial"/>
          <w:b/>
          <w:bCs/>
          <w:sz w:val="22"/>
          <w:szCs w:val="22"/>
        </w:rPr>
      </w:pPr>
      <w:r>
        <w:rPr>
          <w:rFonts w:ascii="Arial" w:hAnsi="Arial" w:cs="Arial"/>
          <w:b/>
          <w:bCs/>
          <w:sz w:val="22"/>
          <w:szCs w:val="22"/>
        </w:rPr>
        <w:t xml:space="preserve">2. </w:t>
      </w:r>
      <w:r w:rsidRPr="009D6009">
        <w:rPr>
          <w:rFonts w:ascii="Arial" w:hAnsi="Arial" w:cs="Arial"/>
          <w:b/>
          <w:bCs/>
          <w:sz w:val="22"/>
          <w:szCs w:val="22"/>
        </w:rPr>
        <w:t>Environmental and Organisational Analysis</w:t>
      </w:r>
    </w:p>
    <w:p w14:paraId="5C6347B7" w14:textId="1FF6A227" w:rsidR="00C427D3" w:rsidRDefault="00C427D3" w:rsidP="00C427D3">
      <w:pPr>
        <w:pStyle w:val="ListParagraph"/>
        <w:spacing w:line="360" w:lineRule="auto"/>
        <w:jc w:val="both"/>
        <w:rPr>
          <w:rFonts w:ascii="Arial" w:hAnsi="Arial" w:cs="Arial"/>
          <w:b/>
          <w:bCs/>
          <w:sz w:val="22"/>
          <w:szCs w:val="22"/>
        </w:rPr>
      </w:pPr>
      <w:r w:rsidRPr="009D6009">
        <w:rPr>
          <w:rFonts w:ascii="Arial" w:hAnsi="Arial" w:cs="Arial"/>
          <w:b/>
          <w:bCs/>
          <w:sz w:val="22"/>
          <w:szCs w:val="22"/>
        </w:rPr>
        <w:t>2.1 External environment analysis</w:t>
      </w:r>
      <w:r>
        <w:rPr>
          <w:rFonts w:ascii="Arial" w:hAnsi="Arial" w:cs="Arial"/>
          <w:b/>
          <w:bCs/>
          <w:sz w:val="22"/>
          <w:szCs w:val="22"/>
        </w:rPr>
        <w:t xml:space="preserve"> PESTLE…</w:t>
      </w:r>
      <w:r w:rsidR="00C31CC1">
        <w:rPr>
          <w:rFonts w:ascii="Arial" w:hAnsi="Arial" w:cs="Arial"/>
          <w:b/>
          <w:bCs/>
          <w:sz w:val="22"/>
          <w:szCs w:val="22"/>
        </w:rPr>
        <w:t>…</w:t>
      </w:r>
      <w:r>
        <w:rPr>
          <w:rFonts w:ascii="Arial" w:hAnsi="Arial" w:cs="Arial"/>
          <w:b/>
          <w:bCs/>
          <w:sz w:val="22"/>
          <w:szCs w:val="22"/>
        </w:rPr>
        <w:t>……………………. 4</w:t>
      </w:r>
    </w:p>
    <w:p w14:paraId="67C328EB" w14:textId="4E80460C" w:rsidR="00C427D3" w:rsidRPr="00345BEF" w:rsidRDefault="00C427D3" w:rsidP="00C427D3">
      <w:pPr>
        <w:pStyle w:val="ListParagraph"/>
        <w:spacing w:line="360" w:lineRule="auto"/>
        <w:jc w:val="both"/>
        <w:rPr>
          <w:rFonts w:ascii="Arial" w:hAnsi="Arial" w:cs="Arial"/>
          <w:b/>
          <w:bCs/>
          <w:sz w:val="22"/>
          <w:szCs w:val="22"/>
        </w:rPr>
      </w:pPr>
      <w:r w:rsidRPr="00345BEF">
        <w:rPr>
          <w:rFonts w:ascii="Arial" w:hAnsi="Arial" w:cs="Arial"/>
          <w:b/>
          <w:bCs/>
          <w:sz w:val="22"/>
          <w:szCs w:val="22"/>
        </w:rPr>
        <w:t>2.3 Porter’s Five Forces……………………………</w:t>
      </w:r>
      <w:r w:rsidR="00B87E61">
        <w:rPr>
          <w:rFonts w:ascii="Arial" w:hAnsi="Arial" w:cs="Arial"/>
          <w:b/>
          <w:bCs/>
          <w:sz w:val="22"/>
          <w:szCs w:val="22"/>
        </w:rPr>
        <w:t>……</w:t>
      </w:r>
      <w:r>
        <w:rPr>
          <w:rFonts w:ascii="Arial" w:hAnsi="Arial" w:cs="Arial"/>
          <w:b/>
          <w:bCs/>
          <w:sz w:val="22"/>
          <w:szCs w:val="22"/>
        </w:rPr>
        <w:t>……………</w:t>
      </w:r>
      <w:r w:rsidR="00B87E61">
        <w:rPr>
          <w:rFonts w:ascii="Arial" w:hAnsi="Arial" w:cs="Arial"/>
          <w:b/>
          <w:bCs/>
          <w:sz w:val="22"/>
          <w:szCs w:val="22"/>
        </w:rPr>
        <w:t>….</w:t>
      </w:r>
      <w:r>
        <w:rPr>
          <w:rFonts w:ascii="Arial" w:hAnsi="Arial" w:cs="Arial"/>
          <w:b/>
          <w:bCs/>
          <w:sz w:val="22"/>
          <w:szCs w:val="22"/>
        </w:rPr>
        <w:t xml:space="preserve"> 5</w:t>
      </w:r>
    </w:p>
    <w:p w14:paraId="4505BFB9" w14:textId="77777777" w:rsidR="00C427D3" w:rsidRPr="009D6009" w:rsidRDefault="00C427D3" w:rsidP="00C427D3">
      <w:pPr>
        <w:spacing w:line="360" w:lineRule="auto"/>
        <w:jc w:val="both"/>
        <w:rPr>
          <w:rFonts w:ascii="Arial" w:hAnsi="Arial" w:cs="Arial"/>
          <w:b/>
          <w:bCs/>
          <w:sz w:val="22"/>
          <w:szCs w:val="22"/>
        </w:rPr>
      </w:pPr>
      <w:r w:rsidRPr="009D6009">
        <w:rPr>
          <w:rFonts w:ascii="Arial" w:hAnsi="Arial" w:cs="Arial"/>
          <w:b/>
          <w:bCs/>
          <w:sz w:val="22"/>
          <w:szCs w:val="22"/>
        </w:rPr>
        <w:t>2.2 Internal Environment Analysis</w:t>
      </w:r>
    </w:p>
    <w:p w14:paraId="0898FBD2" w14:textId="2BA2C315" w:rsidR="00C427D3" w:rsidRDefault="00C427D3" w:rsidP="00C427D3">
      <w:pPr>
        <w:pStyle w:val="ListParagraph"/>
        <w:spacing w:line="360" w:lineRule="auto"/>
        <w:jc w:val="both"/>
        <w:rPr>
          <w:rFonts w:ascii="Arial" w:hAnsi="Arial" w:cs="Arial"/>
          <w:b/>
          <w:bCs/>
          <w:sz w:val="22"/>
          <w:szCs w:val="22"/>
        </w:rPr>
      </w:pPr>
      <w:r w:rsidRPr="00C118FA">
        <w:rPr>
          <w:rFonts w:ascii="Arial" w:hAnsi="Arial" w:cs="Arial"/>
          <w:b/>
          <w:bCs/>
          <w:sz w:val="22"/>
          <w:szCs w:val="22"/>
        </w:rPr>
        <w:t>2.2.1 SWOT Analysis</w:t>
      </w:r>
      <w:r>
        <w:rPr>
          <w:rFonts w:ascii="Arial" w:hAnsi="Arial" w:cs="Arial"/>
          <w:b/>
          <w:bCs/>
          <w:sz w:val="22"/>
          <w:szCs w:val="22"/>
        </w:rPr>
        <w:t>…………………………………………………</w:t>
      </w:r>
      <w:r w:rsidR="00B87E61">
        <w:rPr>
          <w:rFonts w:ascii="Arial" w:hAnsi="Arial" w:cs="Arial"/>
          <w:b/>
          <w:bCs/>
          <w:sz w:val="22"/>
          <w:szCs w:val="22"/>
        </w:rPr>
        <w:t>.</w:t>
      </w:r>
      <w:r>
        <w:rPr>
          <w:rFonts w:ascii="Arial" w:hAnsi="Arial" w:cs="Arial"/>
          <w:b/>
          <w:bCs/>
          <w:sz w:val="22"/>
          <w:szCs w:val="22"/>
        </w:rPr>
        <w:t>…. 6</w:t>
      </w:r>
    </w:p>
    <w:p w14:paraId="70015212" w14:textId="1E22B7D3" w:rsidR="00C427D3" w:rsidRDefault="00C427D3" w:rsidP="00C427D3">
      <w:pPr>
        <w:pStyle w:val="ListParagraph"/>
        <w:spacing w:line="360" w:lineRule="auto"/>
        <w:jc w:val="both"/>
        <w:rPr>
          <w:rFonts w:ascii="Arial" w:hAnsi="Arial" w:cs="Arial"/>
          <w:b/>
          <w:bCs/>
          <w:sz w:val="22"/>
          <w:szCs w:val="22"/>
        </w:rPr>
      </w:pPr>
      <w:r w:rsidRPr="00C118FA">
        <w:rPr>
          <w:rFonts w:ascii="Arial" w:hAnsi="Arial" w:cs="Arial"/>
          <w:b/>
          <w:bCs/>
          <w:sz w:val="22"/>
          <w:szCs w:val="22"/>
        </w:rPr>
        <w:t>2.2.2 McKinsey 7S Framework Analysis</w:t>
      </w:r>
      <w:r>
        <w:rPr>
          <w:rFonts w:ascii="Arial" w:hAnsi="Arial" w:cs="Arial"/>
          <w:b/>
          <w:bCs/>
          <w:sz w:val="22"/>
          <w:szCs w:val="22"/>
        </w:rPr>
        <w:t>……………………………</w:t>
      </w:r>
      <w:r w:rsidR="00B87E61">
        <w:rPr>
          <w:rFonts w:ascii="Arial" w:hAnsi="Arial" w:cs="Arial"/>
          <w:b/>
          <w:bCs/>
          <w:sz w:val="22"/>
          <w:szCs w:val="22"/>
        </w:rPr>
        <w:t>.</w:t>
      </w:r>
      <w:r>
        <w:rPr>
          <w:rFonts w:ascii="Arial" w:hAnsi="Arial" w:cs="Arial"/>
          <w:b/>
          <w:bCs/>
          <w:sz w:val="22"/>
          <w:szCs w:val="22"/>
        </w:rPr>
        <w:t>.. 7</w:t>
      </w:r>
    </w:p>
    <w:p w14:paraId="7DB671E0" w14:textId="6E89BCAE" w:rsidR="00C427D3" w:rsidRPr="009D6009" w:rsidRDefault="00C427D3" w:rsidP="00C427D3">
      <w:pPr>
        <w:pStyle w:val="ListParagraph"/>
        <w:numPr>
          <w:ilvl w:val="1"/>
          <w:numId w:val="22"/>
        </w:numPr>
        <w:spacing w:line="360" w:lineRule="auto"/>
        <w:jc w:val="both"/>
        <w:rPr>
          <w:rFonts w:ascii="Arial" w:hAnsi="Arial" w:cs="Arial"/>
          <w:b/>
          <w:bCs/>
          <w:sz w:val="22"/>
          <w:szCs w:val="22"/>
        </w:rPr>
      </w:pPr>
      <w:r w:rsidRPr="009D6009">
        <w:rPr>
          <w:rFonts w:ascii="Arial" w:hAnsi="Arial" w:cs="Arial"/>
          <w:b/>
          <w:bCs/>
          <w:sz w:val="22"/>
          <w:szCs w:val="22"/>
        </w:rPr>
        <w:t>Triggers for change…………………………………</w:t>
      </w:r>
      <w:r>
        <w:rPr>
          <w:rFonts w:ascii="Arial" w:hAnsi="Arial" w:cs="Arial"/>
          <w:b/>
          <w:bCs/>
          <w:sz w:val="22"/>
          <w:szCs w:val="22"/>
        </w:rPr>
        <w:t>………………………</w:t>
      </w:r>
      <w:r w:rsidR="00B87E61">
        <w:rPr>
          <w:rFonts w:ascii="Arial" w:hAnsi="Arial" w:cs="Arial"/>
          <w:b/>
          <w:bCs/>
          <w:sz w:val="22"/>
          <w:szCs w:val="22"/>
        </w:rPr>
        <w:t xml:space="preserve">... </w:t>
      </w:r>
      <w:r>
        <w:rPr>
          <w:rFonts w:ascii="Arial" w:hAnsi="Arial" w:cs="Arial"/>
          <w:b/>
          <w:bCs/>
          <w:sz w:val="22"/>
          <w:szCs w:val="22"/>
        </w:rPr>
        <w:t>9</w:t>
      </w:r>
    </w:p>
    <w:p w14:paraId="5B3B8999" w14:textId="77777777" w:rsidR="00C427D3" w:rsidRDefault="00C427D3" w:rsidP="00C427D3">
      <w:pPr>
        <w:spacing w:line="360" w:lineRule="auto"/>
        <w:jc w:val="both"/>
        <w:rPr>
          <w:rFonts w:ascii="Arial" w:hAnsi="Arial" w:cs="Arial"/>
          <w:b/>
          <w:bCs/>
          <w:sz w:val="22"/>
          <w:szCs w:val="22"/>
        </w:rPr>
      </w:pPr>
      <w:r>
        <w:rPr>
          <w:rFonts w:ascii="Arial" w:hAnsi="Arial" w:cs="Arial"/>
          <w:b/>
          <w:bCs/>
          <w:sz w:val="22"/>
          <w:szCs w:val="22"/>
        </w:rPr>
        <w:t xml:space="preserve">3. </w:t>
      </w:r>
      <w:r w:rsidRPr="009D6009">
        <w:rPr>
          <w:rFonts w:ascii="Arial" w:hAnsi="Arial" w:cs="Arial"/>
          <w:b/>
          <w:bCs/>
          <w:sz w:val="22"/>
          <w:szCs w:val="22"/>
        </w:rPr>
        <w:t xml:space="preserve">Review and Evaluation of Change Management Models </w:t>
      </w:r>
    </w:p>
    <w:p w14:paraId="161A89BA" w14:textId="72340536" w:rsidR="00C427D3" w:rsidRDefault="00C427D3" w:rsidP="00C427D3">
      <w:pPr>
        <w:pStyle w:val="ListParagraph"/>
        <w:spacing w:line="360" w:lineRule="auto"/>
        <w:jc w:val="both"/>
        <w:rPr>
          <w:rFonts w:ascii="Arial" w:hAnsi="Arial" w:cs="Arial"/>
          <w:b/>
          <w:bCs/>
          <w:sz w:val="22"/>
          <w:szCs w:val="22"/>
        </w:rPr>
      </w:pPr>
      <w:r w:rsidRPr="00AD3DD1">
        <w:rPr>
          <w:rFonts w:ascii="Arial" w:hAnsi="Arial" w:cs="Arial"/>
          <w:b/>
          <w:bCs/>
          <w:sz w:val="22"/>
          <w:szCs w:val="22"/>
        </w:rPr>
        <w:t>3.1 Lewin</w:t>
      </w:r>
      <w:r>
        <w:rPr>
          <w:rFonts w:ascii="Arial" w:hAnsi="Arial" w:cs="Arial"/>
          <w:b/>
          <w:bCs/>
          <w:sz w:val="22"/>
          <w:szCs w:val="22"/>
        </w:rPr>
        <w:t>……………………………………………………………</w:t>
      </w:r>
      <w:r w:rsidR="0068005D">
        <w:rPr>
          <w:rFonts w:ascii="Arial" w:hAnsi="Arial" w:cs="Arial"/>
          <w:b/>
          <w:bCs/>
          <w:sz w:val="22"/>
          <w:szCs w:val="22"/>
        </w:rPr>
        <w:t>….</w:t>
      </w:r>
      <w:r>
        <w:rPr>
          <w:rFonts w:ascii="Arial" w:hAnsi="Arial" w:cs="Arial"/>
          <w:b/>
          <w:bCs/>
          <w:sz w:val="22"/>
          <w:szCs w:val="22"/>
        </w:rPr>
        <w:t>… 10</w:t>
      </w:r>
    </w:p>
    <w:p w14:paraId="13226191" w14:textId="66AE31D3" w:rsidR="00C427D3" w:rsidRPr="00345BEF" w:rsidRDefault="00C427D3" w:rsidP="00C427D3">
      <w:pPr>
        <w:pStyle w:val="ListParagraph"/>
        <w:spacing w:line="360" w:lineRule="auto"/>
        <w:jc w:val="both"/>
        <w:rPr>
          <w:rFonts w:ascii="Arial" w:hAnsi="Arial" w:cs="Arial"/>
          <w:b/>
          <w:bCs/>
          <w:sz w:val="22"/>
          <w:szCs w:val="22"/>
        </w:rPr>
      </w:pPr>
      <w:r w:rsidRPr="00345BEF">
        <w:rPr>
          <w:rFonts w:ascii="Arial" w:hAnsi="Arial" w:cs="Arial"/>
          <w:b/>
          <w:bCs/>
          <w:sz w:val="22"/>
          <w:szCs w:val="22"/>
        </w:rPr>
        <w:t>3.2 Kotter………………………………………………</w:t>
      </w:r>
      <w:r>
        <w:rPr>
          <w:rFonts w:ascii="Arial" w:hAnsi="Arial" w:cs="Arial"/>
          <w:b/>
          <w:bCs/>
          <w:sz w:val="22"/>
          <w:szCs w:val="22"/>
        </w:rPr>
        <w:t>………………</w:t>
      </w:r>
      <w:r w:rsidR="00CD2771">
        <w:rPr>
          <w:rFonts w:ascii="Arial" w:hAnsi="Arial" w:cs="Arial"/>
          <w:b/>
          <w:bCs/>
          <w:sz w:val="22"/>
          <w:szCs w:val="22"/>
        </w:rPr>
        <w:t>...</w:t>
      </w:r>
      <w:r w:rsidR="00B87E61">
        <w:rPr>
          <w:rFonts w:ascii="Arial" w:hAnsi="Arial" w:cs="Arial"/>
          <w:b/>
          <w:bCs/>
          <w:sz w:val="22"/>
          <w:szCs w:val="22"/>
        </w:rPr>
        <w:t>..</w:t>
      </w:r>
      <w:r>
        <w:rPr>
          <w:rFonts w:ascii="Arial" w:hAnsi="Arial" w:cs="Arial"/>
          <w:b/>
          <w:bCs/>
          <w:sz w:val="22"/>
          <w:szCs w:val="22"/>
        </w:rPr>
        <w:t>.10</w:t>
      </w:r>
    </w:p>
    <w:p w14:paraId="2905A59C" w14:textId="1C700B77" w:rsidR="00C427D3" w:rsidRDefault="00C427D3" w:rsidP="00C427D3">
      <w:pPr>
        <w:pStyle w:val="ListParagraph"/>
        <w:spacing w:line="360" w:lineRule="auto"/>
        <w:jc w:val="both"/>
        <w:rPr>
          <w:rFonts w:ascii="Arial" w:hAnsi="Arial" w:cs="Arial"/>
          <w:b/>
          <w:bCs/>
          <w:sz w:val="22"/>
          <w:szCs w:val="22"/>
        </w:rPr>
      </w:pPr>
      <w:r>
        <w:rPr>
          <w:rFonts w:ascii="Arial" w:hAnsi="Arial" w:cs="Arial"/>
          <w:b/>
          <w:bCs/>
          <w:sz w:val="22"/>
          <w:szCs w:val="22"/>
        </w:rPr>
        <w:t xml:space="preserve">3.3 </w:t>
      </w:r>
      <w:r w:rsidRPr="007E0CF3">
        <w:rPr>
          <w:rFonts w:ascii="Arial" w:hAnsi="Arial" w:cs="Arial"/>
          <w:b/>
          <w:bCs/>
          <w:sz w:val="22"/>
          <w:szCs w:val="22"/>
        </w:rPr>
        <w:t>ADKAR</w:t>
      </w:r>
      <w:r>
        <w:rPr>
          <w:rFonts w:ascii="Arial" w:hAnsi="Arial" w:cs="Arial"/>
          <w:b/>
          <w:bCs/>
          <w:sz w:val="22"/>
          <w:szCs w:val="22"/>
        </w:rPr>
        <w:t>…………………………………………………………</w:t>
      </w:r>
      <w:r w:rsidR="00CD2771">
        <w:rPr>
          <w:rFonts w:ascii="Arial" w:hAnsi="Arial" w:cs="Arial"/>
          <w:b/>
          <w:bCs/>
          <w:sz w:val="22"/>
          <w:szCs w:val="22"/>
        </w:rPr>
        <w:t>……</w:t>
      </w:r>
      <w:r w:rsidR="00B87E61">
        <w:rPr>
          <w:rFonts w:ascii="Arial" w:hAnsi="Arial" w:cs="Arial"/>
          <w:b/>
          <w:bCs/>
          <w:sz w:val="22"/>
          <w:szCs w:val="22"/>
        </w:rPr>
        <w:t>…</w:t>
      </w:r>
      <w:r>
        <w:rPr>
          <w:rFonts w:ascii="Arial" w:hAnsi="Arial" w:cs="Arial"/>
          <w:b/>
          <w:bCs/>
          <w:sz w:val="22"/>
          <w:szCs w:val="22"/>
        </w:rPr>
        <w:t xml:space="preserve"> 10</w:t>
      </w:r>
    </w:p>
    <w:p w14:paraId="58AF1269" w14:textId="263B1923" w:rsidR="00C427D3" w:rsidRDefault="00C427D3" w:rsidP="00C427D3">
      <w:pPr>
        <w:pStyle w:val="ListParagraph"/>
        <w:spacing w:line="360" w:lineRule="auto"/>
        <w:jc w:val="both"/>
        <w:rPr>
          <w:rFonts w:ascii="Arial" w:hAnsi="Arial" w:cs="Arial"/>
          <w:b/>
          <w:bCs/>
          <w:sz w:val="22"/>
          <w:szCs w:val="22"/>
        </w:rPr>
      </w:pPr>
      <w:r>
        <w:rPr>
          <w:rFonts w:ascii="Arial" w:hAnsi="Arial" w:cs="Arial"/>
          <w:b/>
          <w:bCs/>
          <w:sz w:val="22"/>
          <w:szCs w:val="22"/>
        </w:rPr>
        <w:t xml:space="preserve">3.4 </w:t>
      </w:r>
      <w:r w:rsidRPr="007E0CF3">
        <w:rPr>
          <w:rFonts w:ascii="Arial" w:hAnsi="Arial" w:cs="Arial"/>
          <w:b/>
          <w:bCs/>
          <w:sz w:val="22"/>
          <w:szCs w:val="22"/>
        </w:rPr>
        <w:t>Justification of a hybrid model for HSBC</w:t>
      </w:r>
      <w:r>
        <w:rPr>
          <w:rFonts w:ascii="Arial" w:hAnsi="Arial" w:cs="Arial"/>
          <w:b/>
          <w:bCs/>
          <w:sz w:val="22"/>
          <w:szCs w:val="22"/>
        </w:rPr>
        <w:t>……………………</w:t>
      </w:r>
      <w:r w:rsidR="00B87E61">
        <w:rPr>
          <w:rFonts w:ascii="Arial" w:hAnsi="Arial" w:cs="Arial"/>
          <w:b/>
          <w:bCs/>
          <w:sz w:val="22"/>
          <w:szCs w:val="22"/>
        </w:rPr>
        <w:t>….</w:t>
      </w:r>
      <w:r>
        <w:rPr>
          <w:rFonts w:ascii="Arial" w:hAnsi="Arial" w:cs="Arial"/>
          <w:b/>
          <w:bCs/>
          <w:sz w:val="22"/>
          <w:szCs w:val="22"/>
        </w:rPr>
        <w:t xml:space="preserve"> 11</w:t>
      </w:r>
    </w:p>
    <w:p w14:paraId="4F621D96" w14:textId="0050CF4B" w:rsidR="00C427D3" w:rsidRDefault="00C427D3" w:rsidP="00C427D3">
      <w:pPr>
        <w:pStyle w:val="ListParagraph"/>
        <w:spacing w:line="360" w:lineRule="auto"/>
        <w:jc w:val="both"/>
        <w:rPr>
          <w:rFonts w:ascii="Arial" w:hAnsi="Arial" w:cs="Arial"/>
          <w:b/>
          <w:bCs/>
          <w:sz w:val="22"/>
          <w:szCs w:val="22"/>
        </w:rPr>
      </w:pPr>
      <w:r>
        <w:rPr>
          <w:rFonts w:ascii="Arial" w:hAnsi="Arial" w:cs="Arial"/>
          <w:b/>
          <w:bCs/>
          <w:sz w:val="22"/>
          <w:szCs w:val="22"/>
        </w:rPr>
        <w:t xml:space="preserve">3.5 </w:t>
      </w:r>
      <w:r w:rsidRPr="007E0CF3">
        <w:rPr>
          <w:rFonts w:ascii="Arial" w:hAnsi="Arial" w:cs="Arial"/>
          <w:b/>
          <w:bCs/>
          <w:sz w:val="22"/>
          <w:szCs w:val="22"/>
        </w:rPr>
        <w:t>Comparison table</w:t>
      </w:r>
      <w:r>
        <w:rPr>
          <w:rFonts w:ascii="Arial" w:hAnsi="Arial" w:cs="Arial"/>
          <w:b/>
          <w:bCs/>
          <w:sz w:val="22"/>
          <w:szCs w:val="22"/>
        </w:rPr>
        <w:t>………………………………………………</w:t>
      </w:r>
      <w:r w:rsidR="0068005D">
        <w:rPr>
          <w:rFonts w:ascii="Arial" w:hAnsi="Arial" w:cs="Arial"/>
          <w:b/>
          <w:bCs/>
          <w:sz w:val="22"/>
          <w:szCs w:val="22"/>
        </w:rPr>
        <w:t>…… 11</w:t>
      </w:r>
    </w:p>
    <w:p w14:paraId="0215DC5C" w14:textId="77777777" w:rsidR="00C427D3" w:rsidRDefault="00C427D3" w:rsidP="00C427D3">
      <w:pPr>
        <w:spacing w:line="360" w:lineRule="auto"/>
        <w:jc w:val="both"/>
        <w:rPr>
          <w:rFonts w:ascii="Arial" w:hAnsi="Arial" w:cs="Arial"/>
          <w:b/>
          <w:bCs/>
          <w:sz w:val="22"/>
          <w:szCs w:val="22"/>
        </w:rPr>
      </w:pPr>
      <w:r>
        <w:rPr>
          <w:rFonts w:ascii="Arial" w:hAnsi="Arial" w:cs="Arial"/>
          <w:b/>
          <w:bCs/>
          <w:sz w:val="22"/>
          <w:szCs w:val="22"/>
        </w:rPr>
        <w:t xml:space="preserve">4. </w:t>
      </w:r>
      <w:r w:rsidRPr="00C118FA">
        <w:rPr>
          <w:rFonts w:ascii="Arial" w:hAnsi="Arial" w:cs="Arial"/>
          <w:b/>
          <w:bCs/>
          <w:sz w:val="22"/>
          <w:szCs w:val="22"/>
        </w:rPr>
        <w:t>Leadership and Organisational Culture in Change</w:t>
      </w:r>
    </w:p>
    <w:p w14:paraId="1BB3793C" w14:textId="760FA25B" w:rsidR="00C427D3" w:rsidRDefault="00C427D3" w:rsidP="00C427D3">
      <w:pPr>
        <w:spacing w:line="360" w:lineRule="auto"/>
        <w:jc w:val="both"/>
        <w:rPr>
          <w:rFonts w:ascii="Arial" w:hAnsi="Arial" w:cs="Arial"/>
          <w:b/>
          <w:bCs/>
          <w:sz w:val="22"/>
          <w:szCs w:val="22"/>
        </w:rPr>
      </w:pPr>
      <w:r w:rsidRPr="00C118FA">
        <w:rPr>
          <w:rFonts w:ascii="Arial" w:hAnsi="Arial" w:cs="Arial"/>
          <w:b/>
          <w:bCs/>
          <w:sz w:val="22"/>
          <w:szCs w:val="22"/>
        </w:rPr>
        <w:t>4.1 Leadership Styles and Their Impact on Change</w:t>
      </w:r>
      <w:r>
        <w:rPr>
          <w:rFonts w:ascii="Arial" w:hAnsi="Arial" w:cs="Arial"/>
          <w:b/>
          <w:bCs/>
          <w:sz w:val="22"/>
          <w:szCs w:val="22"/>
        </w:rPr>
        <w:t>…………………</w:t>
      </w:r>
      <w:r w:rsidR="0068005D">
        <w:rPr>
          <w:rFonts w:ascii="Arial" w:hAnsi="Arial" w:cs="Arial"/>
          <w:b/>
          <w:bCs/>
          <w:sz w:val="22"/>
          <w:szCs w:val="22"/>
        </w:rPr>
        <w:t>……</w:t>
      </w:r>
      <w:r>
        <w:rPr>
          <w:rFonts w:ascii="Arial" w:hAnsi="Arial" w:cs="Arial"/>
          <w:b/>
          <w:bCs/>
          <w:sz w:val="22"/>
          <w:szCs w:val="22"/>
        </w:rPr>
        <w:t>. 12</w:t>
      </w:r>
    </w:p>
    <w:p w14:paraId="4F3EB509" w14:textId="6FF0B993" w:rsidR="00C427D3" w:rsidRDefault="00C427D3" w:rsidP="00C427D3">
      <w:pPr>
        <w:spacing w:line="360" w:lineRule="auto"/>
        <w:ind w:left="720"/>
        <w:jc w:val="both"/>
        <w:rPr>
          <w:rFonts w:ascii="Arial" w:hAnsi="Arial" w:cs="Arial"/>
          <w:b/>
          <w:bCs/>
          <w:sz w:val="22"/>
          <w:szCs w:val="22"/>
        </w:rPr>
      </w:pPr>
      <w:r>
        <w:rPr>
          <w:rFonts w:ascii="Arial" w:hAnsi="Arial" w:cs="Arial"/>
          <w:b/>
          <w:bCs/>
          <w:sz w:val="22"/>
          <w:szCs w:val="22"/>
        </w:rPr>
        <w:t xml:space="preserve">4.1.1 </w:t>
      </w:r>
      <w:r w:rsidRPr="00C118FA">
        <w:rPr>
          <w:rFonts w:ascii="Arial" w:hAnsi="Arial" w:cs="Arial"/>
          <w:b/>
          <w:bCs/>
          <w:sz w:val="22"/>
          <w:szCs w:val="22"/>
        </w:rPr>
        <w:t>Transformational Leadership</w:t>
      </w:r>
      <w:r>
        <w:rPr>
          <w:rFonts w:ascii="Arial" w:hAnsi="Arial" w:cs="Arial"/>
          <w:b/>
          <w:bCs/>
          <w:sz w:val="22"/>
          <w:szCs w:val="22"/>
        </w:rPr>
        <w:t>……………………………</w:t>
      </w:r>
      <w:r w:rsidR="0068005D">
        <w:rPr>
          <w:rFonts w:ascii="Arial" w:hAnsi="Arial" w:cs="Arial"/>
          <w:b/>
          <w:bCs/>
          <w:sz w:val="22"/>
          <w:szCs w:val="22"/>
        </w:rPr>
        <w:t>……...</w:t>
      </w:r>
      <w:r>
        <w:rPr>
          <w:rFonts w:ascii="Arial" w:hAnsi="Arial" w:cs="Arial"/>
          <w:b/>
          <w:bCs/>
          <w:sz w:val="22"/>
          <w:szCs w:val="22"/>
        </w:rPr>
        <w:t xml:space="preserve"> 12</w:t>
      </w:r>
    </w:p>
    <w:p w14:paraId="33B3FAA1" w14:textId="74D48F45" w:rsidR="00C427D3" w:rsidRDefault="00C427D3" w:rsidP="00C427D3">
      <w:pPr>
        <w:spacing w:line="360" w:lineRule="auto"/>
        <w:ind w:left="720"/>
        <w:jc w:val="both"/>
        <w:rPr>
          <w:rFonts w:ascii="Arial" w:hAnsi="Arial" w:cs="Arial"/>
          <w:b/>
          <w:bCs/>
          <w:sz w:val="22"/>
          <w:szCs w:val="22"/>
        </w:rPr>
      </w:pPr>
      <w:r>
        <w:rPr>
          <w:rFonts w:ascii="Arial" w:hAnsi="Arial" w:cs="Arial"/>
          <w:b/>
          <w:bCs/>
          <w:sz w:val="22"/>
          <w:szCs w:val="22"/>
        </w:rPr>
        <w:t xml:space="preserve">4.1.2 </w:t>
      </w:r>
      <w:r w:rsidRPr="00C118FA">
        <w:rPr>
          <w:rFonts w:ascii="Arial" w:hAnsi="Arial" w:cs="Arial"/>
          <w:b/>
          <w:bCs/>
          <w:sz w:val="22"/>
          <w:szCs w:val="22"/>
        </w:rPr>
        <w:t>Transactional Leadership</w:t>
      </w:r>
      <w:r>
        <w:rPr>
          <w:rFonts w:ascii="Arial" w:hAnsi="Arial" w:cs="Arial"/>
          <w:b/>
          <w:bCs/>
          <w:sz w:val="22"/>
          <w:szCs w:val="22"/>
        </w:rPr>
        <w:t>………………………………</w:t>
      </w:r>
      <w:r w:rsidR="00CD2771">
        <w:rPr>
          <w:rFonts w:ascii="Arial" w:hAnsi="Arial" w:cs="Arial"/>
          <w:b/>
          <w:bCs/>
          <w:sz w:val="22"/>
          <w:szCs w:val="22"/>
        </w:rPr>
        <w:t>…….</w:t>
      </w:r>
      <w:r>
        <w:rPr>
          <w:rFonts w:ascii="Arial" w:hAnsi="Arial" w:cs="Arial"/>
          <w:b/>
          <w:bCs/>
          <w:sz w:val="22"/>
          <w:szCs w:val="22"/>
        </w:rPr>
        <w:t>…. 12</w:t>
      </w:r>
    </w:p>
    <w:p w14:paraId="1AA2BC98" w14:textId="02A66B33" w:rsidR="00C427D3" w:rsidRDefault="00C427D3" w:rsidP="00C427D3">
      <w:pPr>
        <w:spacing w:line="360" w:lineRule="auto"/>
        <w:ind w:left="720"/>
        <w:jc w:val="both"/>
        <w:rPr>
          <w:rFonts w:ascii="Arial" w:hAnsi="Arial" w:cs="Arial"/>
          <w:b/>
          <w:bCs/>
          <w:sz w:val="22"/>
          <w:szCs w:val="22"/>
        </w:rPr>
      </w:pPr>
      <w:r>
        <w:rPr>
          <w:rFonts w:ascii="Arial" w:hAnsi="Arial" w:cs="Arial"/>
          <w:b/>
          <w:bCs/>
          <w:sz w:val="22"/>
          <w:szCs w:val="22"/>
        </w:rPr>
        <w:t xml:space="preserve">4.1.3 </w:t>
      </w:r>
      <w:r w:rsidRPr="00C118FA">
        <w:rPr>
          <w:rFonts w:ascii="Arial" w:hAnsi="Arial" w:cs="Arial"/>
          <w:b/>
          <w:bCs/>
          <w:sz w:val="22"/>
          <w:szCs w:val="22"/>
        </w:rPr>
        <w:t>Situational Leadership</w:t>
      </w:r>
      <w:r>
        <w:rPr>
          <w:rFonts w:ascii="Arial" w:hAnsi="Arial" w:cs="Arial"/>
          <w:b/>
          <w:bCs/>
          <w:sz w:val="22"/>
          <w:szCs w:val="22"/>
        </w:rPr>
        <w:t>……………………………</w:t>
      </w:r>
      <w:r w:rsidR="00CD2771">
        <w:rPr>
          <w:rFonts w:ascii="Arial" w:hAnsi="Arial" w:cs="Arial"/>
          <w:b/>
          <w:bCs/>
          <w:sz w:val="22"/>
          <w:szCs w:val="22"/>
        </w:rPr>
        <w:t>…….</w:t>
      </w:r>
      <w:r>
        <w:rPr>
          <w:rFonts w:ascii="Arial" w:hAnsi="Arial" w:cs="Arial"/>
          <w:b/>
          <w:bCs/>
          <w:sz w:val="22"/>
          <w:szCs w:val="22"/>
        </w:rPr>
        <w:t>………. 13</w:t>
      </w:r>
    </w:p>
    <w:p w14:paraId="7029DF58" w14:textId="6C2250EE" w:rsidR="00C427D3" w:rsidRDefault="00C427D3" w:rsidP="00C427D3">
      <w:pPr>
        <w:spacing w:line="360" w:lineRule="auto"/>
        <w:ind w:left="720"/>
        <w:jc w:val="both"/>
        <w:rPr>
          <w:rFonts w:ascii="Arial" w:hAnsi="Arial" w:cs="Arial"/>
          <w:b/>
          <w:bCs/>
          <w:sz w:val="22"/>
          <w:szCs w:val="22"/>
        </w:rPr>
      </w:pPr>
      <w:r>
        <w:rPr>
          <w:rFonts w:ascii="Arial" w:hAnsi="Arial" w:cs="Arial"/>
          <w:b/>
          <w:bCs/>
          <w:sz w:val="22"/>
          <w:szCs w:val="22"/>
        </w:rPr>
        <w:t xml:space="preserve">4.1.4 </w:t>
      </w:r>
      <w:r w:rsidRPr="00C118FA">
        <w:rPr>
          <w:rFonts w:ascii="Arial" w:hAnsi="Arial" w:cs="Arial"/>
          <w:b/>
          <w:bCs/>
          <w:sz w:val="22"/>
          <w:szCs w:val="22"/>
        </w:rPr>
        <w:t>Leadership Comparison Table</w:t>
      </w:r>
      <w:r>
        <w:rPr>
          <w:rFonts w:ascii="Arial" w:hAnsi="Arial" w:cs="Arial"/>
          <w:b/>
          <w:bCs/>
          <w:sz w:val="22"/>
          <w:szCs w:val="22"/>
        </w:rPr>
        <w:t>…………………</w:t>
      </w:r>
      <w:r w:rsidR="00CD2771">
        <w:rPr>
          <w:rFonts w:ascii="Arial" w:hAnsi="Arial" w:cs="Arial"/>
          <w:b/>
          <w:bCs/>
          <w:sz w:val="22"/>
          <w:szCs w:val="22"/>
        </w:rPr>
        <w:t>……</w:t>
      </w:r>
      <w:r>
        <w:rPr>
          <w:rFonts w:ascii="Arial" w:hAnsi="Arial" w:cs="Arial"/>
          <w:b/>
          <w:bCs/>
          <w:sz w:val="22"/>
          <w:szCs w:val="22"/>
        </w:rPr>
        <w:t>………… 14</w:t>
      </w:r>
    </w:p>
    <w:p w14:paraId="116A21CA" w14:textId="77777777" w:rsidR="00C427D3" w:rsidRPr="00C118FA" w:rsidRDefault="00C427D3" w:rsidP="00C427D3">
      <w:pPr>
        <w:spacing w:line="360" w:lineRule="auto"/>
        <w:jc w:val="both"/>
        <w:rPr>
          <w:rFonts w:ascii="Arial" w:hAnsi="Arial" w:cs="Arial"/>
          <w:b/>
          <w:bCs/>
          <w:sz w:val="22"/>
          <w:szCs w:val="22"/>
        </w:rPr>
      </w:pPr>
      <w:r w:rsidRPr="00C118FA">
        <w:rPr>
          <w:rFonts w:ascii="Arial" w:hAnsi="Arial" w:cs="Arial"/>
          <w:b/>
          <w:bCs/>
          <w:sz w:val="22"/>
          <w:szCs w:val="22"/>
        </w:rPr>
        <w:t>4.2 Organisational Culture and Change</w:t>
      </w:r>
    </w:p>
    <w:p w14:paraId="2F9F0EBC" w14:textId="4F83BB01" w:rsidR="00C427D3" w:rsidRPr="00C118FA" w:rsidRDefault="00C427D3" w:rsidP="00C427D3">
      <w:pPr>
        <w:spacing w:line="360" w:lineRule="auto"/>
        <w:ind w:left="720"/>
        <w:jc w:val="both"/>
        <w:rPr>
          <w:rFonts w:ascii="Arial" w:hAnsi="Arial" w:cs="Arial"/>
          <w:b/>
          <w:bCs/>
          <w:sz w:val="22"/>
          <w:szCs w:val="22"/>
        </w:rPr>
      </w:pPr>
      <w:r>
        <w:rPr>
          <w:rFonts w:ascii="Arial" w:hAnsi="Arial" w:cs="Arial"/>
          <w:b/>
          <w:bCs/>
          <w:sz w:val="22"/>
          <w:szCs w:val="22"/>
        </w:rPr>
        <w:t xml:space="preserve">4.2.1 </w:t>
      </w:r>
      <w:r w:rsidRPr="00C118FA">
        <w:rPr>
          <w:rFonts w:ascii="Arial" w:hAnsi="Arial" w:cs="Arial"/>
          <w:b/>
          <w:bCs/>
          <w:sz w:val="22"/>
          <w:szCs w:val="22"/>
        </w:rPr>
        <w:t>Schein’s Three Levels of Culture</w:t>
      </w:r>
      <w:r>
        <w:rPr>
          <w:rFonts w:ascii="Arial" w:hAnsi="Arial" w:cs="Arial"/>
          <w:b/>
          <w:bCs/>
          <w:sz w:val="22"/>
          <w:szCs w:val="22"/>
        </w:rPr>
        <w:t>……………………</w:t>
      </w:r>
      <w:r w:rsidR="00CD2771">
        <w:rPr>
          <w:rFonts w:ascii="Arial" w:hAnsi="Arial" w:cs="Arial"/>
          <w:b/>
          <w:bCs/>
          <w:sz w:val="22"/>
          <w:szCs w:val="22"/>
        </w:rPr>
        <w:t>….</w:t>
      </w:r>
      <w:r>
        <w:rPr>
          <w:rFonts w:ascii="Arial" w:hAnsi="Arial" w:cs="Arial"/>
          <w:b/>
          <w:bCs/>
          <w:sz w:val="22"/>
          <w:szCs w:val="22"/>
        </w:rPr>
        <w:t>……. 14</w:t>
      </w:r>
    </w:p>
    <w:p w14:paraId="04051FA9" w14:textId="519F27A9" w:rsidR="00C427D3" w:rsidRPr="00C118FA" w:rsidRDefault="00C427D3" w:rsidP="00C427D3">
      <w:pPr>
        <w:spacing w:line="360" w:lineRule="auto"/>
        <w:ind w:left="720"/>
        <w:jc w:val="both"/>
        <w:rPr>
          <w:rFonts w:ascii="Arial" w:hAnsi="Arial" w:cs="Arial"/>
          <w:b/>
          <w:bCs/>
          <w:sz w:val="22"/>
          <w:szCs w:val="22"/>
        </w:rPr>
      </w:pPr>
      <w:r>
        <w:rPr>
          <w:rFonts w:ascii="Arial" w:hAnsi="Arial" w:cs="Arial"/>
          <w:b/>
          <w:bCs/>
          <w:sz w:val="22"/>
          <w:szCs w:val="22"/>
        </w:rPr>
        <w:t xml:space="preserve">4.2.2 </w:t>
      </w:r>
      <w:r w:rsidRPr="00C118FA">
        <w:rPr>
          <w:rFonts w:ascii="Arial" w:hAnsi="Arial" w:cs="Arial"/>
          <w:b/>
          <w:bCs/>
          <w:sz w:val="22"/>
          <w:szCs w:val="22"/>
        </w:rPr>
        <w:t>Hofstede’s Cultural Dimensions</w:t>
      </w:r>
      <w:r>
        <w:rPr>
          <w:rFonts w:ascii="Arial" w:hAnsi="Arial" w:cs="Arial"/>
          <w:b/>
          <w:bCs/>
          <w:sz w:val="22"/>
          <w:szCs w:val="22"/>
        </w:rPr>
        <w:t>…………………………</w:t>
      </w:r>
      <w:r w:rsidR="00CD2771">
        <w:rPr>
          <w:rFonts w:ascii="Arial" w:hAnsi="Arial" w:cs="Arial"/>
          <w:b/>
          <w:bCs/>
          <w:sz w:val="22"/>
          <w:szCs w:val="22"/>
        </w:rPr>
        <w:t>…</w:t>
      </w:r>
      <w:r>
        <w:rPr>
          <w:rFonts w:ascii="Arial" w:hAnsi="Arial" w:cs="Arial"/>
          <w:b/>
          <w:bCs/>
          <w:sz w:val="22"/>
          <w:szCs w:val="22"/>
        </w:rPr>
        <w:t>… 15</w:t>
      </w:r>
    </w:p>
    <w:p w14:paraId="539C564F" w14:textId="2D0BCB89" w:rsidR="00C427D3" w:rsidRDefault="00C427D3" w:rsidP="00C427D3">
      <w:pPr>
        <w:spacing w:line="360" w:lineRule="auto"/>
        <w:ind w:left="720"/>
        <w:jc w:val="both"/>
        <w:rPr>
          <w:rFonts w:ascii="Arial" w:hAnsi="Arial" w:cs="Arial"/>
          <w:b/>
          <w:bCs/>
          <w:sz w:val="22"/>
          <w:szCs w:val="22"/>
        </w:rPr>
      </w:pPr>
      <w:r>
        <w:rPr>
          <w:rFonts w:ascii="Arial" w:hAnsi="Arial" w:cs="Arial"/>
          <w:b/>
          <w:bCs/>
          <w:sz w:val="22"/>
          <w:szCs w:val="22"/>
        </w:rPr>
        <w:t xml:space="preserve">4.2.3 </w:t>
      </w:r>
      <w:r w:rsidRPr="00C118FA">
        <w:rPr>
          <w:rFonts w:ascii="Arial" w:hAnsi="Arial" w:cs="Arial"/>
          <w:b/>
          <w:bCs/>
          <w:sz w:val="22"/>
          <w:szCs w:val="22"/>
        </w:rPr>
        <w:t>Handy’s Cultural Typology</w:t>
      </w:r>
      <w:r>
        <w:rPr>
          <w:rFonts w:ascii="Arial" w:hAnsi="Arial" w:cs="Arial"/>
          <w:b/>
          <w:bCs/>
          <w:sz w:val="22"/>
          <w:szCs w:val="22"/>
        </w:rPr>
        <w:t>…………………………………</w:t>
      </w:r>
      <w:proofErr w:type="gramStart"/>
      <w:r w:rsidR="001C4BA1">
        <w:rPr>
          <w:rFonts w:ascii="Arial" w:hAnsi="Arial" w:cs="Arial"/>
          <w:b/>
          <w:bCs/>
          <w:sz w:val="22"/>
          <w:szCs w:val="22"/>
        </w:rPr>
        <w:t>…..</w:t>
      </w:r>
      <w:proofErr w:type="gramEnd"/>
      <w:r>
        <w:rPr>
          <w:rFonts w:ascii="Arial" w:hAnsi="Arial" w:cs="Arial"/>
          <w:b/>
          <w:bCs/>
          <w:sz w:val="22"/>
          <w:szCs w:val="22"/>
        </w:rPr>
        <w:t xml:space="preserve"> 15</w:t>
      </w:r>
    </w:p>
    <w:p w14:paraId="2FA7EC37" w14:textId="33A5295B" w:rsidR="00C427D3" w:rsidRPr="00C118FA" w:rsidRDefault="00C427D3" w:rsidP="00C427D3">
      <w:pPr>
        <w:spacing w:line="360" w:lineRule="auto"/>
        <w:jc w:val="both"/>
        <w:rPr>
          <w:rFonts w:ascii="Arial" w:hAnsi="Arial" w:cs="Arial"/>
          <w:b/>
          <w:bCs/>
          <w:sz w:val="22"/>
          <w:szCs w:val="22"/>
        </w:rPr>
      </w:pPr>
      <w:r w:rsidRPr="00C118FA">
        <w:rPr>
          <w:rFonts w:ascii="Arial" w:hAnsi="Arial" w:cs="Arial"/>
          <w:b/>
          <w:bCs/>
          <w:sz w:val="22"/>
          <w:szCs w:val="22"/>
        </w:rPr>
        <w:t>4.3 Integrated Critical Evaluation</w:t>
      </w:r>
      <w:r>
        <w:rPr>
          <w:rFonts w:ascii="Arial" w:hAnsi="Arial" w:cs="Arial"/>
          <w:b/>
          <w:bCs/>
          <w:sz w:val="22"/>
          <w:szCs w:val="22"/>
        </w:rPr>
        <w:t>…………………………………………</w:t>
      </w:r>
      <w:r w:rsidR="001C4BA1">
        <w:rPr>
          <w:rFonts w:ascii="Arial" w:hAnsi="Arial" w:cs="Arial"/>
          <w:b/>
          <w:bCs/>
          <w:sz w:val="22"/>
          <w:szCs w:val="22"/>
        </w:rPr>
        <w:t>….</w:t>
      </w:r>
      <w:r>
        <w:rPr>
          <w:rFonts w:ascii="Arial" w:hAnsi="Arial" w:cs="Arial"/>
          <w:b/>
          <w:bCs/>
          <w:sz w:val="22"/>
          <w:szCs w:val="22"/>
        </w:rPr>
        <w:t xml:space="preserve"> 16</w:t>
      </w:r>
    </w:p>
    <w:p w14:paraId="581DD9D0" w14:textId="578B7328" w:rsidR="00C427D3" w:rsidRDefault="00C427D3" w:rsidP="00C427D3">
      <w:pPr>
        <w:jc w:val="both"/>
        <w:rPr>
          <w:rFonts w:ascii="Arial" w:hAnsi="Arial" w:cs="Arial"/>
          <w:b/>
          <w:bCs/>
          <w:sz w:val="22"/>
          <w:szCs w:val="22"/>
        </w:rPr>
      </w:pPr>
      <w:r w:rsidRPr="00B22686">
        <w:rPr>
          <w:rFonts w:ascii="Arial" w:hAnsi="Arial" w:cs="Arial"/>
          <w:b/>
          <w:bCs/>
          <w:sz w:val="22"/>
          <w:szCs w:val="22"/>
        </w:rPr>
        <w:t>5. Proposed Strategic Change Management Plan</w:t>
      </w:r>
      <w:r>
        <w:rPr>
          <w:rFonts w:ascii="Arial" w:hAnsi="Arial" w:cs="Arial"/>
          <w:b/>
          <w:bCs/>
          <w:sz w:val="22"/>
          <w:szCs w:val="22"/>
        </w:rPr>
        <w:t>……………………...</w:t>
      </w:r>
      <w:r w:rsidR="001C4BA1">
        <w:rPr>
          <w:rFonts w:ascii="Arial" w:hAnsi="Arial" w:cs="Arial"/>
          <w:b/>
          <w:bCs/>
          <w:sz w:val="22"/>
          <w:szCs w:val="22"/>
        </w:rPr>
        <w:t>....</w:t>
      </w:r>
      <w:r>
        <w:rPr>
          <w:rFonts w:ascii="Arial" w:hAnsi="Arial" w:cs="Arial"/>
          <w:b/>
          <w:bCs/>
          <w:sz w:val="22"/>
          <w:szCs w:val="22"/>
        </w:rPr>
        <w:t xml:space="preserve"> 17</w:t>
      </w:r>
    </w:p>
    <w:p w14:paraId="0C39E69E" w14:textId="77777777" w:rsidR="00C427D3" w:rsidRDefault="00C427D3" w:rsidP="00C427D3">
      <w:pPr>
        <w:jc w:val="both"/>
        <w:rPr>
          <w:rFonts w:ascii="Arial" w:hAnsi="Arial" w:cs="Arial"/>
          <w:b/>
          <w:bCs/>
          <w:sz w:val="22"/>
          <w:szCs w:val="22"/>
        </w:rPr>
      </w:pPr>
      <w:r w:rsidRPr="00B22686">
        <w:rPr>
          <w:rFonts w:ascii="Arial" w:hAnsi="Arial" w:cs="Arial"/>
          <w:b/>
          <w:bCs/>
          <w:sz w:val="22"/>
          <w:szCs w:val="22"/>
        </w:rPr>
        <w:t>5.1 Change Vision and Objectives</w:t>
      </w:r>
    </w:p>
    <w:p w14:paraId="2450FE03" w14:textId="1BCDB913" w:rsidR="00C427D3" w:rsidRDefault="00C427D3" w:rsidP="00C427D3">
      <w:pPr>
        <w:spacing w:line="360" w:lineRule="auto"/>
        <w:ind w:left="720"/>
        <w:jc w:val="both"/>
        <w:rPr>
          <w:rFonts w:ascii="Arial" w:hAnsi="Arial" w:cs="Arial"/>
          <w:b/>
          <w:bCs/>
          <w:sz w:val="22"/>
          <w:szCs w:val="22"/>
        </w:rPr>
      </w:pPr>
      <w:r>
        <w:rPr>
          <w:rFonts w:ascii="Arial" w:hAnsi="Arial" w:cs="Arial"/>
          <w:b/>
          <w:bCs/>
          <w:sz w:val="22"/>
          <w:szCs w:val="22"/>
        </w:rPr>
        <w:t xml:space="preserve">5.1.1 </w:t>
      </w:r>
      <w:r w:rsidRPr="00B22686">
        <w:rPr>
          <w:rFonts w:ascii="Arial" w:hAnsi="Arial" w:cs="Arial"/>
          <w:b/>
          <w:bCs/>
          <w:sz w:val="22"/>
          <w:szCs w:val="22"/>
        </w:rPr>
        <w:t>Change Vision</w:t>
      </w:r>
      <w:r>
        <w:rPr>
          <w:rFonts w:ascii="Arial" w:hAnsi="Arial" w:cs="Arial"/>
          <w:b/>
          <w:bCs/>
          <w:sz w:val="22"/>
          <w:szCs w:val="22"/>
        </w:rPr>
        <w:t>…………………………………………………… 17</w:t>
      </w:r>
    </w:p>
    <w:p w14:paraId="522D7EEC" w14:textId="7C28B1F5" w:rsidR="00C427D3" w:rsidRPr="00B22686" w:rsidRDefault="00C427D3" w:rsidP="00C427D3">
      <w:pPr>
        <w:spacing w:line="360" w:lineRule="auto"/>
        <w:ind w:left="720"/>
        <w:jc w:val="both"/>
        <w:rPr>
          <w:rFonts w:ascii="Arial" w:hAnsi="Arial" w:cs="Arial"/>
          <w:b/>
          <w:bCs/>
          <w:sz w:val="22"/>
          <w:szCs w:val="22"/>
        </w:rPr>
      </w:pPr>
      <w:r>
        <w:rPr>
          <w:rFonts w:ascii="Arial" w:hAnsi="Arial" w:cs="Arial"/>
          <w:b/>
          <w:bCs/>
          <w:sz w:val="22"/>
          <w:szCs w:val="22"/>
        </w:rPr>
        <w:lastRenderedPageBreak/>
        <w:t xml:space="preserve">5.1.2 </w:t>
      </w:r>
      <w:r w:rsidRPr="00B22686">
        <w:rPr>
          <w:rFonts w:ascii="Arial" w:hAnsi="Arial" w:cs="Arial"/>
          <w:b/>
          <w:bCs/>
          <w:sz w:val="22"/>
          <w:szCs w:val="22"/>
        </w:rPr>
        <w:t>Strategic Objectives (3–5-year horizon)</w:t>
      </w:r>
      <w:r>
        <w:rPr>
          <w:rFonts w:ascii="Arial" w:hAnsi="Arial" w:cs="Arial"/>
          <w:b/>
          <w:bCs/>
          <w:sz w:val="22"/>
          <w:szCs w:val="22"/>
        </w:rPr>
        <w:t xml:space="preserve"> …………………... 17</w:t>
      </w:r>
    </w:p>
    <w:p w14:paraId="366B08AA" w14:textId="5FD8DFA3" w:rsidR="00C427D3" w:rsidRDefault="00C427D3" w:rsidP="00C427D3">
      <w:pPr>
        <w:spacing w:line="360" w:lineRule="auto"/>
        <w:jc w:val="both"/>
        <w:rPr>
          <w:rFonts w:ascii="Arial" w:hAnsi="Arial" w:cs="Arial"/>
          <w:b/>
          <w:bCs/>
          <w:sz w:val="22"/>
          <w:szCs w:val="22"/>
        </w:rPr>
      </w:pPr>
      <w:r w:rsidRPr="00B22686">
        <w:rPr>
          <w:rFonts w:ascii="Arial" w:hAnsi="Arial" w:cs="Arial"/>
          <w:b/>
          <w:bCs/>
          <w:sz w:val="22"/>
          <w:szCs w:val="22"/>
        </w:rPr>
        <w:t>5.2 Stakeholder Analysis</w:t>
      </w:r>
      <w:r>
        <w:rPr>
          <w:rFonts w:ascii="Arial" w:hAnsi="Arial" w:cs="Arial"/>
          <w:b/>
          <w:bCs/>
          <w:sz w:val="22"/>
          <w:szCs w:val="22"/>
        </w:rPr>
        <w:t>………………………………………</w:t>
      </w:r>
      <w:r w:rsidR="001C4BA1">
        <w:rPr>
          <w:rFonts w:ascii="Arial" w:hAnsi="Arial" w:cs="Arial"/>
          <w:b/>
          <w:bCs/>
          <w:sz w:val="22"/>
          <w:szCs w:val="22"/>
        </w:rPr>
        <w:t>….</w:t>
      </w:r>
      <w:r>
        <w:rPr>
          <w:rFonts w:ascii="Arial" w:hAnsi="Arial" w:cs="Arial"/>
          <w:b/>
          <w:bCs/>
          <w:sz w:val="22"/>
          <w:szCs w:val="22"/>
        </w:rPr>
        <w:t>………… 17</w:t>
      </w:r>
    </w:p>
    <w:p w14:paraId="43382EEF" w14:textId="1E086C13" w:rsidR="00C427D3" w:rsidRDefault="00C427D3" w:rsidP="00C427D3">
      <w:pPr>
        <w:spacing w:line="360" w:lineRule="auto"/>
        <w:jc w:val="both"/>
        <w:rPr>
          <w:rFonts w:ascii="Arial" w:hAnsi="Arial" w:cs="Arial"/>
          <w:b/>
          <w:bCs/>
          <w:sz w:val="22"/>
          <w:szCs w:val="22"/>
        </w:rPr>
      </w:pPr>
      <w:r>
        <w:rPr>
          <w:rFonts w:ascii="Arial" w:hAnsi="Arial" w:cs="Arial"/>
          <w:b/>
          <w:bCs/>
          <w:sz w:val="22"/>
          <w:szCs w:val="22"/>
        </w:rPr>
        <w:t xml:space="preserve">       5.2.1 </w:t>
      </w:r>
      <w:r w:rsidRPr="00B22686">
        <w:rPr>
          <w:rFonts w:ascii="Arial" w:hAnsi="Arial" w:cs="Arial"/>
          <w:b/>
          <w:bCs/>
          <w:sz w:val="22"/>
          <w:szCs w:val="22"/>
        </w:rPr>
        <w:t>Key Stakeholders</w:t>
      </w:r>
      <w:r>
        <w:rPr>
          <w:rFonts w:ascii="Arial" w:hAnsi="Arial" w:cs="Arial"/>
          <w:b/>
          <w:bCs/>
          <w:sz w:val="22"/>
          <w:szCs w:val="22"/>
        </w:rPr>
        <w:t>………………………………………</w:t>
      </w:r>
      <w:r w:rsidR="001C4BA1">
        <w:rPr>
          <w:rFonts w:ascii="Arial" w:hAnsi="Arial" w:cs="Arial"/>
          <w:b/>
          <w:bCs/>
          <w:sz w:val="22"/>
          <w:szCs w:val="22"/>
        </w:rPr>
        <w:t>.</w:t>
      </w:r>
      <w:r>
        <w:rPr>
          <w:rFonts w:ascii="Arial" w:hAnsi="Arial" w:cs="Arial"/>
          <w:b/>
          <w:bCs/>
          <w:sz w:val="22"/>
          <w:szCs w:val="22"/>
        </w:rPr>
        <w:t>………… 18</w:t>
      </w:r>
    </w:p>
    <w:p w14:paraId="5D6D641C" w14:textId="2054D23B" w:rsidR="00C427D3" w:rsidRPr="00B22686" w:rsidRDefault="00C427D3" w:rsidP="00C427D3">
      <w:pPr>
        <w:spacing w:line="360" w:lineRule="auto"/>
        <w:jc w:val="both"/>
        <w:rPr>
          <w:rFonts w:ascii="Arial" w:hAnsi="Arial" w:cs="Arial"/>
          <w:b/>
          <w:bCs/>
          <w:sz w:val="22"/>
          <w:szCs w:val="22"/>
        </w:rPr>
      </w:pPr>
      <w:r w:rsidRPr="00B22686">
        <w:rPr>
          <w:rFonts w:ascii="Arial" w:hAnsi="Arial" w:cs="Arial"/>
          <w:b/>
          <w:bCs/>
          <w:sz w:val="22"/>
          <w:szCs w:val="22"/>
        </w:rPr>
        <w:t>5.3 Implementation Framework</w:t>
      </w:r>
      <w:r>
        <w:rPr>
          <w:rFonts w:ascii="Arial" w:hAnsi="Arial" w:cs="Arial"/>
          <w:b/>
          <w:bCs/>
          <w:sz w:val="22"/>
          <w:szCs w:val="22"/>
        </w:rPr>
        <w:t>……………………………………………. 18</w:t>
      </w:r>
    </w:p>
    <w:p w14:paraId="48A6657B" w14:textId="2953E066" w:rsidR="00C427D3" w:rsidRDefault="00C427D3" w:rsidP="00C427D3">
      <w:pPr>
        <w:spacing w:line="360" w:lineRule="auto"/>
        <w:jc w:val="both"/>
        <w:rPr>
          <w:rFonts w:ascii="Arial" w:hAnsi="Arial" w:cs="Arial"/>
          <w:b/>
          <w:bCs/>
          <w:sz w:val="22"/>
          <w:szCs w:val="22"/>
        </w:rPr>
      </w:pPr>
      <w:r w:rsidRPr="00B22686">
        <w:rPr>
          <w:rFonts w:ascii="Arial" w:hAnsi="Arial" w:cs="Arial"/>
          <w:b/>
          <w:bCs/>
          <w:sz w:val="22"/>
          <w:szCs w:val="22"/>
        </w:rPr>
        <w:t>5.4 Communication Plan</w:t>
      </w:r>
      <w:r>
        <w:rPr>
          <w:rFonts w:ascii="Arial" w:hAnsi="Arial" w:cs="Arial"/>
          <w:b/>
          <w:bCs/>
          <w:sz w:val="22"/>
          <w:szCs w:val="22"/>
        </w:rPr>
        <w:t>…………………………………………………… 19</w:t>
      </w:r>
    </w:p>
    <w:p w14:paraId="328FFB52" w14:textId="77777777" w:rsidR="00C427D3" w:rsidRPr="00B22686" w:rsidRDefault="00C427D3" w:rsidP="00C427D3">
      <w:pPr>
        <w:spacing w:line="360" w:lineRule="auto"/>
        <w:ind w:left="720"/>
        <w:jc w:val="both"/>
        <w:rPr>
          <w:rFonts w:ascii="Arial" w:hAnsi="Arial" w:cs="Arial"/>
          <w:b/>
          <w:bCs/>
          <w:sz w:val="22"/>
          <w:szCs w:val="22"/>
        </w:rPr>
      </w:pPr>
      <w:r>
        <w:rPr>
          <w:rFonts w:ascii="Arial" w:hAnsi="Arial" w:cs="Arial"/>
          <w:b/>
          <w:bCs/>
          <w:sz w:val="22"/>
          <w:szCs w:val="22"/>
        </w:rPr>
        <w:t xml:space="preserve">5.4.1 </w:t>
      </w:r>
      <w:r w:rsidRPr="00B22686">
        <w:rPr>
          <w:rFonts w:ascii="Arial" w:hAnsi="Arial" w:cs="Arial"/>
          <w:b/>
          <w:bCs/>
          <w:sz w:val="22"/>
          <w:szCs w:val="22"/>
        </w:rPr>
        <w:t>Communication Objectives</w:t>
      </w:r>
    </w:p>
    <w:p w14:paraId="58A9583F" w14:textId="77777777" w:rsidR="00C427D3" w:rsidRDefault="00C427D3" w:rsidP="00C427D3">
      <w:pPr>
        <w:spacing w:line="360" w:lineRule="auto"/>
        <w:ind w:left="720"/>
        <w:jc w:val="both"/>
        <w:rPr>
          <w:rFonts w:ascii="Arial" w:hAnsi="Arial" w:cs="Arial"/>
          <w:b/>
          <w:bCs/>
          <w:sz w:val="22"/>
          <w:szCs w:val="22"/>
        </w:rPr>
      </w:pPr>
      <w:r>
        <w:rPr>
          <w:rFonts w:ascii="Arial" w:hAnsi="Arial" w:cs="Arial"/>
          <w:b/>
          <w:bCs/>
          <w:sz w:val="22"/>
          <w:szCs w:val="22"/>
        </w:rPr>
        <w:t xml:space="preserve">5.4.2 </w:t>
      </w:r>
      <w:r w:rsidRPr="00B22686">
        <w:rPr>
          <w:rFonts w:ascii="Arial" w:hAnsi="Arial" w:cs="Arial"/>
          <w:b/>
          <w:bCs/>
          <w:sz w:val="22"/>
          <w:szCs w:val="22"/>
        </w:rPr>
        <w:t>Communication Channels</w:t>
      </w:r>
    </w:p>
    <w:p w14:paraId="73AB5275" w14:textId="091AB552" w:rsidR="00C427D3" w:rsidRPr="00B22686" w:rsidRDefault="00C427D3" w:rsidP="00C427D3">
      <w:pPr>
        <w:spacing w:line="360" w:lineRule="auto"/>
        <w:jc w:val="both"/>
        <w:rPr>
          <w:rFonts w:ascii="Arial" w:hAnsi="Arial" w:cs="Arial"/>
          <w:b/>
          <w:bCs/>
          <w:sz w:val="22"/>
          <w:szCs w:val="22"/>
        </w:rPr>
      </w:pPr>
      <w:r w:rsidRPr="00B22686">
        <w:rPr>
          <w:rFonts w:ascii="Arial" w:hAnsi="Arial" w:cs="Arial"/>
          <w:b/>
          <w:bCs/>
          <w:sz w:val="22"/>
          <w:szCs w:val="22"/>
        </w:rPr>
        <w:t>5.5 Financial and Resource Plan</w:t>
      </w:r>
      <w:r>
        <w:rPr>
          <w:rFonts w:ascii="Arial" w:hAnsi="Arial" w:cs="Arial"/>
          <w:b/>
          <w:bCs/>
          <w:sz w:val="22"/>
          <w:szCs w:val="22"/>
        </w:rPr>
        <w:t>…………………………………………</w:t>
      </w:r>
      <w:r w:rsidR="00AC4848">
        <w:rPr>
          <w:rFonts w:ascii="Arial" w:hAnsi="Arial" w:cs="Arial"/>
          <w:b/>
          <w:bCs/>
          <w:sz w:val="22"/>
          <w:szCs w:val="22"/>
        </w:rPr>
        <w:t>…</w:t>
      </w:r>
      <w:r>
        <w:rPr>
          <w:rFonts w:ascii="Arial" w:hAnsi="Arial" w:cs="Arial"/>
          <w:b/>
          <w:bCs/>
          <w:sz w:val="22"/>
          <w:szCs w:val="22"/>
        </w:rPr>
        <w:t>19</w:t>
      </w:r>
    </w:p>
    <w:p w14:paraId="0E875016" w14:textId="353E63F6" w:rsidR="00C427D3" w:rsidRPr="00B22686" w:rsidRDefault="00C427D3" w:rsidP="00C427D3">
      <w:pPr>
        <w:spacing w:line="360" w:lineRule="auto"/>
        <w:jc w:val="both"/>
        <w:rPr>
          <w:rFonts w:ascii="Arial" w:hAnsi="Arial" w:cs="Arial"/>
          <w:b/>
          <w:bCs/>
          <w:sz w:val="22"/>
          <w:szCs w:val="22"/>
        </w:rPr>
      </w:pPr>
      <w:r w:rsidRPr="00B22686">
        <w:rPr>
          <w:rFonts w:ascii="Arial" w:hAnsi="Arial" w:cs="Arial"/>
          <w:b/>
          <w:bCs/>
          <w:sz w:val="22"/>
          <w:szCs w:val="22"/>
        </w:rPr>
        <w:t>5.6 Risk Assessment and Mitigation</w:t>
      </w:r>
      <w:r>
        <w:rPr>
          <w:rFonts w:ascii="Arial" w:hAnsi="Arial" w:cs="Arial"/>
          <w:b/>
          <w:bCs/>
          <w:sz w:val="22"/>
          <w:szCs w:val="22"/>
        </w:rPr>
        <w:t>………………………………………</w:t>
      </w:r>
      <w:r w:rsidR="00AC4848">
        <w:rPr>
          <w:rFonts w:ascii="Arial" w:hAnsi="Arial" w:cs="Arial"/>
          <w:b/>
          <w:bCs/>
          <w:sz w:val="22"/>
          <w:szCs w:val="22"/>
        </w:rPr>
        <w:t>.</w:t>
      </w:r>
      <w:r>
        <w:rPr>
          <w:rFonts w:ascii="Arial" w:hAnsi="Arial" w:cs="Arial"/>
          <w:b/>
          <w:bCs/>
          <w:sz w:val="22"/>
          <w:szCs w:val="22"/>
        </w:rPr>
        <w:t>20</w:t>
      </w:r>
    </w:p>
    <w:p w14:paraId="78181FF3" w14:textId="77777777" w:rsidR="00C427D3" w:rsidRPr="00B22686" w:rsidRDefault="00C427D3" w:rsidP="00C427D3">
      <w:pPr>
        <w:spacing w:line="360" w:lineRule="auto"/>
        <w:jc w:val="both"/>
        <w:rPr>
          <w:rFonts w:ascii="Arial" w:hAnsi="Arial" w:cs="Arial"/>
          <w:b/>
          <w:bCs/>
          <w:sz w:val="22"/>
          <w:szCs w:val="22"/>
        </w:rPr>
      </w:pPr>
      <w:r w:rsidRPr="00B22686">
        <w:rPr>
          <w:rFonts w:ascii="Arial" w:hAnsi="Arial" w:cs="Arial"/>
          <w:b/>
          <w:bCs/>
          <w:sz w:val="22"/>
          <w:szCs w:val="22"/>
        </w:rPr>
        <w:t>5.7 Evaluation and KPIs</w:t>
      </w:r>
    </w:p>
    <w:p w14:paraId="508EA3D0" w14:textId="4339E9DC" w:rsidR="00C427D3" w:rsidRDefault="00C427D3" w:rsidP="00C427D3">
      <w:pPr>
        <w:spacing w:line="360" w:lineRule="auto"/>
        <w:ind w:left="720"/>
        <w:jc w:val="both"/>
        <w:rPr>
          <w:rFonts w:ascii="Arial" w:hAnsi="Arial" w:cs="Arial"/>
          <w:b/>
          <w:bCs/>
          <w:sz w:val="22"/>
          <w:szCs w:val="22"/>
        </w:rPr>
      </w:pPr>
      <w:r>
        <w:rPr>
          <w:rFonts w:ascii="Arial" w:hAnsi="Arial" w:cs="Arial"/>
          <w:b/>
          <w:bCs/>
          <w:sz w:val="22"/>
          <w:szCs w:val="22"/>
        </w:rPr>
        <w:t xml:space="preserve">5.7.1 </w:t>
      </w:r>
      <w:r w:rsidRPr="00B22686">
        <w:rPr>
          <w:rFonts w:ascii="Arial" w:hAnsi="Arial" w:cs="Arial"/>
          <w:b/>
          <w:bCs/>
          <w:sz w:val="22"/>
          <w:szCs w:val="22"/>
        </w:rPr>
        <w:t>Key Performance Indicators</w:t>
      </w:r>
      <w:r>
        <w:rPr>
          <w:rFonts w:ascii="Arial" w:hAnsi="Arial" w:cs="Arial"/>
          <w:b/>
          <w:bCs/>
          <w:sz w:val="22"/>
          <w:szCs w:val="22"/>
        </w:rPr>
        <w:t>………………………………</w:t>
      </w:r>
      <w:r w:rsidR="00AC4848">
        <w:rPr>
          <w:rFonts w:ascii="Arial" w:hAnsi="Arial" w:cs="Arial"/>
          <w:b/>
          <w:bCs/>
          <w:sz w:val="22"/>
          <w:szCs w:val="22"/>
        </w:rPr>
        <w:t>….</w:t>
      </w:r>
      <w:r>
        <w:rPr>
          <w:rFonts w:ascii="Arial" w:hAnsi="Arial" w:cs="Arial"/>
          <w:b/>
          <w:bCs/>
          <w:sz w:val="22"/>
          <w:szCs w:val="22"/>
        </w:rPr>
        <w:t>21</w:t>
      </w:r>
    </w:p>
    <w:p w14:paraId="0B2F4A31" w14:textId="0A80B3D1" w:rsidR="00C427D3" w:rsidRDefault="00C427D3" w:rsidP="00C427D3">
      <w:pPr>
        <w:spacing w:line="360" w:lineRule="auto"/>
        <w:jc w:val="both"/>
        <w:rPr>
          <w:rFonts w:ascii="Arial" w:hAnsi="Arial" w:cs="Arial"/>
          <w:b/>
          <w:bCs/>
          <w:sz w:val="22"/>
          <w:szCs w:val="22"/>
        </w:rPr>
      </w:pPr>
      <w:r w:rsidRPr="00B22686">
        <w:rPr>
          <w:rFonts w:ascii="Arial" w:hAnsi="Arial" w:cs="Arial"/>
          <w:b/>
          <w:bCs/>
          <w:sz w:val="22"/>
          <w:szCs w:val="22"/>
        </w:rPr>
        <w:t>6. Discussion and Critical Reflection</w:t>
      </w:r>
      <w:r>
        <w:rPr>
          <w:rFonts w:ascii="Arial" w:hAnsi="Arial" w:cs="Arial"/>
          <w:b/>
          <w:bCs/>
          <w:sz w:val="22"/>
          <w:szCs w:val="22"/>
        </w:rPr>
        <w:t>………………………………………21</w:t>
      </w:r>
    </w:p>
    <w:p w14:paraId="303DF54C" w14:textId="77777777" w:rsidR="00C427D3" w:rsidRPr="00B22686" w:rsidRDefault="00C427D3" w:rsidP="00C427D3">
      <w:pPr>
        <w:spacing w:line="360" w:lineRule="auto"/>
        <w:jc w:val="both"/>
        <w:rPr>
          <w:rFonts w:ascii="Arial" w:hAnsi="Arial" w:cs="Arial"/>
          <w:b/>
          <w:bCs/>
          <w:sz w:val="22"/>
          <w:szCs w:val="22"/>
        </w:rPr>
      </w:pPr>
      <w:r w:rsidRPr="00B22686">
        <w:rPr>
          <w:rFonts w:ascii="Arial" w:hAnsi="Arial" w:cs="Arial"/>
          <w:b/>
          <w:bCs/>
          <w:sz w:val="22"/>
          <w:szCs w:val="22"/>
        </w:rPr>
        <w:t>7. Conclusion</w:t>
      </w:r>
      <w:r>
        <w:rPr>
          <w:rFonts w:ascii="Arial" w:hAnsi="Arial" w:cs="Arial"/>
          <w:b/>
          <w:bCs/>
          <w:sz w:val="22"/>
          <w:szCs w:val="22"/>
        </w:rPr>
        <w:t>………………………………………………………………… 22,23</w:t>
      </w:r>
    </w:p>
    <w:p w14:paraId="53F820A0" w14:textId="4A6AE98A" w:rsidR="00C427D3" w:rsidRDefault="00C427D3" w:rsidP="00C427D3">
      <w:pPr>
        <w:spacing w:line="360" w:lineRule="auto"/>
        <w:jc w:val="both"/>
        <w:rPr>
          <w:rFonts w:ascii="Arial" w:hAnsi="Arial" w:cs="Arial"/>
          <w:b/>
          <w:bCs/>
          <w:sz w:val="22"/>
          <w:szCs w:val="22"/>
        </w:rPr>
      </w:pPr>
      <w:r>
        <w:rPr>
          <w:rFonts w:ascii="Arial" w:hAnsi="Arial" w:cs="Arial"/>
          <w:b/>
          <w:bCs/>
          <w:sz w:val="22"/>
          <w:szCs w:val="22"/>
        </w:rPr>
        <w:t xml:space="preserve">8. </w:t>
      </w:r>
      <w:r w:rsidRPr="00C118FA">
        <w:rPr>
          <w:rFonts w:ascii="Arial" w:hAnsi="Arial" w:cs="Arial"/>
          <w:b/>
          <w:bCs/>
          <w:sz w:val="22"/>
          <w:szCs w:val="22"/>
        </w:rPr>
        <w:t>R</w:t>
      </w:r>
      <w:r w:rsidRPr="007E0CF3">
        <w:rPr>
          <w:rFonts w:ascii="Arial" w:hAnsi="Arial" w:cs="Arial"/>
          <w:b/>
          <w:bCs/>
          <w:sz w:val="22"/>
          <w:szCs w:val="22"/>
        </w:rPr>
        <w:t>eference list</w:t>
      </w:r>
      <w:r>
        <w:rPr>
          <w:rFonts w:ascii="Arial" w:hAnsi="Arial" w:cs="Arial"/>
          <w:b/>
          <w:bCs/>
          <w:sz w:val="22"/>
          <w:szCs w:val="22"/>
        </w:rPr>
        <w:t>……………………………………………………………</w:t>
      </w:r>
      <w:r w:rsidR="00AC4848">
        <w:rPr>
          <w:rFonts w:ascii="Arial" w:hAnsi="Arial" w:cs="Arial"/>
          <w:b/>
          <w:bCs/>
          <w:sz w:val="22"/>
          <w:szCs w:val="22"/>
        </w:rPr>
        <w:t>…</w:t>
      </w:r>
      <w:r>
        <w:rPr>
          <w:rFonts w:ascii="Arial" w:hAnsi="Arial" w:cs="Arial"/>
          <w:b/>
          <w:bCs/>
          <w:sz w:val="22"/>
          <w:szCs w:val="22"/>
        </w:rPr>
        <w:t xml:space="preserve"> 24,25</w:t>
      </w:r>
    </w:p>
    <w:p w14:paraId="710886EB" w14:textId="77777777" w:rsidR="00C427D3" w:rsidRPr="00B22686" w:rsidRDefault="00C427D3" w:rsidP="00C427D3">
      <w:pPr>
        <w:spacing w:line="360" w:lineRule="auto"/>
        <w:rPr>
          <w:rFonts w:ascii="Arial" w:hAnsi="Arial" w:cs="Arial"/>
          <w:b/>
          <w:bCs/>
          <w:sz w:val="22"/>
          <w:szCs w:val="22"/>
        </w:rPr>
      </w:pPr>
    </w:p>
    <w:p w14:paraId="72BF523C" w14:textId="77777777" w:rsidR="009F30A9" w:rsidRPr="008E087E" w:rsidRDefault="009F30A9" w:rsidP="0018614E">
      <w:pPr>
        <w:pStyle w:val="TableParagraph"/>
        <w:spacing w:before="119" w:after="120" w:line="360" w:lineRule="auto"/>
        <w:jc w:val="both"/>
        <w:rPr>
          <w:rFonts w:ascii="Arial" w:hAnsi="Arial" w:cs="Arial"/>
          <w:b/>
        </w:rPr>
      </w:pPr>
    </w:p>
    <w:p w14:paraId="211825FA" w14:textId="32E5C990" w:rsidR="00E96C08" w:rsidRDefault="00E96C08" w:rsidP="0018614E">
      <w:pPr>
        <w:jc w:val="both"/>
        <w:rPr>
          <w:rFonts w:ascii="Arial" w:hAnsi="Arial" w:cs="Arial"/>
          <w:b/>
          <w:bCs/>
          <w:sz w:val="22"/>
          <w:szCs w:val="22"/>
        </w:rPr>
      </w:pPr>
      <w:r>
        <w:rPr>
          <w:rFonts w:ascii="Arial" w:hAnsi="Arial" w:cs="Arial"/>
          <w:b/>
          <w:bCs/>
          <w:sz w:val="22"/>
          <w:szCs w:val="22"/>
        </w:rPr>
        <w:br w:type="page"/>
      </w:r>
    </w:p>
    <w:p w14:paraId="347272DA" w14:textId="77777777" w:rsidR="007A6CF2" w:rsidRDefault="007A6CF2">
      <w:pPr>
        <w:rPr>
          <w:rFonts w:ascii="Arial" w:hAnsi="Arial" w:cs="Arial"/>
          <w:b/>
          <w:bCs/>
          <w:sz w:val="22"/>
          <w:szCs w:val="22"/>
        </w:rPr>
      </w:pPr>
    </w:p>
    <w:p w14:paraId="6E641754" w14:textId="49D4C88B" w:rsidR="00C118FA" w:rsidRPr="00CE1E78" w:rsidRDefault="00C118FA" w:rsidP="00CE1E78">
      <w:pPr>
        <w:pStyle w:val="ListParagraph"/>
        <w:numPr>
          <w:ilvl w:val="0"/>
          <w:numId w:val="20"/>
        </w:numPr>
        <w:spacing w:line="360" w:lineRule="auto"/>
        <w:rPr>
          <w:rFonts w:ascii="Arial" w:hAnsi="Arial" w:cs="Arial"/>
          <w:b/>
          <w:bCs/>
          <w:sz w:val="22"/>
          <w:szCs w:val="22"/>
        </w:rPr>
      </w:pPr>
      <w:r w:rsidRPr="00CE1E78">
        <w:rPr>
          <w:rFonts w:ascii="Arial" w:hAnsi="Arial" w:cs="Arial"/>
          <w:b/>
          <w:bCs/>
          <w:sz w:val="22"/>
          <w:szCs w:val="22"/>
        </w:rPr>
        <w:t xml:space="preserve">Introduction </w:t>
      </w:r>
    </w:p>
    <w:p w14:paraId="4F800F68" w14:textId="77777777" w:rsidR="00007B54" w:rsidRPr="00007B54" w:rsidRDefault="00007B54" w:rsidP="00007B54">
      <w:pPr>
        <w:spacing w:line="360" w:lineRule="auto"/>
        <w:rPr>
          <w:rFonts w:ascii="Arial" w:hAnsi="Arial" w:cs="Arial"/>
          <w:sz w:val="22"/>
          <w:szCs w:val="22"/>
        </w:rPr>
      </w:pPr>
      <w:r w:rsidRPr="00007B54">
        <w:rPr>
          <w:rFonts w:ascii="Arial" w:hAnsi="Arial" w:cs="Arial"/>
          <w:sz w:val="22"/>
          <w:szCs w:val="22"/>
        </w:rPr>
        <w:t>HSBC Holdings plc is a global banking and financial services organisation headquartered in London, serving approximately 41 million customers across 56 markets through its retail banking and wealth management, commercial banking, and global banking and markets divisions (HSBC, 2025a; 2025b). Established in 1865 to facilitate international trade, HSBC has historically differentiated itself through cross-border connectivity, trade finance capability and a strong international footprint. As a publicly listed multinational bank on the London and Hong Kong Stock Exchanges, HSBC is consistently ranked among the world’s largest banking institutions by total assets and remains one of the UK’s “Big Four” banks, reflecting its systemic importance and regulatory visibility.</w:t>
      </w:r>
    </w:p>
    <w:p w14:paraId="7EDBF3BC" w14:textId="77777777" w:rsidR="00007B54" w:rsidRPr="00007B54" w:rsidRDefault="00007B54" w:rsidP="00007B54">
      <w:pPr>
        <w:spacing w:line="360" w:lineRule="auto"/>
        <w:rPr>
          <w:rFonts w:ascii="Arial" w:hAnsi="Arial" w:cs="Arial"/>
          <w:sz w:val="22"/>
          <w:szCs w:val="22"/>
        </w:rPr>
      </w:pPr>
      <w:r w:rsidRPr="00007B54">
        <w:rPr>
          <w:rFonts w:ascii="Arial" w:hAnsi="Arial" w:cs="Arial"/>
          <w:sz w:val="22"/>
          <w:szCs w:val="22"/>
        </w:rPr>
        <w:t>The banking industry is undergoing significant transformation driven by digital disruption, fintech competition, open-banking reforms and rapid advances in artificial intelligence. Open-banking regulation has reduced switching barriers and intensified competition, while AI adoption in fraud detection, compliance monitoring and customer service is reshaping operational models (UK Government, 2017; Deloitte, 2024). However, technological innovation also increases governance complexity, cybersecurity exposure and model risk, particularly within highly regulated institutions.</w:t>
      </w:r>
    </w:p>
    <w:p w14:paraId="572263EA" w14:textId="77777777" w:rsidR="00007B54" w:rsidRPr="00007B54" w:rsidRDefault="00007B54" w:rsidP="00007B54">
      <w:pPr>
        <w:spacing w:line="360" w:lineRule="auto"/>
        <w:rPr>
          <w:rFonts w:ascii="Arial" w:hAnsi="Arial" w:cs="Arial"/>
          <w:sz w:val="22"/>
          <w:szCs w:val="22"/>
        </w:rPr>
      </w:pPr>
      <w:r w:rsidRPr="00007B54">
        <w:rPr>
          <w:rFonts w:ascii="Arial" w:hAnsi="Arial" w:cs="Arial"/>
          <w:sz w:val="22"/>
          <w:szCs w:val="22"/>
        </w:rPr>
        <w:t>HSBC therefore represents a strategically relevant case for analysing change management. Its global scale, legacy systems and regulatory obligations require transformation efforts to balance agility with control. The organisation’s ability to integrate digital capability, governance discipline and cultural adaptation will determine whether it sustains competitive advantage in an increasingly technology-driven financial ecosystem.</w:t>
      </w:r>
    </w:p>
    <w:p w14:paraId="28461C38" w14:textId="6BB237E2" w:rsidR="007E0CF3" w:rsidRPr="007E0CF3" w:rsidRDefault="007E0CF3" w:rsidP="00C118FA">
      <w:pPr>
        <w:spacing w:line="360" w:lineRule="auto"/>
        <w:rPr>
          <w:rFonts w:ascii="Arial" w:hAnsi="Arial" w:cs="Arial"/>
          <w:sz w:val="22"/>
          <w:szCs w:val="22"/>
        </w:rPr>
      </w:pPr>
    </w:p>
    <w:p w14:paraId="2D7FE402" w14:textId="3AC70AEE" w:rsidR="007E0CF3" w:rsidRPr="007E0CF3" w:rsidRDefault="00DD7F30" w:rsidP="00C118FA">
      <w:pPr>
        <w:spacing w:line="360" w:lineRule="auto"/>
        <w:rPr>
          <w:rFonts w:ascii="Arial" w:hAnsi="Arial" w:cs="Arial"/>
          <w:b/>
          <w:bCs/>
          <w:sz w:val="22"/>
          <w:szCs w:val="22"/>
        </w:rPr>
      </w:pPr>
      <w:r>
        <w:rPr>
          <w:rFonts w:ascii="Arial" w:hAnsi="Arial" w:cs="Arial"/>
          <w:b/>
          <w:bCs/>
          <w:sz w:val="22"/>
          <w:szCs w:val="22"/>
        </w:rPr>
        <w:t xml:space="preserve">2. </w:t>
      </w:r>
      <w:r w:rsidR="007E0CF3" w:rsidRPr="007E0CF3">
        <w:rPr>
          <w:rFonts w:ascii="Arial" w:hAnsi="Arial" w:cs="Arial"/>
          <w:b/>
          <w:bCs/>
          <w:sz w:val="22"/>
          <w:szCs w:val="22"/>
        </w:rPr>
        <w:t>Environmental and Organisational Analysis</w:t>
      </w:r>
    </w:p>
    <w:p w14:paraId="1E5AE3DD" w14:textId="1E17D574" w:rsidR="007E0CF3" w:rsidRPr="007E0CF3" w:rsidRDefault="007E0CF3" w:rsidP="00C118FA">
      <w:pPr>
        <w:spacing w:line="360" w:lineRule="auto"/>
        <w:rPr>
          <w:rFonts w:ascii="Arial" w:hAnsi="Arial" w:cs="Arial"/>
          <w:b/>
          <w:bCs/>
          <w:sz w:val="22"/>
          <w:szCs w:val="22"/>
        </w:rPr>
      </w:pPr>
      <w:r w:rsidRPr="007E0CF3">
        <w:rPr>
          <w:rFonts w:ascii="Arial" w:hAnsi="Arial" w:cs="Arial"/>
          <w:b/>
          <w:bCs/>
          <w:sz w:val="22"/>
          <w:szCs w:val="22"/>
        </w:rPr>
        <w:t>2.1 External environment analysis</w:t>
      </w:r>
    </w:p>
    <w:p w14:paraId="358315EE" w14:textId="77777777" w:rsidR="007A4DDC" w:rsidRDefault="007E0CF3" w:rsidP="00C118FA">
      <w:pPr>
        <w:spacing w:line="360" w:lineRule="auto"/>
        <w:rPr>
          <w:rFonts w:ascii="Arial" w:hAnsi="Arial" w:cs="Arial"/>
          <w:sz w:val="22"/>
          <w:szCs w:val="22"/>
        </w:rPr>
      </w:pPr>
      <w:r w:rsidRPr="007E0CF3">
        <w:rPr>
          <w:rFonts w:ascii="Arial" w:hAnsi="Arial" w:cs="Arial"/>
          <w:b/>
          <w:bCs/>
          <w:sz w:val="22"/>
          <w:szCs w:val="22"/>
        </w:rPr>
        <w:t>Political/Legal.</w:t>
      </w:r>
      <w:r w:rsidRPr="007E0CF3">
        <w:rPr>
          <w:rFonts w:ascii="Arial" w:hAnsi="Arial" w:cs="Arial"/>
          <w:sz w:val="22"/>
          <w:szCs w:val="22"/>
        </w:rPr>
        <w:t xml:space="preserve"> </w:t>
      </w:r>
      <w:r w:rsidR="007A4DDC" w:rsidRPr="007A4DDC">
        <w:rPr>
          <w:rFonts w:ascii="Arial" w:hAnsi="Arial" w:cs="Arial"/>
          <w:sz w:val="22"/>
          <w:szCs w:val="22"/>
        </w:rPr>
        <w:t>HSBC operates across multiple regulatory regimes where Basel III requirements, AML/KYC obligations and data privacy rules increase compliance costs and operational complexity (BIS, 2017; BIS, 2024). Open banking reforms intensify competition by increasing data portability and switching power (UK Government, 2017).</w:t>
      </w:r>
    </w:p>
    <w:p w14:paraId="181800DA" w14:textId="56E906A4" w:rsidR="007E0CF3" w:rsidRPr="007E0CF3" w:rsidRDefault="007E0CF3" w:rsidP="00C118FA">
      <w:pPr>
        <w:spacing w:line="360" w:lineRule="auto"/>
        <w:rPr>
          <w:rFonts w:ascii="Arial" w:hAnsi="Arial" w:cs="Arial"/>
          <w:sz w:val="22"/>
          <w:szCs w:val="22"/>
        </w:rPr>
      </w:pPr>
      <w:r w:rsidRPr="007E0CF3">
        <w:rPr>
          <w:rFonts w:ascii="Arial" w:hAnsi="Arial" w:cs="Arial"/>
          <w:b/>
          <w:bCs/>
          <w:sz w:val="22"/>
          <w:szCs w:val="22"/>
        </w:rPr>
        <w:t>Economic.</w:t>
      </w:r>
      <w:r w:rsidRPr="007E0CF3">
        <w:rPr>
          <w:rFonts w:ascii="Arial" w:hAnsi="Arial" w:cs="Arial"/>
          <w:sz w:val="22"/>
          <w:szCs w:val="22"/>
        </w:rPr>
        <w:t xml:space="preserve"> Banking profitability is sensitive to interest rates, credit cycles and macro volatility; shifts affect net interest margin, impairments and customer demand (Mishkin, </w:t>
      </w:r>
      <w:r w:rsidRPr="007E0CF3">
        <w:rPr>
          <w:rFonts w:ascii="Arial" w:hAnsi="Arial" w:cs="Arial"/>
          <w:sz w:val="22"/>
          <w:szCs w:val="22"/>
        </w:rPr>
        <w:lastRenderedPageBreak/>
        <w:t xml:space="preserve">2019). HSBC’s international footprint can diversify </w:t>
      </w:r>
      <w:r w:rsidR="007A4DDC" w:rsidRPr="007E0CF3">
        <w:rPr>
          <w:rFonts w:ascii="Arial" w:hAnsi="Arial" w:cs="Arial"/>
          <w:sz w:val="22"/>
          <w:szCs w:val="22"/>
        </w:rPr>
        <w:t>earnings but</w:t>
      </w:r>
      <w:r w:rsidRPr="007E0CF3">
        <w:rPr>
          <w:rFonts w:ascii="Arial" w:hAnsi="Arial" w:cs="Arial"/>
          <w:sz w:val="22"/>
          <w:szCs w:val="22"/>
        </w:rPr>
        <w:t xml:space="preserve"> also exposes it to region-specific downturns and currency/geopolitical shocks.</w:t>
      </w:r>
    </w:p>
    <w:p w14:paraId="6BE57AFE" w14:textId="77777777" w:rsidR="007E0CF3" w:rsidRPr="007E0CF3" w:rsidRDefault="007E0CF3" w:rsidP="00C118FA">
      <w:pPr>
        <w:spacing w:line="360" w:lineRule="auto"/>
        <w:rPr>
          <w:rFonts w:ascii="Arial" w:hAnsi="Arial" w:cs="Arial"/>
          <w:sz w:val="22"/>
          <w:szCs w:val="22"/>
        </w:rPr>
      </w:pPr>
      <w:r w:rsidRPr="007E0CF3">
        <w:rPr>
          <w:rFonts w:ascii="Arial" w:hAnsi="Arial" w:cs="Arial"/>
          <w:b/>
          <w:bCs/>
          <w:sz w:val="22"/>
          <w:szCs w:val="22"/>
        </w:rPr>
        <w:t>Social.</w:t>
      </w:r>
      <w:r w:rsidRPr="007E0CF3">
        <w:rPr>
          <w:rFonts w:ascii="Arial" w:hAnsi="Arial" w:cs="Arial"/>
          <w:sz w:val="22"/>
          <w:szCs w:val="22"/>
        </w:rPr>
        <w:t xml:space="preserve"> Customers increasingly expect real-time, mobile-first, personalised experiences shaped by platform norms (EY, 2022). In banking, trust is a core asset; reputational damage from operational failures or misconduct can rapidly erode customer willingness to share data and adopt digital services. Therefore, digital change must be coupled with visible governance and transparent customer outcomes.</w:t>
      </w:r>
    </w:p>
    <w:p w14:paraId="5DAC4D45" w14:textId="77777777" w:rsidR="007E0CF3" w:rsidRPr="007E0CF3" w:rsidRDefault="007E0CF3" w:rsidP="00C118FA">
      <w:pPr>
        <w:spacing w:line="360" w:lineRule="auto"/>
        <w:rPr>
          <w:rFonts w:ascii="Arial" w:hAnsi="Arial" w:cs="Arial"/>
          <w:sz w:val="22"/>
          <w:szCs w:val="22"/>
        </w:rPr>
      </w:pPr>
      <w:r w:rsidRPr="007E0CF3">
        <w:rPr>
          <w:rFonts w:ascii="Arial" w:hAnsi="Arial" w:cs="Arial"/>
          <w:b/>
          <w:bCs/>
          <w:sz w:val="22"/>
          <w:szCs w:val="22"/>
        </w:rPr>
        <w:t>Technological.</w:t>
      </w:r>
      <w:r w:rsidRPr="007E0CF3">
        <w:rPr>
          <w:rFonts w:ascii="Arial" w:hAnsi="Arial" w:cs="Arial"/>
          <w:sz w:val="22"/>
          <w:szCs w:val="22"/>
        </w:rPr>
        <w:t xml:space="preserve"> AI, cloud and API-based ecosystems lower entry barriers for niche attackers (e.g., payments, FX, lending origination) and increase the speed of innovation cycles (Deloitte, 2024). At the same time, digitalisation increases exposure to cybercrime and identity fraud (including deepfake-enabled attacks), raising the value of robust operational resilience (Deloitte, 2024). The key tension for HSBC is scaling innovation while strengthening model governance, security controls and data quality.</w:t>
      </w:r>
    </w:p>
    <w:p w14:paraId="361D3898" w14:textId="77777777" w:rsidR="007E0CF3" w:rsidRPr="007E0CF3" w:rsidRDefault="007E0CF3" w:rsidP="00C118FA">
      <w:pPr>
        <w:spacing w:line="360" w:lineRule="auto"/>
        <w:rPr>
          <w:rFonts w:ascii="Arial" w:hAnsi="Arial" w:cs="Arial"/>
          <w:sz w:val="22"/>
          <w:szCs w:val="22"/>
        </w:rPr>
      </w:pPr>
      <w:r w:rsidRPr="007E0CF3">
        <w:rPr>
          <w:rFonts w:ascii="Arial" w:hAnsi="Arial" w:cs="Arial"/>
          <w:b/>
          <w:bCs/>
          <w:sz w:val="22"/>
          <w:szCs w:val="22"/>
        </w:rPr>
        <w:t>Environmental.</w:t>
      </w:r>
      <w:r w:rsidRPr="007E0CF3">
        <w:rPr>
          <w:rFonts w:ascii="Arial" w:hAnsi="Arial" w:cs="Arial"/>
          <w:sz w:val="22"/>
          <w:szCs w:val="22"/>
        </w:rPr>
        <w:t xml:space="preserve"> Climate risk and sustainable finance expectations are reshaping credit risk, portfolio strategy and disclosures. Banks face transition risk (carbon-intensive assets) and physical risk (climate events affecting collateral and counterparties), which increasingly influence supervisory expectations and capital planning (BIS, 2024).</w:t>
      </w:r>
    </w:p>
    <w:p w14:paraId="1A10E19C" w14:textId="7859606C" w:rsidR="007E0CF3" w:rsidRPr="007E0CF3" w:rsidRDefault="00351C03" w:rsidP="00C118FA">
      <w:pPr>
        <w:spacing w:line="360" w:lineRule="auto"/>
        <w:rPr>
          <w:rFonts w:ascii="Arial" w:hAnsi="Arial" w:cs="Arial"/>
          <w:sz w:val="22"/>
          <w:szCs w:val="22"/>
        </w:rPr>
      </w:pPr>
      <w:r>
        <w:rPr>
          <w:rFonts w:ascii="Arial" w:hAnsi="Arial" w:cs="Arial"/>
          <w:b/>
          <w:bCs/>
          <w:sz w:val="22"/>
          <w:szCs w:val="22"/>
        </w:rPr>
        <w:t xml:space="preserve">2.3 </w:t>
      </w:r>
      <w:r w:rsidR="007E0CF3" w:rsidRPr="007E0CF3">
        <w:rPr>
          <w:rFonts w:ascii="Arial" w:hAnsi="Arial" w:cs="Arial"/>
          <w:b/>
          <w:bCs/>
          <w:sz w:val="22"/>
          <w:szCs w:val="22"/>
        </w:rPr>
        <w:t xml:space="preserve">Porter’s Five Forces </w:t>
      </w:r>
    </w:p>
    <w:p w14:paraId="14ABCE9A" w14:textId="77777777" w:rsidR="007E0CF3" w:rsidRPr="007E0CF3" w:rsidRDefault="007E0CF3" w:rsidP="00C118FA">
      <w:pPr>
        <w:numPr>
          <w:ilvl w:val="0"/>
          <w:numId w:val="1"/>
        </w:numPr>
        <w:spacing w:line="360" w:lineRule="auto"/>
        <w:rPr>
          <w:rFonts w:ascii="Arial" w:hAnsi="Arial" w:cs="Arial"/>
          <w:sz w:val="22"/>
          <w:szCs w:val="22"/>
        </w:rPr>
      </w:pPr>
      <w:r w:rsidRPr="007E0CF3">
        <w:rPr>
          <w:rFonts w:ascii="Arial" w:hAnsi="Arial" w:cs="Arial"/>
          <w:b/>
          <w:bCs/>
          <w:sz w:val="22"/>
          <w:szCs w:val="22"/>
        </w:rPr>
        <w:t>Rivalry (high):</w:t>
      </w:r>
      <w:r w:rsidRPr="007E0CF3">
        <w:rPr>
          <w:rFonts w:ascii="Arial" w:hAnsi="Arial" w:cs="Arial"/>
          <w:sz w:val="22"/>
          <w:szCs w:val="22"/>
        </w:rPr>
        <w:t xml:space="preserve"> Global banks and digital challengers compete on experience and fees; differentiation shifts toward ecosystem capability and trusted advice rather than commoditised transactions.</w:t>
      </w:r>
    </w:p>
    <w:p w14:paraId="1E21B4E0" w14:textId="77777777" w:rsidR="007E0CF3" w:rsidRPr="007E0CF3" w:rsidRDefault="007E0CF3" w:rsidP="00C118FA">
      <w:pPr>
        <w:numPr>
          <w:ilvl w:val="0"/>
          <w:numId w:val="1"/>
        </w:numPr>
        <w:spacing w:line="360" w:lineRule="auto"/>
        <w:rPr>
          <w:rFonts w:ascii="Arial" w:hAnsi="Arial" w:cs="Arial"/>
          <w:sz w:val="22"/>
          <w:szCs w:val="22"/>
        </w:rPr>
      </w:pPr>
      <w:r w:rsidRPr="007E0CF3">
        <w:rPr>
          <w:rFonts w:ascii="Arial" w:hAnsi="Arial" w:cs="Arial"/>
          <w:b/>
          <w:bCs/>
          <w:sz w:val="22"/>
          <w:szCs w:val="22"/>
        </w:rPr>
        <w:t>New entrants (moderate/low overall, high in niches):</w:t>
      </w:r>
      <w:r w:rsidRPr="007E0CF3">
        <w:rPr>
          <w:rFonts w:ascii="Arial" w:hAnsi="Arial" w:cs="Arial"/>
          <w:sz w:val="22"/>
          <w:szCs w:val="22"/>
        </w:rPr>
        <w:t xml:space="preserve"> Regulation limits full-service entry, but </w:t>
      </w:r>
      <w:proofErr w:type="spellStart"/>
      <w:r w:rsidRPr="007E0CF3">
        <w:rPr>
          <w:rFonts w:ascii="Arial" w:hAnsi="Arial" w:cs="Arial"/>
          <w:sz w:val="22"/>
          <w:szCs w:val="22"/>
        </w:rPr>
        <w:t>fintechs</w:t>
      </w:r>
      <w:proofErr w:type="spellEnd"/>
      <w:r w:rsidRPr="007E0CF3">
        <w:rPr>
          <w:rFonts w:ascii="Arial" w:hAnsi="Arial" w:cs="Arial"/>
          <w:sz w:val="22"/>
          <w:szCs w:val="22"/>
        </w:rPr>
        <w:t xml:space="preserve"> enter profitable value-chain slices (payments, onboarding, credit decisioning).</w:t>
      </w:r>
    </w:p>
    <w:p w14:paraId="0E24C16E" w14:textId="77777777" w:rsidR="007E0CF3" w:rsidRPr="007E0CF3" w:rsidRDefault="007E0CF3" w:rsidP="00C118FA">
      <w:pPr>
        <w:numPr>
          <w:ilvl w:val="0"/>
          <w:numId w:val="1"/>
        </w:numPr>
        <w:spacing w:line="360" w:lineRule="auto"/>
        <w:rPr>
          <w:rFonts w:ascii="Arial" w:hAnsi="Arial" w:cs="Arial"/>
          <w:sz w:val="22"/>
          <w:szCs w:val="22"/>
        </w:rPr>
      </w:pPr>
      <w:r w:rsidRPr="007E0CF3">
        <w:rPr>
          <w:rFonts w:ascii="Arial" w:hAnsi="Arial" w:cs="Arial"/>
          <w:b/>
          <w:bCs/>
          <w:sz w:val="22"/>
          <w:szCs w:val="22"/>
        </w:rPr>
        <w:t>Buyer power (high):</w:t>
      </w:r>
      <w:r w:rsidRPr="007E0CF3">
        <w:rPr>
          <w:rFonts w:ascii="Arial" w:hAnsi="Arial" w:cs="Arial"/>
          <w:sz w:val="22"/>
          <w:szCs w:val="22"/>
        </w:rPr>
        <w:t xml:space="preserve"> Open banking and comparison tools increase switching power and price sensitivity (UK Government, 2017; Open Banking Limited, n.d.).</w:t>
      </w:r>
    </w:p>
    <w:p w14:paraId="331D5A73" w14:textId="77777777" w:rsidR="007E0CF3" w:rsidRPr="007E0CF3" w:rsidRDefault="007E0CF3" w:rsidP="00C118FA">
      <w:pPr>
        <w:numPr>
          <w:ilvl w:val="0"/>
          <w:numId w:val="1"/>
        </w:numPr>
        <w:spacing w:line="360" w:lineRule="auto"/>
        <w:rPr>
          <w:rFonts w:ascii="Arial" w:hAnsi="Arial" w:cs="Arial"/>
          <w:sz w:val="22"/>
          <w:szCs w:val="22"/>
        </w:rPr>
      </w:pPr>
      <w:r w:rsidRPr="007E0CF3">
        <w:rPr>
          <w:rFonts w:ascii="Arial" w:hAnsi="Arial" w:cs="Arial"/>
          <w:b/>
          <w:bCs/>
          <w:sz w:val="22"/>
          <w:szCs w:val="22"/>
        </w:rPr>
        <w:t>Supplier power (moderate):</w:t>
      </w:r>
      <w:r w:rsidRPr="007E0CF3">
        <w:rPr>
          <w:rFonts w:ascii="Arial" w:hAnsi="Arial" w:cs="Arial"/>
          <w:sz w:val="22"/>
          <w:szCs w:val="22"/>
        </w:rPr>
        <w:t xml:space="preserve"> Dependence on cloud/AI vendors and scarce digital talent increases cost and concentration risk.</w:t>
      </w:r>
    </w:p>
    <w:p w14:paraId="0823BE2E" w14:textId="77777777" w:rsidR="007E0CF3" w:rsidRPr="007E0CF3" w:rsidRDefault="007E0CF3" w:rsidP="00C118FA">
      <w:pPr>
        <w:numPr>
          <w:ilvl w:val="0"/>
          <w:numId w:val="1"/>
        </w:numPr>
        <w:spacing w:line="360" w:lineRule="auto"/>
        <w:rPr>
          <w:rFonts w:ascii="Arial" w:hAnsi="Arial" w:cs="Arial"/>
          <w:sz w:val="22"/>
          <w:szCs w:val="22"/>
        </w:rPr>
      </w:pPr>
      <w:r w:rsidRPr="007E0CF3">
        <w:rPr>
          <w:rFonts w:ascii="Arial" w:hAnsi="Arial" w:cs="Arial"/>
          <w:b/>
          <w:bCs/>
          <w:sz w:val="22"/>
          <w:szCs w:val="22"/>
        </w:rPr>
        <w:t>Substitutes (high):</w:t>
      </w:r>
      <w:r w:rsidRPr="007E0CF3">
        <w:rPr>
          <w:rFonts w:ascii="Arial" w:hAnsi="Arial" w:cs="Arial"/>
          <w:sz w:val="22"/>
          <w:szCs w:val="22"/>
        </w:rPr>
        <w:t xml:space="preserve"> Digital wallets, “embedded finance” and platform-based payment rails can disintermediate banks from the customer interface, particularly in e-commerce contexts where checkout providers control the relationship.</w:t>
      </w:r>
    </w:p>
    <w:p w14:paraId="7858AE8B" w14:textId="77777777" w:rsidR="004A5D5E" w:rsidRDefault="004A5D5E" w:rsidP="00C118FA">
      <w:pPr>
        <w:spacing w:line="360" w:lineRule="auto"/>
        <w:rPr>
          <w:rFonts w:ascii="Arial" w:hAnsi="Arial" w:cs="Arial"/>
          <w:b/>
          <w:bCs/>
          <w:sz w:val="22"/>
          <w:szCs w:val="22"/>
        </w:rPr>
      </w:pPr>
    </w:p>
    <w:p w14:paraId="5C392CAF" w14:textId="1A52DF99"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lastRenderedPageBreak/>
        <w:t>2.2 Internal Environment Analysis</w:t>
      </w:r>
    </w:p>
    <w:p w14:paraId="18740B85"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2.2.1 SWOT Analysis</w:t>
      </w:r>
    </w:p>
    <w:p w14:paraId="36EAADE8"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 xml:space="preserve">SWOT analysis evaluates organisational </w:t>
      </w:r>
      <w:r w:rsidRPr="00C118FA">
        <w:rPr>
          <w:rFonts w:ascii="Arial" w:hAnsi="Arial" w:cs="Arial"/>
          <w:b/>
          <w:bCs/>
          <w:sz w:val="22"/>
          <w:szCs w:val="22"/>
        </w:rPr>
        <w:t>strengths, weaknesses, opportunities and threats</w:t>
      </w:r>
      <w:r w:rsidRPr="00C118FA">
        <w:rPr>
          <w:rFonts w:ascii="Arial" w:hAnsi="Arial" w:cs="Arial"/>
          <w:sz w:val="22"/>
          <w:szCs w:val="22"/>
        </w:rPr>
        <w:t>, linking internal capabilities to external pressures (Helms and Nixon, 2010). For HSBC, SWOT helps assess its readiness for digital and AI-driven transformation.</w:t>
      </w:r>
    </w:p>
    <w:p w14:paraId="641E66C9"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Strengths</w:t>
      </w:r>
    </w:p>
    <w:p w14:paraId="7D5A0E20" w14:textId="19847DD5"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 xml:space="preserve">HSBC’s primary strength lies in its </w:t>
      </w:r>
      <w:r w:rsidRPr="00C118FA">
        <w:rPr>
          <w:rFonts w:ascii="Arial" w:hAnsi="Arial" w:cs="Arial"/>
          <w:b/>
          <w:bCs/>
          <w:sz w:val="22"/>
          <w:szCs w:val="22"/>
        </w:rPr>
        <w:t>global network and cross-border banking capability</w:t>
      </w:r>
      <w:r w:rsidRPr="00C118FA">
        <w:rPr>
          <w:rFonts w:ascii="Arial" w:hAnsi="Arial" w:cs="Arial"/>
          <w:sz w:val="22"/>
          <w:szCs w:val="22"/>
        </w:rPr>
        <w:t>, serving customers in 56 markets (HSBC, 2025a). This geographic diversification reduces overreliance on single markets and supports trade finance and international wealth services.</w:t>
      </w:r>
    </w:p>
    <w:p w14:paraId="02DCCB0E" w14:textId="77777777" w:rsidR="00C118FA" w:rsidRDefault="00C118FA" w:rsidP="00C118FA">
      <w:pPr>
        <w:spacing w:line="360" w:lineRule="auto"/>
        <w:rPr>
          <w:rFonts w:ascii="Arial" w:hAnsi="Arial" w:cs="Arial"/>
          <w:sz w:val="22"/>
          <w:szCs w:val="22"/>
        </w:rPr>
      </w:pPr>
      <w:r w:rsidRPr="00C118FA">
        <w:rPr>
          <w:rFonts w:ascii="Arial" w:hAnsi="Arial" w:cs="Arial"/>
          <w:sz w:val="22"/>
          <w:szCs w:val="22"/>
        </w:rPr>
        <w:t>Additionally, HSBC possesses strong capital resources and technological investment capacity, enabling large-scale AI implementation in fraud detection, anti-money laundering (AML), and customer analytics. AI-driven automation enhances operational efficiency and risk monitoring (Deloitte, 2024). These digital investments strengthen competitive positioning against fintech entrants.</w:t>
      </w:r>
    </w:p>
    <w:p w14:paraId="5895C706" w14:textId="6C471F3C" w:rsidR="00550191" w:rsidRPr="00C118FA" w:rsidRDefault="00550191" w:rsidP="00C118FA">
      <w:pPr>
        <w:spacing w:line="360" w:lineRule="auto"/>
        <w:rPr>
          <w:rFonts w:ascii="Arial" w:hAnsi="Arial" w:cs="Arial"/>
          <w:sz w:val="22"/>
          <w:szCs w:val="22"/>
        </w:rPr>
      </w:pPr>
      <w:r w:rsidRPr="00550191">
        <w:rPr>
          <w:rFonts w:ascii="Arial" w:hAnsi="Arial" w:cs="Arial"/>
          <w:sz w:val="22"/>
          <w:szCs w:val="22"/>
        </w:rPr>
        <w:t>From a Resource-Based View perspective, these capabilities represent valuable and difficult-to-imitate resources, though they must be continuously developed to sustain advantage (Barney, 1991).</w:t>
      </w:r>
    </w:p>
    <w:p w14:paraId="0A4E8812"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Weaknesses</w:t>
      </w:r>
    </w:p>
    <w:p w14:paraId="01C6E0FA"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 xml:space="preserve">A significant weakness is HSBC’s </w:t>
      </w:r>
      <w:r w:rsidRPr="00C118FA">
        <w:rPr>
          <w:rFonts w:ascii="Arial" w:hAnsi="Arial" w:cs="Arial"/>
          <w:b/>
          <w:bCs/>
          <w:sz w:val="22"/>
          <w:szCs w:val="22"/>
        </w:rPr>
        <w:t>organisational complexity</w:t>
      </w:r>
      <w:r w:rsidRPr="00C118FA">
        <w:rPr>
          <w:rFonts w:ascii="Arial" w:hAnsi="Arial" w:cs="Arial"/>
          <w:sz w:val="22"/>
          <w:szCs w:val="22"/>
        </w:rPr>
        <w:t xml:space="preserve"> due to its global matrix structure. Large multinational banks often experience slow decision-making, siloed functions and bureaucratic inertia, which can delay digital transformation (Burnes, 2020).</w:t>
      </w:r>
    </w:p>
    <w:p w14:paraId="45B18068"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Legacy IT systems represent another structural limitation. Many traditional banks operate on ageing core banking systems that limit agility, API integration and real-time analytics (Deloitte, 2024). This technological debt increases operational risk and slows innovation compared to digital-native competitors.</w:t>
      </w:r>
    </w:p>
    <w:p w14:paraId="6FB9BBFB" w14:textId="5F47A7F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Moreover, cultural resistance to change may hinder AI adoption. Employees in regulated environments may prioritise risk minimisation over experimentation, limiting innovation speed (Kotter, 1996). Without cultural alignment, digital initiatives may face internal friction.</w:t>
      </w:r>
    </w:p>
    <w:p w14:paraId="436D6C9E"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Opportunities</w:t>
      </w:r>
    </w:p>
    <w:p w14:paraId="57ECBA8B"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 xml:space="preserve">The rapid growth of </w:t>
      </w:r>
      <w:r w:rsidRPr="00C118FA">
        <w:rPr>
          <w:rFonts w:ascii="Arial" w:hAnsi="Arial" w:cs="Arial"/>
          <w:b/>
          <w:bCs/>
          <w:sz w:val="22"/>
          <w:szCs w:val="22"/>
        </w:rPr>
        <w:t>digital banking and online payments</w:t>
      </w:r>
      <w:r w:rsidRPr="00C118FA">
        <w:rPr>
          <w:rFonts w:ascii="Arial" w:hAnsi="Arial" w:cs="Arial"/>
          <w:sz w:val="22"/>
          <w:szCs w:val="22"/>
        </w:rPr>
        <w:t xml:space="preserve"> presents expansion opportunities. Increasing e-commerce activity and mobile banking adoption enable HSBC to deepen customer engagement through digital channels (World Bank, 2022).</w:t>
      </w:r>
    </w:p>
    <w:p w14:paraId="2FBD5BD6"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lastRenderedPageBreak/>
        <w:t>Artificial Intelligence presents further opportunity for predictive analytics, personalised financial advice and automated compliance monitoring (Brynjolfsson and McAfee, 2017). When strategically integrated, AI can improve customer experience while reducing operational costs.</w:t>
      </w:r>
    </w:p>
    <w:p w14:paraId="4F075C45" w14:textId="2560F17D"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Wealth management growth in Asia and international trade flows also align with HSBC’s strategic positioning as a global connector bank (HSBC, 2025a).</w:t>
      </w:r>
    </w:p>
    <w:p w14:paraId="686BA7B1"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Threats</w:t>
      </w:r>
    </w:p>
    <w:p w14:paraId="050D2F56"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Competition from fintech firms and digital banks poses a significant threat. These firms operate with lower cost bases and faster innovation cycles, increasing competitive rivalry (Porter, 2008). Big Tech firms entering financial services further intensify pressure.</w:t>
      </w:r>
    </w:p>
    <w:p w14:paraId="0101A955" w14:textId="562A63C8"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Cybersecurity and AI-enabled fraud risks also threaten operational resilience (Deloitte, 2024). Additionally, strict regulatory requirements increase compliance costs and constrain experimentation (BIS, 2024).</w:t>
      </w:r>
    </w:p>
    <w:p w14:paraId="37C9E53E"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Critical Evaluation</w:t>
      </w:r>
    </w:p>
    <w:p w14:paraId="6E05FC9B" w14:textId="0A9504D2"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While HSBC possesses strong financial and brand resources, its weaknesses—particularly legacy systems and organisational complexity—may constrain the effective exploitation of AI and digital opportunities. SWOT reveals that competitive advantage depends not only on resource possession, but on the organisation’s ability to reconfigure capabilities dynamically, supporting the importance of structured change management (Teece, 2018).</w:t>
      </w:r>
    </w:p>
    <w:p w14:paraId="76B8B593"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2.2.2 McKinsey 7S Framework Analysis</w:t>
      </w:r>
    </w:p>
    <w:p w14:paraId="480D8563" w14:textId="442A9D1A"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 xml:space="preserve">The McKinsey 7S framework evaluates organisational alignment across seven interdependent elements: </w:t>
      </w:r>
      <w:r w:rsidRPr="00C118FA">
        <w:rPr>
          <w:rFonts w:ascii="Arial" w:hAnsi="Arial" w:cs="Arial"/>
          <w:b/>
          <w:bCs/>
          <w:sz w:val="22"/>
          <w:szCs w:val="22"/>
        </w:rPr>
        <w:t>Strategy, Structure, Systems, Shared Values, Skills, Style and Staff</w:t>
      </w:r>
      <w:r w:rsidRPr="00C118FA">
        <w:rPr>
          <w:rFonts w:ascii="Arial" w:hAnsi="Arial" w:cs="Arial"/>
          <w:sz w:val="22"/>
          <w:szCs w:val="22"/>
        </w:rPr>
        <w:t xml:space="preserve"> (Waterman, Peters and Phillips, 1980). Unlike SWOT, which is descriptive, 7S assesses internal consistency during change.</w:t>
      </w:r>
    </w:p>
    <w:p w14:paraId="49C2F018"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Strategy</w:t>
      </w:r>
    </w:p>
    <w:p w14:paraId="47E406FF" w14:textId="1CCF287F"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HSBC’s strategy increasingly prioritises digital transformation, AI adoption and international wealth growth (HSBC, 2025a).</w:t>
      </w:r>
      <w:r w:rsidR="00F12E2C">
        <w:rPr>
          <w:rFonts w:ascii="Arial" w:hAnsi="Arial" w:cs="Arial"/>
          <w:sz w:val="22"/>
          <w:szCs w:val="22"/>
        </w:rPr>
        <w:t xml:space="preserve"> S</w:t>
      </w:r>
      <w:r w:rsidRPr="00C118FA">
        <w:rPr>
          <w:rFonts w:ascii="Arial" w:hAnsi="Arial" w:cs="Arial"/>
          <w:sz w:val="22"/>
          <w:szCs w:val="22"/>
        </w:rPr>
        <w:t>trategy execution depends on effective alignment of systems and culture.</w:t>
      </w:r>
    </w:p>
    <w:p w14:paraId="11ED5269"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Structure</w:t>
      </w:r>
    </w:p>
    <w:p w14:paraId="246AB395" w14:textId="07D81D1D"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HSBC operates through a complex global matrix structure combining geographic and business divisions. While this structure enables global coverage, it may slow decision-</w:t>
      </w:r>
      <w:r w:rsidRPr="00C118FA">
        <w:rPr>
          <w:rFonts w:ascii="Arial" w:hAnsi="Arial" w:cs="Arial"/>
          <w:sz w:val="22"/>
          <w:szCs w:val="22"/>
        </w:rPr>
        <w:lastRenderedPageBreak/>
        <w:t>making and innovation due to layered governance (Burnes, 2020). Agile digital initiatives may struggle within hierarchical frameworks.</w:t>
      </w:r>
    </w:p>
    <w:p w14:paraId="2C7819EC"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Systems</w:t>
      </w:r>
    </w:p>
    <w:p w14:paraId="5B0DE910" w14:textId="145659D8"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Operational systems include compliance frameworks, risk controls, IT infrastructure and digital platforms. Strong governance systems are critical in banking (BIS, 2024). However, legacy core systems can limit agility and increase transformation costs (Deloitte, 2024).</w:t>
      </w:r>
    </w:p>
    <w:p w14:paraId="3FB2EB3F"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Shared Values</w:t>
      </w:r>
    </w:p>
    <w:p w14:paraId="2FE6C560" w14:textId="11F3774F"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HSBC emphasises trust, stability and international connectivity (HSBC, 2025a). Trust is a crucial competitive asset in banking. However, digital transformation requires embedding innovation and adaptability as core values alongside risk discipline (Kotter, 1996).</w:t>
      </w:r>
    </w:p>
    <w:p w14:paraId="432EBCB5"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Skills</w:t>
      </w:r>
    </w:p>
    <w:p w14:paraId="698D4760" w14:textId="5CD710A1"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HSBC possesses deep expertise in finance, compliance and risk management. However, digital transformation demands new capabilities in AI governance, data science, cybersecurity and agile delivery (Brynjolfsson and McAfee, 2017). Upskilling and talent acquisition are therefore critical.</w:t>
      </w:r>
    </w:p>
    <w:p w14:paraId="6BF81A4B"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Style</w:t>
      </w:r>
    </w:p>
    <w:p w14:paraId="62044B97" w14:textId="374D863E"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Leadership style in large banks often emphasises control and risk mitigation. While appropriate for regulatory compliance, overly cautious leadership may hinder experimentation (Burnes, 2020). Transformational leadership is necessary to build urgency and digital mindset (Kotter, 1996).</w:t>
      </w:r>
    </w:p>
    <w:p w14:paraId="59D4CC33"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Staff</w:t>
      </w:r>
    </w:p>
    <w:p w14:paraId="53AAB364"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With a global workforce, HSBC must manage cross-cultural teams and digital capability development. Workforce reskilling is essential to support AI-enabled operations and evolving customer expectations (Deloitte, 2024).</w:t>
      </w:r>
    </w:p>
    <w:p w14:paraId="56B0EEA0" w14:textId="6F203494" w:rsidR="00C118FA" w:rsidRPr="00C118FA" w:rsidRDefault="00C118FA" w:rsidP="00C118FA">
      <w:pPr>
        <w:spacing w:line="360" w:lineRule="auto"/>
        <w:rPr>
          <w:rFonts w:ascii="Arial" w:hAnsi="Arial" w:cs="Arial"/>
          <w:sz w:val="22"/>
          <w:szCs w:val="22"/>
        </w:rPr>
      </w:pPr>
    </w:p>
    <w:p w14:paraId="5CBF4E29" w14:textId="418DF69F"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Evaluation</w:t>
      </w:r>
    </w:p>
    <w:p w14:paraId="32265329"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The 7S analysis suggests that HSBC’s strategy may be digitally progressive, but misalignment between systems, skills and style could undermine execution. For AI-driven transformation to succeed, structural flexibility, modernised systems and cultural adaptation must occur simultaneously. This reinforces the need for a multi-level change management model integrating structural and behavioural elements.</w:t>
      </w:r>
    </w:p>
    <w:p w14:paraId="0A9E2D01" w14:textId="77777777" w:rsidR="008063AC" w:rsidRDefault="008063AC" w:rsidP="00C118FA">
      <w:pPr>
        <w:spacing w:line="360" w:lineRule="auto"/>
        <w:rPr>
          <w:rFonts w:ascii="Arial" w:hAnsi="Arial" w:cs="Arial"/>
          <w:b/>
          <w:bCs/>
          <w:sz w:val="22"/>
          <w:szCs w:val="22"/>
        </w:rPr>
      </w:pPr>
    </w:p>
    <w:p w14:paraId="09C57945" w14:textId="77777777" w:rsidR="008063AC" w:rsidRDefault="008063AC" w:rsidP="00C118FA">
      <w:pPr>
        <w:spacing w:line="360" w:lineRule="auto"/>
        <w:rPr>
          <w:rFonts w:ascii="Arial" w:hAnsi="Arial" w:cs="Arial"/>
          <w:b/>
          <w:bCs/>
          <w:sz w:val="22"/>
          <w:szCs w:val="22"/>
        </w:rPr>
      </w:pPr>
    </w:p>
    <w:p w14:paraId="12615337" w14:textId="71314232" w:rsidR="007E0CF3" w:rsidRPr="007E0CF3" w:rsidRDefault="007E0CF3" w:rsidP="00C118FA">
      <w:pPr>
        <w:spacing w:line="360" w:lineRule="auto"/>
        <w:rPr>
          <w:rFonts w:ascii="Arial" w:hAnsi="Arial" w:cs="Arial"/>
          <w:b/>
          <w:bCs/>
          <w:sz w:val="22"/>
          <w:szCs w:val="22"/>
        </w:rPr>
      </w:pPr>
      <w:r w:rsidRPr="007E0CF3">
        <w:rPr>
          <w:rFonts w:ascii="Arial" w:hAnsi="Arial" w:cs="Arial"/>
          <w:b/>
          <w:bCs/>
          <w:sz w:val="22"/>
          <w:szCs w:val="22"/>
        </w:rPr>
        <w:t>2.3 Triggers for change</w:t>
      </w:r>
    </w:p>
    <w:p w14:paraId="472D8444" w14:textId="2B30CCA3" w:rsidR="007E0CF3" w:rsidRDefault="007E0CF3" w:rsidP="00C118FA">
      <w:pPr>
        <w:spacing w:line="360" w:lineRule="auto"/>
        <w:rPr>
          <w:rFonts w:ascii="Arial" w:hAnsi="Arial" w:cs="Arial"/>
          <w:sz w:val="22"/>
          <w:szCs w:val="22"/>
        </w:rPr>
      </w:pPr>
      <w:r w:rsidRPr="007E0CF3">
        <w:rPr>
          <w:rFonts w:ascii="Arial" w:hAnsi="Arial" w:cs="Arial"/>
          <w:sz w:val="22"/>
          <w:szCs w:val="22"/>
        </w:rPr>
        <w:t xml:space="preserve">HSBC faces converging triggers: regulatory intensification (Basel-aligned resilience expectations and growing scrutiny of operational risk and climate risk), market redesign through open banking that increases customer switching power, and rapid digital disruption as </w:t>
      </w:r>
      <w:r w:rsidRPr="00C118FA">
        <w:rPr>
          <w:rFonts w:ascii="Arial" w:hAnsi="Arial" w:cs="Arial"/>
          <w:sz w:val="22"/>
          <w:szCs w:val="22"/>
        </w:rPr>
        <w:t>fintech’s</w:t>
      </w:r>
      <w:r w:rsidRPr="007E0CF3">
        <w:rPr>
          <w:rFonts w:ascii="Arial" w:hAnsi="Arial" w:cs="Arial"/>
          <w:sz w:val="22"/>
          <w:szCs w:val="22"/>
        </w:rPr>
        <w:t xml:space="preserve"> and platform ecosystems reconfigure value chains around APIs, mobile journeys and embedded finance (BIS, 2024; UK Government, 2017; Deloitte, 2024). Simultaneously, e-commerce growth is pushing more payments and credit journeys into third-party platforms, risking disintermediation unless HSBC competes through partnerships and superior digital integration (World Bank, 2022). Finally, the acceleration of AI adoption raises both productivity potential and governance risk—requiring HSBC to upgrade data foundations, model risk management and workforce capabilities to sustain trust while innovating (Brynjolfsson and McAfee, 2017; Deloitte, 2024).</w:t>
      </w:r>
    </w:p>
    <w:p w14:paraId="55847492" w14:textId="5F677FD0" w:rsidR="00826E4F" w:rsidRPr="00C118FA" w:rsidRDefault="00826E4F" w:rsidP="00C118FA">
      <w:pPr>
        <w:spacing w:line="360" w:lineRule="auto"/>
        <w:rPr>
          <w:rFonts w:ascii="Arial" w:hAnsi="Arial" w:cs="Arial"/>
          <w:sz w:val="22"/>
          <w:szCs w:val="22"/>
        </w:rPr>
      </w:pPr>
      <w:r w:rsidRPr="00826E4F">
        <w:rPr>
          <w:rFonts w:ascii="Arial" w:hAnsi="Arial" w:cs="Arial"/>
          <w:sz w:val="22"/>
          <w:szCs w:val="22"/>
        </w:rPr>
        <w:t>These environmental pressures illustrate the strategic management process in action: environmental scanning identifies digital disruption, regulatory tightening and AI-driven competition as key external drivers; internal analysis reveals structural and cultural constraints; strategy formulation therefore prioritises digital integration and governance strengthening; and implementation requires structured change management aligned with organisational capabilities. This alignment between analysis and strategic response reinforces the necessity of a formalised transformation programme.</w:t>
      </w:r>
    </w:p>
    <w:p w14:paraId="50C7B201" w14:textId="77777777" w:rsidR="007E0CF3" w:rsidRPr="007E0CF3" w:rsidRDefault="007E0CF3" w:rsidP="00C118FA">
      <w:pPr>
        <w:spacing w:line="360" w:lineRule="auto"/>
        <w:rPr>
          <w:rFonts w:ascii="Arial" w:hAnsi="Arial" w:cs="Arial"/>
          <w:sz w:val="22"/>
          <w:szCs w:val="22"/>
        </w:rPr>
      </w:pPr>
    </w:p>
    <w:p w14:paraId="3837F8EC" w14:textId="565A27DD" w:rsidR="007E0CF3" w:rsidRPr="00B96DFB" w:rsidRDefault="007E0CF3" w:rsidP="00B96DFB">
      <w:pPr>
        <w:pStyle w:val="ListParagraph"/>
        <w:numPr>
          <w:ilvl w:val="0"/>
          <w:numId w:val="21"/>
        </w:numPr>
        <w:spacing w:line="360" w:lineRule="auto"/>
        <w:rPr>
          <w:rFonts w:ascii="Arial" w:hAnsi="Arial" w:cs="Arial"/>
          <w:b/>
          <w:bCs/>
          <w:sz w:val="22"/>
          <w:szCs w:val="22"/>
        </w:rPr>
      </w:pPr>
      <w:r w:rsidRPr="00B96DFB">
        <w:rPr>
          <w:rFonts w:ascii="Arial" w:hAnsi="Arial" w:cs="Arial"/>
          <w:b/>
          <w:bCs/>
          <w:sz w:val="22"/>
          <w:szCs w:val="22"/>
        </w:rPr>
        <w:t xml:space="preserve">Review and Evaluation of Change Management Models </w:t>
      </w:r>
    </w:p>
    <w:p w14:paraId="4AB5D3B0" w14:textId="77521AC2" w:rsidR="00202253" w:rsidRPr="00202253" w:rsidRDefault="00202253" w:rsidP="00C118FA">
      <w:pPr>
        <w:spacing w:line="360" w:lineRule="auto"/>
        <w:rPr>
          <w:rFonts w:ascii="Arial" w:hAnsi="Arial" w:cs="Arial"/>
          <w:sz w:val="22"/>
          <w:szCs w:val="22"/>
        </w:rPr>
      </w:pPr>
      <w:r w:rsidRPr="00202253">
        <w:rPr>
          <w:rFonts w:ascii="Arial" w:hAnsi="Arial" w:cs="Arial"/>
          <w:sz w:val="22"/>
          <w:szCs w:val="22"/>
        </w:rPr>
        <w:t>Historically, HSBC has undertaken several large-scale restructuring and digital transformation initiatives, including market exits, cost-reduction programmes, and increased strategic focus on Asia and wealth management. These initiatives were largely centrally driven, reflecting elements of top-down change consistent with Kotter’s leadership-led approach. However, the scale and complexity of HSBC’s global operations often resulted in gradual implementation rather than rapid transformation, highlighting the challenges of aligning governance, technology and culture simultaneously. This historical experience demonstrates the importance of combining strategic direction with behavioural adoption mechanisms, supporting the case for a hybrid change model.</w:t>
      </w:r>
    </w:p>
    <w:p w14:paraId="1B3E883D" w14:textId="09E253CF" w:rsidR="007E0CF3" w:rsidRPr="007E0CF3" w:rsidRDefault="007E0CF3" w:rsidP="00C118FA">
      <w:pPr>
        <w:spacing w:line="360" w:lineRule="auto"/>
        <w:rPr>
          <w:rFonts w:ascii="Arial" w:hAnsi="Arial" w:cs="Arial"/>
          <w:sz w:val="22"/>
          <w:szCs w:val="22"/>
        </w:rPr>
      </w:pPr>
      <w:r w:rsidRPr="007E0CF3">
        <w:rPr>
          <w:rFonts w:ascii="Arial" w:hAnsi="Arial" w:cs="Arial"/>
          <w:b/>
          <w:bCs/>
          <w:sz w:val="22"/>
          <w:szCs w:val="22"/>
        </w:rPr>
        <w:lastRenderedPageBreak/>
        <w:t>Why model choice matters for HSBC.</w:t>
      </w:r>
      <w:r w:rsidRPr="007E0CF3">
        <w:rPr>
          <w:rFonts w:ascii="Arial" w:hAnsi="Arial" w:cs="Arial"/>
          <w:sz w:val="22"/>
          <w:szCs w:val="22"/>
        </w:rPr>
        <w:t xml:space="preserve"> In large banks, transformation is constrained by regulation, operational resilience requirements, and legacy architectures; </w:t>
      </w:r>
      <w:proofErr w:type="gramStart"/>
      <w:r w:rsidRPr="007E0CF3">
        <w:rPr>
          <w:rFonts w:ascii="Arial" w:hAnsi="Arial" w:cs="Arial"/>
          <w:sz w:val="22"/>
          <w:szCs w:val="22"/>
        </w:rPr>
        <w:t>therefore</w:t>
      </w:r>
      <w:proofErr w:type="gramEnd"/>
      <w:r w:rsidRPr="007E0CF3">
        <w:rPr>
          <w:rFonts w:ascii="Arial" w:hAnsi="Arial" w:cs="Arial"/>
          <w:sz w:val="22"/>
          <w:szCs w:val="22"/>
        </w:rPr>
        <w:t xml:space="preserve"> change models must address (1) enterprise governance and sequencing, (2) cultural and behavioural adoption, and (3) continuous improvement in a digitally disrupted market (Burnes, 2020; Kotter, 1996).</w:t>
      </w:r>
    </w:p>
    <w:p w14:paraId="48FD4A93" w14:textId="08584AA1" w:rsidR="007E0CF3" w:rsidRPr="007E0CF3" w:rsidRDefault="00662641" w:rsidP="00C118FA">
      <w:pPr>
        <w:spacing w:line="360" w:lineRule="auto"/>
        <w:rPr>
          <w:rFonts w:ascii="Arial" w:hAnsi="Arial" w:cs="Arial"/>
          <w:b/>
          <w:bCs/>
          <w:sz w:val="22"/>
          <w:szCs w:val="22"/>
        </w:rPr>
      </w:pPr>
      <w:r>
        <w:rPr>
          <w:rFonts w:ascii="Arial" w:hAnsi="Arial" w:cs="Arial"/>
          <w:b/>
          <w:bCs/>
          <w:sz w:val="22"/>
          <w:szCs w:val="22"/>
        </w:rPr>
        <w:t xml:space="preserve">3.1 </w:t>
      </w:r>
      <w:r w:rsidR="007E0CF3" w:rsidRPr="007E0CF3">
        <w:rPr>
          <w:rFonts w:ascii="Arial" w:hAnsi="Arial" w:cs="Arial"/>
          <w:b/>
          <w:bCs/>
          <w:sz w:val="22"/>
          <w:szCs w:val="22"/>
        </w:rPr>
        <w:t>Lewin</w:t>
      </w:r>
    </w:p>
    <w:p w14:paraId="3822CF02" w14:textId="77777777" w:rsidR="007E0CF3" w:rsidRPr="007E0CF3" w:rsidRDefault="007E0CF3" w:rsidP="00C118FA">
      <w:pPr>
        <w:spacing w:line="360" w:lineRule="auto"/>
        <w:rPr>
          <w:rFonts w:ascii="Arial" w:hAnsi="Arial" w:cs="Arial"/>
          <w:sz w:val="22"/>
          <w:szCs w:val="22"/>
        </w:rPr>
      </w:pPr>
      <w:r w:rsidRPr="007E0CF3">
        <w:rPr>
          <w:rFonts w:ascii="Arial" w:hAnsi="Arial" w:cs="Arial"/>
          <w:sz w:val="22"/>
          <w:szCs w:val="22"/>
        </w:rPr>
        <w:t>Lewin’s model provides a foundational logic: create readiness, move to a new state, then stabilise (Burnes, 2020). For HSBC, the “refreeze” element has clear appeal because banks require procedural consistency, auditability, and controlled risk outcomes. However, the model assumes relatively episodic change and a stable “end state,” which conflicts with persistent digital disruption, AI model iteration, and evolving cyber threats (Deloitte, 2024). In practice, HSBC can use Lewin effectively for discrete structural moves (e.g., operating model simplification, control redesign) but should avoid treating digital transformation as a one-off programme.</w:t>
      </w:r>
    </w:p>
    <w:p w14:paraId="2A6C3EE5" w14:textId="2C30B393" w:rsidR="007E0CF3" w:rsidRPr="007E0CF3" w:rsidRDefault="000B24A2" w:rsidP="00C118FA">
      <w:pPr>
        <w:spacing w:line="360" w:lineRule="auto"/>
        <w:rPr>
          <w:rFonts w:ascii="Arial" w:hAnsi="Arial" w:cs="Arial"/>
          <w:b/>
          <w:bCs/>
          <w:sz w:val="22"/>
          <w:szCs w:val="22"/>
        </w:rPr>
      </w:pPr>
      <w:r>
        <w:rPr>
          <w:rFonts w:ascii="Arial" w:hAnsi="Arial" w:cs="Arial"/>
          <w:b/>
          <w:bCs/>
          <w:sz w:val="22"/>
          <w:szCs w:val="22"/>
        </w:rPr>
        <w:t xml:space="preserve">3.2 </w:t>
      </w:r>
      <w:r w:rsidR="007E0CF3" w:rsidRPr="007E0CF3">
        <w:rPr>
          <w:rFonts w:ascii="Arial" w:hAnsi="Arial" w:cs="Arial"/>
          <w:b/>
          <w:bCs/>
          <w:sz w:val="22"/>
          <w:szCs w:val="22"/>
        </w:rPr>
        <w:t>Kotter</w:t>
      </w:r>
    </w:p>
    <w:p w14:paraId="15B58F64" w14:textId="77777777" w:rsidR="007E0CF3" w:rsidRPr="007E0CF3" w:rsidRDefault="007E0CF3" w:rsidP="00C118FA">
      <w:pPr>
        <w:spacing w:line="360" w:lineRule="auto"/>
        <w:rPr>
          <w:rFonts w:ascii="Arial" w:hAnsi="Arial" w:cs="Arial"/>
          <w:sz w:val="22"/>
          <w:szCs w:val="22"/>
        </w:rPr>
      </w:pPr>
      <w:r w:rsidRPr="007E0CF3">
        <w:rPr>
          <w:rFonts w:ascii="Arial" w:hAnsi="Arial" w:cs="Arial"/>
          <w:sz w:val="22"/>
          <w:szCs w:val="22"/>
        </w:rPr>
        <w:t xml:space="preserve">Kotter offers a leadership-led roadmap that is often effective for large-scale transformations: urgency, coalition, vision, communication, empowerment, short wins, consolidation, anchoring (Kotter, 1996). This aligns strongly with HSBC’s realities: global coordination, stakeholder alignment, and cultural embedding across business lines. The limitation is that Kotter’s linear sequencing can be too rigid for iterative digital delivery (agile squads, continuous deployment), where learning loops and rapid reprioritisation are required. For HSBC, Kotter remains valuable as a </w:t>
      </w:r>
      <w:r w:rsidRPr="007E0CF3">
        <w:rPr>
          <w:rFonts w:ascii="Arial" w:hAnsi="Arial" w:cs="Arial"/>
          <w:b/>
          <w:bCs/>
          <w:sz w:val="22"/>
          <w:szCs w:val="22"/>
        </w:rPr>
        <w:t>strategic mobilisation</w:t>
      </w:r>
      <w:r w:rsidRPr="007E0CF3">
        <w:rPr>
          <w:rFonts w:ascii="Arial" w:hAnsi="Arial" w:cs="Arial"/>
          <w:sz w:val="22"/>
          <w:szCs w:val="22"/>
        </w:rPr>
        <w:t xml:space="preserve"> framework (vision, governance, cultural anchoring), but operational execution should be adapted into iterative workstreams and product-based delivery.</w:t>
      </w:r>
    </w:p>
    <w:p w14:paraId="714AABA5" w14:textId="16653BDB" w:rsidR="007E0CF3" w:rsidRPr="007E0CF3" w:rsidRDefault="000B24A2" w:rsidP="00C118FA">
      <w:pPr>
        <w:spacing w:line="360" w:lineRule="auto"/>
        <w:rPr>
          <w:rFonts w:ascii="Arial" w:hAnsi="Arial" w:cs="Arial"/>
          <w:b/>
          <w:bCs/>
          <w:sz w:val="22"/>
          <w:szCs w:val="22"/>
        </w:rPr>
      </w:pPr>
      <w:r>
        <w:rPr>
          <w:rFonts w:ascii="Arial" w:hAnsi="Arial" w:cs="Arial"/>
          <w:b/>
          <w:bCs/>
          <w:sz w:val="22"/>
          <w:szCs w:val="22"/>
        </w:rPr>
        <w:t xml:space="preserve">3.3 </w:t>
      </w:r>
      <w:r w:rsidR="007E0CF3" w:rsidRPr="007E0CF3">
        <w:rPr>
          <w:rFonts w:ascii="Arial" w:hAnsi="Arial" w:cs="Arial"/>
          <w:b/>
          <w:bCs/>
          <w:sz w:val="22"/>
          <w:szCs w:val="22"/>
        </w:rPr>
        <w:t>ADKAR (Awareness–Desire–Knowledge–Ability–Reinforcement)</w:t>
      </w:r>
    </w:p>
    <w:p w14:paraId="58A7BB3F" w14:textId="77777777" w:rsidR="007E0CF3" w:rsidRPr="007E0CF3" w:rsidRDefault="007E0CF3" w:rsidP="00C118FA">
      <w:pPr>
        <w:spacing w:line="360" w:lineRule="auto"/>
        <w:rPr>
          <w:rFonts w:ascii="Arial" w:hAnsi="Arial" w:cs="Arial"/>
          <w:sz w:val="22"/>
          <w:szCs w:val="22"/>
        </w:rPr>
      </w:pPr>
      <w:r w:rsidRPr="007E0CF3">
        <w:rPr>
          <w:rFonts w:ascii="Arial" w:hAnsi="Arial" w:cs="Arial"/>
          <w:sz w:val="22"/>
          <w:szCs w:val="22"/>
        </w:rPr>
        <w:t xml:space="preserve">ADKAR is particularly useful for technology-enabled change because it focuses on individual adoption, capability building and reinforcement (Hiatt, 2006). This is critical for HSBC when rolling out AI-supported workflows, new digital servicing journeys, or revised risk controls—areas where human trust and behaviour determine outcomes. However, ADKAR is not a full enterprise change architecture: it does not by itself solve portfolio prioritisation, cross-border governance, or structural redesign. For HSBC, ADKAR is best used as the </w:t>
      </w:r>
      <w:r w:rsidRPr="007E0CF3">
        <w:rPr>
          <w:rFonts w:ascii="Arial" w:hAnsi="Arial" w:cs="Arial"/>
          <w:b/>
          <w:bCs/>
          <w:sz w:val="22"/>
          <w:szCs w:val="22"/>
        </w:rPr>
        <w:t>people-adoption layer</w:t>
      </w:r>
      <w:r w:rsidRPr="007E0CF3">
        <w:rPr>
          <w:rFonts w:ascii="Arial" w:hAnsi="Arial" w:cs="Arial"/>
          <w:sz w:val="22"/>
          <w:szCs w:val="22"/>
        </w:rPr>
        <w:t xml:space="preserve"> within a broader model.</w:t>
      </w:r>
    </w:p>
    <w:p w14:paraId="3B890307" w14:textId="77777777" w:rsidR="00907E4F" w:rsidRDefault="00907E4F" w:rsidP="00C118FA">
      <w:pPr>
        <w:spacing w:line="360" w:lineRule="auto"/>
        <w:rPr>
          <w:rFonts w:ascii="Arial" w:hAnsi="Arial" w:cs="Arial"/>
          <w:b/>
          <w:bCs/>
          <w:sz w:val="22"/>
          <w:szCs w:val="22"/>
        </w:rPr>
      </w:pPr>
    </w:p>
    <w:p w14:paraId="35C745B7" w14:textId="7B60617D" w:rsidR="007E0CF3" w:rsidRPr="007E0CF3" w:rsidRDefault="000B24A2" w:rsidP="00C118FA">
      <w:pPr>
        <w:spacing w:line="360" w:lineRule="auto"/>
        <w:rPr>
          <w:rFonts w:ascii="Arial" w:hAnsi="Arial" w:cs="Arial"/>
          <w:b/>
          <w:bCs/>
          <w:sz w:val="22"/>
          <w:szCs w:val="22"/>
        </w:rPr>
      </w:pPr>
      <w:r>
        <w:rPr>
          <w:rFonts w:ascii="Arial" w:hAnsi="Arial" w:cs="Arial"/>
          <w:b/>
          <w:bCs/>
          <w:sz w:val="22"/>
          <w:szCs w:val="22"/>
        </w:rPr>
        <w:lastRenderedPageBreak/>
        <w:t xml:space="preserve">3.4 </w:t>
      </w:r>
      <w:r w:rsidR="007E0CF3" w:rsidRPr="007E0CF3">
        <w:rPr>
          <w:rFonts w:ascii="Arial" w:hAnsi="Arial" w:cs="Arial"/>
          <w:b/>
          <w:bCs/>
          <w:sz w:val="22"/>
          <w:szCs w:val="22"/>
        </w:rPr>
        <w:t>Justification of a hybrid model for HSBC</w:t>
      </w:r>
    </w:p>
    <w:p w14:paraId="44A7606B" w14:textId="14826DA7" w:rsidR="007E0CF3" w:rsidRPr="00C118FA" w:rsidRDefault="007E0CF3" w:rsidP="00C118FA">
      <w:pPr>
        <w:spacing w:line="360" w:lineRule="auto"/>
        <w:rPr>
          <w:rFonts w:ascii="Arial" w:hAnsi="Arial" w:cs="Arial"/>
          <w:sz w:val="22"/>
          <w:szCs w:val="22"/>
        </w:rPr>
      </w:pPr>
      <w:r w:rsidRPr="007E0CF3">
        <w:rPr>
          <w:rFonts w:ascii="Arial" w:hAnsi="Arial" w:cs="Arial"/>
          <w:sz w:val="22"/>
          <w:szCs w:val="22"/>
        </w:rPr>
        <w:t xml:space="preserve">Given HSBC’s context, a hybrid is defensible because the change challenge is multi-level: enterprise strategy and governance (Kotter), controlled stabilisation for regulated processes (Lewin), and behavioural adoption for frontline and operational teams (ADKAR) (Kotter, 1996; Burnes, 2020; Hiatt, 2006). To ensure relevance to digital disruption, the hybrid should explicitly include a </w:t>
      </w:r>
      <w:r w:rsidRPr="007E0CF3">
        <w:rPr>
          <w:rFonts w:ascii="Arial" w:hAnsi="Arial" w:cs="Arial"/>
          <w:b/>
          <w:bCs/>
          <w:sz w:val="22"/>
          <w:szCs w:val="22"/>
        </w:rPr>
        <w:t>continuous adaptation</w:t>
      </w:r>
      <w:r w:rsidRPr="007E0CF3">
        <w:rPr>
          <w:rFonts w:ascii="Arial" w:hAnsi="Arial" w:cs="Arial"/>
          <w:sz w:val="22"/>
          <w:szCs w:val="22"/>
        </w:rPr>
        <w:t xml:space="preserve"> principle: treating digital/AI transformation as a rolling capability (data, platforms, governance, talent) rather than a time-bounded project (Deloitte, 2024). This addresses the core critique of “refreezing” and reduces the risk of transformation decay after initial rollout.</w:t>
      </w:r>
    </w:p>
    <w:p w14:paraId="49FB7BD6" w14:textId="77777777" w:rsidR="007E0CF3" w:rsidRPr="007E0CF3" w:rsidRDefault="007E0CF3" w:rsidP="00C118FA">
      <w:pPr>
        <w:spacing w:line="360" w:lineRule="auto"/>
        <w:rPr>
          <w:rFonts w:ascii="Arial" w:hAnsi="Arial" w:cs="Arial"/>
          <w:sz w:val="22"/>
          <w:szCs w:val="22"/>
        </w:rPr>
      </w:pPr>
    </w:p>
    <w:p w14:paraId="642ACCAC" w14:textId="5786428A" w:rsidR="007E0CF3" w:rsidRPr="007E0CF3" w:rsidRDefault="0071195D" w:rsidP="00C118FA">
      <w:pPr>
        <w:spacing w:line="360" w:lineRule="auto"/>
        <w:rPr>
          <w:rFonts w:ascii="Arial" w:hAnsi="Arial" w:cs="Arial"/>
          <w:b/>
          <w:bCs/>
          <w:sz w:val="22"/>
          <w:szCs w:val="22"/>
        </w:rPr>
      </w:pPr>
      <w:r>
        <w:rPr>
          <w:rFonts w:ascii="Arial" w:hAnsi="Arial" w:cs="Arial"/>
          <w:b/>
          <w:bCs/>
          <w:sz w:val="22"/>
          <w:szCs w:val="22"/>
        </w:rPr>
        <w:t xml:space="preserve">3.5 </w:t>
      </w:r>
      <w:r w:rsidR="007E0CF3" w:rsidRPr="007E0CF3">
        <w:rPr>
          <w:rFonts w:ascii="Arial" w:hAnsi="Arial" w:cs="Arial"/>
          <w:b/>
          <w:bCs/>
          <w:sz w:val="22"/>
          <w:szCs w:val="22"/>
        </w:rPr>
        <w:t>Comparison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91"/>
        <w:gridCol w:w="2163"/>
        <w:gridCol w:w="2116"/>
        <w:gridCol w:w="1839"/>
        <w:gridCol w:w="2007"/>
      </w:tblGrid>
      <w:tr w:rsidR="007E0CF3" w:rsidRPr="007E0CF3" w14:paraId="5489C090" w14:textId="77777777" w:rsidTr="007E0CF3">
        <w:trPr>
          <w:tblHeader/>
          <w:tblCellSpacing w:w="15" w:type="dxa"/>
        </w:trPr>
        <w:tc>
          <w:tcPr>
            <w:tcW w:w="0" w:type="auto"/>
            <w:vAlign w:val="center"/>
            <w:hideMark/>
          </w:tcPr>
          <w:p w14:paraId="58FAE096" w14:textId="77777777" w:rsidR="007E0CF3" w:rsidRPr="007E0CF3" w:rsidRDefault="007E0CF3" w:rsidP="00C118FA">
            <w:pPr>
              <w:spacing w:line="360" w:lineRule="auto"/>
              <w:rPr>
                <w:rFonts w:ascii="Arial" w:hAnsi="Arial" w:cs="Arial"/>
                <w:b/>
                <w:bCs/>
                <w:sz w:val="22"/>
                <w:szCs w:val="22"/>
              </w:rPr>
            </w:pPr>
            <w:r w:rsidRPr="007E0CF3">
              <w:rPr>
                <w:rFonts w:ascii="Arial" w:hAnsi="Arial" w:cs="Arial"/>
                <w:b/>
                <w:bCs/>
                <w:sz w:val="22"/>
                <w:szCs w:val="22"/>
              </w:rPr>
              <w:t>Model</w:t>
            </w:r>
          </w:p>
        </w:tc>
        <w:tc>
          <w:tcPr>
            <w:tcW w:w="0" w:type="auto"/>
            <w:vAlign w:val="center"/>
            <w:hideMark/>
          </w:tcPr>
          <w:p w14:paraId="2B86CF3B" w14:textId="77777777" w:rsidR="007E0CF3" w:rsidRPr="007E0CF3" w:rsidRDefault="007E0CF3" w:rsidP="00C118FA">
            <w:pPr>
              <w:spacing w:line="360" w:lineRule="auto"/>
              <w:rPr>
                <w:rFonts w:ascii="Arial" w:hAnsi="Arial" w:cs="Arial"/>
                <w:b/>
                <w:bCs/>
                <w:sz w:val="22"/>
                <w:szCs w:val="22"/>
              </w:rPr>
            </w:pPr>
            <w:r w:rsidRPr="007E0CF3">
              <w:rPr>
                <w:rFonts w:ascii="Arial" w:hAnsi="Arial" w:cs="Arial"/>
                <w:b/>
                <w:bCs/>
                <w:sz w:val="22"/>
                <w:szCs w:val="22"/>
              </w:rPr>
              <w:t>Primary unit of change</w:t>
            </w:r>
          </w:p>
        </w:tc>
        <w:tc>
          <w:tcPr>
            <w:tcW w:w="0" w:type="auto"/>
            <w:vAlign w:val="center"/>
            <w:hideMark/>
          </w:tcPr>
          <w:p w14:paraId="6DC8E41F" w14:textId="77777777" w:rsidR="007E0CF3" w:rsidRPr="007E0CF3" w:rsidRDefault="007E0CF3" w:rsidP="00C118FA">
            <w:pPr>
              <w:spacing w:line="360" w:lineRule="auto"/>
              <w:rPr>
                <w:rFonts w:ascii="Arial" w:hAnsi="Arial" w:cs="Arial"/>
                <w:b/>
                <w:bCs/>
                <w:sz w:val="22"/>
                <w:szCs w:val="22"/>
              </w:rPr>
            </w:pPr>
            <w:r w:rsidRPr="007E0CF3">
              <w:rPr>
                <w:rFonts w:ascii="Arial" w:hAnsi="Arial" w:cs="Arial"/>
                <w:b/>
                <w:bCs/>
                <w:sz w:val="22"/>
                <w:szCs w:val="22"/>
              </w:rPr>
              <w:t>Strengths for HSBC</w:t>
            </w:r>
          </w:p>
        </w:tc>
        <w:tc>
          <w:tcPr>
            <w:tcW w:w="0" w:type="auto"/>
            <w:vAlign w:val="center"/>
            <w:hideMark/>
          </w:tcPr>
          <w:p w14:paraId="4EE4635C" w14:textId="77777777" w:rsidR="007E0CF3" w:rsidRPr="007E0CF3" w:rsidRDefault="007E0CF3" w:rsidP="00C118FA">
            <w:pPr>
              <w:spacing w:line="360" w:lineRule="auto"/>
              <w:rPr>
                <w:rFonts w:ascii="Arial" w:hAnsi="Arial" w:cs="Arial"/>
                <w:b/>
                <w:bCs/>
                <w:sz w:val="22"/>
                <w:szCs w:val="22"/>
              </w:rPr>
            </w:pPr>
            <w:r w:rsidRPr="007E0CF3">
              <w:rPr>
                <w:rFonts w:ascii="Arial" w:hAnsi="Arial" w:cs="Arial"/>
                <w:b/>
                <w:bCs/>
                <w:sz w:val="22"/>
                <w:szCs w:val="22"/>
              </w:rPr>
              <w:t>Key limitations in digital/AI context</w:t>
            </w:r>
          </w:p>
        </w:tc>
        <w:tc>
          <w:tcPr>
            <w:tcW w:w="0" w:type="auto"/>
            <w:vAlign w:val="center"/>
            <w:hideMark/>
          </w:tcPr>
          <w:p w14:paraId="2AC4A20E" w14:textId="77777777" w:rsidR="007E0CF3" w:rsidRPr="007E0CF3" w:rsidRDefault="007E0CF3" w:rsidP="00C118FA">
            <w:pPr>
              <w:spacing w:line="360" w:lineRule="auto"/>
              <w:rPr>
                <w:rFonts w:ascii="Arial" w:hAnsi="Arial" w:cs="Arial"/>
                <w:b/>
                <w:bCs/>
                <w:sz w:val="22"/>
                <w:szCs w:val="22"/>
              </w:rPr>
            </w:pPr>
            <w:r w:rsidRPr="007E0CF3">
              <w:rPr>
                <w:rFonts w:ascii="Arial" w:hAnsi="Arial" w:cs="Arial"/>
                <w:b/>
                <w:bCs/>
                <w:sz w:val="22"/>
                <w:szCs w:val="22"/>
              </w:rPr>
              <w:t>Best-fit use at HSBC</w:t>
            </w:r>
          </w:p>
        </w:tc>
      </w:tr>
      <w:tr w:rsidR="007E0CF3" w:rsidRPr="007E0CF3" w14:paraId="6289C1E7" w14:textId="77777777" w:rsidTr="007E0CF3">
        <w:trPr>
          <w:tblCellSpacing w:w="15" w:type="dxa"/>
        </w:trPr>
        <w:tc>
          <w:tcPr>
            <w:tcW w:w="0" w:type="auto"/>
            <w:vAlign w:val="center"/>
            <w:hideMark/>
          </w:tcPr>
          <w:p w14:paraId="43AD271C" w14:textId="7CD4B189" w:rsidR="007E0CF3" w:rsidRPr="007E0CF3" w:rsidRDefault="007E0CF3" w:rsidP="00C118FA">
            <w:pPr>
              <w:spacing w:line="360" w:lineRule="auto"/>
              <w:rPr>
                <w:rFonts w:ascii="Arial" w:hAnsi="Arial" w:cs="Arial"/>
                <w:sz w:val="22"/>
                <w:szCs w:val="22"/>
              </w:rPr>
            </w:pPr>
            <w:r w:rsidRPr="007E0CF3">
              <w:rPr>
                <w:rFonts w:ascii="Arial" w:hAnsi="Arial" w:cs="Arial"/>
                <w:b/>
                <w:bCs/>
                <w:sz w:val="22"/>
                <w:szCs w:val="22"/>
              </w:rPr>
              <w:t>Lewin</w:t>
            </w:r>
            <w:r w:rsidRPr="007E0CF3">
              <w:rPr>
                <w:rFonts w:ascii="Arial" w:hAnsi="Arial" w:cs="Arial"/>
                <w:sz w:val="22"/>
                <w:szCs w:val="22"/>
              </w:rPr>
              <w:t xml:space="preserve"> </w:t>
            </w:r>
          </w:p>
        </w:tc>
        <w:tc>
          <w:tcPr>
            <w:tcW w:w="0" w:type="auto"/>
            <w:vAlign w:val="center"/>
            <w:hideMark/>
          </w:tcPr>
          <w:p w14:paraId="64C22BFF" w14:textId="77777777" w:rsidR="007E0CF3" w:rsidRPr="007E0CF3" w:rsidRDefault="007E0CF3" w:rsidP="00C118FA">
            <w:pPr>
              <w:spacing w:line="360" w:lineRule="auto"/>
              <w:rPr>
                <w:rFonts w:ascii="Arial" w:hAnsi="Arial" w:cs="Arial"/>
                <w:sz w:val="22"/>
                <w:szCs w:val="22"/>
              </w:rPr>
            </w:pPr>
            <w:r w:rsidRPr="007E0CF3">
              <w:rPr>
                <w:rFonts w:ascii="Arial" w:hAnsi="Arial" w:cs="Arial"/>
                <w:sz w:val="22"/>
                <w:szCs w:val="22"/>
              </w:rPr>
              <w:t>Organisation/system states</w:t>
            </w:r>
          </w:p>
        </w:tc>
        <w:tc>
          <w:tcPr>
            <w:tcW w:w="0" w:type="auto"/>
            <w:vAlign w:val="center"/>
            <w:hideMark/>
          </w:tcPr>
          <w:p w14:paraId="081EB2C7" w14:textId="77777777" w:rsidR="007E0CF3" w:rsidRPr="007E0CF3" w:rsidRDefault="007E0CF3" w:rsidP="00C118FA">
            <w:pPr>
              <w:spacing w:line="360" w:lineRule="auto"/>
              <w:rPr>
                <w:rFonts w:ascii="Arial" w:hAnsi="Arial" w:cs="Arial"/>
                <w:sz w:val="22"/>
                <w:szCs w:val="22"/>
              </w:rPr>
            </w:pPr>
            <w:r w:rsidRPr="007E0CF3">
              <w:rPr>
                <w:rFonts w:ascii="Arial" w:hAnsi="Arial" w:cs="Arial"/>
                <w:sz w:val="22"/>
                <w:szCs w:val="22"/>
              </w:rPr>
              <w:t>Strong for controlled change; supports standardisation and compliance (Burnes, 2020)</w:t>
            </w:r>
          </w:p>
        </w:tc>
        <w:tc>
          <w:tcPr>
            <w:tcW w:w="0" w:type="auto"/>
            <w:vAlign w:val="center"/>
            <w:hideMark/>
          </w:tcPr>
          <w:p w14:paraId="1CBD274E" w14:textId="77777777" w:rsidR="007E0CF3" w:rsidRPr="007E0CF3" w:rsidRDefault="007E0CF3" w:rsidP="00C118FA">
            <w:pPr>
              <w:spacing w:line="360" w:lineRule="auto"/>
              <w:rPr>
                <w:rFonts w:ascii="Arial" w:hAnsi="Arial" w:cs="Arial"/>
                <w:sz w:val="22"/>
                <w:szCs w:val="22"/>
              </w:rPr>
            </w:pPr>
            <w:r w:rsidRPr="007E0CF3">
              <w:rPr>
                <w:rFonts w:ascii="Arial" w:hAnsi="Arial" w:cs="Arial"/>
                <w:sz w:val="22"/>
                <w:szCs w:val="22"/>
              </w:rPr>
              <w:t>“Refreeze” assumes stability; weak fit for continuous digital iteration</w:t>
            </w:r>
          </w:p>
        </w:tc>
        <w:tc>
          <w:tcPr>
            <w:tcW w:w="0" w:type="auto"/>
            <w:vAlign w:val="center"/>
            <w:hideMark/>
          </w:tcPr>
          <w:p w14:paraId="1F9998DB" w14:textId="77777777" w:rsidR="007E0CF3" w:rsidRPr="007E0CF3" w:rsidRDefault="007E0CF3" w:rsidP="00C118FA">
            <w:pPr>
              <w:spacing w:line="360" w:lineRule="auto"/>
              <w:rPr>
                <w:rFonts w:ascii="Arial" w:hAnsi="Arial" w:cs="Arial"/>
                <w:sz w:val="22"/>
                <w:szCs w:val="22"/>
              </w:rPr>
            </w:pPr>
            <w:r w:rsidRPr="007E0CF3">
              <w:rPr>
                <w:rFonts w:ascii="Arial" w:hAnsi="Arial" w:cs="Arial"/>
                <w:sz w:val="22"/>
                <w:szCs w:val="22"/>
              </w:rPr>
              <w:t>Structural redesign, policy/control updates, regulated process stabilisation</w:t>
            </w:r>
          </w:p>
        </w:tc>
      </w:tr>
      <w:tr w:rsidR="007E0CF3" w:rsidRPr="007E0CF3" w14:paraId="56CF982A" w14:textId="77777777" w:rsidTr="007E0CF3">
        <w:trPr>
          <w:tblCellSpacing w:w="15" w:type="dxa"/>
        </w:trPr>
        <w:tc>
          <w:tcPr>
            <w:tcW w:w="0" w:type="auto"/>
            <w:vAlign w:val="center"/>
            <w:hideMark/>
          </w:tcPr>
          <w:p w14:paraId="59E0AB89" w14:textId="06ABC9BD" w:rsidR="007E0CF3" w:rsidRPr="007E0CF3" w:rsidRDefault="007E0CF3" w:rsidP="00C118FA">
            <w:pPr>
              <w:spacing w:line="360" w:lineRule="auto"/>
              <w:rPr>
                <w:rFonts w:ascii="Arial" w:hAnsi="Arial" w:cs="Arial"/>
                <w:sz w:val="22"/>
                <w:szCs w:val="22"/>
              </w:rPr>
            </w:pPr>
            <w:r w:rsidRPr="007E0CF3">
              <w:rPr>
                <w:rFonts w:ascii="Arial" w:hAnsi="Arial" w:cs="Arial"/>
                <w:b/>
                <w:bCs/>
                <w:sz w:val="22"/>
                <w:szCs w:val="22"/>
              </w:rPr>
              <w:t>Kotter</w:t>
            </w:r>
            <w:r w:rsidRPr="007E0CF3">
              <w:rPr>
                <w:rFonts w:ascii="Arial" w:hAnsi="Arial" w:cs="Arial"/>
                <w:sz w:val="22"/>
                <w:szCs w:val="22"/>
              </w:rPr>
              <w:t xml:space="preserve"> </w:t>
            </w:r>
          </w:p>
        </w:tc>
        <w:tc>
          <w:tcPr>
            <w:tcW w:w="0" w:type="auto"/>
            <w:vAlign w:val="center"/>
            <w:hideMark/>
          </w:tcPr>
          <w:p w14:paraId="1B2180D6" w14:textId="77777777" w:rsidR="007E0CF3" w:rsidRPr="007E0CF3" w:rsidRDefault="007E0CF3" w:rsidP="00C118FA">
            <w:pPr>
              <w:spacing w:line="360" w:lineRule="auto"/>
              <w:rPr>
                <w:rFonts w:ascii="Arial" w:hAnsi="Arial" w:cs="Arial"/>
                <w:sz w:val="22"/>
                <w:szCs w:val="22"/>
              </w:rPr>
            </w:pPr>
            <w:r w:rsidRPr="007E0CF3">
              <w:rPr>
                <w:rFonts w:ascii="Arial" w:hAnsi="Arial" w:cs="Arial"/>
                <w:sz w:val="22"/>
                <w:szCs w:val="22"/>
              </w:rPr>
              <w:t>Enterprise leadership + culture</w:t>
            </w:r>
          </w:p>
        </w:tc>
        <w:tc>
          <w:tcPr>
            <w:tcW w:w="0" w:type="auto"/>
            <w:vAlign w:val="center"/>
            <w:hideMark/>
          </w:tcPr>
          <w:p w14:paraId="6F5851F4" w14:textId="77777777" w:rsidR="007E0CF3" w:rsidRPr="007E0CF3" w:rsidRDefault="007E0CF3" w:rsidP="00C118FA">
            <w:pPr>
              <w:spacing w:line="360" w:lineRule="auto"/>
              <w:rPr>
                <w:rFonts w:ascii="Arial" w:hAnsi="Arial" w:cs="Arial"/>
                <w:sz w:val="22"/>
                <w:szCs w:val="22"/>
              </w:rPr>
            </w:pPr>
            <w:r w:rsidRPr="007E0CF3">
              <w:rPr>
                <w:rFonts w:ascii="Arial" w:hAnsi="Arial" w:cs="Arial"/>
                <w:sz w:val="22"/>
                <w:szCs w:val="22"/>
              </w:rPr>
              <w:t>Mobilises scale; builds coalition, urgency, and cultural anchoring (Kotter, 1996)</w:t>
            </w:r>
          </w:p>
        </w:tc>
        <w:tc>
          <w:tcPr>
            <w:tcW w:w="0" w:type="auto"/>
            <w:vAlign w:val="center"/>
            <w:hideMark/>
          </w:tcPr>
          <w:p w14:paraId="2A4CF108" w14:textId="77777777" w:rsidR="007E0CF3" w:rsidRPr="007E0CF3" w:rsidRDefault="007E0CF3" w:rsidP="00C118FA">
            <w:pPr>
              <w:spacing w:line="360" w:lineRule="auto"/>
              <w:rPr>
                <w:rFonts w:ascii="Arial" w:hAnsi="Arial" w:cs="Arial"/>
                <w:sz w:val="22"/>
                <w:szCs w:val="22"/>
              </w:rPr>
            </w:pPr>
            <w:r w:rsidRPr="007E0CF3">
              <w:rPr>
                <w:rFonts w:ascii="Arial" w:hAnsi="Arial" w:cs="Arial"/>
                <w:sz w:val="22"/>
                <w:szCs w:val="22"/>
              </w:rPr>
              <w:t>Linear logic can clash with agile/product delivery</w:t>
            </w:r>
          </w:p>
        </w:tc>
        <w:tc>
          <w:tcPr>
            <w:tcW w:w="0" w:type="auto"/>
            <w:vAlign w:val="center"/>
            <w:hideMark/>
          </w:tcPr>
          <w:p w14:paraId="64C78F41" w14:textId="77777777" w:rsidR="007E0CF3" w:rsidRPr="007E0CF3" w:rsidRDefault="007E0CF3" w:rsidP="00C118FA">
            <w:pPr>
              <w:spacing w:line="360" w:lineRule="auto"/>
              <w:rPr>
                <w:rFonts w:ascii="Arial" w:hAnsi="Arial" w:cs="Arial"/>
                <w:sz w:val="22"/>
                <w:szCs w:val="22"/>
              </w:rPr>
            </w:pPr>
            <w:r w:rsidRPr="007E0CF3">
              <w:rPr>
                <w:rFonts w:ascii="Arial" w:hAnsi="Arial" w:cs="Arial"/>
                <w:sz w:val="22"/>
                <w:szCs w:val="22"/>
              </w:rPr>
              <w:t>Enterprise transformation narrative, governance, culture, multi-country alignment</w:t>
            </w:r>
          </w:p>
        </w:tc>
      </w:tr>
      <w:tr w:rsidR="007E0CF3" w:rsidRPr="007E0CF3" w14:paraId="20AF29D7" w14:textId="77777777" w:rsidTr="007E0CF3">
        <w:trPr>
          <w:tblCellSpacing w:w="15" w:type="dxa"/>
        </w:trPr>
        <w:tc>
          <w:tcPr>
            <w:tcW w:w="0" w:type="auto"/>
            <w:vAlign w:val="center"/>
            <w:hideMark/>
          </w:tcPr>
          <w:p w14:paraId="750D5E25" w14:textId="77777777" w:rsidR="007E0CF3" w:rsidRPr="007E0CF3" w:rsidRDefault="007E0CF3" w:rsidP="00C118FA">
            <w:pPr>
              <w:spacing w:line="360" w:lineRule="auto"/>
              <w:rPr>
                <w:rFonts w:ascii="Arial" w:hAnsi="Arial" w:cs="Arial"/>
                <w:sz w:val="22"/>
                <w:szCs w:val="22"/>
              </w:rPr>
            </w:pPr>
            <w:r w:rsidRPr="007E0CF3">
              <w:rPr>
                <w:rFonts w:ascii="Arial" w:hAnsi="Arial" w:cs="Arial"/>
                <w:b/>
                <w:bCs/>
                <w:sz w:val="22"/>
                <w:szCs w:val="22"/>
              </w:rPr>
              <w:t>ADKAR</w:t>
            </w:r>
          </w:p>
        </w:tc>
        <w:tc>
          <w:tcPr>
            <w:tcW w:w="0" w:type="auto"/>
            <w:vAlign w:val="center"/>
            <w:hideMark/>
          </w:tcPr>
          <w:p w14:paraId="1CE197F2" w14:textId="77777777" w:rsidR="007E0CF3" w:rsidRPr="007E0CF3" w:rsidRDefault="007E0CF3" w:rsidP="00C118FA">
            <w:pPr>
              <w:spacing w:line="360" w:lineRule="auto"/>
              <w:rPr>
                <w:rFonts w:ascii="Arial" w:hAnsi="Arial" w:cs="Arial"/>
                <w:sz w:val="22"/>
                <w:szCs w:val="22"/>
              </w:rPr>
            </w:pPr>
            <w:r w:rsidRPr="007E0CF3">
              <w:rPr>
                <w:rFonts w:ascii="Arial" w:hAnsi="Arial" w:cs="Arial"/>
                <w:sz w:val="22"/>
                <w:szCs w:val="22"/>
              </w:rPr>
              <w:t>Individual behaviour/adoption</w:t>
            </w:r>
          </w:p>
        </w:tc>
        <w:tc>
          <w:tcPr>
            <w:tcW w:w="0" w:type="auto"/>
            <w:vAlign w:val="center"/>
            <w:hideMark/>
          </w:tcPr>
          <w:p w14:paraId="158EE4FA" w14:textId="77777777" w:rsidR="007E0CF3" w:rsidRPr="007E0CF3" w:rsidRDefault="007E0CF3" w:rsidP="00C118FA">
            <w:pPr>
              <w:spacing w:line="360" w:lineRule="auto"/>
              <w:rPr>
                <w:rFonts w:ascii="Arial" w:hAnsi="Arial" w:cs="Arial"/>
                <w:sz w:val="22"/>
                <w:szCs w:val="22"/>
              </w:rPr>
            </w:pPr>
            <w:r w:rsidRPr="007E0CF3">
              <w:rPr>
                <w:rFonts w:ascii="Arial" w:hAnsi="Arial" w:cs="Arial"/>
                <w:sz w:val="22"/>
                <w:szCs w:val="22"/>
              </w:rPr>
              <w:t>Clear adoption pathway; strong for training and reinforcement (Hiatt, 2006)</w:t>
            </w:r>
          </w:p>
        </w:tc>
        <w:tc>
          <w:tcPr>
            <w:tcW w:w="0" w:type="auto"/>
            <w:vAlign w:val="center"/>
            <w:hideMark/>
          </w:tcPr>
          <w:p w14:paraId="25F2F7EE" w14:textId="77777777" w:rsidR="007E0CF3" w:rsidRPr="007E0CF3" w:rsidRDefault="007E0CF3" w:rsidP="00C118FA">
            <w:pPr>
              <w:spacing w:line="360" w:lineRule="auto"/>
              <w:rPr>
                <w:rFonts w:ascii="Arial" w:hAnsi="Arial" w:cs="Arial"/>
                <w:sz w:val="22"/>
                <w:szCs w:val="22"/>
              </w:rPr>
            </w:pPr>
            <w:r w:rsidRPr="007E0CF3">
              <w:rPr>
                <w:rFonts w:ascii="Arial" w:hAnsi="Arial" w:cs="Arial"/>
                <w:sz w:val="22"/>
                <w:szCs w:val="22"/>
              </w:rPr>
              <w:t>Doesn’t resolve enterprise governance, operating model, or portfolio trade-offs</w:t>
            </w:r>
          </w:p>
        </w:tc>
        <w:tc>
          <w:tcPr>
            <w:tcW w:w="0" w:type="auto"/>
            <w:vAlign w:val="center"/>
            <w:hideMark/>
          </w:tcPr>
          <w:p w14:paraId="751E2645" w14:textId="77777777" w:rsidR="007E0CF3" w:rsidRPr="007E0CF3" w:rsidRDefault="007E0CF3" w:rsidP="00C118FA">
            <w:pPr>
              <w:spacing w:line="360" w:lineRule="auto"/>
              <w:rPr>
                <w:rFonts w:ascii="Arial" w:hAnsi="Arial" w:cs="Arial"/>
                <w:sz w:val="22"/>
                <w:szCs w:val="22"/>
              </w:rPr>
            </w:pPr>
            <w:r w:rsidRPr="007E0CF3">
              <w:rPr>
                <w:rFonts w:ascii="Arial" w:hAnsi="Arial" w:cs="Arial"/>
                <w:sz w:val="22"/>
                <w:szCs w:val="22"/>
              </w:rPr>
              <w:t>AI/tool adoption, new digital journeys, frontline/ops behavioural change</w:t>
            </w:r>
          </w:p>
        </w:tc>
      </w:tr>
    </w:tbl>
    <w:p w14:paraId="4C31353F" w14:textId="77777777" w:rsidR="00B22686" w:rsidRDefault="00B22686" w:rsidP="00C118FA">
      <w:pPr>
        <w:spacing w:line="360" w:lineRule="auto"/>
        <w:rPr>
          <w:rFonts w:ascii="Arial" w:hAnsi="Arial" w:cs="Arial"/>
          <w:b/>
          <w:bCs/>
          <w:sz w:val="22"/>
          <w:szCs w:val="22"/>
        </w:rPr>
      </w:pPr>
    </w:p>
    <w:p w14:paraId="672E9390" w14:textId="6CB8CB2A"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lastRenderedPageBreak/>
        <w:t>4. Leadership and Organisational Culture in Change</w:t>
      </w:r>
    </w:p>
    <w:p w14:paraId="7106F815" w14:textId="515333E4"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Organisational transformation in globally regulated financial institutions such as HSBC requires the alignment of leadership capability and cultural adaptability. Digital disruption, AI integration and regulatory pressures create complex change environments where leadership style and cultural orientation directly affect change sustainability. This section critically evaluates transformational, transactional and situational leadership approaches, alongside Schein’s, Hofstede’s and Handy’s cultural frameworks, and integrates these insights with the selected Lewin–Kotter–ADKAR hybrid change model.</w:t>
      </w:r>
    </w:p>
    <w:p w14:paraId="33682F69"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4.1 Leadership Styles and Their Impact on Change</w:t>
      </w:r>
    </w:p>
    <w:p w14:paraId="3EEF8F0F" w14:textId="3D32BC33" w:rsidR="00C118FA" w:rsidRPr="00C118FA" w:rsidRDefault="002A2278" w:rsidP="00C118FA">
      <w:pPr>
        <w:spacing w:line="360" w:lineRule="auto"/>
        <w:rPr>
          <w:rFonts w:ascii="Arial" w:hAnsi="Arial" w:cs="Arial"/>
          <w:b/>
          <w:bCs/>
          <w:sz w:val="22"/>
          <w:szCs w:val="22"/>
        </w:rPr>
      </w:pPr>
      <w:r>
        <w:rPr>
          <w:rFonts w:ascii="Arial" w:hAnsi="Arial" w:cs="Arial"/>
          <w:b/>
          <w:bCs/>
          <w:sz w:val="22"/>
          <w:szCs w:val="22"/>
        </w:rPr>
        <w:t>4.1</w:t>
      </w:r>
      <w:r w:rsidR="00B067F4">
        <w:rPr>
          <w:rFonts w:ascii="Arial" w:hAnsi="Arial" w:cs="Arial"/>
          <w:b/>
          <w:bCs/>
          <w:sz w:val="22"/>
          <w:szCs w:val="22"/>
        </w:rPr>
        <w:t xml:space="preserve">.1 </w:t>
      </w:r>
      <w:r w:rsidR="00C118FA" w:rsidRPr="00C118FA">
        <w:rPr>
          <w:rFonts w:ascii="Arial" w:hAnsi="Arial" w:cs="Arial"/>
          <w:b/>
          <w:bCs/>
          <w:sz w:val="22"/>
          <w:szCs w:val="22"/>
        </w:rPr>
        <w:t>Transformational Leadership</w:t>
      </w:r>
    </w:p>
    <w:p w14:paraId="249B2891" w14:textId="7E5CA0FC"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Leaders create commitment by aligning employees with a compelling future state</w:t>
      </w:r>
      <w:r w:rsidR="00F131A5">
        <w:rPr>
          <w:rFonts w:ascii="Arial" w:hAnsi="Arial" w:cs="Arial"/>
          <w:sz w:val="22"/>
          <w:szCs w:val="22"/>
        </w:rPr>
        <w:t xml:space="preserve">, </w:t>
      </w:r>
      <w:r w:rsidRPr="00C118FA">
        <w:rPr>
          <w:rFonts w:ascii="Arial" w:hAnsi="Arial" w:cs="Arial"/>
          <w:sz w:val="22"/>
          <w:szCs w:val="22"/>
        </w:rPr>
        <w:t xml:space="preserve">In HSBC’s digital transformation, transformational leadership is essential in the </w:t>
      </w:r>
      <w:r w:rsidRPr="00C118FA">
        <w:rPr>
          <w:rFonts w:ascii="Arial" w:hAnsi="Arial" w:cs="Arial"/>
          <w:b/>
          <w:bCs/>
          <w:sz w:val="22"/>
          <w:szCs w:val="22"/>
        </w:rPr>
        <w:t>“unfreezing” and urgency-building stages</w:t>
      </w:r>
      <w:r w:rsidRPr="00C118FA">
        <w:rPr>
          <w:rFonts w:ascii="Arial" w:hAnsi="Arial" w:cs="Arial"/>
          <w:sz w:val="22"/>
          <w:szCs w:val="22"/>
        </w:rPr>
        <w:t xml:space="preserve"> of change (Lewin, 1947; Kotter, 1996). AI integration and structural redesign require leaders to reframe digitalisation not as technological disruption but as strategic opportunity. Transformational behaviours help reduce uncertainty and create emotional commitment to change.</w:t>
      </w:r>
    </w:p>
    <w:p w14:paraId="6F70025D"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Critically, transformational leadership is particularly effective in large-scale strategic repositioning, such as HSBC’s increasing focus on international wealth and digital banking platforms. However, in highly regulated environments, excessive reliance on visionary rhetoric without procedural reinforcement may create compliance exposure (Burnes, 2020). Thus, transformational leadership must operate within strong governance boundaries.</w:t>
      </w:r>
    </w:p>
    <w:p w14:paraId="371792C3"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Within the hybrid change model, transformational leadership supports:</w:t>
      </w:r>
    </w:p>
    <w:p w14:paraId="1E6608C0" w14:textId="77777777" w:rsidR="00C118FA" w:rsidRPr="00C118FA" w:rsidRDefault="00C118FA" w:rsidP="00C118FA">
      <w:pPr>
        <w:numPr>
          <w:ilvl w:val="0"/>
          <w:numId w:val="3"/>
        </w:numPr>
        <w:spacing w:line="360" w:lineRule="auto"/>
        <w:rPr>
          <w:rFonts w:ascii="Arial" w:hAnsi="Arial" w:cs="Arial"/>
          <w:sz w:val="22"/>
          <w:szCs w:val="22"/>
        </w:rPr>
      </w:pPr>
      <w:r w:rsidRPr="00C118FA">
        <w:rPr>
          <w:rFonts w:ascii="Arial" w:hAnsi="Arial" w:cs="Arial"/>
          <w:sz w:val="22"/>
          <w:szCs w:val="22"/>
        </w:rPr>
        <w:t>Lewin’s Unfreeze stage (challenging status quo)</w:t>
      </w:r>
    </w:p>
    <w:p w14:paraId="4B6A7348" w14:textId="77777777" w:rsidR="00C118FA" w:rsidRPr="00C118FA" w:rsidRDefault="00C118FA" w:rsidP="00C118FA">
      <w:pPr>
        <w:numPr>
          <w:ilvl w:val="0"/>
          <w:numId w:val="3"/>
        </w:numPr>
        <w:spacing w:line="360" w:lineRule="auto"/>
        <w:rPr>
          <w:rFonts w:ascii="Arial" w:hAnsi="Arial" w:cs="Arial"/>
          <w:sz w:val="22"/>
          <w:szCs w:val="22"/>
        </w:rPr>
      </w:pPr>
      <w:r w:rsidRPr="00C118FA">
        <w:rPr>
          <w:rFonts w:ascii="Arial" w:hAnsi="Arial" w:cs="Arial"/>
          <w:sz w:val="22"/>
          <w:szCs w:val="22"/>
        </w:rPr>
        <w:t>Kotter’s urgency, vision and coalition steps</w:t>
      </w:r>
    </w:p>
    <w:p w14:paraId="12B26511" w14:textId="4BE820FE" w:rsidR="00C118FA" w:rsidRPr="00C118FA" w:rsidRDefault="00C118FA" w:rsidP="00C118FA">
      <w:pPr>
        <w:numPr>
          <w:ilvl w:val="0"/>
          <w:numId w:val="3"/>
        </w:numPr>
        <w:spacing w:line="360" w:lineRule="auto"/>
        <w:rPr>
          <w:rFonts w:ascii="Arial" w:hAnsi="Arial" w:cs="Arial"/>
          <w:sz w:val="22"/>
          <w:szCs w:val="22"/>
        </w:rPr>
      </w:pPr>
      <w:r w:rsidRPr="00C118FA">
        <w:rPr>
          <w:rFonts w:ascii="Arial" w:hAnsi="Arial" w:cs="Arial"/>
          <w:sz w:val="22"/>
          <w:szCs w:val="22"/>
        </w:rPr>
        <w:t>Cultural anchoring of digital mindset</w:t>
      </w:r>
    </w:p>
    <w:p w14:paraId="60DBF299" w14:textId="442E9344" w:rsidR="00C118FA" w:rsidRPr="00C118FA" w:rsidRDefault="00FC2765" w:rsidP="00C118FA">
      <w:pPr>
        <w:spacing w:line="360" w:lineRule="auto"/>
        <w:rPr>
          <w:rFonts w:ascii="Arial" w:hAnsi="Arial" w:cs="Arial"/>
          <w:b/>
          <w:bCs/>
          <w:sz w:val="22"/>
          <w:szCs w:val="22"/>
        </w:rPr>
      </w:pPr>
      <w:r>
        <w:rPr>
          <w:rFonts w:ascii="Arial" w:hAnsi="Arial" w:cs="Arial"/>
          <w:b/>
          <w:bCs/>
          <w:sz w:val="22"/>
          <w:szCs w:val="22"/>
        </w:rPr>
        <w:t xml:space="preserve">4.1.2 </w:t>
      </w:r>
      <w:r w:rsidR="00C118FA" w:rsidRPr="00C118FA">
        <w:rPr>
          <w:rFonts w:ascii="Arial" w:hAnsi="Arial" w:cs="Arial"/>
          <w:b/>
          <w:bCs/>
          <w:sz w:val="22"/>
          <w:szCs w:val="22"/>
        </w:rPr>
        <w:t>Transactional Leadership</w:t>
      </w:r>
    </w:p>
    <w:p w14:paraId="70F6C4FA"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Transactional leadership operates through structured supervision, contingent rewards and corrective action (Bass, 1985). It reinforces performance standards and compliance.</w:t>
      </w:r>
    </w:p>
    <w:p w14:paraId="45EF8C27" w14:textId="4F760325"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In HSBC’s context, transactional leadership remains indispensable. Transactional mechanisms ensure procedural adherence during transformation, particularly in system migration, AI governance and compliance adaptation.</w:t>
      </w:r>
    </w:p>
    <w:p w14:paraId="11E08C36"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lastRenderedPageBreak/>
        <w:t>However, transactional leadership is insufficient for innovation-led change. Digital transformation demands experimentation and adaptive learning, which may be inhibited by rigid reward-control systems (Northouse, 2019). If overemphasised, transactional leadership risks reinforcing HSBC’s traditional risk-averse culture, slowing AI adoption.</w:t>
      </w:r>
    </w:p>
    <w:p w14:paraId="6E6FB780"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Within the hybrid change model, transactional leadership supports:</w:t>
      </w:r>
    </w:p>
    <w:p w14:paraId="4EDF9911" w14:textId="77777777" w:rsidR="00C118FA" w:rsidRPr="00C118FA" w:rsidRDefault="00C118FA" w:rsidP="00C118FA">
      <w:pPr>
        <w:numPr>
          <w:ilvl w:val="0"/>
          <w:numId w:val="4"/>
        </w:numPr>
        <w:spacing w:line="360" w:lineRule="auto"/>
        <w:rPr>
          <w:rFonts w:ascii="Arial" w:hAnsi="Arial" w:cs="Arial"/>
          <w:sz w:val="22"/>
          <w:szCs w:val="22"/>
        </w:rPr>
      </w:pPr>
      <w:r w:rsidRPr="00C118FA">
        <w:rPr>
          <w:rFonts w:ascii="Arial" w:hAnsi="Arial" w:cs="Arial"/>
          <w:sz w:val="22"/>
          <w:szCs w:val="22"/>
        </w:rPr>
        <w:t>Lewin’s Refreeze stage (stabilising new processes)</w:t>
      </w:r>
    </w:p>
    <w:p w14:paraId="73000CD8" w14:textId="77777777" w:rsidR="00C118FA" w:rsidRPr="00C118FA" w:rsidRDefault="00C118FA" w:rsidP="00C118FA">
      <w:pPr>
        <w:numPr>
          <w:ilvl w:val="0"/>
          <w:numId w:val="4"/>
        </w:numPr>
        <w:spacing w:line="360" w:lineRule="auto"/>
        <w:rPr>
          <w:rFonts w:ascii="Arial" w:hAnsi="Arial" w:cs="Arial"/>
          <w:sz w:val="22"/>
          <w:szCs w:val="22"/>
        </w:rPr>
      </w:pPr>
      <w:r w:rsidRPr="00C118FA">
        <w:rPr>
          <w:rFonts w:ascii="Arial" w:hAnsi="Arial" w:cs="Arial"/>
          <w:sz w:val="22"/>
          <w:szCs w:val="22"/>
        </w:rPr>
        <w:t>ADKAR’s Reinforcement phase</w:t>
      </w:r>
    </w:p>
    <w:p w14:paraId="63F9BB58" w14:textId="77777777" w:rsidR="00C118FA" w:rsidRPr="00C118FA" w:rsidRDefault="00C118FA" w:rsidP="00C118FA">
      <w:pPr>
        <w:numPr>
          <w:ilvl w:val="0"/>
          <w:numId w:val="4"/>
        </w:numPr>
        <w:spacing w:line="360" w:lineRule="auto"/>
        <w:rPr>
          <w:rFonts w:ascii="Arial" w:hAnsi="Arial" w:cs="Arial"/>
          <w:sz w:val="22"/>
          <w:szCs w:val="22"/>
        </w:rPr>
      </w:pPr>
      <w:r w:rsidRPr="00C118FA">
        <w:rPr>
          <w:rFonts w:ascii="Arial" w:hAnsi="Arial" w:cs="Arial"/>
          <w:sz w:val="22"/>
          <w:szCs w:val="22"/>
        </w:rPr>
        <w:t>Regulatory and operational sustainability</w:t>
      </w:r>
    </w:p>
    <w:p w14:paraId="7E9508FD" w14:textId="01748FDD" w:rsidR="00C118FA" w:rsidRPr="00C118FA" w:rsidRDefault="00C118FA" w:rsidP="00C118FA">
      <w:pPr>
        <w:spacing w:line="360" w:lineRule="auto"/>
        <w:rPr>
          <w:rFonts w:ascii="Arial" w:hAnsi="Arial" w:cs="Arial"/>
          <w:sz w:val="22"/>
          <w:szCs w:val="22"/>
        </w:rPr>
      </w:pPr>
    </w:p>
    <w:p w14:paraId="3686D2F0" w14:textId="68B5BC26" w:rsidR="00C118FA" w:rsidRPr="00C118FA" w:rsidRDefault="000F2EEC" w:rsidP="00C118FA">
      <w:pPr>
        <w:spacing w:line="360" w:lineRule="auto"/>
        <w:rPr>
          <w:rFonts w:ascii="Arial" w:hAnsi="Arial" w:cs="Arial"/>
          <w:b/>
          <w:bCs/>
          <w:sz w:val="22"/>
          <w:szCs w:val="22"/>
        </w:rPr>
      </w:pPr>
      <w:r>
        <w:rPr>
          <w:rFonts w:ascii="Arial" w:hAnsi="Arial" w:cs="Arial"/>
          <w:b/>
          <w:bCs/>
          <w:sz w:val="22"/>
          <w:szCs w:val="22"/>
        </w:rPr>
        <w:t xml:space="preserve">4.1.3 </w:t>
      </w:r>
      <w:r w:rsidR="00C118FA" w:rsidRPr="00C118FA">
        <w:rPr>
          <w:rFonts w:ascii="Arial" w:hAnsi="Arial" w:cs="Arial"/>
          <w:b/>
          <w:bCs/>
          <w:sz w:val="22"/>
          <w:szCs w:val="22"/>
        </w:rPr>
        <w:t>Situational Leadership</w:t>
      </w:r>
    </w:p>
    <w:p w14:paraId="6D5712EF"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Situational leadership proposes adaptive leadership behaviour depending on follower readiness and competence (Hersey and Blanchard, 1988).</w:t>
      </w:r>
    </w:p>
    <w:p w14:paraId="407E3B2F"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HSBC’s workforce spans digital engineers, risk professionals, compliance experts and frontline banking staff. AI implementation may be readily embraced by technologically skilled employees but resisted by risk-oriented teams concerned with model reliability. Situational leadership allows managers to adjust directive versus supportive behaviours depending on capability maturity.</w:t>
      </w:r>
    </w:p>
    <w:p w14:paraId="45B14454"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In the hybrid model, situational leadership strengthens:</w:t>
      </w:r>
    </w:p>
    <w:p w14:paraId="3C972494" w14:textId="77777777" w:rsidR="00C118FA" w:rsidRPr="00C118FA" w:rsidRDefault="00C118FA" w:rsidP="00C118FA">
      <w:pPr>
        <w:numPr>
          <w:ilvl w:val="0"/>
          <w:numId w:val="5"/>
        </w:numPr>
        <w:spacing w:line="360" w:lineRule="auto"/>
        <w:rPr>
          <w:rFonts w:ascii="Arial" w:hAnsi="Arial" w:cs="Arial"/>
          <w:sz w:val="22"/>
          <w:szCs w:val="22"/>
        </w:rPr>
      </w:pPr>
      <w:r w:rsidRPr="00C118FA">
        <w:rPr>
          <w:rFonts w:ascii="Arial" w:hAnsi="Arial" w:cs="Arial"/>
          <w:sz w:val="22"/>
          <w:szCs w:val="22"/>
        </w:rPr>
        <w:t>ADKAR’s Knowledge and Ability stages</w:t>
      </w:r>
    </w:p>
    <w:p w14:paraId="0D632859" w14:textId="77777777" w:rsidR="00C118FA" w:rsidRPr="00C118FA" w:rsidRDefault="00C118FA" w:rsidP="00C118FA">
      <w:pPr>
        <w:numPr>
          <w:ilvl w:val="0"/>
          <w:numId w:val="5"/>
        </w:numPr>
        <w:spacing w:line="360" w:lineRule="auto"/>
        <w:rPr>
          <w:rFonts w:ascii="Arial" w:hAnsi="Arial" w:cs="Arial"/>
          <w:sz w:val="22"/>
          <w:szCs w:val="22"/>
        </w:rPr>
      </w:pPr>
      <w:r w:rsidRPr="00C118FA">
        <w:rPr>
          <w:rFonts w:ascii="Arial" w:hAnsi="Arial" w:cs="Arial"/>
          <w:sz w:val="22"/>
          <w:szCs w:val="22"/>
        </w:rPr>
        <w:t>Behavioural adoption across diverse workforce segments</w:t>
      </w:r>
    </w:p>
    <w:p w14:paraId="300F84FF" w14:textId="77777777" w:rsidR="00C118FA" w:rsidRPr="00C118FA" w:rsidRDefault="00C118FA" w:rsidP="00C118FA">
      <w:pPr>
        <w:numPr>
          <w:ilvl w:val="0"/>
          <w:numId w:val="5"/>
        </w:numPr>
        <w:spacing w:line="360" w:lineRule="auto"/>
        <w:rPr>
          <w:rFonts w:ascii="Arial" w:hAnsi="Arial" w:cs="Arial"/>
          <w:sz w:val="22"/>
          <w:szCs w:val="22"/>
        </w:rPr>
      </w:pPr>
      <w:r w:rsidRPr="00C118FA">
        <w:rPr>
          <w:rFonts w:ascii="Arial" w:hAnsi="Arial" w:cs="Arial"/>
          <w:sz w:val="22"/>
          <w:szCs w:val="22"/>
        </w:rPr>
        <w:t>Local adaptation in global markets</w:t>
      </w:r>
    </w:p>
    <w:p w14:paraId="3C1C2019" w14:textId="72945052" w:rsidR="00C118FA" w:rsidRDefault="00C118FA" w:rsidP="00C118FA">
      <w:pPr>
        <w:spacing w:line="360" w:lineRule="auto"/>
        <w:rPr>
          <w:rFonts w:ascii="Arial" w:hAnsi="Arial" w:cs="Arial"/>
          <w:sz w:val="22"/>
          <w:szCs w:val="22"/>
        </w:rPr>
      </w:pPr>
      <w:r w:rsidRPr="00C118FA">
        <w:rPr>
          <w:rFonts w:ascii="Arial" w:hAnsi="Arial" w:cs="Arial"/>
          <w:sz w:val="22"/>
          <w:szCs w:val="22"/>
        </w:rPr>
        <w:t xml:space="preserve">However, </w:t>
      </w:r>
      <w:proofErr w:type="gramStart"/>
      <w:r w:rsidRPr="00C118FA">
        <w:rPr>
          <w:rFonts w:ascii="Arial" w:hAnsi="Arial" w:cs="Arial"/>
          <w:sz w:val="22"/>
          <w:szCs w:val="22"/>
        </w:rPr>
        <w:t>In</w:t>
      </w:r>
      <w:proofErr w:type="gramEnd"/>
      <w:r w:rsidRPr="00C118FA">
        <w:rPr>
          <w:rFonts w:ascii="Arial" w:hAnsi="Arial" w:cs="Arial"/>
          <w:sz w:val="22"/>
          <w:szCs w:val="22"/>
        </w:rPr>
        <w:t xml:space="preserve"> large multinational banks, leadership consistency across divisions can be difficult to achieve (Burnes, 2020).</w:t>
      </w:r>
    </w:p>
    <w:p w14:paraId="7A2196B3" w14:textId="77777777" w:rsidR="00B22686" w:rsidRPr="00C118FA" w:rsidRDefault="00B22686" w:rsidP="00C118FA">
      <w:pPr>
        <w:spacing w:line="360" w:lineRule="auto"/>
        <w:rPr>
          <w:rFonts w:ascii="Arial" w:hAnsi="Arial" w:cs="Arial"/>
          <w:sz w:val="22"/>
          <w:szCs w:val="22"/>
        </w:rPr>
      </w:pPr>
    </w:p>
    <w:p w14:paraId="260905C9" w14:textId="77777777" w:rsidR="009E2191" w:rsidRDefault="009E2191" w:rsidP="00C118FA">
      <w:pPr>
        <w:spacing w:line="360" w:lineRule="auto"/>
        <w:rPr>
          <w:rFonts w:ascii="Arial" w:hAnsi="Arial" w:cs="Arial"/>
          <w:b/>
          <w:bCs/>
          <w:sz w:val="22"/>
          <w:szCs w:val="22"/>
        </w:rPr>
      </w:pPr>
    </w:p>
    <w:p w14:paraId="1B34B089" w14:textId="77777777" w:rsidR="009E2191" w:rsidRDefault="009E2191" w:rsidP="00C118FA">
      <w:pPr>
        <w:spacing w:line="360" w:lineRule="auto"/>
        <w:rPr>
          <w:rFonts w:ascii="Arial" w:hAnsi="Arial" w:cs="Arial"/>
          <w:b/>
          <w:bCs/>
          <w:sz w:val="22"/>
          <w:szCs w:val="22"/>
        </w:rPr>
      </w:pPr>
    </w:p>
    <w:p w14:paraId="7AAB59DA" w14:textId="77777777" w:rsidR="009E2191" w:rsidRDefault="009E2191" w:rsidP="00C118FA">
      <w:pPr>
        <w:spacing w:line="360" w:lineRule="auto"/>
        <w:rPr>
          <w:rFonts w:ascii="Arial" w:hAnsi="Arial" w:cs="Arial"/>
          <w:b/>
          <w:bCs/>
          <w:sz w:val="22"/>
          <w:szCs w:val="22"/>
        </w:rPr>
      </w:pPr>
    </w:p>
    <w:p w14:paraId="7A617A14" w14:textId="77777777" w:rsidR="009E2191" w:rsidRDefault="009E2191" w:rsidP="00C118FA">
      <w:pPr>
        <w:spacing w:line="360" w:lineRule="auto"/>
        <w:rPr>
          <w:rFonts w:ascii="Arial" w:hAnsi="Arial" w:cs="Arial"/>
          <w:b/>
          <w:bCs/>
          <w:sz w:val="22"/>
          <w:szCs w:val="22"/>
        </w:rPr>
      </w:pPr>
    </w:p>
    <w:p w14:paraId="603B7EC1" w14:textId="77777777" w:rsidR="009E2191" w:rsidRDefault="009E2191" w:rsidP="00C118FA">
      <w:pPr>
        <w:spacing w:line="360" w:lineRule="auto"/>
        <w:rPr>
          <w:rFonts w:ascii="Arial" w:hAnsi="Arial" w:cs="Arial"/>
          <w:b/>
          <w:bCs/>
          <w:sz w:val="22"/>
          <w:szCs w:val="22"/>
        </w:rPr>
      </w:pPr>
    </w:p>
    <w:p w14:paraId="1E0839F9" w14:textId="0DEA2650" w:rsidR="00C118FA" w:rsidRPr="00C118FA" w:rsidRDefault="005A3057" w:rsidP="00C118FA">
      <w:pPr>
        <w:spacing w:line="360" w:lineRule="auto"/>
        <w:rPr>
          <w:rFonts w:ascii="Arial" w:hAnsi="Arial" w:cs="Arial"/>
          <w:b/>
          <w:bCs/>
          <w:sz w:val="22"/>
          <w:szCs w:val="22"/>
        </w:rPr>
      </w:pPr>
      <w:r>
        <w:rPr>
          <w:rFonts w:ascii="Arial" w:hAnsi="Arial" w:cs="Arial"/>
          <w:b/>
          <w:bCs/>
          <w:sz w:val="22"/>
          <w:szCs w:val="22"/>
        </w:rPr>
        <w:lastRenderedPageBreak/>
        <w:t xml:space="preserve">4.1.4 </w:t>
      </w:r>
      <w:r w:rsidR="00C118FA" w:rsidRPr="00C118FA">
        <w:rPr>
          <w:rFonts w:ascii="Arial" w:hAnsi="Arial" w:cs="Arial"/>
          <w:b/>
          <w:bCs/>
          <w:sz w:val="22"/>
          <w:szCs w:val="22"/>
        </w:rPr>
        <w:t>Leadership Comparison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49"/>
        <w:gridCol w:w="1372"/>
        <w:gridCol w:w="2009"/>
        <w:gridCol w:w="1905"/>
        <w:gridCol w:w="1981"/>
      </w:tblGrid>
      <w:tr w:rsidR="00C118FA" w:rsidRPr="00C118FA" w14:paraId="269EE4F4" w14:textId="77777777" w:rsidTr="00B22686">
        <w:trPr>
          <w:tblHeader/>
          <w:tblCellSpacing w:w="15" w:type="dxa"/>
        </w:trPr>
        <w:tc>
          <w:tcPr>
            <w:tcW w:w="0" w:type="auto"/>
            <w:vAlign w:val="center"/>
            <w:hideMark/>
          </w:tcPr>
          <w:p w14:paraId="3CA4C599"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Leadership Style</w:t>
            </w:r>
          </w:p>
        </w:tc>
        <w:tc>
          <w:tcPr>
            <w:tcW w:w="0" w:type="auto"/>
            <w:vAlign w:val="center"/>
            <w:hideMark/>
          </w:tcPr>
          <w:p w14:paraId="183D44A5"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Core Focus</w:t>
            </w:r>
          </w:p>
        </w:tc>
        <w:tc>
          <w:tcPr>
            <w:tcW w:w="0" w:type="auto"/>
            <w:vAlign w:val="center"/>
            <w:hideMark/>
          </w:tcPr>
          <w:p w14:paraId="017F1B0D"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Strengths for HSBC</w:t>
            </w:r>
          </w:p>
        </w:tc>
        <w:tc>
          <w:tcPr>
            <w:tcW w:w="0" w:type="auto"/>
            <w:vAlign w:val="center"/>
            <w:hideMark/>
          </w:tcPr>
          <w:p w14:paraId="043D828A"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Limitations</w:t>
            </w:r>
          </w:p>
        </w:tc>
        <w:tc>
          <w:tcPr>
            <w:tcW w:w="0" w:type="auto"/>
            <w:vAlign w:val="center"/>
            <w:hideMark/>
          </w:tcPr>
          <w:p w14:paraId="46C5A02E"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Role in Hybrid Change Model</w:t>
            </w:r>
          </w:p>
        </w:tc>
      </w:tr>
      <w:tr w:rsidR="00C118FA" w:rsidRPr="00C118FA" w14:paraId="1BC72A1F" w14:textId="77777777" w:rsidTr="00B22686">
        <w:trPr>
          <w:tblCellSpacing w:w="15" w:type="dxa"/>
        </w:trPr>
        <w:tc>
          <w:tcPr>
            <w:tcW w:w="0" w:type="auto"/>
            <w:vAlign w:val="center"/>
            <w:hideMark/>
          </w:tcPr>
          <w:p w14:paraId="38C22FDF"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Transformational</w:t>
            </w:r>
          </w:p>
        </w:tc>
        <w:tc>
          <w:tcPr>
            <w:tcW w:w="0" w:type="auto"/>
            <w:vAlign w:val="center"/>
            <w:hideMark/>
          </w:tcPr>
          <w:p w14:paraId="0CB33F94"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Vision, inspiration, cultural change</w:t>
            </w:r>
          </w:p>
        </w:tc>
        <w:tc>
          <w:tcPr>
            <w:tcW w:w="0" w:type="auto"/>
            <w:vAlign w:val="center"/>
            <w:hideMark/>
          </w:tcPr>
          <w:p w14:paraId="539AC1C5"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Drives digital mindset, builds urgency, supports strategic repositioning (Bass, 1985; Kotter, 1996)</w:t>
            </w:r>
          </w:p>
        </w:tc>
        <w:tc>
          <w:tcPr>
            <w:tcW w:w="0" w:type="auto"/>
            <w:vAlign w:val="center"/>
            <w:hideMark/>
          </w:tcPr>
          <w:p w14:paraId="73087476"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May underemphasise compliance control</w:t>
            </w:r>
          </w:p>
        </w:tc>
        <w:tc>
          <w:tcPr>
            <w:tcW w:w="0" w:type="auto"/>
            <w:vAlign w:val="center"/>
            <w:hideMark/>
          </w:tcPr>
          <w:p w14:paraId="2668C12A"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Supports Lewin (Unfreeze) &amp; Kotter early stages</w:t>
            </w:r>
          </w:p>
        </w:tc>
      </w:tr>
      <w:tr w:rsidR="00C118FA" w:rsidRPr="00C118FA" w14:paraId="31099B43" w14:textId="77777777" w:rsidTr="00B22686">
        <w:trPr>
          <w:tblCellSpacing w:w="15" w:type="dxa"/>
        </w:trPr>
        <w:tc>
          <w:tcPr>
            <w:tcW w:w="0" w:type="auto"/>
            <w:vAlign w:val="center"/>
            <w:hideMark/>
          </w:tcPr>
          <w:p w14:paraId="42A7B423"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Transactional</w:t>
            </w:r>
          </w:p>
        </w:tc>
        <w:tc>
          <w:tcPr>
            <w:tcW w:w="0" w:type="auto"/>
            <w:vAlign w:val="center"/>
            <w:hideMark/>
          </w:tcPr>
          <w:p w14:paraId="36B68A7E"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Control, monitoring, reward systems</w:t>
            </w:r>
          </w:p>
        </w:tc>
        <w:tc>
          <w:tcPr>
            <w:tcW w:w="0" w:type="auto"/>
            <w:vAlign w:val="center"/>
            <w:hideMark/>
          </w:tcPr>
          <w:p w14:paraId="13EBCD35"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Ensures regulatory compliance and operational stability (BIS, 2024)</w:t>
            </w:r>
          </w:p>
        </w:tc>
        <w:tc>
          <w:tcPr>
            <w:tcW w:w="0" w:type="auto"/>
            <w:vAlign w:val="center"/>
            <w:hideMark/>
          </w:tcPr>
          <w:p w14:paraId="582C1E07"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May inhibit innovation and agility</w:t>
            </w:r>
          </w:p>
        </w:tc>
        <w:tc>
          <w:tcPr>
            <w:tcW w:w="0" w:type="auto"/>
            <w:vAlign w:val="center"/>
            <w:hideMark/>
          </w:tcPr>
          <w:p w14:paraId="2F88E017"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Supports Lewin (Refreeze) &amp; ADKAR (Reinforcement)</w:t>
            </w:r>
          </w:p>
        </w:tc>
      </w:tr>
      <w:tr w:rsidR="00C118FA" w:rsidRPr="00C118FA" w14:paraId="7755D638" w14:textId="77777777" w:rsidTr="00B22686">
        <w:trPr>
          <w:tblCellSpacing w:w="15" w:type="dxa"/>
        </w:trPr>
        <w:tc>
          <w:tcPr>
            <w:tcW w:w="0" w:type="auto"/>
            <w:vAlign w:val="center"/>
            <w:hideMark/>
          </w:tcPr>
          <w:p w14:paraId="58962910"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Situational</w:t>
            </w:r>
          </w:p>
        </w:tc>
        <w:tc>
          <w:tcPr>
            <w:tcW w:w="0" w:type="auto"/>
            <w:vAlign w:val="center"/>
            <w:hideMark/>
          </w:tcPr>
          <w:p w14:paraId="13B22ED8"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Adaptive leadership behaviour</w:t>
            </w:r>
          </w:p>
        </w:tc>
        <w:tc>
          <w:tcPr>
            <w:tcW w:w="0" w:type="auto"/>
            <w:vAlign w:val="center"/>
            <w:hideMark/>
          </w:tcPr>
          <w:p w14:paraId="35BBDAC1"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Aligns leadership to workforce readiness during AI adoption (Hersey and Blanchard, 1988)</w:t>
            </w:r>
          </w:p>
        </w:tc>
        <w:tc>
          <w:tcPr>
            <w:tcW w:w="0" w:type="auto"/>
            <w:vAlign w:val="center"/>
            <w:hideMark/>
          </w:tcPr>
          <w:p w14:paraId="02C3E021"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Requires strong managerial capability</w:t>
            </w:r>
          </w:p>
        </w:tc>
        <w:tc>
          <w:tcPr>
            <w:tcW w:w="0" w:type="auto"/>
            <w:vAlign w:val="center"/>
            <w:hideMark/>
          </w:tcPr>
          <w:p w14:paraId="2F7A0670"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Strengthens ADKAR (Knowledge &amp; Ability)</w:t>
            </w:r>
          </w:p>
        </w:tc>
      </w:tr>
    </w:tbl>
    <w:p w14:paraId="330829E4" w14:textId="1EA9D6BB" w:rsidR="00C118FA" w:rsidRPr="00C118FA" w:rsidRDefault="00C118FA" w:rsidP="00C118FA">
      <w:pPr>
        <w:spacing w:line="360" w:lineRule="auto"/>
        <w:rPr>
          <w:rFonts w:ascii="Arial" w:hAnsi="Arial" w:cs="Arial"/>
          <w:sz w:val="22"/>
          <w:szCs w:val="22"/>
        </w:rPr>
      </w:pPr>
    </w:p>
    <w:p w14:paraId="5B3BD9EE"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4.2 Organisational Culture and Change</w:t>
      </w:r>
    </w:p>
    <w:p w14:paraId="222471F4"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Leadership effectiveness is shaped by organisational culture. Culture determines how change messages are interpreted and whether digital transformation becomes embedded or resisted.</w:t>
      </w:r>
    </w:p>
    <w:p w14:paraId="6B346618" w14:textId="50808E84" w:rsidR="00C118FA" w:rsidRPr="00C118FA" w:rsidRDefault="00C118FA" w:rsidP="00C118FA">
      <w:pPr>
        <w:spacing w:line="360" w:lineRule="auto"/>
        <w:rPr>
          <w:rFonts w:ascii="Arial" w:hAnsi="Arial" w:cs="Arial"/>
          <w:sz w:val="22"/>
          <w:szCs w:val="22"/>
        </w:rPr>
      </w:pPr>
    </w:p>
    <w:p w14:paraId="543D995C" w14:textId="4D85200E" w:rsidR="00C118FA" w:rsidRPr="00C118FA" w:rsidRDefault="005A3057" w:rsidP="00C118FA">
      <w:pPr>
        <w:spacing w:line="360" w:lineRule="auto"/>
        <w:rPr>
          <w:rFonts w:ascii="Arial" w:hAnsi="Arial" w:cs="Arial"/>
          <w:b/>
          <w:bCs/>
          <w:sz w:val="22"/>
          <w:szCs w:val="22"/>
        </w:rPr>
      </w:pPr>
      <w:r>
        <w:rPr>
          <w:rFonts w:ascii="Arial" w:hAnsi="Arial" w:cs="Arial"/>
          <w:b/>
          <w:bCs/>
          <w:sz w:val="22"/>
          <w:szCs w:val="22"/>
        </w:rPr>
        <w:t xml:space="preserve">4.2.1 </w:t>
      </w:r>
      <w:r w:rsidR="00C118FA" w:rsidRPr="00C118FA">
        <w:rPr>
          <w:rFonts w:ascii="Arial" w:hAnsi="Arial" w:cs="Arial"/>
          <w:b/>
          <w:bCs/>
          <w:sz w:val="22"/>
          <w:szCs w:val="22"/>
        </w:rPr>
        <w:t>Schein’s Three Levels of Culture</w:t>
      </w:r>
    </w:p>
    <w:p w14:paraId="5A3134F6"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Schein (2010) conceptualises culture as:</w:t>
      </w:r>
    </w:p>
    <w:p w14:paraId="2CC9B9B4" w14:textId="77777777" w:rsidR="00C118FA" w:rsidRPr="00C118FA" w:rsidRDefault="00C118FA" w:rsidP="00C118FA">
      <w:pPr>
        <w:numPr>
          <w:ilvl w:val="0"/>
          <w:numId w:val="6"/>
        </w:numPr>
        <w:spacing w:line="360" w:lineRule="auto"/>
        <w:rPr>
          <w:rFonts w:ascii="Arial" w:hAnsi="Arial" w:cs="Arial"/>
          <w:sz w:val="22"/>
          <w:szCs w:val="22"/>
        </w:rPr>
      </w:pPr>
      <w:r w:rsidRPr="00C118FA">
        <w:rPr>
          <w:rFonts w:ascii="Arial" w:hAnsi="Arial" w:cs="Arial"/>
          <w:b/>
          <w:bCs/>
          <w:sz w:val="22"/>
          <w:szCs w:val="22"/>
        </w:rPr>
        <w:t>Artifacts</w:t>
      </w:r>
      <w:r w:rsidRPr="00C118FA">
        <w:rPr>
          <w:rFonts w:ascii="Arial" w:hAnsi="Arial" w:cs="Arial"/>
          <w:sz w:val="22"/>
          <w:szCs w:val="22"/>
        </w:rPr>
        <w:t xml:space="preserve"> – visible structures and systems</w:t>
      </w:r>
    </w:p>
    <w:p w14:paraId="51E5FD4A" w14:textId="77777777" w:rsidR="00C118FA" w:rsidRPr="00C118FA" w:rsidRDefault="00C118FA" w:rsidP="00C118FA">
      <w:pPr>
        <w:numPr>
          <w:ilvl w:val="0"/>
          <w:numId w:val="6"/>
        </w:numPr>
        <w:spacing w:line="360" w:lineRule="auto"/>
        <w:rPr>
          <w:rFonts w:ascii="Arial" w:hAnsi="Arial" w:cs="Arial"/>
          <w:sz w:val="22"/>
          <w:szCs w:val="22"/>
        </w:rPr>
      </w:pPr>
      <w:r w:rsidRPr="00C118FA">
        <w:rPr>
          <w:rFonts w:ascii="Arial" w:hAnsi="Arial" w:cs="Arial"/>
          <w:b/>
          <w:bCs/>
          <w:sz w:val="22"/>
          <w:szCs w:val="22"/>
        </w:rPr>
        <w:t>Espoused values</w:t>
      </w:r>
      <w:r w:rsidRPr="00C118FA">
        <w:rPr>
          <w:rFonts w:ascii="Arial" w:hAnsi="Arial" w:cs="Arial"/>
          <w:sz w:val="22"/>
          <w:szCs w:val="22"/>
        </w:rPr>
        <w:t xml:space="preserve"> – stated principles and strategies</w:t>
      </w:r>
    </w:p>
    <w:p w14:paraId="7F32E3FC" w14:textId="77777777" w:rsidR="00C118FA" w:rsidRPr="00C118FA" w:rsidRDefault="00C118FA" w:rsidP="00C118FA">
      <w:pPr>
        <w:numPr>
          <w:ilvl w:val="0"/>
          <w:numId w:val="6"/>
        </w:numPr>
        <w:spacing w:line="360" w:lineRule="auto"/>
        <w:rPr>
          <w:rFonts w:ascii="Arial" w:hAnsi="Arial" w:cs="Arial"/>
          <w:sz w:val="22"/>
          <w:szCs w:val="22"/>
        </w:rPr>
      </w:pPr>
      <w:r w:rsidRPr="00C118FA">
        <w:rPr>
          <w:rFonts w:ascii="Arial" w:hAnsi="Arial" w:cs="Arial"/>
          <w:b/>
          <w:bCs/>
          <w:sz w:val="22"/>
          <w:szCs w:val="22"/>
        </w:rPr>
        <w:lastRenderedPageBreak/>
        <w:t>Underlying assumptions</w:t>
      </w:r>
      <w:r w:rsidRPr="00C118FA">
        <w:rPr>
          <w:rFonts w:ascii="Arial" w:hAnsi="Arial" w:cs="Arial"/>
          <w:sz w:val="22"/>
          <w:szCs w:val="22"/>
        </w:rPr>
        <w:t xml:space="preserve"> – unconscious beliefs</w:t>
      </w:r>
    </w:p>
    <w:p w14:paraId="5E612E29"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At HSBC, artifacts include formal governance systems, risk controls and hierarchical structures. Espoused values emphasise trust, stability and international connectivity. However, underlying assumptions in banking often prioritise risk avoidance and procedural certainty.</w:t>
      </w:r>
    </w:p>
    <w:p w14:paraId="5134BF39"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Digital transformation challenges these assumptions by requiring experimentation and iterative development. According to Schein (2010), sustainable change requires altering underlying assumptions, not merely updating systems. Therefore, HSBC’s AI transformation must shift internal beliefs from “innovation equals risk” to “innovation managed through governance”.</w:t>
      </w:r>
    </w:p>
    <w:p w14:paraId="6F98CFDC"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Without deep cultural alignment, change risks remaining superficial—an issue Lewin’s refreezing stage aims to address.</w:t>
      </w:r>
    </w:p>
    <w:p w14:paraId="546B292D" w14:textId="20615181" w:rsidR="00C118FA" w:rsidRPr="00C118FA" w:rsidRDefault="00C118FA" w:rsidP="00C118FA">
      <w:pPr>
        <w:spacing w:line="360" w:lineRule="auto"/>
        <w:rPr>
          <w:rFonts w:ascii="Arial" w:hAnsi="Arial" w:cs="Arial"/>
          <w:sz w:val="22"/>
          <w:szCs w:val="22"/>
        </w:rPr>
      </w:pPr>
    </w:p>
    <w:p w14:paraId="2E177FBC" w14:textId="0ED3FD34" w:rsidR="00C118FA" w:rsidRPr="00C118FA" w:rsidRDefault="0062680A" w:rsidP="00C118FA">
      <w:pPr>
        <w:spacing w:line="360" w:lineRule="auto"/>
        <w:rPr>
          <w:rFonts w:ascii="Arial" w:hAnsi="Arial" w:cs="Arial"/>
          <w:b/>
          <w:bCs/>
          <w:sz w:val="22"/>
          <w:szCs w:val="22"/>
        </w:rPr>
      </w:pPr>
      <w:r>
        <w:rPr>
          <w:rFonts w:ascii="Arial" w:hAnsi="Arial" w:cs="Arial"/>
          <w:b/>
          <w:bCs/>
          <w:sz w:val="22"/>
          <w:szCs w:val="22"/>
        </w:rPr>
        <w:t xml:space="preserve">4.2.2 </w:t>
      </w:r>
      <w:r w:rsidR="00C118FA" w:rsidRPr="00C118FA">
        <w:rPr>
          <w:rFonts w:ascii="Arial" w:hAnsi="Arial" w:cs="Arial"/>
          <w:b/>
          <w:bCs/>
          <w:sz w:val="22"/>
          <w:szCs w:val="22"/>
        </w:rPr>
        <w:t>Hofstede’s Cultural Dimensions</w:t>
      </w:r>
    </w:p>
    <w:p w14:paraId="568C27B6"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Hofstede (2001) identifies cultural dimensions including power distance and uncertainty avoidance.</w:t>
      </w:r>
    </w:p>
    <w:p w14:paraId="59DC57D8"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HSBC operates in diverse national contexts. High power-distance cultures may favour hierarchical decision-making, slowing decentralised innovation. High uncertainty-avoidance environments may resist AI adoption due to perceived risk.</w:t>
      </w:r>
    </w:p>
    <w:p w14:paraId="543C6D6E" w14:textId="474AF098" w:rsidR="00C118FA" w:rsidRDefault="00C118FA" w:rsidP="00C118FA">
      <w:pPr>
        <w:spacing w:line="360" w:lineRule="auto"/>
        <w:rPr>
          <w:rFonts w:ascii="Arial" w:hAnsi="Arial" w:cs="Arial"/>
          <w:sz w:val="22"/>
          <w:szCs w:val="22"/>
        </w:rPr>
      </w:pPr>
      <w:r w:rsidRPr="00C118FA">
        <w:rPr>
          <w:rFonts w:ascii="Arial" w:hAnsi="Arial" w:cs="Arial"/>
          <w:sz w:val="22"/>
          <w:szCs w:val="22"/>
        </w:rPr>
        <w:t>Thus, change strategies must be culturally sensitive. Kotter’s emphasis on coalition-building and communication must be adapted across regions. However, Hofstede’s model has been criticised for generalising national cultures and oversimplifying complexity (McSweeney, 2002). Despite limitations, it remains useful for multinational change design.</w:t>
      </w:r>
    </w:p>
    <w:p w14:paraId="1B943927" w14:textId="77777777" w:rsidR="00C118FA" w:rsidRPr="00C118FA" w:rsidRDefault="00C118FA" w:rsidP="00C118FA">
      <w:pPr>
        <w:spacing w:line="360" w:lineRule="auto"/>
        <w:rPr>
          <w:rFonts w:ascii="Arial" w:hAnsi="Arial" w:cs="Arial"/>
          <w:sz w:val="22"/>
          <w:szCs w:val="22"/>
        </w:rPr>
      </w:pPr>
    </w:p>
    <w:p w14:paraId="2D3EFD56" w14:textId="5A781501" w:rsidR="00C118FA" w:rsidRPr="00C118FA" w:rsidRDefault="00D80575" w:rsidP="00C118FA">
      <w:pPr>
        <w:spacing w:line="360" w:lineRule="auto"/>
        <w:rPr>
          <w:rFonts w:ascii="Arial" w:hAnsi="Arial" w:cs="Arial"/>
          <w:b/>
          <w:bCs/>
          <w:sz w:val="22"/>
          <w:szCs w:val="22"/>
        </w:rPr>
      </w:pPr>
      <w:r>
        <w:rPr>
          <w:rFonts w:ascii="Arial" w:hAnsi="Arial" w:cs="Arial"/>
          <w:b/>
          <w:bCs/>
          <w:sz w:val="22"/>
          <w:szCs w:val="22"/>
        </w:rPr>
        <w:t xml:space="preserve">4.2.3 </w:t>
      </w:r>
      <w:r w:rsidR="00C118FA" w:rsidRPr="00C118FA">
        <w:rPr>
          <w:rFonts w:ascii="Arial" w:hAnsi="Arial" w:cs="Arial"/>
          <w:b/>
          <w:bCs/>
          <w:sz w:val="22"/>
          <w:szCs w:val="22"/>
        </w:rPr>
        <w:t>Handy’s Cultural Typology</w:t>
      </w:r>
    </w:p>
    <w:p w14:paraId="6489A70E"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Handy (1993) identifies four culture types: power, role, task and person.</w:t>
      </w:r>
    </w:p>
    <w:p w14:paraId="0FDAA39F"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 xml:space="preserve">HSBC traditionally reflects a </w:t>
      </w:r>
      <w:r w:rsidRPr="00C118FA">
        <w:rPr>
          <w:rFonts w:ascii="Arial" w:hAnsi="Arial" w:cs="Arial"/>
          <w:b/>
          <w:bCs/>
          <w:sz w:val="22"/>
          <w:szCs w:val="22"/>
        </w:rPr>
        <w:t>role culture</w:t>
      </w:r>
      <w:r w:rsidRPr="00C118FA">
        <w:rPr>
          <w:rFonts w:ascii="Arial" w:hAnsi="Arial" w:cs="Arial"/>
          <w:sz w:val="22"/>
          <w:szCs w:val="22"/>
        </w:rPr>
        <w:t>, characterised by formal procedures and defined responsibilities. Role culture supports regulatory compliance and control but may hinder rapid digital innovation.</w:t>
      </w:r>
    </w:p>
    <w:p w14:paraId="51C3D4F1"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lastRenderedPageBreak/>
        <w:t xml:space="preserve">Digital transformation requires incorporation of </w:t>
      </w:r>
      <w:r w:rsidRPr="00C118FA">
        <w:rPr>
          <w:rFonts w:ascii="Arial" w:hAnsi="Arial" w:cs="Arial"/>
          <w:b/>
          <w:bCs/>
          <w:sz w:val="22"/>
          <w:szCs w:val="22"/>
        </w:rPr>
        <w:t>task culture</w:t>
      </w:r>
      <w:r w:rsidRPr="00C118FA">
        <w:rPr>
          <w:rFonts w:ascii="Arial" w:hAnsi="Arial" w:cs="Arial"/>
          <w:sz w:val="22"/>
          <w:szCs w:val="22"/>
        </w:rPr>
        <w:t>, where cross-functional collaboration and problem-solving dominate. Agile AI teams reflect task culture characteristics.</w:t>
      </w:r>
    </w:p>
    <w:p w14:paraId="31D248A4" w14:textId="3C04F818"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Therefore, HSBC must evolve toward a hybrid role–task culture: maintaining governance while encouraging cross-functional innovation.</w:t>
      </w:r>
    </w:p>
    <w:p w14:paraId="6B39883A" w14:textId="77777777" w:rsidR="00C118FA" w:rsidRPr="00C118FA" w:rsidRDefault="00C118FA" w:rsidP="00C118FA">
      <w:pPr>
        <w:spacing w:line="360" w:lineRule="auto"/>
        <w:rPr>
          <w:rFonts w:ascii="Arial" w:hAnsi="Arial" w:cs="Arial"/>
          <w:b/>
          <w:bCs/>
          <w:sz w:val="22"/>
          <w:szCs w:val="22"/>
        </w:rPr>
      </w:pPr>
      <w:r w:rsidRPr="00C118FA">
        <w:rPr>
          <w:rFonts w:ascii="Arial" w:hAnsi="Arial" w:cs="Arial"/>
          <w:b/>
          <w:bCs/>
          <w:sz w:val="22"/>
          <w:szCs w:val="22"/>
        </w:rPr>
        <w:t>4.3 Integrated Critical Evaluation</w:t>
      </w:r>
    </w:p>
    <w:p w14:paraId="192C124F"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Leadership and culture must operate cohesively within the selected Lewin–Kotter–ADKAR hybrid model.</w:t>
      </w:r>
    </w:p>
    <w:p w14:paraId="4AC71047" w14:textId="77777777" w:rsidR="00C118FA" w:rsidRPr="00C118FA" w:rsidRDefault="00C118FA" w:rsidP="00C118FA">
      <w:pPr>
        <w:numPr>
          <w:ilvl w:val="0"/>
          <w:numId w:val="7"/>
        </w:numPr>
        <w:spacing w:line="360" w:lineRule="auto"/>
        <w:rPr>
          <w:rFonts w:ascii="Arial" w:hAnsi="Arial" w:cs="Arial"/>
          <w:sz w:val="22"/>
          <w:szCs w:val="22"/>
        </w:rPr>
      </w:pPr>
      <w:r w:rsidRPr="00C118FA">
        <w:rPr>
          <w:rFonts w:ascii="Arial" w:hAnsi="Arial" w:cs="Arial"/>
          <w:sz w:val="22"/>
          <w:szCs w:val="22"/>
        </w:rPr>
        <w:t>Transformational leadership aligns with unfreezing and urgency creation</w:t>
      </w:r>
    </w:p>
    <w:p w14:paraId="51C85ABE" w14:textId="77777777" w:rsidR="00C118FA" w:rsidRPr="00C118FA" w:rsidRDefault="00C118FA" w:rsidP="00C118FA">
      <w:pPr>
        <w:numPr>
          <w:ilvl w:val="0"/>
          <w:numId w:val="7"/>
        </w:numPr>
        <w:spacing w:line="360" w:lineRule="auto"/>
        <w:rPr>
          <w:rFonts w:ascii="Arial" w:hAnsi="Arial" w:cs="Arial"/>
          <w:sz w:val="22"/>
          <w:szCs w:val="22"/>
        </w:rPr>
      </w:pPr>
      <w:r w:rsidRPr="00C118FA">
        <w:rPr>
          <w:rFonts w:ascii="Arial" w:hAnsi="Arial" w:cs="Arial"/>
          <w:sz w:val="22"/>
          <w:szCs w:val="22"/>
        </w:rPr>
        <w:t>Transactional leadership supports refreezing and compliance stabilisation</w:t>
      </w:r>
    </w:p>
    <w:p w14:paraId="0E4E1AE5" w14:textId="77777777" w:rsidR="00C118FA" w:rsidRPr="00C118FA" w:rsidRDefault="00C118FA" w:rsidP="00C118FA">
      <w:pPr>
        <w:numPr>
          <w:ilvl w:val="0"/>
          <w:numId w:val="7"/>
        </w:numPr>
        <w:spacing w:line="360" w:lineRule="auto"/>
        <w:rPr>
          <w:rFonts w:ascii="Arial" w:hAnsi="Arial" w:cs="Arial"/>
          <w:sz w:val="22"/>
          <w:szCs w:val="22"/>
        </w:rPr>
      </w:pPr>
      <w:r w:rsidRPr="00C118FA">
        <w:rPr>
          <w:rFonts w:ascii="Arial" w:hAnsi="Arial" w:cs="Arial"/>
          <w:sz w:val="22"/>
          <w:szCs w:val="22"/>
        </w:rPr>
        <w:t>Situational leadership enhances individual adoption (ADKAR)</w:t>
      </w:r>
    </w:p>
    <w:p w14:paraId="656A7DEF"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Culturally, Schein’s framework highlights the necessity of addressing underlying risk assumptions. Hofstede underscores multinational complexity, while Handy illustrates the need to transition from dominant role culture to role–task hybridity.</w:t>
      </w:r>
    </w:p>
    <w:p w14:paraId="416E2340"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Critically, digital transformation in banking is not merely technological but socio-cultural. AI capability without leadership alignment and cultural adaptation risks resistance, compliance failure or underutilisation. Sustainable competitive advantage therefore depends on embedding digital mindset within governance-oriented culture.</w:t>
      </w:r>
    </w:p>
    <w:p w14:paraId="394B1788" w14:textId="77777777" w:rsidR="00C118FA" w:rsidRPr="00C118FA" w:rsidRDefault="00C118FA" w:rsidP="00C118FA">
      <w:pPr>
        <w:spacing w:line="360" w:lineRule="auto"/>
        <w:rPr>
          <w:rFonts w:ascii="Arial" w:hAnsi="Arial" w:cs="Arial"/>
          <w:sz w:val="22"/>
          <w:szCs w:val="22"/>
        </w:rPr>
      </w:pPr>
      <w:r w:rsidRPr="00C118FA">
        <w:rPr>
          <w:rFonts w:ascii="Arial" w:hAnsi="Arial" w:cs="Arial"/>
          <w:sz w:val="22"/>
          <w:szCs w:val="22"/>
        </w:rPr>
        <w:t>HSBC’s transformation success will depend on balancing:</w:t>
      </w:r>
    </w:p>
    <w:p w14:paraId="10D2889D" w14:textId="77777777" w:rsidR="00C118FA" w:rsidRPr="00C118FA" w:rsidRDefault="00C118FA" w:rsidP="00C118FA">
      <w:pPr>
        <w:numPr>
          <w:ilvl w:val="0"/>
          <w:numId w:val="8"/>
        </w:numPr>
        <w:spacing w:line="360" w:lineRule="auto"/>
        <w:rPr>
          <w:rFonts w:ascii="Arial" w:hAnsi="Arial" w:cs="Arial"/>
          <w:sz w:val="22"/>
          <w:szCs w:val="22"/>
        </w:rPr>
      </w:pPr>
      <w:r w:rsidRPr="00C118FA">
        <w:rPr>
          <w:rFonts w:ascii="Arial" w:hAnsi="Arial" w:cs="Arial"/>
          <w:sz w:val="22"/>
          <w:szCs w:val="22"/>
        </w:rPr>
        <w:t>Innovation and regulatory discipline</w:t>
      </w:r>
    </w:p>
    <w:p w14:paraId="77CF9818" w14:textId="77777777" w:rsidR="00C118FA" w:rsidRPr="00C118FA" w:rsidRDefault="00C118FA" w:rsidP="00C118FA">
      <w:pPr>
        <w:numPr>
          <w:ilvl w:val="0"/>
          <w:numId w:val="8"/>
        </w:numPr>
        <w:spacing w:line="360" w:lineRule="auto"/>
        <w:rPr>
          <w:rFonts w:ascii="Arial" w:hAnsi="Arial" w:cs="Arial"/>
          <w:sz w:val="22"/>
          <w:szCs w:val="22"/>
        </w:rPr>
      </w:pPr>
      <w:r w:rsidRPr="00C118FA">
        <w:rPr>
          <w:rFonts w:ascii="Arial" w:hAnsi="Arial" w:cs="Arial"/>
          <w:sz w:val="22"/>
          <w:szCs w:val="22"/>
        </w:rPr>
        <w:t>Visionary leadership and procedural accountability</w:t>
      </w:r>
    </w:p>
    <w:p w14:paraId="720ABF3C" w14:textId="77777777" w:rsidR="00C118FA" w:rsidRPr="00C118FA" w:rsidRDefault="00C118FA" w:rsidP="00C118FA">
      <w:pPr>
        <w:numPr>
          <w:ilvl w:val="0"/>
          <w:numId w:val="8"/>
        </w:numPr>
        <w:spacing w:line="360" w:lineRule="auto"/>
        <w:rPr>
          <w:rFonts w:ascii="Arial" w:hAnsi="Arial" w:cs="Arial"/>
          <w:sz w:val="22"/>
          <w:szCs w:val="22"/>
        </w:rPr>
      </w:pPr>
      <w:r w:rsidRPr="00C118FA">
        <w:rPr>
          <w:rFonts w:ascii="Arial" w:hAnsi="Arial" w:cs="Arial"/>
          <w:sz w:val="22"/>
          <w:szCs w:val="22"/>
        </w:rPr>
        <w:t>Global consistency and local adaptation</w:t>
      </w:r>
    </w:p>
    <w:p w14:paraId="7AE4F1D9" w14:textId="62CD5FC0" w:rsidR="007E0CF3" w:rsidRDefault="00C118FA" w:rsidP="00C118FA">
      <w:pPr>
        <w:spacing w:line="360" w:lineRule="auto"/>
        <w:rPr>
          <w:rFonts w:ascii="Arial" w:hAnsi="Arial" w:cs="Arial"/>
          <w:sz w:val="22"/>
          <w:szCs w:val="22"/>
        </w:rPr>
      </w:pPr>
      <w:r w:rsidRPr="00C118FA">
        <w:rPr>
          <w:rFonts w:ascii="Arial" w:hAnsi="Arial" w:cs="Arial"/>
          <w:sz w:val="22"/>
          <w:szCs w:val="22"/>
        </w:rPr>
        <w:t>This integrated approach ensures change is both strategically ambitious and operationally resilient.</w:t>
      </w:r>
    </w:p>
    <w:p w14:paraId="5BBECB05" w14:textId="77777777" w:rsidR="00B22686" w:rsidRDefault="00B22686">
      <w:pPr>
        <w:rPr>
          <w:rFonts w:ascii="Arial" w:hAnsi="Arial" w:cs="Arial"/>
          <w:sz w:val="22"/>
          <w:szCs w:val="22"/>
        </w:rPr>
      </w:pPr>
      <w:r>
        <w:rPr>
          <w:rFonts w:ascii="Arial" w:hAnsi="Arial" w:cs="Arial"/>
          <w:sz w:val="22"/>
          <w:szCs w:val="22"/>
        </w:rPr>
        <w:br w:type="page"/>
      </w:r>
    </w:p>
    <w:p w14:paraId="7CA67A9B" w14:textId="7E2E92B3" w:rsidR="00B22686" w:rsidRPr="00B22686" w:rsidRDefault="00B22686" w:rsidP="00B22686">
      <w:pPr>
        <w:rPr>
          <w:rFonts w:ascii="Arial" w:hAnsi="Arial" w:cs="Arial"/>
          <w:sz w:val="22"/>
          <w:szCs w:val="22"/>
        </w:rPr>
      </w:pPr>
      <w:r w:rsidRPr="00B22686">
        <w:rPr>
          <w:rFonts w:ascii="Arial" w:hAnsi="Arial" w:cs="Arial"/>
          <w:b/>
          <w:bCs/>
          <w:sz w:val="22"/>
          <w:szCs w:val="22"/>
        </w:rPr>
        <w:lastRenderedPageBreak/>
        <w:t>5. Proposed Strategic Change Management Plan</w:t>
      </w:r>
    </w:p>
    <w:p w14:paraId="24A78F99"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Context</w:t>
      </w:r>
    </w:p>
    <w:p w14:paraId="703F1BA4" w14:textId="186B05D8"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HSBC faces intensifying digital disruption, AI-enabled competition, open-banking pressures and rising regulatory complexity (BIS, 2024; Deloitte, 2024). To remain competitive while maintaining trust and compliance, HSBC must implement a structured digital and AI transformation programme. The proposed plan integrates Lewin’s three-stage model (Lewin, 1947), Kotter’s eight-step framework (Kotter, 1996), and ADKAR’s individual adoption focus (Hiatt, 2006).</w:t>
      </w:r>
    </w:p>
    <w:p w14:paraId="40145C1D"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5.1 Change Vision and Objectives</w:t>
      </w:r>
    </w:p>
    <w:p w14:paraId="681E8FFC" w14:textId="1BA666E1" w:rsidR="00B22686" w:rsidRPr="00B22686" w:rsidRDefault="00743E17" w:rsidP="00B22686">
      <w:pPr>
        <w:spacing w:line="360" w:lineRule="auto"/>
        <w:rPr>
          <w:rFonts w:ascii="Arial" w:hAnsi="Arial" w:cs="Arial"/>
          <w:b/>
          <w:bCs/>
          <w:sz w:val="22"/>
          <w:szCs w:val="22"/>
        </w:rPr>
      </w:pPr>
      <w:r>
        <w:rPr>
          <w:rFonts w:ascii="Arial" w:hAnsi="Arial" w:cs="Arial"/>
          <w:b/>
          <w:bCs/>
          <w:sz w:val="22"/>
          <w:szCs w:val="22"/>
        </w:rPr>
        <w:t xml:space="preserve">5.1.1 </w:t>
      </w:r>
      <w:r w:rsidR="00B22686" w:rsidRPr="00B22686">
        <w:rPr>
          <w:rFonts w:ascii="Arial" w:hAnsi="Arial" w:cs="Arial"/>
          <w:b/>
          <w:bCs/>
          <w:sz w:val="22"/>
          <w:szCs w:val="22"/>
        </w:rPr>
        <w:t>Change Vision</w:t>
      </w:r>
    </w:p>
    <w:p w14:paraId="7786B360"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“To position HSBC as a digitally integrated, AI-enabled global bank that delivers secure, customer-centric and compliant financial services while maintaining trust and operational resilience.”</w:t>
      </w:r>
    </w:p>
    <w:p w14:paraId="059C5B3F"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This vision aligns with transformational leadership principles (Bass, 1985) and Kotter’s emphasis on strategic direction (Kotter, 1996). It reflects HSBC’s dual requirement: innovation and regulatory discipline.</w:t>
      </w:r>
    </w:p>
    <w:p w14:paraId="5A652C9E" w14:textId="178A37AB" w:rsidR="00B22686" w:rsidRPr="00B22686" w:rsidRDefault="001A782F" w:rsidP="00B22686">
      <w:pPr>
        <w:spacing w:line="360" w:lineRule="auto"/>
        <w:rPr>
          <w:rFonts w:ascii="Arial" w:hAnsi="Arial" w:cs="Arial"/>
          <w:b/>
          <w:bCs/>
          <w:sz w:val="22"/>
          <w:szCs w:val="22"/>
        </w:rPr>
      </w:pPr>
      <w:r>
        <w:rPr>
          <w:rFonts w:ascii="Arial" w:hAnsi="Arial" w:cs="Arial"/>
          <w:b/>
          <w:bCs/>
          <w:sz w:val="22"/>
          <w:szCs w:val="22"/>
        </w:rPr>
        <w:t xml:space="preserve">5.1.2 </w:t>
      </w:r>
      <w:r w:rsidR="00B22686" w:rsidRPr="00B22686">
        <w:rPr>
          <w:rFonts w:ascii="Arial" w:hAnsi="Arial" w:cs="Arial"/>
          <w:b/>
          <w:bCs/>
          <w:sz w:val="22"/>
          <w:szCs w:val="22"/>
        </w:rPr>
        <w:t>Strategic Objectives (3–5-year horizon)</w:t>
      </w:r>
    </w:p>
    <w:p w14:paraId="766D9418" w14:textId="77777777" w:rsidR="00B22686" w:rsidRPr="00B22686" w:rsidRDefault="00B22686" w:rsidP="00B22686">
      <w:pPr>
        <w:numPr>
          <w:ilvl w:val="0"/>
          <w:numId w:val="9"/>
        </w:numPr>
        <w:spacing w:line="360" w:lineRule="auto"/>
        <w:rPr>
          <w:rFonts w:ascii="Arial" w:hAnsi="Arial" w:cs="Arial"/>
          <w:sz w:val="22"/>
          <w:szCs w:val="22"/>
        </w:rPr>
      </w:pPr>
      <w:r w:rsidRPr="00B22686">
        <w:rPr>
          <w:rFonts w:ascii="Arial" w:hAnsi="Arial" w:cs="Arial"/>
          <w:sz w:val="22"/>
          <w:szCs w:val="22"/>
        </w:rPr>
        <w:t>Modernise core digital infrastructure through cloud migration and API integration.</w:t>
      </w:r>
    </w:p>
    <w:p w14:paraId="64D74FBB" w14:textId="77777777" w:rsidR="00B22686" w:rsidRPr="00B22686" w:rsidRDefault="00B22686" w:rsidP="00B22686">
      <w:pPr>
        <w:numPr>
          <w:ilvl w:val="0"/>
          <w:numId w:val="9"/>
        </w:numPr>
        <w:spacing w:line="360" w:lineRule="auto"/>
        <w:rPr>
          <w:rFonts w:ascii="Arial" w:hAnsi="Arial" w:cs="Arial"/>
          <w:sz w:val="22"/>
          <w:szCs w:val="22"/>
        </w:rPr>
      </w:pPr>
      <w:r w:rsidRPr="00B22686">
        <w:rPr>
          <w:rFonts w:ascii="Arial" w:hAnsi="Arial" w:cs="Arial"/>
          <w:sz w:val="22"/>
          <w:szCs w:val="22"/>
        </w:rPr>
        <w:t>Scale AI applications in fraud detection, compliance automation and personalised banking.</w:t>
      </w:r>
    </w:p>
    <w:p w14:paraId="331AB23E" w14:textId="77777777" w:rsidR="00B22686" w:rsidRPr="00B22686" w:rsidRDefault="00B22686" w:rsidP="00B22686">
      <w:pPr>
        <w:numPr>
          <w:ilvl w:val="0"/>
          <w:numId w:val="9"/>
        </w:numPr>
        <w:spacing w:line="360" w:lineRule="auto"/>
        <w:rPr>
          <w:rFonts w:ascii="Arial" w:hAnsi="Arial" w:cs="Arial"/>
          <w:sz w:val="22"/>
          <w:szCs w:val="22"/>
        </w:rPr>
      </w:pPr>
      <w:r w:rsidRPr="00B22686">
        <w:rPr>
          <w:rFonts w:ascii="Arial" w:hAnsi="Arial" w:cs="Arial"/>
          <w:sz w:val="22"/>
          <w:szCs w:val="22"/>
        </w:rPr>
        <w:t>Enhance customer digital engagement and reduce cost-to-serve.</w:t>
      </w:r>
    </w:p>
    <w:p w14:paraId="2234D149" w14:textId="77777777" w:rsidR="00B22686" w:rsidRPr="00B22686" w:rsidRDefault="00B22686" w:rsidP="00B22686">
      <w:pPr>
        <w:numPr>
          <w:ilvl w:val="0"/>
          <w:numId w:val="9"/>
        </w:numPr>
        <w:spacing w:line="360" w:lineRule="auto"/>
        <w:rPr>
          <w:rFonts w:ascii="Arial" w:hAnsi="Arial" w:cs="Arial"/>
          <w:sz w:val="22"/>
          <w:szCs w:val="22"/>
        </w:rPr>
      </w:pPr>
      <w:r w:rsidRPr="00B22686">
        <w:rPr>
          <w:rFonts w:ascii="Arial" w:hAnsi="Arial" w:cs="Arial"/>
          <w:sz w:val="22"/>
          <w:szCs w:val="22"/>
        </w:rPr>
        <w:t>Strengthen data governance and AI risk management frameworks.</w:t>
      </w:r>
    </w:p>
    <w:p w14:paraId="5F4DB269" w14:textId="77777777" w:rsidR="00B22686" w:rsidRPr="00B22686" w:rsidRDefault="00B22686" w:rsidP="00B22686">
      <w:pPr>
        <w:numPr>
          <w:ilvl w:val="0"/>
          <w:numId w:val="9"/>
        </w:numPr>
        <w:spacing w:line="360" w:lineRule="auto"/>
        <w:rPr>
          <w:rFonts w:ascii="Arial" w:hAnsi="Arial" w:cs="Arial"/>
          <w:sz w:val="22"/>
          <w:szCs w:val="22"/>
        </w:rPr>
      </w:pPr>
      <w:r w:rsidRPr="00B22686">
        <w:rPr>
          <w:rFonts w:ascii="Arial" w:hAnsi="Arial" w:cs="Arial"/>
          <w:sz w:val="22"/>
          <w:szCs w:val="22"/>
        </w:rPr>
        <w:t>Build digital capabilities through workforce upskilling.</w:t>
      </w:r>
    </w:p>
    <w:p w14:paraId="35B52353" w14:textId="2699EF1D"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These objectives support dynamic capability development, enabling HSBC to reconfigure resources in response to technological change (Teece, 2018).</w:t>
      </w:r>
    </w:p>
    <w:p w14:paraId="01190305"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5.2 Stakeholder Analysis</w:t>
      </w:r>
    </w:p>
    <w:p w14:paraId="37957E74"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Effective change requires systematic stakeholder mapping (Freeman, 1984).</w:t>
      </w:r>
    </w:p>
    <w:p w14:paraId="1430D313" w14:textId="77777777" w:rsidR="00F90E22" w:rsidRDefault="00F90E22" w:rsidP="00B22686">
      <w:pPr>
        <w:spacing w:line="360" w:lineRule="auto"/>
        <w:rPr>
          <w:rFonts w:ascii="Arial" w:hAnsi="Arial" w:cs="Arial"/>
          <w:b/>
          <w:bCs/>
          <w:sz w:val="22"/>
          <w:szCs w:val="22"/>
        </w:rPr>
      </w:pPr>
    </w:p>
    <w:p w14:paraId="1429C4F2" w14:textId="77777777" w:rsidR="00F90E22" w:rsidRDefault="00F90E22" w:rsidP="00B22686">
      <w:pPr>
        <w:spacing w:line="360" w:lineRule="auto"/>
        <w:rPr>
          <w:rFonts w:ascii="Arial" w:hAnsi="Arial" w:cs="Arial"/>
          <w:b/>
          <w:bCs/>
          <w:sz w:val="22"/>
          <w:szCs w:val="22"/>
        </w:rPr>
      </w:pPr>
    </w:p>
    <w:p w14:paraId="7D210559" w14:textId="57FDB505" w:rsidR="00B22686" w:rsidRPr="00B22686" w:rsidRDefault="00B70551" w:rsidP="00B22686">
      <w:pPr>
        <w:spacing w:line="360" w:lineRule="auto"/>
        <w:rPr>
          <w:rFonts w:ascii="Arial" w:hAnsi="Arial" w:cs="Arial"/>
          <w:b/>
          <w:bCs/>
          <w:sz w:val="22"/>
          <w:szCs w:val="22"/>
        </w:rPr>
      </w:pPr>
      <w:r>
        <w:rPr>
          <w:rFonts w:ascii="Arial" w:hAnsi="Arial" w:cs="Arial"/>
          <w:b/>
          <w:bCs/>
          <w:sz w:val="22"/>
          <w:szCs w:val="22"/>
        </w:rPr>
        <w:lastRenderedPageBreak/>
        <w:t xml:space="preserve">5.2.1 </w:t>
      </w:r>
      <w:r w:rsidR="00B22686" w:rsidRPr="00B22686">
        <w:rPr>
          <w:rFonts w:ascii="Arial" w:hAnsi="Arial" w:cs="Arial"/>
          <w:b/>
          <w:bCs/>
          <w:sz w:val="22"/>
          <w:szCs w:val="22"/>
        </w:rPr>
        <w:t>Key Stakeholders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79"/>
        <w:gridCol w:w="2247"/>
        <w:gridCol w:w="1046"/>
        <w:gridCol w:w="3744"/>
      </w:tblGrid>
      <w:tr w:rsidR="00B22686" w:rsidRPr="00B22686" w14:paraId="245A02AA" w14:textId="77777777" w:rsidTr="00B22686">
        <w:trPr>
          <w:tblHeader/>
          <w:tblCellSpacing w:w="15" w:type="dxa"/>
        </w:trPr>
        <w:tc>
          <w:tcPr>
            <w:tcW w:w="0" w:type="auto"/>
            <w:vAlign w:val="center"/>
            <w:hideMark/>
          </w:tcPr>
          <w:p w14:paraId="76D7317F"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Stakeholder</w:t>
            </w:r>
          </w:p>
        </w:tc>
        <w:tc>
          <w:tcPr>
            <w:tcW w:w="0" w:type="auto"/>
            <w:vAlign w:val="center"/>
            <w:hideMark/>
          </w:tcPr>
          <w:p w14:paraId="3892D33E"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Interest</w:t>
            </w:r>
          </w:p>
        </w:tc>
        <w:tc>
          <w:tcPr>
            <w:tcW w:w="0" w:type="auto"/>
            <w:vAlign w:val="center"/>
            <w:hideMark/>
          </w:tcPr>
          <w:p w14:paraId="73BEBFF8"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Influence</w:t>
            </w:r>
          </w:p>
        </w:tc>
        <w:tc>
          <w:tcPr>
            <w:tcW w:w="0" w:type="auto"/>
            <w:vAlign w:val="center"/>
            <w:hideMark/>
          </w:tcPr>
          <w:p w14:paraId="77D7941D"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Engagement Strategy</w:t>
            </w:r>
          </w:p>
        </w:tc>
      </w:tr>
      <w:tr w:rsidR="00B22686" w:rsidRPr="00B22686" w14:paraId="52F73FE7" w14:textId="77777777" w:rsidTr="00B22686">
        <w:trPr>
          <w:tblCellSpacing w:w="15" w:type="dxa"/>
        </w:trPr>
        <w:tc>
          <w:tcPr>
            <w:tcW w:w="0" w:type="auto"/>
            <w:vAlign w:val="center"/>
            <w:hideMark/>
          </w:tcPr>
          <w:p w14:paraId="2C24FD6A"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Senior Leadership</w:t>
            </w:r>
          </w:p>
        </w:tc>
        <w:tc>
          <w:tcPr>
            <w:tcW w:w="0" w:type="auto"/>
            <w:vAlign w:val="center"/>
            <w:hideMark/>
          </w:tcPr>
          <w:p w14:paraId="221A9431"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Strategic success</w:t>
            </w:r>
          </w:p>
        </w:tc>
        <w:tc>
          <w:tcPr>
            <w:tcW w:w="0" w:type="auto"/>
            <w:vAlign w:val="center"/>
            <w:hideMark/>
          </w:tcPr>
          <w:p w14:paraId="70B3D69E"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High</w:t>
            </w:r>
          </w:p>
        </w:tc>
        <w:tc>
          <w:tcPr>
            <w:tcW w:w="0" w:type="auto"/>
            <w:vAlign w:val="center"/>
            <w:hideMark/>
          </w:tcPr>
          <w:p w14:paraId="3E3D5BCB"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Steering committee, performance reviews</w:t>
            </w:r>
          </w:p>
        </w:tc>
      </w:tr>
      <w:tr w:rsidR="00B22686" w:rsidRPr="00B22686" w14:paraId="426DB396" w14:textId="77777777" w:rsidTr="00B22686">
        <w:trPr>
          <w:tblCellSpacing w:w="15" w:type="dxa"/>
        </w:trPr>
        <w:tc>
          <w:tcPr>
            <w:tcW w:w="0" w:type="auto"/>
            <w:vAlign w:val="center"/>
            <w:hideMark/>
          </w:tcPr>
          <w:p w14:paraId="725B73DB"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Employees</w:t>
            </w:r>
          </w:p>
        </w:tc>
        <w:tc>
          <w:tcPr>
            <w:tcW w:w="0" w:type="auto"/>
            <w:vAlign w:val="center"/>
            <w:hideMark/>
          </w:tcPr>
          <w:p w14:paraId="39788AD3"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Job security, skills</w:t>
            </w:r>
          </w:p>
        </w:tc>
        <w:tc>
          <w:tcPr>
            <w:tcW w:w="0" w:type="auto"/>
            <w:vAlign w:val="center"/>
            <w:hideMark/>
          </w:tcPr>
          <w:p w14:paraId="60729AA4"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High</w:t>
            </w:r>
          </w:p>
        </w:tc>
        <w:tc>
          <w:tcPr>
            <w:tcW w:w="0" w:type="auto"/>
            <w:vAlign w:val="center"/>
            <w:hideMark/>
          </w:tcPr>
          <w:p w14:paraId="27A36530"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ADKAR training, workshops</w:t>
            </w:r>
          </w:p>
        </w:tc>
      </w:tr>
      <w:tr w:rsidR="00B22686" w:rsidRPr="00B22686" w14:paraId="24231597" w14:textId="77777777" w:rsidTr="00B22686">
        <w:trPr>
          <w:tblCellSpacing w:w="15" w:type="dxa"/>
        </w:trPr>
        <w:tc>
          <w:tcPr>
            <w:tcW w:w="0" w:type="auto"/>
            <w:vAlign w:val="center"/>
            <w:hideMark/>
          </w:tcPr>
          <w:p w14:paraId="058F5078"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Regulators</w:t>
            </w:r>
          </w:p>
        </w:tc>
        <w:tc>
          <w:tcPr>
            <w:tcW w:w="0" w:type="auto"/>
            <w:vAlign w:val="center"/>
            <w:hideMark/>
          </w:tcPr>
          <w:p w14:paraId="660ED04D"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Compliance</w:t>
            </w:r>
          </w:p>
        </w:tc>
        <w:tc>
          <w:tcPr>
            <w:tcW w:w="0" w:type="auto"/>
            <w:vAlign w:val="center"/>
            <w:hideMark/>
          </w:tcPr>
          <w:p w14:paraId="615A0977"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High</w:t>
            </w:r>
          </w:p>
        </w:tc>
        <w:tc>
          <w:tcPr>
            <w:tcW w:w="0" w:type="auto"/>
            <w:vAlign w:val="center"/>
            <w:hideMark/>
          </w:tcPr>
          <w:p w14:paraId="5629FEDC"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Early consultation, transparent reporting</w:t>
            </w:r>
          </w:p>
        </w:tc>
      </w:tr>
      <w:tr w:rsidR="00B22686" w:rsidRPr="00B22686" w14:paraId="0D409440" w14:textId="77777777" w:rsidTr="00B22686">
        <w:trPr>
          <w:tblCellSpacing w:w="15" w:type="dxa"/>
        </w:trPr>
        <w:tc>
          <w:tcPr>
            <w:tcW w:w="0" w:type="auto"/>
            <w:vAlign w:val="center"/>
            <w:hideMark/>
          </w:tcPr>
          <w:p w14:paraId="71000942"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Customers</w:t>
            </w:r>
          </w:p>
        </w:tc>
        <w:tc>
          <w:tcPr>
            <w:tcW w:w="0" w:type="auto"/>
            <w:vAlign w:val="center"/>
            <w:hideMark/>
          </w:tcPr>
          <w:p w14:paraId="29702D27"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Service quality, security</w:t>
            </w:r>
          </w:p>
        </w:tc>
        <w:tc>
          <w:tcPr>
            <w:tcW w:w="0" w:type="auto"/>
            <w:vAlign w:val="center"/>
            <w:hideMark/>
          </w:tcPr>
          <w:p w14:paraId="4F80F487"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Medium</w:t>
            </w:r>
          </w:p>
        </w:tc>
        <w:tc>
          <w:tcPr>
            <w:tcW w:w="0" w:type="auto"/>
            <w:vAlign w:val="center"/>
            <w:hideMark/>
          </w:tcPr>
          <w:p w14:paraId="2131C433"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Communication campaigns</w:t>
            </w:r>
          </w:p>
        </w:tc>
      </w:tr>
      <w:tr w:rsidR="00B22686" w:rsidRPr="00B22686" w14:paraId="1044D9DB" w14:textId="77777777" w:rsidTr="00B22686">
        <w:trPr>
          <w:tblCellSpacing w:w="15" w:type="dxa"/>
        </w:trPr>
        <w:tc>
          <w:tcPr>
            <w:tcW w:w="0" w:type="auto"/>
            <w:vAlign w:val="center"/>
            <w:hideMark/>
          </w:tcPr>
          <w:p w14:paraId="018405D0"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Technology Partners</w:t>
            </w:r>
          </w:p>
        </w:tc>
        <w:tc>
          <w:tcPr>
            <w:tcW w:w="0" w:type="auto"/>
            <w:vAlign w:val="center"/>
            <w:hideMark/>
          </w:tcPr>
          <w:p w14:paraId="40DFB6A2"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Implementation</w:t>
            </w:r>
          </w:p>
        </w:tc>
        <w:tc>
          <w:tcPr>
            <w:tcW w:w="0" w:type="auto"/>
            <w:vAlign w:val="center"/>
            <w:hideMark/>
          </w:tcPr>
          <w:p w14:paraId="616E35EC"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Medium</w:t>
            </w:r>
          </w:p>
        </w:tc>
        <w:tc>
          <w:tcPr>
            <w:tcW w:w="0" w:type="auto"/>
            <w:vAlign w:val="center"/>
            <w:hideMark/>
          </w:tcPr>
          <w:p w14:paraId="5C179891"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Contractual governance</w:t>
            </w:r>
          </w:p>
        </w:tc>
      </w:tr>
    </w:tbl>
    <w:p w14:paraId="3E48350E" w14:textId="12807908"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Employees are critical change agents. Resistance may arise from fear of automation or skill obsolescence. According to Kotter (1996), coalition-building and empowerment are necessary to overcome inertia. ADKAR’s Awareness and Desire stages address psychological resistance (Hiatt, 2006).</w:t>
      </w:r>
    </w:p>
    <w:p w14:paraId="73281E45"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5.3 Implementation Framework</w:t>
      </w:r>
    </w:p>
    <w:p w14:paraId="651E2225"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The implementation integrates three change models:</w:t>
      </w:r>
    </w:p>
    <w:p w14:paraId="5010C0A1"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Stage 1: Unfreeze (Lewin)</w:t>
      </w:r>
    </w:p>
    <w:p w14:paraId="2DBABC80" w14:textId="77777777" w:rsidR="00B22686" w:rsidRPr="00B22686" w:rsidRDefault="00B22686" w:rsidP="00B22686">
      <w:pPr>
        <w:numPr>
          <w:ilvl w:val="0"/>
          <w:numId w:val="10"/>
        </w:numPr>
        <w:spacing w:line="360" w:lineRule="auto"/>
        <w:rPr>
          <w:rFonts w:ascii="Arial" w:hAnsi="Arial" w:cs="Arial"/>
          <w:sz w:val="22"/>
          <w:szCs w:val="22"/>
        </w:rPr>
      </w:pPr>
      <w:r w:rsidRPr="00B22686">
        <w:rPr>
          <w:rFonts w:ascii="Arial" w:hAnsi="Arial" w:cs="Arial"/>
          <w:sz w:val="22"/>
          <w:szCs w:val="22"/>
        </w:rPr>
        <w:t>Establish urgency through performance and competitive analysis</w:t>
      </w:r>
    </w:p>
    <w:p w14:paraId="6FDE566F" w14:textId="77777777" w:rsidR="00B22686" w:rsidRPr="00B22686" w:rsidRDefault="00B22686" w:rsidP="00B22686">
      <w:pPr>
        <w:numPr>
          <w:ilvl w:val="0"/>
          <w:numId w:val="10"/>
        </w:numPr>
        <w:spacing w:line="360" w:lineRule="auto"/>
        <w:rPr>
          <w:rFonts w:ascii="Arial" w:hAnsi="Arial" w:cs="Arial"/>
          <w:sz w:val="22"/>
          <w:szCs w:val="22"/>
        </w:rPr>
      </w:pPr>
      <w:r w:rsidRPr="00B22686">
        <w:rPr>
          <w:rFonts w:ascii="Arial" w:hAnsi="Arial" w:cs="Arial"/>
          <w:sz w:val="22"/>
          <w:szCs w:val="22"/>
        </w:rPr>
        <w:t>Form digital transformation steering committee</w:t>
      </w:r>
    </w:p>
    <w:p w14:paraId="3FA6DBA8" w14:textId="77777777" w:rsidR="00B22686" w:rsidRPr="00B22686" w:rsidRDefault="00B22686" w:rsidP="00B22686">
      <w:pPr>
        <w:numPr>
          <w:ilvl w:val="0"/>
          <w:numId w:val="10"/>
        </w:numPr>
        <w:spacing w:line="360" w:lineRule="auto"/>
        <w:rPr>
          <w:rFonts w:ascii="Arial" w:hAnsi="Arial" w:cs="Arial"/>
          <w:sz w:val="22"/>
          <w:szCs w:val="22"/>
        </w:rPr>
      </w:pPr>
      <w:r w:rsidRPr="00B22686">
        <w:rPr>
          <w:rFonts w:ascii="Arial" w:hAnsi="Arial" w:cs="Arial"/>
          <w:sz w:val="22"/>
          <w:szCs w:val="22"/>
        </w:rPr>
        <w:t>Communicate strategic rationale</w:t>
      </w:r>
    </w:p>
    <w:p w14:paraId="7F459544" w14:textId="77777777" w:rsidR="00B22686" w:rsidRPr="00B22686" w:rsidRDefault="00B22686" w:rsidP="00B22686">
      <w:pPr>
        <w:numPr>
          <w:ilvl w:val="0"/>
          <w:numId w:val="10"/>
        </w:numPr>
        <w:spacing w:line="360" w:lineRule="auto"/>
        <w:rPr>
          <w:rFonts w:ascii="Arial" w:hAnsi="Arial" w:cs="Arial"/>
          <w:sz w:val="22"/>
          <w:szCs w:val="22"/>
        </w:rPr>
      </w:pPr>
      <w:r w:rsidRPr="00B22686">
        <w:rPr>
          <w:rFonts w:ascii="Arial" w:hAnsi="Arial" w:cs="Arial"/>
          <w:sz w:val="22"/>
          <w:szCs w:val="22"/>
        </w:rPr>
        <w:t>Conduct digital capability assessment</w:t>
      </w:r>
    </w:p>
    <w:p w14:paraId="2B7C5EB8"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This aligns with Kotter’s first four steps (urgency, coalition, vision, communication).</w:t>
      </w:r>
    </w:p>
    <w:p w14:paraId="5D4A8CFD"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Stage 2: Change (Transform)</w:t>
      </w:r>
    </w:p>
    <w:p w14:paraId="100F9F14" w14:textId="77777777" w:rsidR="00B22686" w:rsidRPr="00B22686" w:rsidRDefault="00B22686" w:rsidP="00B22686">
      <w:pPr>
        <w:numPr>
          <w:ilvl w:val="0"/>
          <w:numId w:val="11"/>
        </w:numPr>
        <w:spacing w:line="360" w:lineRule="auto"/>
        <w:rPr>
          <w:rFonts w:ascii="Arial" w:hAnsi="Arial" w:cs="Arial"/>
          <w:sz w:val="22"/>
          <w:szCs w:val="22"/>
        </w:rPr>
      </w:pPr>
      <w:r w:rsidRPr="00B22686">
        <w:rPr>
          <w:rFonts w:ascii="Arial" w:hAnsi="Arial" w:cs="Arial"/>
          <w:sz w:val="22"/>
          <w:szCs w:val="22"/>
        </w:rPr>
        <w:t>Pilot AI-driven fraud detection and digital onboarding systems</w:t>
      </w:r>
    </w:p>
    <w:p w14:paraId="42567B96" w14:textId="77777777" w:rsidR="00B22686" w:rsidRPr="00B22686" w:rsidRDefault="00B22686" w:rsidP="00B22686">
      <w:pPr>
        <w:numPr>
          <w:ilvl w:val="0"/>
          <w:numId w:val="11"/>
        </w:numPr>
        <w:spacing w:line="360" w:lineRule="auto"/>
        <w:rPr>
          <w:rFonts w:ascii="Arial" w:hAnsi="Arial" w:cs="Arial"/>
          <w:sz w:val="22"/>
          <w:szCs w:val="22"/>
        </w:rPr>
      </w:pPr>
      <w:r w:rsidRPr="00B22686">
        <w:rPr>
          <w:rFonts w:ascii="Arial" w:hAnsi="Arial" w:cs="Arial"/>
          <w:sz w:val="22"/>
          <w:szCs w:val="22"/>
        </w:rPr>
        <w:t>Cloud migration of selected business units</w:t>
      </w:r>
    </w:p>
    <w:p w14:paraId="0AD0019D" w14:textId="77777777" w:rsidR="00B22686" w:rsidRPr="00B22686" w:rsidRDefault="00B22686" w:rsidP="00B22686">
      <w:pPr>
        <w:numPr>
          <w:ilvl w:val="0"/>
          <w:numId w:val="11"/>
        </w:numPr>
        <w:spacing w:line="360" w:lineRule="auto"/>
        <w:rPr>
          <w:rFonts w:ascii="Arial" w:hAnsi="Arial" w:cs="Arial"/>
          <w:sz w:val="22"/>
          <w:szCs w:val="22"/>
        </w:rPr>
      </w:pPr>
      <w:r w:rsidRPr="00B22686">
        <w:rPr>
          <w:rFonts w:ascii="Arial" w:hAnsi="Arial" w:cs="Arial"/>
          <w:sz w:val="22"/>
          <w:szCs w:val="22"/>
        </w:rPr>
        <w:t>Cross-functional agile teams established</w:t>
      </w:r>
    </w:p>
    <w:p w14:paraId="68DA8886" w14:textId="77777777" w:rsidR="00B22686" w:rsidRPr="00B22686" w:rsidRDefault="00B22686" w:rsidP="00B22686">
      <w:pPr>
        <w:numPr>
          <w:ilvl w:val="0"/>
          <w:numId w:val="11"/>
        </w:numPr>
        <w:spacing w:line="360" w:lineRule="auto"/>
        <w:rPr>
          <w:rFonts w:ascii="Arial" w:hAnsi="Arial" w:cs="Arial"/>
          <w:sz w:val="22"/>
          <w:szCs w:val="22"/>
        </w:rPr>
      </w:pPr>
      <w:r w:rsidRPr="00B22686">
        <w:rPr>
          <w:rFonts w:ascii="Arial" w:hAnsi="Arial" w:cs="Arial"/>
          <w:sz w:val="22"/>
          <w:szCs w:val="22"/>
        </w:rPr>
        <w:lastRenderedPageBreak/>
        <w:t>Workforce reskilling programmes launched</w:t>
      </w:r>
    </w:p>
    <w:p w14:paraId="22B46821"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ADKAR supports individual adoption through Knowledge and Ability development (Hiatt, 2006).</w:t>
      </w:r>
    </w:p>
    <w:p w14:paraId="7E0B7F98"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Stage 3: Refreeze (Institutionalise)</w:t>
      </w:r>
    </w:p>
    <w:p w14:paraId="1A2AE09C" w14:textId="77777777" w:rsidR="00B22686" w:rsidRPr="00B22686" w:rsidRDefault="00B22686" w:rsidP="00B22686">
      <w:pPr>
        <w:numPr>
          <w:ilvl w:val="0"/>
          <w:numId w:val="12"/>
        </w:numPr>
        <w:spacing w:line="360" w:lineRule="auto"/>
        <w:rPr>
          <w:rFonts w:ascii="Arial" w:hAnsi="Arial" w:cs="Arial"/>
          <w:sz w:val="22"/>
          <w:szCs w:val="22"/>
        </w:rPr>
      </w:pPr>
      <w:r w:rsidRPr="00B22686">
        <w:rPr>
          <w:rFonts w:ascii="Arial" w:hAnsi="Arial" w:cs="Arial"/>
          <w:sz w:val="22"/>
          <w:szCs w:val="22"/>
        </w:rPr>
        <w:t>Integrate AI governance into standard operating procedures</w:t>
      </w:r>
    </w:p>
    <w:p w14:paraId="79F773D8" w14:textId="77777777" w:rsidR="00B22686" w:rsidRPr="00B22686" w:rsidRDefault="00B22686" w:rsidP="00B22686">
      <w:pPr>
        <w:numPr>
          <w:ilvl w:val="0"/>
          <w:numId w:val="12"/>
        </w:numPr>
        <w:spacing w:line="360" w:lineRule="auto"/>
        <w:rPr>
          <w:rFonts w:ascii="Arial" w:hAnsi="Arial" w:cs="Arial"/>
          <w:sz w:val="22"/>
          <w:szCs w:val="22"/>
        </w:rPr>
      </w:pPr>
      <w:r w:rsidRPr="00B22686">
        <w:rPr>
          <w:rFonts w:ascii="Arial" w:hAnsi="Arial" w:cs="Arial"/>
          <w:sz w:val="22"/>
          <w:szCs w:val="22"/>
        </w:rPr>
        <w:t>Embed digital KPIs into performance metrics</w:t>
      </w:r>
    </w:p>
    <w:p w14:paraId="252427FF" w14:textId="77777777" w:rsidR="00B22686" w:rsidRPr="00B22686" w:rsidRDefault="00B22686" w:rsidP="00B22686">
      <w:pPr>
        <w:numPr>
          <w:ilvl w:val="0"/>
          <w:numId w:val="12"/>
        </w:numPr>
        <w:spacing w:line="360" w:lineRule="auto"/>
        <w:rPr>
          <w:rFonts w:ascii="Arial" w:hAnsi="Arial" w:cs="Arial"/>
          <w:sz w:val="22"/>
          <w:szCs w:val="22"/>
        </w:rPr>
      </w:pPr>
      <w:r w:rsidRPr="00B22686">
        <w:rPr>
          <w:rFonts w:ascii="Arial" w:hAnsi="Arial" w:cs="Arial"/>
          <w:sz w:val="22"/>
          <w:szCs w:val="22"/>
        </w:rPr>
        <w:t>Reward digital innovation behaviours</w:t>
      </w:r>
    </w:p>
    <w:p w14:paraId="771F254B" w14:textId="77777777" w:rsidR="00B22686" w:rsidRPr="00B22686" w:rsidRDefault="00B22686" w:rsidP="00B22686">
      <w:pPr>
        <w:numPr>
          <w:ilvl w:val="0"/>
          <w:numId w:val="12"/>
        </w:numPr>
        <w:spacing w:line="360" w:lineRule="auto"/>
        <w:rPr>
          <w:rFonts w:ascii="Arial" w:hAnsi="Arial" w:cs="Arial"/>
          <w:sz w:val="22"/>
          <w:szCs w:val="22"/>
        </w:rPr>
      </w:pPr>
      <w:r w:rsidRPr="00B22686">
        <w:rPr>
          <w:rFonts w:ascii="Arial" w:hAnsi="Arial" w:cs="Arial"/>
          <w:sz w:val="22"/>
          <w:szCs w:val="22"/>
        </w:rPr>
        <w:t>Continuous monitoring and improvement loops</w:t>
      </w:r>
    </w:p>
    <w:p w14:paraId="2CDEE22E" w14:textId="17B3322E"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Refreezing stabilises transformation while allowing iterative adaptation (Burnes, 2020).</w:t>
      </w:r>
    </w:p>
    <w:p w14:paraId="7D97B8B4"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5.4 Communication Plan</w:t>
      </w:r>
    </w:p>
    <w:p w14:paraId="4095CD5C"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Effective communication reduces uncertainty and builds trust (Kotter, 1996).</w:t>
      </w:r>
    </w:p>
    <w:p w14:paraId="4DF41D4F" w14:textId="01AD1911" w:rsidR="00B22686" w:rsidRPr="00B22686" w:rsidRDefault="007E2619" w:rsidP="00B22686">
      <w:pPr>
        <w:spacing w:line="360" w:lineRule="auto"/>
        <w:rPr>
          <w:rFonts w:ascii="Arial" w:hAnsi="Arial" w:cs="Arial"/>
          <w:b/>
          <w:bCs/>
          <w:sz w:val="22"/>
          <w:szCs w:val="22"/>
        </w:rPr>
      </w:pPr>
      <w:r>
        <w:rPr>
          <w:rFonts w:ascii="Arial" w:hAnsi="Arial" w:cs="Arial"/>
          <w:b/>
          <w:bCs/>
          <w:sz w:val="22"/>
          <w:szCs w:val="22"/>
        </w:rPr>
        <w:t xml:space="preserve">5.4.1 </w:t>
      </w:r>
      <w:r w:rsidR="00B22686" w:rsidRPr="00B22686">
        <w:rPr>
          <w:rFonts w:ascii="Arial" w:hAnsi="Arial" w:cs="Arial"/>
          <w:b/>
          <w:bCs/>
          <w:sz w:val="22"/>
          <w:szCs w:val="22"/>
        </w:rPr>
        <w:t>Communication Objectives</w:t>
      </w:r>
    </w:p>
    <w:p w14:paraId="29154634" w14:textId="77777777" w:rsidR="00B22686" w:rsidRPr="00B22686" w:rsidRDefault="00B22686" w:rsidP="00B22686">
      <w:pPr>
        <w:numPr>
          <w:ilvl w:val="0"/>
          <w:numId w:val="13"/>
        </w:numPr>
        <w:spacing w:line="360" w:lineRule="auto"/>
        <w:rPr>
          <w:rFonts w:ascii="Arial" w:hAnsi="Arial" w:cs="Arial"/>
          <w:sz w:val="22"/>
          <w:szCs w:val="22"/>
        </w:rPr>
      </w:pPr>
      <w:r w:rsidRPr="00B22686">
        <w:rPr>
          <w:rFonts w:ascii="Arial" w:hAnsi="Arial" w:cs="Arial"/>
          <w:sz w:val="22"/>
          <w:szCs w:val="22"/>
        </w:rPr>
        <w:t>Create awareness of change necessity</w:t>
      </w:r>
    </w:p>
    <w:p w14:paraId="3032FEF3" w14:textId="77777777" w:rsidR="00B22686" w:rsidRPr="00B22686" w:rsidRDefault="00B22686" w:rsidP="00B22686">
      <w:pPr>
        <w:numPr>
          <w:ilvl w:val="0"/>
          <w:numId w:val="13"/>
        </w:numPr>
        <w:spacing w:line="360" w:lineRule="auto"/>
        <w:rPr>
          <w:rFonts w:ascii="Arial" w:hAnsi="Arial" w:cs="Arial"/>
          <w:sz w:val="22"/>
          <w:szCs w:val="22"/>
        </w:rPr>
      </w:pPr>
      <w:r w:rsidRPr="00B22686">
        <w:rPr>
          <w:rFonts w:ascii="Arial" w:hAnsi="Arial" w:cs="Arial"/>
          <w:sz w:val="22"/>
          <w:szCs w:val="22"/>
        </w:rPr>
        <w:t>Address fears related to AI and job security</w:t>
      </w:r>
    </w:p>
    <w:p w14:paraId="2F6B83C0" w14:textId="77777777" w:rsidR="00B22686" w:rsidRPr="00B22686" w:rsidRDefault="00B22686" w:rsidP="00B22686">
      <w:pPr>
        <w:numPr>
          <w:ilvl w:val="0"/>
          <w:numId w:val="13"/>
        </w:numPr>
        <w:spacing w:line="360" w:lineRule="auto"/>
        <w:rPr>
          <w:rFonts w:ascii="Arial" w:hAnsi="Arial" w:cs="Arial"/>
          <w:sz w:val="22"/>
          <w:szCs w:val="22"/>
        </w:rPr>
      </w:pPr>
      <w:r w:rsidRPr="00B22686">
        <w:rPr>
          <w:rFonts w:ascii="Arial" w:hAnsi="Arial" w:cs="Arial"/>
          <w:sz w:val="22"/>
          <w:szCs w:val="22"/>
        </w:rPr>
        <w:t>Reinforce alignment with HSBC values</w:t>
      </w:r>
    </w:p>
    <w:p w14:paraId="4AAA1D90" w14:textId="1EC6077C" w:rsidR="00B22686" w:rsidRPr="00B22686" w:rsidRDefault="004A0AE5" w:rsidP="00B22686">
      <w:pPr>
        <w:spacing w:line="360" w:lineRule="auto"/>
        <w:rPr>
          <w:rFonts w:ascii="Arial" w:hAnsi="Arial" w:cs="Arial"/>
          <w:b/>
          <w:bCs/>
          <w:sz w:val="22"/>
          <w:szCs w:val="22"/>
        </w:rPr>
      </w:pPr>
      <w:r>
        <w:rPr>
          <w:rFonts w:ascii="Arial" w:hAnsi="Arial" w:cs="Arial"/>
          <w:b/>
          <w:bCs/>
          <w:sz w:val="22"/>
          <w:szCs w:val="22"/>
        </w:rPr>
        <w:t>5.</w:t>
      </w:r>
      <w:r w:rsidR="00F36B86">
        <w:rPr>
          <w:rFonts w:ascii="Arial" w:hAnsi="Arial" w:cs="Arial"/>
          <w:b/>
          <w:bCs/>
          <w:sz w:val="22"/>
          <w:szCs w:val="22"/>
        </w:rPr>
        <w:t xml:space="preserve">4.2 </w:t>
      </w:r>
      <w:r w:rsidR="00B22686" w:rsidRPr="00B22686">
        <w:rPr>
          <w:rFonts w:ascii="Arial" w:hAnsi="Arial" w:cs="Arial"/>
          <w:b/>
          <w:bCs/>
          <w:sz w:val="22"/>
          <w:szCs w:val="22"/>
        </w:rPr>
        <w:t>Communication Channels</w:t>
      </w:r>
    </w:p>
    <w:p w14:paraId="7B3CFBB8" w14:textId="77777777" w:rsidR="00B22686" w:rsidRPr="00B22686" w:rsidRDefault="00B22686" w:rsidP="00B22686">
      <w:pPr>
        <w:numPr>
          <w:ilvl w:val="0"/>
          <w:numId w:val="14"/>
        </w:numPr>
        <w:spacing w:line="360" w:lineRule="auto"/>
        <w:rPr>
          <w:rFonts w:ascii="Arial" w:hAnsi="Arial" w:cs="Arial"/>
          <w:sz w:val="22"/>
          <w:szCs w:val="22"/>
        </w:rPr>
      </w:pPr>
      <w:r w:rsidRPr="00B22686">
        <w:rPr>
          <w:rFonts w:ascii="Arial" w:hAnsi="Arial" w:cs="Arial"/>
          <w:sz w:val="22"/>
          <w:szCs w:val="22"/>
        </w:rPr>
        <w:t>CEO town halls (quarterly)</w:t>
      </w:r>
    </w:p>
    <w:p w14:paraId="6D91BCF3" w14:textId="77777777" w:rsidR="00B22686" w:rsidRPr="00B22686" w:rsidRDefault="00B22686" w:rsidP="00B22686">
      <w:pPr>
        <w:numPr>
          <w:ilvl w:val="0"/>
          <w:numId w:val="14"/>
        </w:numPr>
        <w:spacing w:line="360" w:lineRule="auto"/>
        <w:rPr>
          <w:rFonts w:ascii="Arial" w:hAnsi="Arial" w:cs="Arial"/>
          <w:sz w:val="22"/>
          <w:szCs w:val="22"/>
        </w:rPr>
      </w:pPr>
      <w:r w:rsidRPr="00B22686">
        <w:rPr>
          <w:rFonts w:ascii="Arial" w:hAnsi="Arial" w:cs="Arial"/>
          <w:sz w:val="22"/>
          <w:szCs w:val="22"/>
        </w:rPr>
        <w:t>Internal digital platforms and newsletters</w:t>
      </w:r>
    </w:p>
    <w:p w14:paraId="0B0AA0E7" w14:textId="77777777" w:rsidR="00B22686" w:rsidRPr="00B22686" w:rsidRDefault="00B22686" w:rsidP="00B22686">
      <w:pPr>
        <w:numPr>
          <w:ilvl w:val="0"/>
          <w:numId w:val="14"/>
        </w:numPr>
        <w:spacing w:line="360" w:lineRule="auto"/>
        <w:rPr>
          <w:rFonts w:ascii="Arial" w:hAnsi="Arial" w:cs="Arial"/>
          <w:sz w:val="22"/>
          <w:szCs w:val="22"/>
        </w:rPr>
      </w:pPr>
      <w:r w:rsidRPr="00B22686">
        <w:rPr>
          <w:rFonts w:ascii="Arial" w:hAnsi="Arial" w:cs="Arial"/>
          <w:sz w:val="22"/>
          <w:szCs w:val="22"/>
        </w:rPr>
        <w:t>Training workshops</w:t>
      </w:r>
    </w:p>
    <w:p w14:paraId="31CB83AD" w14:textId="77777777" w:rsidR="00B22686" w:rsidRPr="00B22686" w:rsidRDefault="00B22686" w:rsidP="00B22686">
      <w:pPr>
        <w:numPr>
          <w:ilvl w:val="0"/>
          <w:numId w:val="14"/>
        </w:numPr>
        <w:spacing w:line="360" w:lineRule="auto"/>
        <w:rPr>
          <w:rFonts w:ascii="Arial" w:hAnsi="Arial" w:cs="Arial"/>
          <w:sz w:val="22"/>
          <w:szCs w:val="22"/>
        </w:rPr>
      </w:pPr>
      <w:r w:rsidRPr="00B22686">
        <w:rPr>
          <w:rFonts w:ascii="Arial" w:hAnsi="Arial" w:cs="Arial"/>
          <w:sz w:val="22"/>
          <w:szCs w:val="22"/>
        </w:rPr>
        <w:t>Regional leadership briefings</w:t>
      </w:r>
    </w:p>
    <w:p w14:paraId="678761CE"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Communication must be two-way to enable feedback and participation, consistent with transformational leadership principles (Bass, 1985).</w:t>
      </w:r>
    </w:p>
    <w:p w14:paraId="16B8CC0D" w14:textId="6036EFD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Frequency and transparency are particularly critical in regulated industries where misinformation can damage trust.</w:t>
      </w:r>
    </w:p>
    <w:p w14:paraId="4A78CB31"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5.5 Financial and Resource Plan</w:t>
      </w:r>
    </w:p>
    <w:p w14:paraId="4D7FC56A" w14:textId="77777777" w:rsidR="00121900" w:rsidRPr="00121900" w:rsidRDefault="00121900" w:rsidP="00121900">
      <w:pPr>
        <w:spacing w:line="360" w:lineRule="auto"/>
        <w:rPr>
          <w:rFonts w:ascii="Arial" w:hAnsi="Arial" w:cs="Arial"/>
          <w:sz w:val="22"/>
          <w:szCs w:val="22"/>
        </w:rPr>
      </w:pPr>
      <w:r w:rsidRPr="00121900">
        <w:rPr>
          <w:rFonts w:ascii="Arial" w:hAnsi="Arial" w:cs="Arial"/>
          <w:sz w:val="22"/>
          <w:szCs w:val="22"/>
        </w:rPr>
        <w:t xml:space="preserve">Digital transformation at HSBC requires structured financial planning over a three-to-five-year horizon. The programme would require phased capital investment allocated </w:t>
      </w:r>
      <w:r w:rsidRPr="00121900">
        <w:rPr>
          <w:rFonts w:ascii="Arial" w:hAnsi="Arial" w:cs="Arial"/>
          <w:sz w:val="22"/>
          <w:szCs w:val="22"/>
        </w:rPr>
        <w:lastRenderedPageBreak/>
        <w:t>approximately as follows: 40% toward cloud infrastructure and legacy system modernisation, 25% toward AI development and governance systems, 20% toward cybersecurity and operational resilience enhancement, and 15% toward workforce training and digital capability development.</w:t>
      </w:r>
    </w:p>
    <w:p w14:paraId="39C5475A" w14:textId="77777777" w:rsidR="00121900" w:rsidRPr="00121900" w:rsidRDefault="00121900" w:rsidP="00121900">
      <w:pPr>
        <w:spacing w:line="360" w:lineRule="auto"/>
        <w:rPr>
          <w:rFonts w:ascii="Arial" w:hAnsi="Arial" w:cs="Arial"/>
          <w:sz w:val="22"/>
          <w:szCs w:val="22"/>
        </w:rPr>
      </w:pPr>
      <w:r w:rsidRPr="00121900">
        <w:rPr>
          <w:rFonts w:ascii="Arial" w:hAnsi="Arial" w:cs="Arial"/>
          <w:sz w:val="22"/>
          <w:szCs w:val="22"/>
        </w:rPr>
        <w:t>Although initial investment may temporarily increase the cost-to-income ratio, projected medium-term benefits include operational efficiency gains, reduced fraud losses through AI-enhanced detection, and improved customer retention via enhanced digital engagement. The transformation aims to achieve measurable financial improvements, including a targeted reduction in cost-to-income ratio by 3–5%, fraud loss reduction through predictive AI analytics, and increased digital revenue contribution from online channels.</w:t>
      </w:r>
    </w:p>
    <w:p w14:paraId="604F2B59" w14:textId="77777777" w:rsidR="00121900" w:rsidRPr="00121900" w:rsidRDefault="00121900" w:rsidP="00121900">
      <w:pPr>
        <w:spacing w:line="360" w:lineRule="auto"/>
        <w:rPr>
          <w:rFonts w:ascii="Arial" w:hAnsi="Arial" w:cs="Arial"/>
          <w:sz w:val="22"/>
          <w:szCs w:val="22"/>
        </w:rPr>
      </w:pPr>
      <w:r w:rsidRPr="00121900">
        <w:rPr>
          <w:rFonts w:ascii="Arial" w:hAnsi="Arial" w:cs="Arial"/>
          <w:sz w:val="22"/>
          <w:szCs w:val="22"/>
        </w:rPr>
        <w:t>A phased investment model reduces financial risk and allows pilot testing before full-scale implementation. Return on investment is expected through operational automation, reduced manual processing costs, lower compliance penalties, and enhanced customer lifetime value. Continuous financial monitoring will ensure that transformation expenditure remains aligned with strategic objectives and shareholder expectations.</w:t>
      </w:r>
    </w:p>
    <w:p w14:paraId="2BDB137E"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5.6 Risk Assessment and Mitigation</w:t>
      </w:r>
    </w:p>
    <w:p w14:paraId="0E879BCC"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Transformation in banking carries substantial risks.</w:t>
      </w:r>
    </w:p>
    <w:p w14:paraId="03709E7B"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Key Risks and Mitigation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43"/>
        <w:gridCol w:w="863"/>
        <w:gridCol w:w="5410"/>
      </w:tblGrid>
      <w:tr w:rsidR="00B22686" w:rsidRPr="00B22686" w14:paraId="13B503DF" w14:textId="77777777" w:rsidTr="00B22686">
        <w:trPr>
          <w:tblHeader/>
          <w:tblCellSpacing w:w="15" w:type="dxa"/>
        </w:trPr>
        <w:tc>
          <w:tcPr>
            <w:tcW w:w="0" w:type="auto"/>
            <w:vAlign w:val="center"/>
            <w:hideMark/>
          </w:tcPr>
          <w:p w14:paraId="127C7F19"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Risk</w:t>
            </w:r>
          </w:p>
        </w:tc>
        <w:tc>
          <w:tcPr>
            <w:tcW w:w="0" w:type="auto"/>
            <w:vAlign w:val="center"/>
            <w:hideMark/>
          </w:tcPr>
          <w:p w14:paraId="4D248E37"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Impact</w:t>
            </w:r>
          </w:p>
        </w:tc>
        <w:tc>
          <w:tcPr>
            <w:tcW w:w="0" w:type="auto"/>
            <w:vAlign w:val="center"/>
            <w:hideMark/>
          </w:tcPr>
          <w:p w14:paraId="0E70AD4C"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Mitigation Strategy</w:t>
            </w:r>
          </w:p>
        </w:tc>
      </w:tr>
      <w:tr w:rsidR="00B22686" w:rsidRPr="00B22686" w14:paraId="77434412" w14:textId="77777777" w:rsidTr="00B22686">
        <w:trPr>
          <w:tblCellSpacing w:w="15" w:type="dxa"/>
        </w:trPr>
        <w:tc>
          <w:tcPr>
            <w:tcW w:w="0" w:type="auto"/>
            <w:vAlign w:val="center"/>
            <w:hideMark/>
          </w:tcPr>
          <w:p w14:paraId="22622B86"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Regulatory non-compliance</w:t>
            </w:r>
          </w:p>
        </w:tc>
        <w:tc>
          <w:tcPr>
            <w:tcW w:w="0" w:type="auto"/>
            <w:vAlign w:val="center"/>
            <w:hideMark/>
          </w:tcPr>
          <w:p w14:paraId="2B2C7F49"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High</w:t>
            </w:r>
          </w:p>
        </w:tc>
        <w:tc>
          <w:tcPr>
            <w:tcW w:w="0" w:type="auto"/>
            <w:vAlign w:val="center"/>
            <w:hideMark/>
          </w:tcPr>
          <w:p w14:paraId="651BD18F"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Early regulator engagement, AI audit frameworks (BIS, 2024)</w:t>
            </w:r>
          </w:p>
        </w:tc>
      </w:tr>
      <w:tr w:rsidR="00B22686" w:rsidRPr="00B22686" w14:paraId="1B6820AC" w14:textId="77777777" w:rsidTr="00B22686">
        <w:trPr>
          <w:tblCellSpacing w:w="15" w:type="dxa"/>
        </w:trPr>
        <w:tc>
          <w:tcPr>
            <w:tcW w:w="0" w:type="auto"/>
            <w:vAlign w:val="center"/>
            <w:hideMark/>
          </w:tcPr>
          <w:p w14:paraId="6A9760AB"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Cybersecurity breaches</w:t>
            </w:r>
          </w:p>
        </w:tc>
        <w:tc>
          <w:tcPr>
            <w:tcW w:w="0" w:type="auto"/>
            <w:vAlign w:val="center"/>
            <w:hideMark/>
          </w:tcPr>
          <w:p w14:paraId="4C648352"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High</w:t>
            </w:r>
          </w:p>
        </w:tc>
        <w:tc>
          <w:tcPr>
            <w:tcW w:w="0" w:type="auto"/>
            <w:vAlign w:val="center"/>
            <w:hideMark/>
          </w:tcPr>
          <w:p w14:paraId="470EBCA7"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Enhanced cyber defence, penetration testing</w:t>
            </w:r>
          </w:p>
        </w:tc>
      </w:tr>
      <w:tr w:rsidR="00B22686" w:rsidRPr="00B22686" w14:paraId="544406AE" w14:textId="77777777" w:rsidTr="00B22686">
        <w:trPr>
          <w:tblCellSpacing w:w="15" w:type="dxa"/>
        </w:trPr>
        <w:tc>
          <w:tcPr>
            <w:tcW w:w="0" w:type="auto"/>
            <w:vAlign w:val="center"/>
            <w:hideMark/>
          </w:tcPr>
          <w:p w14:paraId="04BA1D56"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Employee resistance</w:t>
            </w:r>
          </w:p>
        </w:tc>
        <w:tc>
          <w:tcPr>
            <w:tcW w:w="0" w:type="auto"/>
            <w:vAlign w:val="center"/>
            <w:hideMark/>
          </w:tcPr>
          <w:p w14:paraId="73041E37"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Medium</w:t>
            </w:r>
          </w:p>
        </w:tc>
        <w:tc>
          <w:tcPr>
            <w:tcW w:w="0" w:type="auto"/>
            <w:vAlign w:val="center"/>
            <w:hideMark/>
          </w:tcPr>
          <w:p w14:paraId="00082A1B"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ADKAR-based training and incentives</w:t>
            </w:r>
          </w:p>
        </w:tc>
      </w:tr>
      <w:tr w:rsidR="00B22686" w:rsidRPr="00B22686" w14:paraId="314994F7" w14:textId="77777777" w:rsidTr="00B22686">
        <w:trPr>
          <w:tblCellSpacing w:w="15" w:type="dxa"/>
        </w:trPr>
        <w:tc>
          <w:tcPr>
            <w:tcW w:w="0" w:type="auto"/>
            <w:vAlign w:val="center"/>
            <w:hideMark/>
          </w:tcPr>
          <w:p w14:paraId="50C115E1"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Technology integration failure</w:t>
            </w:r>
          </w:p>
        </w:tc>
        <w:tc>
          <w:tcPr>
            <w:tcW w:w="0" w:type="auto"/>
            <w:vAlign w:val="center"/>
            <w:hideMark/>
          </w:tcPr>
          <w:p w14:paraId="1A7149F5"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High</w:t>
            </w:r>
          </w:p>
        </w:tc>
        <w:tc>
          <w:tcPr>
            <w:tcW w:w="0" w:type="auto"/>
            <w:vAlign w:val="center"/>
            <w:hideMark/>
          </w:tcPr>
          <w:p w14:paraId="072F0117"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Phased pilots, vendor governance</w:t>
            </w:r>
          </w:p>
        </w:tc>
      </w:tr>
      <w:tr w:rsidR="00B22686" w:rsidRPr="00B22686" w14:paraId="722A48C2" w14:textId="77777777" w:rsidTr="00B22686">
        <w:trPr>
          <w:tblCellSpacing w:w="15" w:type="dxa"/>
        </w:trPr>
        <w:tc>
          <w:tcPr>
            <w:tcW w:w="0" w:type="auto"/>
            <w:vAlign w:val="center"/>
            <w:hideMark/>
          </w:tcPr>
          <w:p w14:paraId="6EE497C0"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Reputational risk</w:t>
            </w:r>
          </w:p>
        </w:tc>
        <w:tc>
          <w:tcPr>
            <w:tcW w:w="0" w:type="auto"/>
            <w:vAlign w:val="center"/>
            <w:hideMark/>
          </w:tcPr>
          <w:p w14:paraId="529EA0A7"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High</w:t>
            </w:r>
          </w:p>
        </w:tc>
        <w:tc>
          <w:tcPr>
            <w:tcW w:w="0" w:type="auto"/>
            <w:vAlign w:val="center"/>
            <w:hideMark/>
          </w:tcPr>
          <w:p w14:paraId="2A8602E8"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Transparent communication and ethical AI guidelines</w:t>
            </w:r>
          </w:p>
        </w:tc>
      </w:tr>
    </w:tbl>
    <w:p w14:paraId="47E0D4B4" w14:textId="2D06107F"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AI adoption must comply with emerging regulatory expectations and ethical standards. Governance frameworks must ensure explainability, fairness and bias mitigation (Deloitte, 2024).</w:t>
      </w:r>
    </w:p>
    <w:p w14:paraId="6B68FFE3" w14:textId="77777777" w:rsidR="00ED548A" w:rsidRDefault="00ED548A" w:rsidP="00B22686">
      <w:pPr>
        <w:spacing w:line="360" w:lineRule="auto"/>
        <w:rPr>
          <w:rFonts w:ascii="Arial" w:hAnsi="Arial" w:cs="Arial"/>
          <w:b/>
          <w:bCs/>
          <w:sz w:val="22"/>
          <w:szCs w:val="22"/>
        </w:rPr>
      </w:pPr>
    </w:p>
    <w:p w14:paraId="174CD283" w14:textId="31718786"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lastRenderedPageBreak/>
        <w:t>5.7 Evaluation and KPIs</w:t>
      </w:r>
    </w:p>
    <w:p w14:paraId="7934AC40"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Evaluation ensures accountability and learning.</w:t>
      </w:r>
    </w:p>
    <w:p w14:paraId="74C10A15" w14:textId="15047297" w:rsidR="00B22686" w:rsidRPr="00B22686" w:rsidRDefault="004E2232" w:rsidP="00B22686">
      <w:pPr>
        <w:spacing w:line="360" w:lineRule="auto"/>
        <w:rPr>
          <w:rFonts w:ascii="Arial" w:hAnsi="Arial" w:cs="Arial"/>
          <w:b/>
          <w:bCs/>
          <w:sz w:val="22"/>
          <w:szCs w:val="22"/>
        </w:rPr>
      </w:pPr>
      <w:r>
        <w:rPr>
          <w:rFonts w:ascii="Arial" w:hAnsi="Arial" w:cs="Arial"/>
          <w:b/>
          <w:bCs/>
          <w:sz w:val="22"/>
          <w:szCs w:val="22"/>
        </w:rPr>
        <w:t>5.7</w:t>
      </w:r>
      <w:r w:rsidR="00E30949">
        <w:rPr>
          <w:rFonts w:ascii="Arial" w:hAnsi="Arial" w:cs="Arial"/>
          <w:b/>
          <w:bCs/>
          <w:sz w:val="22"/>
          <w:szCs w:val="22"/>
        </w:rPr>
        <w:t xml:space="preserve">.1 </w:t>
      </w:r>
      <w:r w:rsidR="00B22686" w:rsidRPr="00B22686">
        <w:rPr>
          <w:rFonts w:ascii="Arial" w:hAnsi="Arial" w:cs="Arial"/>
          <w:b/>
          <w:bCs/>
          <w:sz w:val="22"/>
          <w:szCs w:val="22"/>
        </w:rPr>
        <w:t>Key Performance Indicators</w:t>
      </w:r>
    </w:p>
    <w:p w14:paraId="2CACCB21" w14:textId="77777777" w:rsidR="00B22686" w:rsidRPr="00B22686" w:rsidRDefault="00B22686" w:rsidP="00B22686">
      <w:pPr>
        <w:spacing w:line="360" w:lineRule="auto"/>
        <w:rPr>
          <w:rFonts w:ascii="Arial" w:hAnsi="Arial" w:cs="Arial"/>
          <w:sz w:val="22"/>
          <w:szCs w:val="22"/>
        </w:rPr>
      </w:pPr>
      <w:r w:rsidRPr="00B22686">
        <w:rPr>
          <w:rFonts w:ascii="Arial" w:hAnsi="Arial" w:cs="Arial"/>
          <w:b/>
          <w:bCs/>
          <w:sz w:val="22"/>
          <w:szCs w:val="22"/>
        </w:rPr>
        <w:t>Operational KPIs</w:t>
      </w:r>
    </w:p>
    <w:p w14:paraId="7BF9826F" w14:textId="77777777" w:rsidR="00B22686" w:rsidRPr="00B22686" w:rsidRDefault="00B22686" w:rsidP="00B22686">
      <w:pPr>
        <w:numPr>
          <w:ilvl w:val="0"/>
          <w:numId w:val="16"/>
        </w:numPr>
        <w:spacing w:line="360" w:lineRule="auto"/>
        <w:rPr>
          <w:rFonts w:ascii="Arial" w:hAnsi="Arial" w:cs="Arial"/>
          <w:sz w:val="22"/>
          <w:szCs w:val="22"/>
        </w:rPr>
      </w:pPr>
      <w:r w:rsidRPr="00B22686">
        <w:rPr>
          <w:rFonts w:ascii="Arial" w:hAnsi="Arial" w:cs="Arial"/>
          <w:sz w:val="22"/>
          <w:szCs w:val="22"/>
        </w:rPr>
        <w:t>Reduction in fraud losses</w:t>
      </w:r>
    </w:p>
    <w:p w14:paraId="2E0DC72C" w14:textId="77777777" w:rsidR="00B22686" w:rsidRPr="00B22686" w:rsidRDefault="00B22686" w:rsidP="00B22686">
      <w:pPr>
        <w:numPr>
          <w:ilvl w:val="0"/>
          <w:numId w:val="16"/>
        </w:numPr>
        <w:spacing w:line="360" w:lineRule="auto"/>
        <w:rPr>
          <w:rFonts w:ascii="Arial" w:hAnsi="Arial" w:cs="Arial"/>
          <w:sz w:val="22"/>
          <w:szCs w:val="22"/>
        </w:rPr>
      </w:pPr>
      <w:r w:rsidRPr="00B22686">
        <w:rPr>
          <w:rFonts w:ascii="Arial" w:hAnsi="Arial" w:cs="Arial"/>
          <w:sz w:val="22"/>
          <w:szCs w:val="22"/>
        </w:rPr>
        <w:t>Cost-to-income ratio improvement</w:t>
      </w:r>
    </w:p>
    <w:p w14:paraId="619EBDB9" w14:textId="77777777" w:rsidR="00B22686" w:rsidRPr="00B22686" w:rsidRDefault="00B22686" w:rsidP="00B22686">
      <w:pPr>
        <w:numPr>
          <w:ilvl w:val="0"/>
          <w:numId w:val="16"/>
        </w:numPr>
        <w:spacing w:line="360" w:lineRule="auto"/>
        <w:rPr>
          <w:rFonts w:ascii="Arial" w:hAnsi="Arial" w:cs="Arial"/>
          <w:sz w:val="22"/>
          <w:szCs w:val="22"/>
        </w:rPr>
      </w:pPr>
      <w:r w:rsidRPr="00B22686">
        <w:rPr>
          <w:rFonts w:ascii="Arial" w:hAnsi="Arial" w:cs="Arial"/>
          <w:sz w:val="22"/>
          <w:szCs w:val="22"/>
        </w:rPr>
        <w:t>Processing time reduction</w:t>
      </w:r>
    </w:p>
    <w:p w14:paraId="21E13AC6" w14:textId="77777777" w:rsidR="00B22686" w:rsidRPr="00B22686" w:rsidRDefault="00B22686" w:rsidP="00B22686">
      <w:pPr>
        <w:spacing w:line="360" w:lineRule="auto"/>
        <w:rPr>
          <w:rFonts w:ascii="Arial" w:hAnsi="Arial" w:cs="Arial"/>
          <w:sz w:val="22"/>
          <w:szCs w:val="22"/>
        </w:rPr>
      </w:pPr>
      <w:r w:rsidRPr="00B22686">
        <w:rPr>
          <w:rFonts w:ascii="Arial" w:hAnsi="Arial" w:cs="Arial"/>
          <w:b/>
          <w:bCs/>
          <w:sz w:val="22"/>
          <w:szCs w:val="22"/>
        </w:rPr>
        <w:t>Customer KPIs</w:t>
      </w:r>
    </w:p>
    <w:p w14:paraId="58988C3B" w14:textId="77777777" w:rsidR="00B22686" w:rsidRPr="00B22686" w:rsidRDefault="00B22686" w:rsidP="00B22686">
      <w:pPr>
        <w:numPr>
          <w:ilvl w:val="0"/>
          <w:numId w:val="17"/>
        </w:numPr>
        <w:spacing w:line="360" w:lineRule="auto"/>
        <w:rPr>
          <w:rFonts w:ascii="Arial" w:hAnsi="Arial" w:cs="Arial"/>
          <w:sz w:val="22"/>
          <w:szCs w:val="22"/>
        </w:rPr>
      </w:pPr>
      <w:r w:rsidRPr="00B22686">
        <w:rPr>
          <w:rFonts w:ascii="Arial" w:hAnsi="Arial" w:cs="Arial"/>
          <w:sz w:val="22"/>
          <w:szCs w:val="22"/>
        </w:rPr>
        <w:t>Digital engagement rates</w:t>
      </w:r>
    </w:p>
    <w:p w14:paraId="6F488627" w14:textId="77777777" w:rsidR="00B22686" w:rsidRPr="00B22686" w:rsidRDefault="00B22686" w:rsidP="00B22686">
      <w:pPr>
        <w:numPr>
          <w:ilvl w:val="0"/>
          <w:numId w:val="17"/>
        </w:numPr>
        <w:spacing w:line="360" w:lineRule="auto"/>
        <w:rPr>
          <w:rFonts w:ascii="Arial" w:hAnsi="Arial" w:cs="Arial"/>
          <w:sz w:val="22"/>
          <w:szCs w:val="22"/>
        </w:rPr>
      </w:pPr>
      <w:r w:rsidRPr="00B22686">
        <w:rPr>
          <w:rFonts w:ascii="Arial" w:hAnsi="Arial" w:cs="Arial"/>
          <w:sz w:val="22"/>
          <w:szCs w:val="22"/>
        </w:rPr>
        <w:t>Customer satisfaction (NPS)</w:t>
      </w:r>
    </w:p>
    <w:p w14:paraId="4C4F7463" w14:textId="77777777" w:rsidR="00B22686" w:rsidRPr="00B22686" w:rsidRDefault="00B22686" w:rsidP="00B22686">
      <w:pPr>
        <w:numPr>
          <w:ilvl w:val="0"/>
          <w:numId w:val="17"/>
        </w:numPr>
        <w:spacing w:line="360" w:lineRule="auto"/>
        <w:rPr>
          <w:rFonts w:ascii="Arial" w:hAnsi="Arial" w:cs="Arial"/>
          <w:sz w:val="22"/>
          <w:szCs w:val="22"/>
        </w:rPr>
      </w:pPr>
      <w:r w:rsidRPr="00B22686">
        <w:rPr>
          <w:rFonts w:ascii="Arial" w:hAnsi="Arial" w:cs="Arial"/>
          <w:sz w:val="22"/>
          <w:szCs w:val="22"/>
        </w:rPr>
        <w:t>Digital adoption growth</w:t>
      </w:r>
    </w:p>
    <w:p w14:paraId="1F30DB4D" w14:textId="77777777" w:rsidR="00B22686" w:rsidRPr="00B22686" w:rsidRDefault="00B22686" w:rsidP="00B22686">
      <w:pPr>
        <w:spacing w:line="360" w:lineRule="auto"/>
        <w:rPr>
          <w:rFonts w:ascii="Arial" w:hAnsi="Arial" w:cs="Arial"/>
          <w:sz w:val="22"/>
          <w:szCs w:val="22"/>
        </w:rPr>
      </w:pPr>
      <w:r w:rsidRPr="00B22686">
        <w:rPr>
          <w:rFonts w:ascii="Arial" w:hAnsi="Arial" w:cs="Arial"/>
          <w:b/>
          <w:bCs/>
          <w:sz w:val="22"/>
          <w:szCs w:val="22"/>
        </w:rPr>
        <w:t>People KPIs</w:t>
      </w:r>
    </w:p>
    <w:p w14:paraId="3059CA94" w14:textId="77777777" w:rsidR="00B22686" w:rsidRPr="00B22686" w:rsidRDefault="00B22686" w:rsidP="00B22686">
      <w:pPr>
        <w:numPr>
          <w:ilvl w:val="0"/>
          <w:numId w:val="18"/>
        </w:numPr>
        <w:spacing w:line="360" w:lineRule="auto"/>
        <w:rPr>
          <w:rFonts w:ascii="Arial" w:hAnsi="Arial" w:cs="Arial"/>
          <w:sz w:val="22"/>
          <w:szCs w:val="22"/>
        </w:rPr>
      </w:pPr>
      <w:r w:rsidRPr="00B22686">
        <w:rPr>
          <w:rFonts w:ascii="Arial" w:hAnsi="Arial" w:cs="Arial"/>
          <w:sz w:val="22"/>
          <w:szCs w:val="22"/>
        </w:rPr>
        <w:t>Employee digital skill certification rates</w:t>
      </w:r>
    </w:p>
    <w:p w14:paraId="7FBD4CAE" w14:textId="77777777" w:rsidR="00B22686" w:rsidRPr="00B22686" w:rsidRDefault="00B22686" w:rsidP="00B22686">
      <w:pPr>
        <w:numPr>
          <w:ilvl w:val="0"/>
          <w:numId w:val="18"/>
        </w:numPr>
        <w:spacing w:line="360" w:lineRule="auto"/>
        <w:rPr>
          <w:rFonts w:ascii="Arial" w:hAnsi="Arial" w:cs="Arial"/>
          <w:sz w:val="22"/>
          <w:szCs w:val="22"/>
        </w:rPr>
      </w:pPr>
      <w:r w:rsidRPr="00B22686">
        <w:rPr>
          <w:rFonts w:ascii="Arial" w:hAnsi="Arial" w:cs="Arial"/>
          <w:sz w:val="22"/>
          <w:szCs w:val="22"/>
        </w:rPr>
        <w:t>Change adoption metrics (ADKAR surveys)</w:t>
      </w:r>
    </w:p>
    <w:p w14:paraId="1C33A2E7" w14:textId="77777777" w:rsidR="00B22686" w:rsidRPr="00B22686" w:rsidRDefault="00B22686" w:rsidP="00B22686">
      <w:pPr>
        <w:spacing w:line="360" w:lineRule="auto"/>
        <w:rPr>
          <w:rFonts w:ascii="Arial" w:hAnsi="Arial" w:cs="Arial"/>
          <w:sz w:val="22"/>
          <w:szCs w:val="22"/>
        </w:rPr>
      </w:pPr>
      <w:r w:rsidRPr="00B22686">
        <w:rPr>
          <w:rFonts w:ascii="Arial" w:hAnsi="Arial" w:cs="Arial"/>
          <w:b/>
          <w:bCs/>
          <w:sz w:val="22"/>
          <w:szCs w:val="22"/>
        </w:rPr>
        <w:t>Compliance KPIs</w:t>
      </w:r>
    </w:p>
    <w:p w14:paraId="03FD3CC8" w14:textId="77777777" w:rsidR="00B22686" w:rsidRPr="00B22686" w:rsidRDefault="00B22686" w:rsidP="00B22686">
      <w:pPr>
        <w:numPr>
          <w:ilvl w:val="0"/>
          <w:numId w:val="19"/>
        </w:numPr>
        <w:spacing w:line="360" w:lineRule="auto"/>
        <w:rPr>
          <w:rFonts w:ascii="Arial" w:hAnsi="Arial" w:cs="Arial"/>
          <w:sz w:val="22"/>
          <w:szCs w:val="22"/>
        </w:rPr>
      </w:pPr>
      <w:r w:rsidRPr="00B22686">
        <w:rPr>
          <w:rFonts w:ascii="Arial" w:hAnsi="Arial" w:cs="Arial"/>
          <w:sz w:val="22"/>
          <w:szCs w:val="22"/>
        </w:rPr>
        <w:t>Regulatory findings reduction</w:t>
      </w:r>
    </w:p>
    <w:p w14:paraId="2511755D" w14:textId="77777777" w:rsidR="00B22686" w:rsidRPr="00B22686" w:rsidRDefault="00B22686" w:rsidP="00B22686">
      <w:pPr>
        <w:numPr>
          <w:ilvl w:val="0"/>
          <w:numId w:val="19"/>
        </w:numPr>
        <w:spacing w:line="360" w:lineRule="auto"/>
        <w:rPr>
          <w:rFonts w:ascii="Arial" w:hAnsi="Arial" w:cs="Arial"/>
          <w:sz w:val="22"/>
          <w:szCs w:val="22"/>
        </w:rPr>
      </w:pPr>
      <w:r w:rsidRPr="00B22686">
        <w:rPr>
          <w:rFonts w:ascii="Arial" w:hAnsi="Arial" w:cs="Arial"/>
          <w:sz w:val="22"/>
          <w:szCs w:val="22"/>
        </w:rPr>
        <w:t>AI model audit performance</w:t>
      </w:r>
    </w:p>
    <w:p w14:paraId="316DAB9E" w14:textId="33C79534"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Kotter (1996) emphasises short-term wins to maintain momentum. Continuous evaluation aligns with dynamic capability theory (Teece, 2018).</w:t>
      </w:r>
    </w:p>
    <w:p w14:paraId="575D8CC3"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6. Discussion and Critical Reflection</w:t>
      </w:r>
    </w:p>
    <w:p w14:paraId="551578F1"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The proposed strategic change plan demonstrates several strengths. First, the hybrid Lewin–Kotter–ADKAR framework integrates structural, strategic and behavioural dimensions of change, addressing critiques that single-model approaches are insufficient for complex transformations (Burnes, 2020). The plan balances innovation with regulatory stability, which is essential in banking (BIS, 2024). Second, embedding AI governance and compliance frameworks strengthens ethical accountability and mitigates operational risk.</w:t>
      </w:r>
    </w:p>
    <w:p w14:paraId="722D880A"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 xml:space="preserve">Ethical considerations are central to AI implementation. Bias in credit scoring, algorithmic discrimination and data privacy concerns must be proactively managed (Deloitte, 2024). </w:t>
      </w:r>
      <w:r w:rsidRPr="00B22686">
        <w:rPr>
          <w:rFonts w:ascii="Arial" w:hAnsi="Arial" w:cs="Arial"/>
          <w:sz w:val="22"/>
          <w:szCs w:val="22"/>
        </w:rPr>
        <w:lastRenderedPageBreak/>
        <w:t>Ethical AI governance should include transparency, explainability and oversight mechanisms. Failure to address ethical implications may damage stakeholder trust and corporate legitimacy.</w:t>
      </w:r>
    </w:p>
    <w:p w14:paraId="57C8CB49" w14:textId="77777777" w:rsidR="00B22686" w:rsidRPr="00B22686" w:rsidRDefault="00B22686" w:rsidP="00B22686">
      <w:pPr>
        <w:spacing w:line="360" w:lineRule="auto"/>
        <w:rPr>
          <w:rFonts w:ascii="Arial" w:hAnsi="Arial" w:cs="Arial"/>
          <w:sz w:val="22"/>
          <w:szCs w:val="22"/>
        </w:rPr>
      </w:pPr>
      <w:r w:rsidRPr="00B22686">
        <w:rPr>
          <w:rFonts w:ascii="Arial" w:hAnsi="Arial" w:cs="Arial"/>
          <w:sz w:val="22"/>
          <w:szCs w:val="22"/>
        </w:rPr>
        <w:t>From a sustainability perspective, digital transformation can reduce paper use and operational waste, supporting environmental goals. However, increased cloud computing and data centre energy consumption must be managed responsibly. Sustainable technology procurement and green data practices should form part of the long-term strategy.</w:t>
      </w:r>
    </w:p>
    <w:p w14:paraId="737F2CF8" w14:textId="0CA2511F" w:rsidR="00B22686" w:rsidRDefault="00B22686" w:rsidP="00C118FA">
      <w:pPr>
        <w:spacing w:line="360" w:lineRule="auto"/>
        <w:rPr>
          <w:rFonts w:ascii="Arial" w:hAnsi="Arial" w:cs="Arial"/>
          <w:sz w:val="22"/>
          <w:szCs w:val="22"/>
        </w:rPr>
      </w:pPr>
      <w:r w:rsidRPr="00B22686">
        <w:rPr>
          <w:rFonts w:ascii="Arial" w:hAnsi="Arial" w:cs="Arial"/>
          <w:sz w:val="22"/>
          <w:szCs w:val="22"/>
        </w:rPr>
        <w:t>Ultimately, the proposed plan is robust because it integrates leadership alignment, cultural change, stakeholder engagement and risk governance. Nevertheless, transformation success depends on execution discipline, continuous learning and adaptive leadership. In dynamic financial ecosystems, change management must remain iterative rather than static.</w:t>
      </w:r>
    </w:p>
    <w:p w14:paraId="557B0475" w14:textId="5FAF5533" w:rsidR="00F86E4D" w:rsidRDefault="00B27D13" w:rsidP="00C118FA">
      <w:pPr>
        <w:spacing w:line="360" w:lineRule="auto"/>
        <w:rPr>
          <w:rFonts w:ascii="Arial" w:hAnsi="Arial" w:cs="Arial"/>
          <w:sz w:val="22"/>
          <w:szCs w:val="22"/>
        </w:rPr>
      </w:pPr>
      <w:r w:rsidRPr="00B27D13">
        <w:rPr>
          <w:rFonts w:ascii="Arial" w:hAnsi="Arial" w:cs="Arial"/>
          <w:sz w:val="22"/>
          <w:szCs w:val="22"/>
        </w:rPr>
        <w:t>Despite its structured design, the proposed change plan has limitations. Large-scale digital transformation in globally regulated banks is inherently complex, and unforeseen regulatory changes, geopolitical instability, legacy system integration challenges or cross-border coordination issues may delay outcomes. Lewin’s refreezing stage may also appear incompatible with continuous digital disruption, requiring ongoing adaptation rather than stabilisation (Burnes, 2020). Furthermore, significant financial investment may reduce short-term profitability, increasing shareholder pressure. Consequently, leadership must remain adaptive and responsive throughout implementation.</w:t>
      </w:r>
    </w:p>
    <w:p w14:paraId="15CCA9E3" w14:textId="77777777" w:rsidR="00B22686" w:rsidRPr="00B22686" w:rsidRDefault="00B22686" w:rsidP="00B22686">
      <w:pPr>
        <w:spacing w:line="360" w:lineRule="auto"/>
        <w:rPr>
          <w:rFonts w:ascii="Arial" w:hAnsi="Arial" w:cs="Arial"/>
          <w:b/>
          <w:bCs/>
          <w:sz w:val="22"/>
          <w:szCs w:val="22"/>
        </w:rPr>
      </w:pPr>
      <w:r w:rsidRPr="00B22686">
        <w:rPr>
          <w:rFonts w:ascii="Arial" w:hAnsi="Arial" w:cs="Arial"/>
          <w:b/>
          <w:bCs/>
          <w:sz w:val="22"/>
          <w:szCs w:val="22"/>
        </w:rPr>
        <w:t>7. Conclusion</w:t>
      </w:r>
    </w:p>
    <w:p w14:paraId="1F8CF646" w14:textId="77777777" w:rsidR="00D02199" w:rsidRPr="00D02199" w:rsidRDefault="00D02199" w:rsidP="00D02199">
      <w:pPr>
        <w:spacing w:line="360" w:lineRule="auto"/>
        <w:rPr>
          <w:rFonts w:ascii="Arial" w:hAnsi="Arial" w:cs="Arial"/>
          <w:sz w:val="22"/>
          <w:szCs w:val="22"/>
        </w:rPr>
      </w:pPr>
      <w:r w:rsidRPr="00D02199">
        <w:rPr>
          <w:rFonts w:ascii="Arial" w:hAnsi="Arial" w:cs="Arial"/>
          <w:sz w:val="22"/>
          <w:szCs w:val="22"/>
        </w:rPr>
        <w:t>This report has analysed HSBC’s internal and external environment to identify the strategic triggers driving digital and AI-enabled transformation. Intensifying competition from fintech firms, open-banking regulation, evolving customer expectations and increasing cyber and AI-related risks necessitate structured organisational change. While HSBC benefits from strong global positioning, financial resources and brand trust, legacy systems, organisational complexity and risk-averse cultural tendencies constrain rapid innovation.</w:t>
      </w:r>
    </w:p>
    <w:p w14:paraId="7DD0A17C" w14:textId="77777777" w:rsidR="00D02199" w:rsidRPr="00D02199" w:rsidRDefault="00D02199" w:rsidP="00D02199">
      <w:pPr>
        <w:spacing w:line="360" w:lineRule="auto"/>
        <w:rPr>
          <w:rFonts w:ascii="Arial" w:hAnsi="Arial" w:cs="Arial"/>
          <w:sz w:val="22"/>
          <w:szCs w:val="22"/>
        </w:rPr>
      </w:pPr>
      <w:r w:rsidRPr="00D02199">
        <w:rPr>
          <w:rFonts w:ascii="Arial" w:hAnsi="Arial" w:cs="Arial"/>
          <w:sz w:val="22"/>
          <w:szCs w:val="22"/>
        </w:rPr>
        <w:t>A hybrid Lewin–Kotter–ADKAR framework was proposed to integrate strategic direction, governance stability and behavioural adoption. Transformational leadership is required to build urgency and digital vision, while transactional and situational approaches ensure compliance and workforce adaptability. The proposed change plan outlines phased digital modernisation, AI integration, stakeholder engagement, risk mitigation and measurable KPIs.</w:t>
      </w:r>
    </w:p>
    <w:p w14:paraId="47D00BE1" w14:textId="77777777" w:rsidR="00D02199" w:rsidRPr="00D02199" w:rsidRDefault="00D02199" w:rsidP="00D02199">
      <w:pPr>
        <w:spacing w:line="360" w:lineRule="auto"/>
        <w:rPr>
          <w:rFonts w:ascii="Arial" w:hAnsi="Arial" w:cs="Arial"/>
          <w:sz w:val="22"/>
          <w:szCs w:val="22"/>
        </w:rPr>
      </w:pPr>
      <w:r w:rsidRPr="00D02199">
        <w:rPr>
          <w:rFonts w:ascii="Arial" w:hAnsi="Arial" w:cs="Arial"/>
          <w:sz w:val="22"/>
          <w:szCs w:val="22"/>
        </w:rPr>
        <w:t>Ultimately, sustainable competitive advantage will depend not on technology alone, but on HSBC’s ability to embed digital capability within its culture, governance structures and leadership practices through continuous, adaptive change management.</w:t>
      </w:r>
    </w:p>
    <w:p w14:paraId="545D3A33" w14:textId="40B45D22" w:rsidR="00B22686" w:rsidRDefault="00B22686" w:rsidP="00C118FA">
      <w:pPr>
        <w:spacing w:line="360" w:lineRule="auto"/>
        <w:rPr>
          <w:rFonts w:ascii="Arial" w:hAnsi="Arial" w:cs="Arial"/>
          <w:sz w:val="22"/>
          <w:szCs w:val="22"/>
        </w:rPr>
      </w:pPr>
      <w:r w:rsidRPr="00B22686">
        <w:rPr>
          <w:rFonts w:ascii="Arial" w:hAnsi="Arial" w:cs="Arial"/>
          <w:sz w:val="22"/>
          <w:szCs w:val="22"/>
        </w:rPr>
        <w:lastRenderedPageBreak/>
        <w:t>For the Board, the key recommendation is to pursue disciplined digital transformation anchored in governance, cultural alignment and leadership coherence. Competitive advantage will depend not merely on technology acquisition but on HSBC’s ability to embed digital capability within its structures, values and people systems. Sustainable transformation requires continuous adaptation rather than one-off change initiatives.</w:t>
      </w:r>
    </w:p>
    <w:p w14:paraId="51334BC4" w14:textId="77777777" w:rsidR="00B22686" w:rsidRDefault="00B22686" w:rsidP="00C118FA">
      <w:pPr>
        <w:spacing w:line="360" w:lineRule="auto"/>
        <w:rPr>
          <w:rFonts w:ascii="Arial" w:hAnsi="Arial" w:cs="Arial"/>
          <w:sz w:val="22"/>
          <w:szCs w:val="22"/>
        </w:rPr>
      </w:pPr>
    </w:p>
    <w:p w14:paraId="707CD1A9" w14:textId="77777777" w:rsidR="00B22686" w:rsidRPr="007E0CF3" w:rsidRDefault="00B22686" w:rsidP="00C118FA">
      <w:pPr>
        <w:spacing w:line="360" w:lineRule="auto"/>
        <w:rPr>
          <w:rFonts w:ascii="Arial" w:hAnsi="Arial" w:cs="Arial"/>
          <w:sz w:val="22"/>
          <w:szCs w:val="22"/>
        </w:rPr>
      </w:pPr>
    </w:p>
    <w:p w14:paraId="5B2DA89C" w14:textId="77777777" w:rsidR="007E0CF3" w:rsidRPr="00C118FA" w:rsidRDefault="007E0CF3" w:rsidP="00C118FA">
      <w:pPr>
        <w:spacing w:line="360" w:lineRule="auto"/>
        <w:rPr>
          <w:rFonts w:ascii="Arial" w:hAnsi="Arial" w:cs="Arial"/>
          <w:b/>
          <w:bCs/>
          <w:sz w:val="22"/>
          <w:szCs w:val="22"/>
        </w:rPr>
      </w:pPr>
      <w:r w:rsidRPr="00C118FA">
        <w:rPr>
          <w:rFonts w:ascii="Arial" w:hAnsi="Arial" w:cs="Arial"/>
          <w:b/>
          <w:bCs/>
          <w:sz w:val="22"/>
          <w:szCs w:val="22"/>
        </w:rPr>
        <w:br w:type="page"/>
      </w:r>
    </w:p>
    <w:p w14:paraId="3C1EFC61" w14:textId="410F4631" w:rsidR="007E0CF3" w:rsidRPr="007E0CF3" w:rsidRDefault="00FA6EB5" w:rsidP="00C118FA">
      <w:pPr>
        <w:spacing w:line="360" w:lineRule="auto"/>
        <w:rPr>
          <w:rFonts w:ascii="Arial" w:hAnsi="Arial" w:cs="Arial"/>
          <w:b/>
          <w:bCs/>
          <w:sz w:val="22"/>
          <w:szCs w:val="22"/>
        </w:rPr>
      </w:pPr>
      <w:r>
        <w:rPr>
          <w:rFonts w:ascii="Arial" w:hAnsi="Arial" w:cs="Arial"/>
          <w:b/>
          <w:bCs/>
          <w:sz w:val="22"/>
          <w:szCs w:val="22"/>
        </w:rPr>
        <w:lastRenderedPageBreak/>
        <w:t xml:space="preserve">8. </w:t>
      </w:r>
      <w:r w:rsidR="007E0CF3" w:rsidRPr="00C118FA">
        <w:rPr>
          <w:rFonts w:ascii="Arial" w:hAnsi="Arial" w:cs="Arial"/>
          <w:b/>
          <w:bCs/>
          <w:sz w:val="22"/>
          <w:szCs w:val="22"/>
        </w:rPr>
        <w:t>R</w:t>
      </w:r>
      <w:r w:rsidR="007E0CF3" w:rsidRPr="007E0CF3">
        <w:rPr>
          <w:rFonts w:ascii="Arial" w:hAnsi="Arial" w:cs="Arial"/>
          <w:b/>
          <w:bCs/>
          <w:sz w:val="22"/>
          <w:szCs w:val="22"/>
        </w:rPr>
        <w:t>eference list</w:t>
      </w:r>
    </w:p>
    <w:p w14:paraId="1DDE8B0C"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Barney, J. (1991) ‘Firm resources and sustained competitive advantage’, </w:t>
      </w:r>
      <w:r w:rsidRPr="00A0413C">
        <w:rPr>
          <w:rFonts w:ascii="Arial" w:hAnsi="Arial" w:cs="Arial"/>
          <w:i/>
          <w:iCs/>
          <w:sz w:val="22"/>
          <w:szCs w:val="22"/>
        </w:rPr>
        <w:t>Journal of Management</w:t>
      </w:r>
      <w:r w:rsidRPr="00A0413C">
        <w:rPr>
          <w:rFonts w:ascii="Arial" w:hAnsi="Arial" w:cs="Arial"/>
          <w:sz w:val="22"/>
          <w:szCs w:val="22"/>
        </w:rPr>
        <w:t>, 17(1), pp. 99–120.</w:t>
      </w:r>
    </w:p>
    <w:p w14:paraId="7D88FBFC"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Bass, B.M. (1985) </w:t>
      </w:r>
      <w:r w:rsidRPr="00A0413C">
        <w:rPr>
          <w:rFonts w:ascii="Arial" w:hAnsi="Arial" w:cs="Arial"/>
          <w:i/>
          <w:iCs/>
          <w:sz w:val="22"/>
          <w:szCs w:val="22"/>
        </w:rPr>
        <w:t>Leadership and performance beyond expectations</w:t>
      </w:r>
      <w:r w:rsidRPr="00A0413C">
        <w:rPr>
          <w:rFonts w:ascii="Arial" w:hAnsi="Arial" w:cs="Arial"/>
          <w:sz w:val="22"/>
          <w:szCs w:val="22"/>
        </w:rPr>
        <w:t>. New York: Free Press.</w:t>
      </w:r>
    </w:p>
    <w:p w14:paraId="0B37EE55"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Bank for International Settlements (BIS) (2017) </w:t>
      </w:r>
      <w:r w:rsidRPr="00A0413C">
        <w:rPr>
          <w:rFonts w:ascii="Arial" w:hAnsi="Arial" w:cs="Arial"/>
          <w:i/>
          <w:iCs/>
          <w:sz w:val="22"/>
          <w:szCs w:val="22"/>
        </w:rPr>
        <w:t>Basel III: Finalising post-crisis reforms</w:t>
      </w:r>
      <w:r w:rsidRPr="00A0413C">
        <w:rPr>
          <w:rFonts w:ascii="Arial" w:hAnsi="Arial" w:cs="Arial"/>
          <w:sz w:val="22"/>
          <w:szCs w:val="22"/>
        </w:rPr>
        <w:t>. Basel: BIS.</w:t>
      </w:r>
    </w:p>
    <w:p w14:paraId="7BBEE90C"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Bank for International Settlements (BIS) (2024) </w:t>
      </w:r>
      <w:r w:rsidRPr="00A0413C">
        <w:rPr>
          <w:rFonts w:ascii="Arial" w:hAnsi="Arial" w:cs="Arial"/>
          <w:i/>
          <w:iCs/>
          <w:sz w:val="22"/>
          <w:szCs w:val="22"/>
        </w:rPr>
        <w:t>Basel III: International regulatory framework for banks</w:t>
      </w:r>
      <w:r w:rsidRPr="00A0413C">
        <w:rPr>
          <w:rFonts w:ascii="Arial" w:hAnsi="Arial" w:cs="Arial"/>
          <w:sz w:val="22"/>
          <w:szCs w:val="22"/>
        </w:rPr>
        <w:t>. Basel: BIS.</w:t>
      </w:r>
    </w:p>
    <w:p w14:paraId="65FF7E13"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Brynjolfsson, E. and McAfee, A. (2017) </w:t>
      </w:r>
      <w:r w:rsidRPr="00A0413C">
        <w:rPr>
          <w:rFonts w:ascii="Arial" w:hAnsi="Arial" w:cs="Arial"/>
          <w:i/>
          <w:iCs/>
          <w:sz w:val="22"/>
          <w:szCs w:val="22"/>
        </w:rPr>
        <w:t>Machine, platform, crowd: Harnessing our digital future</w:t>
      </w:r>
      <w:r w:rsidRPr="00A0413C">
        <w:rPr>
          <w:rFonts w:ascii="Arial" w:hAnsi="Arial" w:cs="Arial"/>
          <w:sz w:val="22"/>
          <w:szCs w:val="22"/>
        </w:rPr>
        <w:t>. New York: W.W. Norton &amp; Company.</w:t>
      </w:r>
    </w:p>
    <w:p w14:paraId="15947D8A"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Burnes, B. (2020) </w:t>
      </w:r>
      <w:r w:rsidRPr="00A0413C">
        <w:rPr>
          <w:rFonts w:ascii="Arial" w:hAnsi="Arial" w:cs="Arial"/>
          <w:i/>
          <w:iCs/>
          <w:sz w:val="22"/>
          <w:szCs w:val="22"/>
        </w:rPr>
        <w:t>Managing change</w:t>
      </w:r>
      <w:r w:rsidRPr="00A0413C">
        <w:rPr>
          <w:rFonts w:ascii="Arial" w:hAnsi="Arial" w:cs="Arial"/>
          <w:sz w:val="22"/>
          <w:szCs w:val="22"/>
        </w:rPr>
        <w:t xml:space="preserve">. 8th </w:t>
      </w:r>
      <w:proofErr w:type="spellStart"/>
      <w:r w:rsidRPr="00A0413C">
        <w:rPr>
          <w:rFonts w:ascii="Arial" w:hAnsi="Arial" w:cs="Arial"/>
          <w:sz w:val="22"/>
          <w:szCs w:val="22"/>
        </w:rPr>
        <w:t>edn</w:t>
      </w:r>
      <w:proofErr w:type="spellEnd"/>
      <w:r w:rsidRPr="00A0413C">
        <w:rPr>
          <w:rFonts w:ascii="Arial" w:hAnsi="Arial" w:cs="Arial"/>
          <w:sz w:val="22"/>
          <w:szCs w:val="22"/>
        </w:rPr>
        <w:t>. Harlow: Pearson.</w:t>
      </w:r>
    </w:p>
    <w:p w14:paraId="7CA0DA6A"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Deloitte (2024) ‘Deepfake banking and AI fraud risk on the rise’, </w:t>
      </w:r>
      <w:r w:rsidRPr="00A0413C">
        <w:rPr>
          <w:rFonts w:ascii="Arial" w:hAnsi="Arial" w:cs="Arial"/>
          <w:i/>
          <w:iCs/>
          <w:sz w:val="22"/>
          <w:szCs w:val="22"/>
        </w:rPr>
        <w:t>Deloitte Insights</w:t>
      </w:r>
      <w:r w:rsidRPr="00A0413C">
        <w:rPr>
          <w:rFonts w:ascii="Arial" w:hAnsi="Arial" w:cs="Arial"/>
          <w:sz w:val="22"/>
          <w:szCs w:val="22"/>
        </w:rPr>
        <w:t xml:space="preserve">. Available at: </w:t>
      </w:r>
      <w:hyperlink r:id="rId8" w:tgtFrame="_new" w:history="1">
        <w:r w:rsidRPr="00A0413C">
          <w:rPr>
            <w:rStyle w:val="Hyperlink"/>
            <w:rFonts w:ascii="Arial" w:hAnsi="Arial" w:cs="Arial"/>
            <w:sz w:val="22"/>
            <w:szCs w:val="22"/>
          </w:rPr>
          <w:t>https://www2.deloitte.com/</w:t>
        </w:r>
      </w:hyperlink>
      <w:r w:rsidRPr="00A0413C">
        <w:rPr>
          <w:rFonts w:ascii="Arial" w:hAnsi="Arial" w:cs="Arial"/>
          <w:sz w:val="22"/>
          <w:szCs w:val="22"/>
        </w:rPr>
        <w:t xml:space="preserve"> (Accessed: 3 March 2026).</w:t>
      </w:r>
    </w:p>
    <w:p w14:paraId="41E8190E"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Ernst &amp; Young (EY) (2022) ‘How UK banks can meet customer needs in the future’. Available at: </w:t>
      </w:r>
      <w:hyperlink r:id="rId9" w:tgtFrame="_new" w:history="1">
        <w:r w:rsidRPr="00A0413C">
          <w:rPr>
            <w:rStyle w:val="Hyperlink"/>
            <w:rFonts w:ascii="Arial" w:hAnsi="Arial" w:cs="Arial"/>
            <w:sz w:val="22"/>
            <w:szCs w:val="22"/>
          </w:rPr>
          <w:t>https://www.ey.com/</w:t>
        </w:r>
      </w:hyperlink>
      <w:r w:rsidRPr="00A0413C">
        <w:rPr>
          <w:rFonts w:ascii="Arial" w:hAnsi="Arial" w:cs="Arial"/>
          <w:sz w:val="22"/>
          <w:szCs w:val="22"/>
        </w:rPr>
        <w:t xml:space="preserve"> (Accessed: 3 March 2026).</w:t>
      </w:r>
    </w:p>
    <w:p w14:paraId="0016145E"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Freeman, R.E. (1984) </w:t>
      </w:r>
      <w:r w:rsidRPr="00A0413C">
        <w:rPr>
          <w:rFonts w:ascii="Arial" w:hAnsi="Arial" w:cs="Arial"/>
          <w:i/>
          <w:iCs/>
          <w:sz w:val="22"/>
          <w:szCs w:val="22"/>
        </w:rPr>
        <w:t>Strategic management: A stakeholder approach</w:t>
      </w:r>
      <w:r w:rsidRPr="00A0413C">
        <w:rPr>
          <w:rFonts w:ascii="Arial" w:hAnsi="Arial" w:cs="Arial"/>
          <w:sz w:val="22"/>
          <w:szCs w:val="22"/>
        </w:rPr>
        <w:t>. Boston: Pitman.</w:t>
      </w:r>
    </w:p>
    <w:p w14:paraId="6A180B4D"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Handy, C. (1993) </w:t>
      </w:r>
      <w:r w:rsidRPr="00A0413C">
        <w:rPr>
          <w:rFonts w:ascii="Arial" w:hAnsi="Arial" w:cs="Arial"/>
          <w:i/>
          <w:iCs/>
          <w:sz w:val="22"/>
          <w:szCs w:val="22"/>
        </w:rPr>
        <w:t>Understanding organisations</w:t>
      </w:r>
      <w:r w:rsidRPr="00A0413C">
        <w:rPr>
          <w:rFonts w:ascii="Arial" w:hAnsi="Arial" w:cs="Arial"/>
          <w:sz w:val="22"/>
          <w:szCs w:val="22"/>
        </w:rPr>
        <w:t xml:space="preserve">. 4th </w:t>
      </w:r>
      <w:proofErr w:type="spellStart"/>
      <w:r w:rsidRPr="00A0413C">
        <w:rPr>
          <w:rFonts w:ascii="Arial" w:hAnsi="Arial" w:cs="Arial"/>
          <w:sz w:val="22"/>
          <w:szCs w:val="22"/>
        </w:rPr>
        <w:t>edn</w:t>
      </w:r>
      <w:proofErr w:type="spellEnd"/>
      <w:r w:rsidRPr="00A0413C">
        <w:rPr>
          <w:rFonts w:ascii="Arial" w:hAnsi="Arial" w:cs="Arial"/>
          <w:sz w:val="22"/>
          <w:szCs w:val="22"/>
        </w:rPr>
        <w:t>. London: Penguin.</w:t>
      </w:r>
    </w:p>
    <w:p w14:paraId="377668CF"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Hersey, P. and Blanchard, K.H. (1988) </w:t>
      </w:r>
      <w:r w:rsidRPr="00A0413C">
        <w:rPr>
          <w:rFonts w:ascii="Arial" w:hAnsi="Arial" w:cs="Arial"/>
          <w:i/>
          <w:iCs/>
          <w:sz w:val="22"/>
          <w:szCs w:val="22"/>
        </w:rPr>
        <w:t xml:space="preserve">Management of organisational </w:t>
      </w:r>
      <w:proofErr w:type="spellStart"/>
      <w:r w:rsidRPr="00A0413C">
        <w:rPr>
          <w:rFonts w:ascii="Arial" w:hAnsi="Arial" w:cs="Arial"/>
          <w:i/>
          <w:iCs/>
          <w:sz w:val="22"/>
          <w:szCs w:val="22"/>
        </w:rPr>
        <w:t>behavior</w:t>
      </w:r>
      <w:proofErr w:type="spellEnd"/>
      <w:r w:rsidRPr="00A0413C">
        <w:rPr>
          <w:rFonts w:ascii="Arial" w:hAnsi="Arial" w:cs="Arial"/>
          <w:i/>
          <w:iCs/>
          <w:sz w:val="22"/>
          <w:szCs w:val="22"/>
        </w:rPr>
        <w:t>: Utilizing human resources</w:t>
      </w:r>
      <w:r w:rsidRPr="00A0413C">
        <w:rPr>
          <w:rFonts w:ascii="Arial" w:hAnsi="Arial" w:cs="Arial"/>
          <w:sz w:val="22"/>
          <w:szCs w:val="22"/>
        </w:rPr>
        <w:t xml:space="preserve">. 5th </w:t>
      </w:r>
      <w:proofErr w:type="spellStart"/>
      <w:r w:rsidRPr="00A0413C">
        <w:rPr>
          <w:rFonts w:ascii="Arial" w:hAnsi="Arial" w:cs="Arial"/>
          <w:sz w:val="22"/>
          <w:szCs w:val="22"/>
        </w:rPr>
        <w:t>edn</w:t>
      </w:r>
      <w:proofErr w:type="spellEnd"/>
      <w:r w:rsidRPr="00A0413C">
        <w:rPr>
          <w:rFonts w:ascii="Arial" w:hAnsi="Arial" w:cs="Arial"/>
          <w:sz w:val="22"/>
          <w:szCs w:val="22"/>
        </w:rPr>
        <w:t>. Englewood Cliffs, NJ: Prentice Hall.</w:t>
      </w:r>
    </w:p>
    <w:p w14:paraId="549F9A86"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Hiatt, J. (2006) </w:t>
      </w:r>
      <w:r w:rsidRPr="00A0413C">
        <w:rPr>
          <w:rFonts w:ascii="Arial" w:hAnsi="Arial" w:cs="Arial"/>
          <w:i/>
          <w:iCs/>
          <w:sz w:val="22"/>
          <w:szCs w:val="22"/>
        </w:rPr>
        <w:t>ADKAR: A model for change in business, government and our community</w:t>
      </w:r>
      <w:r w:rsidRPr="00A0413C">
        <w:rPr>
          <w:rFonts w:ascii="Arial" w:hAnsi="Arial" w:cs="Arial"/>
          <w:sz w:val="22"/>
          <w:szCs w:val="22"/>
        </w:rPr>
        <w:t xml:space="preserve">. Loveland, CO: </w:t>
      </w:r>
      <w:proofErr w:type="spellStart"/>
      <w:r w:rsidRPr="00A0413C">
        <w:rPr>
          <w:rFonts w:ascii="Arial" w:hAnsi="Arial" w:cs="Arial"/>
          <w:sz w:val="22"/>
          <w:szCs w:val="22"/>
        </w:rPr>
        <w:t>Prosci</w:t>
      </w:r>
      <w:proofErr w:type="spellEnd"/>
      <w:r w:rsidRPr="00A0413C">
        <w:rPr>
          <w:rFonts w:ascii="Arial" w:hAnsi="Arial" w:cs="Arial"/>
          <w:sz w:val="22"/>
          <w:szCs w:val="22"/>
        </w:rPr>
        <w:t xml:space="preserve"> Research.</w:t>
      </w:r>
    </w:p>
    <w:p w14:paraId="09F7F1E8"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Hofstede, G. (2001) </w:t>
      </w:r>
      <w:r w:rsidRPr="00A0413C">
        <w:rPr>
          <w:rFonts w:ascii="Arial" w:hAnsi="Arial" w:cs="Arial"/>
          <w:i/>
          <w:iCs/>
          <w:sz w:val="22"/>
          <w:szCs w:val="22"/>
        </w:rPr>
        <w:t xml:space="preserve">Culture’s consequences: Comparing values, </w:t>
      </w:r>
      <w:proofErr w:type="spellStart"/>
      <w:r w:rsidRPr="00A0413C">
        <w:rPr>
          <w:rFonts w:ascii="Arial" w:hAnsi="Arial" w:cs="Arial"/>
          <w:i/>
          <w:iCs/>
          <w:sz w:val="22"/>
          <w:szCs w:val="22"/>
        </w:rPr>
        <w:t>behaviors</w:t>
      </w:r>
      <w:proofErr w:type="spellEnd"/>
      <w:r w:rsidRPr="00A0413C">
        <w:rPr>
          <w:rFonts w:ascii="Arial" w:hAnsi="Arial" w:cs="Arial"/>
          <w:i/>
          <w:iCs/>
          <w:sz w:val="22"/>
          <w:szCs w:val="22"/>
        </w:rPr>
        <w:t>, institutions and organizations across nations</w:t>
      </w:r>
      <w:r w:rsidRPr="00A0413C">
        <w:rPr>
          <w:rFonts w:ascii="Arial" w:hAnsi="Arial" w:cs="Arial"/>
          <w:sz w:val="22"/>
          <w:szCs w:val="22"/>
        </w:rPr>
        <w:t xml:space="preserve">. 2nd </w:t>
      </w:r>
      <w:proofErr w:type="spellStart"/>
      <w:r w:rsidRPr="00A0413C">
        <w:rPr>
          <w:rFonts w:ascii="Arial" w:hAnsi="Arial" w:cs="Arial"/>
          <w:sz w:val="22"/>
          <w:szCs w:val="22"/>
        </w:rPr>
        <w:t>edn</w:t>
      </w:r>
      <w:proofErr w:type="spellEnd"/>
      <w:r w:rsidRPr="00A0413C">
        <w:rPr>
          <w:rFonts w:ascii="Arial" w:hAnsi="Arial" w:cs="Arial"/>
          <w:sz w:val="22"/>
          <w:szCs w:val="22"/>
        </w:rPr>
        <w:t>. Thousand Oaks, CA: Sage.</w:t>
      </w:r>
    </w:p>
    <w:p w14:paraId="080801FD"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HSBC (2025a) </w:t>
      </w:r>
      <w:r w:rsidRPr="00A0413C">
        <w:rPr>
          <w:rFonts w:ascii="Arial" w:hAnsi="Arial" w:cs="Arial"/>
          <w:i/>
          <w:iCs/>
          <w:sz w:val="22"/>
          <w:szCs w:val="22"/>
        </w:rPr>
        <w:t>Our markets: Where we do business</w:t>
      </w:r>
      <w:r w:rsidRPr="00A0413C">
        <w:rPr>
          <w:rFonts w:ascii="Arial" w:hAnsi="Arial" w:cs="Arial"/>
          <w:sz w:val="22"/>
          <w:szCs w:val="22"/>
        </w:rPr>
        <w:t xml:space="preserve">. Available at: </w:t>
      </w:r>
      <w:hyperlink r:id="rId10" w:tgtFrame="_new" w:history="1">
        <w:r w:rsidRPr="00A0413C">
          <w:rPr>
            <w:rStyle w:val="Hyperlink"/>
            <w:rFonts w:ascii="Arial" w:hAnsi="Arial" w:cs="Arial"/>
            <w:sz w:val="22"/>
            <w:szCs w:val="22"/>
          </w:rPr>
          <w:t>https://www.hsbc.com/</w:t>
        </w:r>
      </w:hyperlink>
      <w:r w:rsidRPr="00A0413C">
        <w:rPr>
          <w:rFonts w:ascii="Arial" w:hAnsi="Arial" w:cs="Arial"/>
          <w:sz w:val="22"/>
          <w:szCs w:val="22"/>
        </w:rPr>
        <w:t xml:space="preserve"> (Accessed: 3 March 2026).</w:t>
      </w:r>
    </w:p>
    <w:p w14:paraId="3640FCEF"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HSBC (2025b) </w:t>
      </w:r>
      <w:r w:rsidRPr="00A0413C">
        <w:rPr>
          <w:rFonts w:ascii="Arial" w:hAnsi="Arial" w:cs="Arial"/>
          <w:i/>
          <w:iCs/>
          <w:sz w:val="22"/>
          <w:szCs w:val="22"/>
        </w:rPr>
        <w:t>HSBC Holdings plc annual report and accounts 2024</w:t>
      </w:r>
      <w:r w:rsidRPr="00A0413C">
        <w:rPr>
          <w:rFonts w:ascii="Arial" w:hAnsi="Arial" w:cs="Arial"/>
          <w:sz w:val="22"/>
          <w:szCs w:val="22"/>
        </w:rPr>
        <w:t>. London: HSBC Holdings plc.</w:t>
      </w:r>
    </w:p>
    <w:p w14:paraId="7634353D"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Kotter, J.P. (1996) </w:t>
      </w:r>
      <w:r w:rsidRPr="00A0413C">
        <w:rPr>
          <w:rFonts w:ascii="Arial" w:hAnsi="Arial" w:cs="Arial"/>
          <w:i/>
          <w:iCs/>
          <w:sz w:val="22"/>
          <w:szCs w:val="22"/>
        </w:rPr>
        <w:t>Leading change</w:t>
      </w:r>
      <w:r w:rsidRPr="00A0413C">
        <w:rPr>
          <w:rFonts w:ascii="Arial" w:hAnsi="Arial" w:cs="Arial"/>
          <w:sz w:val="22"/>
          <w:szCs w:val="22"/>
        </w:rPr>
        <w:t>. Boston, MA: Harvard Business School Press.</w:t>
      </w:r>
    </w:p>
    <w:p w14:paraId="4BEB4BE3"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lastRenderedPageBreak/>
        <w:t xml:space="preserve">Lewin, K. (1947) ‘Frontiers in group dynamics’, </w:t>
      </w:r>
      <w:r w:rsidRPr="00A0413C">
        <w:rPr>
          <w:rFonts w:ascii="Arial" w:hAnsi="Arial" w:cs="Arial"/>
          <w:i/>
          <w:iCs/>
          <w:sz w:val="22"/>
          <w:szCs w:val="22"/>
        </w:rPr>
        <w:t>Human Relations</w:t>
      </w:r>
      <w:r w:rsidRPr="00A0413C">
        <w:rPr>
          <w:rFonts w:ascii="Arial" w:hAnsi="Arial" w:cs="Arial"/>
          <w:sz w:val="22"/>
          <w:szCs w:val="22"/>
        </w:rPr>
        <w:t>, 1(1), pp. 5–41.</w:t>
      </w:r>
    </w:p>
    <w:p w14:paraId="1CCB1E81"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McSweeney, B. (2002) ‘Hofstede’s model of national cultural differences and their consequences: A triumph of faith – a failure of analysis’, </w:t>
      </w:r>
      <w:r w:rsidRPr="00A0413C">
        <w:rPr>
          <w:rFonts w:ascii="Arial" w:hAnsi="Arial" w:cs="Arial"/>
          <w:i/>
          <w:iCs/>
          <w:sz w:val="22"/>
          <w:szCs w:val="22"/>
        </w:rPr>
        <w:t>Human Relations</w:t>
      </w:r>
      <w:r w:rsidRPr="00A0413C">
        <w:rPr>
          <w:rFonts w:ascii="Arial" w:hAnsi="Arial" w:cs="Arial"/>
          <w:sz w:val="22"/>
          <w:szCs w:val="22"/>
        </w:rPr>
        <w:t>, 55(1), pp. 89–118.</w:t>
      </w:r>
    </w:p>
    <w:p w14:paraId="375E08F0"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Mishkin, F.S. (2019) </w:t>
      </w:r>
      <w:r w:rsidRPr="00A0413C">
        <w:rPr>
          <w:rFonts w:ascii="Arial" w:hAnsi="Arial" w:cs="Arial"/>
          <w:i/>
          <w:iCs/>
          <w:sz w:val="22"/>
          <w:szCs w:val="22"/>
        </w:rPr>
        <w:t>The economics of money, banking and financial markets</w:t>
      </w:r>
      <w:r w:rsidRPr="00A0413C">
        <w:rPr>
          <w:rFonts w:ascii="Arial" w:hAnsi="Arial" w:cs="Arial"/>
          <w:sz w:val="22"/>
          <w:szCs w:val="22"/>
        </w:rPr>
        <w:t xml:space="preserve">. 12th </w:t>
      </w:r>
      <w:proofErr w:type="spellStart"/>
      <w:r w:rsidRPr="00A0413C">
        <w:rPr>
          <w:rFonts w:ascii="Arial" w:hAnsi="Arial" w:cs="Arial"/>
          <w:sz w:val="22"/>
          <w:szCs w:val="22"/>
        </w:rPr>
        <w:t>edn</w:t>
      </w:r>
      <w:proofErr w:type="spellEnd"/>
      <w:r w:rsidRPr="00A0413C">
        <w:rPr>
          <w:rFonts w:ascii="Arial" w:hAnsi="Arial" w:cs="Arial"/>
          <w:sz w:val="22"/>
          <w:szCs w:val="22"/>
        </w:rPr>
        <w:t>. Harlow: Pearson.</w:t>
      </w:r>
    </w:p>
    <w:p w14:paraId="2D89C35E"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Northouse, P.G. (2019) </w:t>
      </w:r>
      <w:r w:rsidRPr="00A0413C">
        <w:rPr>
          <w:rFonts w:ascii="Arial" w:hAnsi="Arial" w:cs="Arial"/>
          <w:i/>
          <w:iCs/>
          <w:sz w:val="22"/>
          <w:szCs w:val="22"/>
        </w:rPr>
        <w:t>Leadership: Theory and practice</w:t>
      </w:r>
      <w:r w:rsidRPr="00A0413C">
        <w:rPr>
          <w:rFonts w:ascii="Arial" w:hAnsi="Arial" w:cs="Arial"/>
          <w:sz w:val="22"/>
          <w:szCs w:val="22"/>
        </w:rPr>
        <w:t xml:space="preserve">. 8th </w:t>
      </w:r>
      <w:proofErr w:type="spellStart"/>
      <w:r w:rsidRPr="00A0413C">
        <w:rPr>
          <w:rFonts w:ascii="Arial" w:hAnsi="Arial" w:cs="Arial"/>
          <w:sz w:val="22"/>
          <w:szCs w:val="22"/>
        </w:rPr>
        <w:t>edn</w:t>
      </w:r>
      <w:proofErr w:type="spellEnd"/>
      <w:r w:rsidRPr="00A0413C">
        <w:rPr>
          <w:rFonts w:ascii="Arial" w:hAnsi="Arial" w:cs="Arial"/>
          <w:sz w:val="22"/>
          <w:szCs w:val="22"/>
        </w:rPr>
        <w:t>. Thousand Oaks, CA: Sage.</w:t>
      </w:r>
    </w:p>
    <w:p w14:paraId="1918C15F"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Open Banking Limited (n.d.) ‘Regulatory’. Available at: </w:t>
      </w:r>
      <w:hyperlink r:id="rId11" w:tgtFrame="_new" w:history="1">
        <w:r w:rsidRPr="00A0413C">
          <w:rPr>
            <w:rStyle w:val="Hyperlink"/>
            <w:rFonts w:ascii="Arial" w:hAnsi="Arial" w:cs="Arial"/>
            <w:sz w:val="22"/>
            <w:szCs w:val="22"/>
          </w:rPr>
          <w:t>https://www.openbanking.org.uk/</w:t>
        </w:r>
      </w:hyperlink>
      <w:r w:rsidRPr="00A0413C">
        <w:rPr>
          <w:rFonts w:ascii="Arial" w:hAnsi="Arial" w:cs="Arial"/>
          <w:sz w:val="22"/>
          <w:szCs w:val="22"/>
        </w:rPr>
        <w:t xml:space="preserve"> (Accessed: 3 March 2026).</w:t>
      </w:r>
    </w:p>
    <w:p w14:paraId="65BF1348"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Porter, M.E. (2008) ‘The five competitive forces that shape strategy’, </w:t>
      </w:r>
      <w:r w:rsidRPr="00A0413C">
        <w:rPr>
          <w:rFonts w:ascii="Arial" w:hAnsi="Arial" w:cs="Arial"/>
          <w:i/>
          <w:iCs/>
          <w:sz w:val="22"/>
          <w:szCs w:val="22"/>
        </w:rPr>
        <w:t>Harvard Business Review</w:t>
      </w:r>
      <w:r w:rsidRPr="00A0413C">
        <w:rPr>
          <w:rFonts w:ascii="Arial" w:hAnsi="Arial" w:cs="Arial"/>
          <w:sz w:val="22"/>
          <w:szCs w:val="22"/>
        </w:rPr>
        <w:t>, 86(1), pp. 78–93.</w:t>
      </w:r>
    </w:p>
    <w:p w14:paraId="6E538CB7"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Schein, E.H. (2010) </w:t>
      </w:r>
      <w:r w:rsidRPr="00A0413C">
        <w:rPr>
          <w:rFonts w:ascii="Arial" w:hAnsi="Arial" w:cs="Arial"/>
          <w:i/>
          <w:iCs/>
          <w:sz w:val="22"/>
          <w:szCs w:val="22"/>
        </w:rPr>
        <w:t>Organizational culture and leadership</w:t>
      </w:r>
      <w:r w:rsidRPr="00A0413C">
        <w:rPr>
          <w:rFonts w:ascii="Arial" w:hAnsi="Arial" w:cs="Arial"/>
          <w:sz w:val="22"/>
          <w:szCs w:val="22"/>
        </w:rPr>
        <w:t xml:space="preserve">. 4th </w:t>
      </w:r>
      <w:proofErr w:type="spellStart"/>
      <w:r w:rsidRPr="00A0413C">
        <w:rPr>
          <w:rFonts w:ascii="Arial" w:hAnsi="Arial" w:cs="Arial"/>
          <w:sz w:val="22"/>
          <w:szCs w:val="22"/>
        </w:rPr>
        <w:t>edn</w:t>
      </w:r>
      <w:proofErr w:type="spellEnd"/>
      <w:r w:rsidRPr="00A0413C">
        <w:rPr>
          <w:rFonts w:ascii="Arial" w:hAnsi="Arial" w:cs="Arial"/>
          <w:sz w:val="22"/>
          <w:szCs w:val="22"/>
        </w:rPr>
        <w:t>. San Francisco: Jossey-Bass.</w:t>
      </w:r>
    </w:p>
    <w:p w14:paraId="164A4756"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Teece, D.J. (2018) ‘Business models and dynamic capabilities’, </w:t>
      </w:r>
      <w:r w:rsidRPr="00A0413C">
        <w:rPr>
          <w:rFonts w:ascii="Arial" w:hAnsi="Arial" w:cs="Arial"/>
          <w:i/>
          <w:iCs/>
          <w:sz w:val="22"/>
          <w:szCs w:val="22"/>
        </w:rPr>
        <w:t>Long Range Planning</w:t>
      </w:r>
      <w:r w:rsidRPr="00A0413C">
        <w:rPr>
          <w:rFonts w:ascii="Arial" w:hAnsi="Arial" w:cs="Arial"/>
          <w:sz w:val="22"/>
          <w:szCs w:val="22"/>
        </w:rPr>
        <w:t>, 51(1), pp. 40–49.</w:t>
      </w:r>
    </w:p>
    <w:p w14:paraId="3A9F75A6"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UK Government (2017) </w:t>
      </w:r>
      <w:r w:rsidRPr="00A0413C">
        <w:rPr>
          <w:rFonts w:ascii="Arial" w:hAnsi="Arial" w:cs="Arial"/>
          <w:i/>
          <w:iCs/>
          <w:sz w:val="22"/>
          <w:szCs w:val="22"/>
        </w:rPr>
        <w:t>Retail Banking Market Investigation Order 2017</w:t>
      </w:r>
      <w:r w:rsidRPr="00A0413C">
        <w:rPr>
          <w:rFonts w:ascii="Arial" w:hAnsi="Arial" w:cs="Arial"/>
          <w:sz w:val="22"/>
          <w:szCs w:val="22"/>
        </w:rPr>
        <w:t>. London: Competition and Markets Authority.</w:t>
      </w:r>
    </w:p>
    <w:p w14:paraId="12713F1E" w14:textId="77777777" w:rsidR="00A0413C" w:rsidRPr="00A0413C" w:rsidRDefault="00A0413C" w:rsidP="00A0413C">
      <w:pPr>
        <w:numPr>
          <w:ilvl w:val="0"/>
          <w:numId w:val="2"/>
        </w:numPr>
        <w:spacing w:line="360" w:lineRule="auto"/>
        <w:rPr>
          <w:rFonts w:ascii="Arial" w:hAnsi="Arial" w:cs="Arial"/>
          <w:sz w:val="22"/>
          <w:szCs w:val="22"/>
        </w:rPr>
      </w:pPr>
      <w:r w:rsidRPr="00A0413C">
        <w:rPr>
          <w:rFonts w:ascii="Arial" w:hAnsi="Arial" w:cs="Arial"/>
          <w:sz w:val="22"/>
          <w:szCs w:val="22"/>
        </w:rPr>
        <w:t xml:space="preserve">Waterman, R.H., Peters, T.J. and Phillips, J.R. (1980) ‘Structure is not organization’, </w:t>
      </w:r>
      <w:r w:rsidRPr="00A0413C">
        <w:rPr>
          <w:rFonts w:ascii="Arial" w:hAnsi="Arial" w:cs="Arial"/>
          <w:i/>
          <w:iCs/>
          <w:sz w:val="22"/>
          <w:szCs w:val="22"/>
        </w:rPr>
        <w:t>Business Horizons</w:t>
      </w:r>
      <w:r w:rsidRPr="00A0413C">
        <w:rPr>
          <w:rFonts w:ascii="Arial" w:hAnsi="Arial" w:cs="Arial"/>
          <w:sz w:val="22"/>
          <w:szCs w:val="22"/>
        </w:rPr>
        <w:t>, 23(3), pp. 14–26.</w:t>
      </w:r>
    </w:p>
    <w:p w14:paraId="1E68DEEF" w14:textId="44964410" w:rsidR="007E0CF3" w:rsidRPr="004C38B7" w:rsidRDefault="00A0413C" w:rsidP="004C38B7">
      <w:pPr>
        <w:numPr>
          <w:ilvl w:val="0"/>
          <w:numId w:val="2"/>
        </w:numPr>
        <w:spacing w:line="360" w:lineRule="auto"/>
        <w:rPr>
          <w:rFonts w:ascii="Arial" w:hAnsi="Arial" w:cs="Arial"/>
          <w:sz w:val="22"/>
          <w:szCs w:val="22"/>
        </w:rPr>
      </w:pPr>
      <w:r w:rsidRPr="00A0413C">
        <w:rPr>
          <w:rFonts w:ascii="Arial" w:hAnsi="Arial" w:cs="Arial"/>
          <w:sz w:val="22"/>
          <w:szCs w:val="22"/>
        </w:rPr>
        <w:t xml:space="preserve">World Bank (2022) ‘COVID-19 drives global surge in use of digital </w:t>
      </w:r>
      <w:proofErr w:type="gramStart"/>
      <w:r w:rsidRPr="00A0413C">
        <w:rPr>
          <w:rFonts w:ascii="Arial" w:hAnsi="Arial" w:cs="Arial"/>
          <w:sz w:val="22"/>
          <w:szCs w:val="22"/>
        </w:rPr>
        <w:t>payments’</w:t>
      </w:r>
      <w:proofErr w:type="gramEnd"/>
      <w:r w:rsidRPr="00A0413C">
        <w:rPr>
          <w:rFonts w:ascii="Arial" w:hAnsi="Arial" w:cs="Arial"/>
          <w:sz w:val="22"/>
          <w:szCs w:val="22"/>
        </w:rPr>
        <w:t xml:space="preserve">. Available at: </w:t>
      </w:r>
      <w:hyperlink r:id="rId12" w:tgtFrame="_new" w:history="1">
        <w:r w:rsidRPr="00A0413C">
          <w:rPr>
            <w:rStyle w:val="Hyperlink"/>
            <w:rFonts w:ascii="Arial" w:hAnsi="Arial" w:cs="Arial"/>
            <w:sz w:val="22"/>
            <w:szCs w:val="22"/>
          </w:rPr>
          <w:t>https://www.worldbank.org/</w:t>
        </w:r>
      </w:hyperlink>
      <w:r w:rsidRPr="00A0413C">
        <w:rPr>
          <w:rFonts w:ascii="Arial" w:hAnsi="Arial" w:cs="Arial"/>
          <w:sz w:val="22"/>
          <w:szCs w:val="22"/>
        </w:rPr>
        <w:t xml:space="preserve"> (Accessed: 3 March 2026).</w:t>
      </w:r>
    </w:p>
    <w:sectPr w:rsidR="007E0CF3" w:rsidRPr="004C38B7" w:rsidSect="00A75035">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811EC" w14:textId="77777777" w:rsidR="002B3708" w:rsidRDefault="002B3708" w:rsidP="009F30A9">
      <w:pPr>
        <w:spacing w:after="0" w:line="240" w:lineRule="auto"/>
      </w:pPr>
      <w:r>
        <w:separator/>
      </w:r>
    </w:p>
  </w:endnote>
  <w:endnote w:type="continuationSeparator" w:id="0">
    <w:p w14:paraId="5AE80F03" w14:textId="77777777" w:rsidR="002B3708" w:rsidRDefault="002B3708" w:rsidP="009F3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sto MT">
    <w:panose1 w:val="020406030505050303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1677732"/>
      <w:docPartObj>
        <w:docPartGallery w:val="Page Numbers (Bottom of Page)"/>
        <w:docPartUnique/>
      </w:docPartObj>
    </w:sdtPr>
    <w:sdtEndPr>
      <w:rPr>
        <w:noProof/>
      </w:rPr>
    </w:sdtEndPr>
    <w:sdtContent>
      <w:p w14:paraId="035DFA11" w14:textId="05C23FDE" w:rsidR="009F30A9" w:rsidRDefault="009F30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689028" w14:textId="77777777" w:rsidR="009F30A9" w:rsidRDefault="009F30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8E80DE" w14:textId="77777777" w:rsidR="002B3708" w:rsidRDefault="002B3708" w:rsidP="009F30A9">
      <w:pPr>
        <w:spacing w:after="0" w:line="240" w:lineRule="auto"/>
      </w:pPr>
      <w:r>
        <w:separator/>
      </w:r>
    </w:p>
  </w:footnote>
  <w:footnote w:type="continuationSeparator" w:id="0">
    <w:p w14:paraId="0E0A4F56" w14:textId="77777777" w:rsidR="002B3708" w:rsidRDefault="002B3708" w:rsidP="009F30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D5728"/>
    <w:multiLevelType w:val="multilevel"/>
    <w:tmpl w:val="E2A8C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D97B04"/>
    <w:multiLevelType w:val="multilevel"/>
    <w:tmpl w:val="169CC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7D084C"/>
    <w:multiLevelType w:val="multilevel"/>
    <w:tmpl w:val="D338A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233BAB"/>
    <w:multiLevelType w:val="multilevel"/>
    <w:tmpl w:val="AA2E2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7E52AB"/>
    <w:multiLevelType w:val="multilevel"/>
    <w:tmpl w:val="83F61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DB79CE"/>
    <w:multiLevelType w:val="multilevel"/>
    <w:tmpl w:val="5DD88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1000B8"/>
    <w:multiLevelType w:val="multilevel"/>
    <w:tmpl w:val="6EB23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4309AA"/>
    <w:multiLevelType w:val="multilevel"/>
    <w:tmpl w:val="F0B85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4329FD"/>
    <w:multiLevelType w:val="multilevel"/>
    <w:tmpl w:val="1C901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2F3C91"/>
    <w:multiLevelType w:val="multilevel"/>
    <w:tmpl w:val="A7B68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3F75D7"/>
    <w:multiLevelType w:val="multilevel"/>
    <w:tmpl w:val="F2400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D140B5"/>
    <w:multiLevelType w:val="multilevel"/>
    <w:tmpl w:val="3D60185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59B608B"/>
    <w:multiLevelType w:val="multilevel"/>
    <w:tmpl w:val="1AAEF9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343B39"/>
    <w:multiLevelType w:val="multilevel"/>
    <w:tmpl w:val="63BA3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A305D6"/>
    <w:multiLevelType w:val="hybridMultilevel"/>
    <w:tmpl w:val="BACA74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F57002"/>
    <w:multiLevelType w:val="multilevel"/>
    <w:tmpl w:val="7980B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B17196"/>
    <w:multiLevelType w:val="multilevel"/>
    <w:tmpl w:val="B5201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35106D"/>
    <w:multiLevelType w:val="multilevel"/>
    <w:tmpl w:val="CD2C8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A77312"/>
    <w:multiLevelType w:val="hybridMultilevel"/>
    <w:tmpl w:val="267609F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6C0D10"/>
    <w:multiLevelType w:val="multilevel"/>
    <w:tmpl w:val="BF281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B12602"/>
    <w:multiLevelType w:val="multilevel"/>
    <w:tmpl w:val="AF9A1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B94E3F"/>
    <w:multiLevelType w:val="multilevel"/>
    <w:tmpl w:val="02E8D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6567114">
    <w:abstractNumId w:val="16"/>
  </w:num>
  <w:num w:numId="2" w16cid:durableId="2066560853">
    <w:abstractNumId w:val="17"/>
  </w:num>
  <w:num w:numId="3" w16cid:durableId="1919484722">
    <w:abstractNumId w:val="7"/>
  </w:num>
  <w:num w:numId="4" w16cid:durableId="1942030223">
    <w:abstractNumId w:val="9"/>
  </w:num>
  <w:num w:numId="5" w16cid:durableId="352388934">
    <w:abstractNumId w:val="3"/>
  </w:num>
  <w:num w:numId="6" w16cid:durableId="107431137">
    <w:abstractNumId w:val="12"/>
  </w:num>
  <w:num w:numId="7" w16cid:durableId="462383244">
    <w:abstractNumId w:val="5"/>
  </w:num>
  <w:num w:numId="8" w16cid:durableId="649289535">
    <w:abstractNumId w:val="1"/>
  </w:num>
  <w:num w:numId="9" w16cid:durableId="1770392833">
    <w:abstractNumId w:val="4"/>
  </w:num>
  <w:num w:numId="10" w16cid:durableId="195853085">
    <w:abstractNumId w:val="8"/>
  </w:num>
  <w:num w:numId="11" w16cid:durableId="1470979316">
    <w:abstractNumId w:val="10"/>
  </w:num>
  <w:num w:numId="12" w16cid:durableId="1940944616">
    <w:abstractNumId w:val="6"/>
  </w:num>
  <w:num w:numId="13" w16cid:durableId="772627398">
    <w:abstractNumId w:val="21"/>
  </w:num>
  <w:num w:numId="14" w16cid:durableId="1769620153">
    <w:abstractNumId w:val="0"/>
  </w:num>
  <w:num w:numId="15" w16cid:durableId="434519167">
    <w:abstractNumId w:val="20"/>
  </w:num>
  <w:num w:numId="16" w16cid:durableId="37821495">
    <w:abstractNumId w:val="19"/>
  </w:num>
  <w:num w:numId="17" w16cid:durableId="2015721785">
    <w:abstractNumId w:val="2"/>
  </w:num>
  <w:num w:numId="18" w16cid:durableId="1070619966">
    <w:abstractNumId w:val="15"/>
  </w:num>
  <w:num w:numId="19" w16cid:durableId="1081482703">
    <w:abstractNumId w:val="13"/>
  </w:num>
  <w:num w:numId="20" w16cid:durableId="653342078">
    <w:abstractNumId w:val="14"/>
  </w:num>
  <w:num w:numId="21" w16cid:durableId="63457331">
    <w:abstractNumId w:val="18"/>
  </w:num>
  <w:num w:numId="22" w16cid:durableId="205534524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CF3"/>
    <w:rsid w:val="00007B54"/>
    <w:rsid w:val="00014F4A"/>
    <w:rsid w:val="00052057"/>
    <w:rsid w:val="000B24A2"/>
    <w:rsid w:val="000F2EEC"/>
    <w:rsid w:val="00121900"/>
    <w:rsid w:val="0018614E"/>
    <w:rsid w:val="001A782F"/>
    <w:rsid w:val="001B711C"/>
    <w:rsid w:val="001C4BA1"/>
    <w:rsid w:val="001D25B1"/>
    <w:rsid w:val="001E7B7A"/>
    <w:rsid w:val="00202253"/>
    <w:rsid w:val="002A2278"/>
    <w:rsid w:val="002B3708"/>
    <w:rsid w:val="002E68D3"/>
    <w:rsid w:val="00311336"/>
    <w:rsid w:val="00334E1C"/>
    <w:rsid w:val="00351C03"/>
    <w:rsid w:val="0037455F"/>
    <w:rsid w:val="003A7FC5"/>
    <w:rsid w:val="003C4D21"/>
    <w:rsid w:val="003E2351"/>
    <w:rsid w:val="004038E1"/>
    <w:rsid w:val="00432126"/>
    <w:rsid w:val="00465D19"/>
    <w:rsid w:val="0047040B"/>
    <w:rsid w:val="004A0AE5"/>
    <w:rsid w:val="004A5D5E"/>
    <w:rsid w:val="004C38B7"/>
    <w:rsid w:val="004E066C"/>
    <w:rsid w:val="004E2232"/>
    <w:rsid w:val="00532BD1"/>
    <w:rsid w:val="00550191"/>
    <w:rsid w:val="00555AA3"/>
    <w:rsid w:val="005623D4"/>
    <w:rsid w:val="00565D10"/>
    <w:rsid w:val="00591470"/>
    <w:rsid w:val="005A304B"/>
    <w:rsid w:val="005A3057"/>
    <w:rsid w:val="005B6449"/>
    <w:rsid w:val="0062680A"/>
    <w:rsid w:val="00626F9F"/>
    <w:rsid w:val="00634CA8"/>
    <w:rsid w:val="00647EFF"/>
    <w:rsid w:val="00662641"/>
    <w:rsid w:val="0068005D"/>
    <w:rsid w:val="006B7DA3"/>
    <w:rsid w:val="006F2BA2"/>
    <w:rsid w:val="0071195D"/>
    <w:rsid w:val="00713775"/>
    <w:rsid w:val="00743E17"/>
    <w:rsid w:val="0074619C"/>
    <w:rsid w:val="007676DE"/>
    <w:rsid w:val="007A4DDC"/>
    <w:rsid w:val="007A6CF2"/>
    <w:rsid w:val="007B6780"/>
    <w:rsid w:val="007E0CF3"/>
    <w:rsid w:val="007E2619"/>
    <w:rsid w:val="008007B9"/>
    <w:rsid w:val="008063AC"/>
    <w:rsid w:val="00826E4F"/>
    <w:rsid w:val="008353C0"/>
    <w:rsid w:val="008673F8"/>
    <w:rsid w:val="008A65E5"/>
    <w:rsid w:val="008E087E"/>
    <w:rsid w:val="00907E4F"/>
    <w:rsid w:val="0091605C"/>
    <w:rsid w:val="0098379E"/>
    <w:rsid w:val="009A3950"/>
    <w:rsid w:val="009A3FA9"/>
    <w:rsid w:val="009E2191"/>
    <w:rsid w:val="009F30A9"/>
    <w:rsid w:val="009F7609"/>
    <w:rsid w:val="00A0413C"/>
    <w:rsid w:val="00A25FCF"/>
    <w:rsid w:val="00A32804"/>
    <w:rsid w:val="00A75035"/>
    <w:rsid w:val="00AC4848"/>
    <w:rsid w:val="00AD5CEF"/>
    <w:rsid w:val="00B067F4"/>
    <w:rsid w:val="00B22686"/>
    <w:rsid w:val="00B27D13"/>
    <w:rsid w:val="00B339EF"/>
    <w:rsid w:val="00B70551"/>
    <w:rsid w:val="00B850C3"/>
    <w:rsid w:val="00B87E61"/>
    <w:rsid w:val="00B90453"/>
    <w:rsid w:val="00B96DFB"/>
    <w:rsid w:val="00BA452C"/>
    <w:rsid w:val="00C118FA"/>
    <w:rsid w:val="00C16301"/>
    <w:rsid w:val="00C21B06"/>
    <w:rsid w:val="00C31CC1"/>
    <w:rsid w:val="00C40056"/>
    <w:rsid w:val="00C427D3"/>
    <w:rsid w:val="00CA1C57"/>
    <w:rsid w:val="00CC0449"/>
    <w:rsid w:val="00CD2771"/>
    <w:rsid w:val="00CE1E78"/>
    <w:rsid w:val="00D02199"/>
    <w:rsid w:val="00D80575"/>
    <w:rsid w:val="00DA2025"/>
    <w:rsid w:val="00DD68ED"/>
    <w:rsid w:val="00DD7F30"/>
    <w:rsid w:val="00E26240"/>
    <w:rsid w:val="00E30949"/>
    <w:rsid w:val="00E81947"/>
    <w:rsid w:val="00E8476C"/>
    <w:rsid w:val="00E96C08"/>
    <w:rsid w:val="00ED548A"/>
    <w:rsid w:val="00F12E2C"/>
    <w:rsid w:val="00F131A5"/>
    <w:rsid w:val="00F224B3"/>
    <w:rsid w:val="00F323DB"/>
    <w:rsid w:val="00F36B86"/>
    <w:rsid w:val="00F86E4D"/>
    <w:rsid w:val="00F90E22"/>
    <w:rsid w:val="00FA6EB5"/>
    <w:rsid w:val="00FC27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FF722"/>
  <w15:chartTrackingRefBased/>
  <w15:docId w15:val="{19DA0E36-83BC-4A28-88F0-92E6BF994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CF3"/>
    <w:pPr>
      <w:keepNext/>
      <w:keepLines/>
      <w:spacing w:before="360" w:after="80"/>
      <w:outlineLvl w:val="0"/>
    </w:pPr>
    <w:rPr>
      <w:rFonts w:asciiTheme="majorHAnsi" w:eastAsiaTheme="majorEastAsia" w:hAnsiTheme="majorHAnsi" w:cstheme="majorBidi"/>
      <w:color w:val="864EA8" w:themeColor="accent1" w:themeShade="BF"/>
      <w:sz w:val="40"/>
      <w:szCs w:val="40"/>
    </w:rPr>
  </w:style>
  <w:style w:type="paragraph" w:styleId="Heading2">
    <w:name w:val="heading 2"/>
    <w:basedOn w:val="Normal"/>
    <w:next w:val="Normal"/>
    <w:link w:val="Heading2Char"/>
    <w:uiPriority w:val="9"/>
    <w:semiHidden/>
    <w:unhideWhenUsed/>
    <w:qFormat/>
    <w:rsid w:val="007E0CF3"/>
    <w:pPr>
      <w:keepNext/>
      <w:keepLines/>
      <w:spacing w:before="160" w:after="80"/>
      <w:outlineLvl w:val="1"/>
    </w:pPr>
    <w:rPr>
      <w:rFonts w:asciiTheme="majorHAnsi" w:eastAsiaTheme="majorEastAsia" w:hAnsiTheme="majorHAnsi" w:cstheme="majorBidi"/>
      <w:color w:val="864EA8" w:themeColor="accent1" w:themeShade="BF"/>
      <w:sz w:val="32"/>
      <w:szCs w:val="32"/>
    </w:rPr>
  </w:style>
  <w:style w:type="paragraph" w:styleId="Heading3">
    <w:name w:val="heading 3"/>
    <w:basedOn w:val="Normal"/>
    <w:next w:val="Normal"/>
    <w:link w:val="Heading3Char"/>
    <w:uiPriority w:val="9"/>
    <w:semiHidden/>
    <w:unhideWhenUsed/>
    <w:qFormat/>
    <w:rsid w:val="007E0CF3"/>
    <w:pPr>
      <w:keepNext/>
      <w:keepLines/>
      <w:spacing w:before="160" w:after="80"/>
      <w:outlineLvl w:val="2"/>
    </w:pPr>
    <w:rPr>
      <w:rFonts w:eastAsiaTheme="majorEastAsia" w:cstheme="majorBidi"/>
      <w:color w:val="864EA8" w:themeColor="accent1" w:themeShade="BF"/>
      <w:sz w:val="28"/>
      <w:szCs w:val="28"/>
    </w:rPr>
  </w:style>
  <w:style w:type="paragraph" w:styleId="Heading4">
    <w:name w:val="heading 4"/>
    <w:basedOn w:val="Normal"/>
    <w:next w:val="Normal"/>
    <w:link w:val="Heading4Char"/>
    <w:uiPriority w:val="9"/>
    <w:semiHidden/>
    <w:unhideWhenUsed/>
    <w:qFormat/>
    <w:rsid w:val="007E0CF3"/>
    <w:pPr>
      <w:keepNext/>
      <w:keepLines/>
      <w:spacing w:before="80" w:after="40"/>
      <w:outlineLvl w:val="3"/>
    </w:pPr>
    <w:rPr>
      <w:rFonts w:eastAsiaTheme="majorEastAsia" w:cstheme="majorBidi"/>
      <w:i/>
      <w:iCs/>
      <w:color w:val="864EA8" w:themeColor="accent1" w:themeShade="BF"/>
    </w:rPr>
  </w:style>
  <w:style w:type="paragraph" w:styleId="Heading5">
    <w:name w:val="heading 5"/>
    <w:basedOn w:val="Normal"/>
    <w:next w:val="Normal"/>
    <w:link w:val="Heading5Char"/>
    <w:uiPriority w:val="9"/>
    <w:semiHidden/>
    <w:unhideWhenUsed/>
    <w:qFormat/>
    <w:rsid w:val="007E0CF3"/>
    <w:pPr>
      <w:keepNext/>
      <w:keepLines/>
      <w:spacing w:before="80" w:after="40"/>
      <w:outlineLvl w:val="4"/>
    </w:pPr>
    <w:rPr>
      <w:rFonts w:eastAsiaTheme="majorEastAsia" w:cstheme="majorBidi"/>
      <w:color w:val="864EA8" w:themeColor="accent1" w:themeShade="BF"/>
    </w:rPr>
  </w:style>
  <w:style w:type="paragraph" w:styleId="Heading6">
    <w:name w:val="heading 6"/>
    <w:basedOn w:val="Normal"/>
    <w:next w:val="Normal"/>
    <w:link w:val="Heading6Char"/>
    <w:uiPriority w:val="9"/>
    <w:semiHidden/>
    <w:unhideWhenUsed/>
    <w:qFormat/>
    <w:rsid w:val="007E0C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0C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0C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0C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CF3"/>
    <w:rPr>
      <w:rFonts w:asciiTheme="majorHAnsi" w:eastAsiaTheme="majorEastAsia" w:hAnsiTheme="majorHAnsi" w:cstheme="majorBidi"/>
      <w:color w:val="864EA8" w:themeColor="accent1" w:themeShade="BF"/>
      <w:sz w:val="40"/>
      <w:szCs w:val="40"/>
    </w:rPr>
  </w:style>
  <w:style w:type="character" w:customStyle="1" w:styleId="Heading2Char">
    <w:name w:val="Heading 2 Char"/>
    <w:basedOn w:val="DefaultParagraphFont"/>
    <w:link w:val="Heading2"/>
    <w:uiPriority w:val="9"/>
    <w:semiHidden/>
    <w:rsid w:val="007E0CF3"/>
    <w:rPr>
      <w:rFonts w:asciiTheme="majorHAnsi" w:eastAsiaTheme="majorEastAsia" w:hAnsiTheme="majorHAnsi" w:cstheme="majorBidi"/>
      <w:color w:val="864EA8" w:themeColor="accent1" w:themeShade="BF"/>
      <w:sz w:val="32"/>
      <w:szCs w:val="32"/>
    </w:rPr>
  </w:style>
  <w:style w:type="character" w:customStyle="1" w:styleId="Heading3Char">
    <w:name w:val="Heading 3 Char"/>
    <w:basedOn w:val="DefaultParagraphFont"/>
    <w:link w:val="Heading3"/>
    <w:uiPriority w:val="9"/>
    <w:semiHidden/>
    <w:rsid w:val="007E0CF3"/>
    <w:rPr>
      <w:rFonts w:eastAsiaTheme="majorEastAsia" w:cstheme="majorBidi"/>
      <w:color w:val="864EA8" w:themeColor="accent1" w:themeShade="BF"/>
      <w:sz w:val="28"/>
      <w:szCs w:val="28"/>
    </w:rPr>
  </w:style>
  <w:style w:type="character" w:customStyle="1" w:styleId="Heading4Char">
    <w:name w:val="Heading 4 Char"/>
    <w:basedOn w:val="DefaultParagraphFont"/>
    <w:link w:val="Heading4"/>
    <w:uiPriority w:val="9"/>
    <w:semiHidden/>
    <w:rsid w:val="007E0CF3"/>
    <w:rPr>
      <w:rFonts w:eastAsiaTheme="majorEastAsia" w:cstheme="majorBidi"/>
      <w:i/>
      <w:iCs/>
      <w:color w:val="864EA8" w:themeColor="accent1" w:themeShade="BF"/>
    </w:rPr>
  </w:style>
  <w:style w:type="character" w:customStyle="1" w:styleId="Heading5Char">
    <w:name w:val="Heading 5 Char"/>
    <w:basedOn w:val="DefaultParagraphFont"/>
    <w:link w:val="Heading5"/>
    <w:uiPriority w:val="9"/>
    <w:semiHidden/>
    <w:rsid w:val="007E0CF3"/>
    <w:rPr>
      <w:rFonts w:eastAsiaTheme="majorEastAsia" w:cstheme="majorBidi"/>
      <w:color w:val="864EA8" w:themeColor="accent1" w:themeShade="BF"/>
    </w:rPr>
  </w:style>
  <w:style w:type="character" w:customStyle="1" w:styleId="Heading6Char">
    <w:name w:val="Heading 6 Char"/>
    <w:basedOn w:val="DefaultParagraphFont"/>
    <w:link w:val="Heading6"/>
    <w:uiPriority w:val="9"/>
    <w:semiHidden/>
    <w:rsid w:val="007E0C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0C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0C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0CF3"/>
    <w:rPr>
      <w:rFonts w:eastAsiaTheme="majorEastAsia" w:cstheme="majorBidi"/>
      <w:color w:val="272727" w:themeColor="text1" w:themeTint="D8"/>
    </w:rPr>
  </w:style>
  <w:style w:type="paragraph" w:styleId="Title">
    <w:name w:val="Title"/>
    <w:basedOn w:val="Normal"/>
    <w:next w:val="Normal"/>
    <w:link w:val="TitleChar"/>
    <w:uiPriority w:val="10"/>
    <w:qFormat/>
    <w:rsid w:val="007E0C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0C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0C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0C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0CF3"/>
    <w:pPr>
      <w:spacing w:before="160"/>
      <w:jc w:val="center"/>
    </w:pPr>
    <w:rPr>
      <w:i/>
      <w:iCs/>
      <w:color w:val="404040" w:themeColor="text1" w:themeTint="BF"/>
    </w:rPr>
  </w:style>
  <w:style w:type="character" w:customStyle="1" w:styleId="QuoteChar">
    <w:name w:val="Quote Char"/>
    <w:basedOn w:val="DefaultParagraphFont"/>
    <w:link w:val="Quote"/>
    <w:uiPriority w:val="29"/>
    <w:rsid w:val="007E0CF3"/>
    <w:rPr>
      <w:i/>
      <w:iCs/>
      <w:color w:val="404040" w:themeColor="text1" w:themeTint="BF"/>
    </w:rPr>
  </w:style>
  <w:style w:type="paragraph" w:styleId="ListParagraph">
    <w:name w:val="List Paragraph"/>
    <w:basedOn w:val="Normal"/>
    <w:uiPriority w:val="34"/>
    <w:qFormat/>
    <w:rsid w:val="007E0CF3"/>
    <w:pPr>
      <w:ind w:left="720"/>
      <w:contextualSpacing/>
    </w:pPr>
  </w:style>
  <w:style w:type="character" w:styleId="IntenseEmphasis">
    <w:name w:val="Intense Emphasis"/>
    <w:basedOn w:val="DefaultParagraphFont"/>
    <w:uiPriority w:val="21"/>
    <w:qFormat/>
    <w:rsid w:val="007E0CF3"/>
    <w:rPr>
      <w:i/>
      <w:iCs/>
      <w:color w:val="864EA8" w:themeColor="accent1" w:themeShade="BF"/>
    </w:rPr>
  </w:style>
  <w:style w:type="paragraph" w:styleId="IntenseQuote">
    <w:name w:val="Intense Quote"/>
    <w:basedOn w:val="Normal"/>
    <w:next w:val="Normal"/>
    <w:link w:val="IntenseQuoteChar"/>
    <w:uiPriority w:val="30"/>
    <w:qFormat/>
    <w:rsid w:val="007E0CF3"/>
    <w:pPr>
      <w:pBdr>
        <w:top w:val="single" w:sz="4" w:space="10" w:color="864EA8" w:themeColor="accent1" w:themeShade="BF"/>
        <w:bottom w:val="single" w:sz="4" w:space="10" w:color="864EA8" w:themeColor="accent1" w:themeShade="BF"/>
      </w:pBdr>
      <w:spacing w:before="360" w:after="360"/>
      <w:ind w:left="864" w:right="864"/>
      <w:jc w:val="center"/>
    </w:pPr>
    <w:rPr>
      <w:i/>
      <w:iCs/>
      <w:color w:val="864EA8" w:themeColor="accent1" w:themeShade="BF"/>
    </w:rPr>
  </w:style>
  <w:style w:type="character" w:customStyle="1" w:styleId="IntenseQuoteChar">
    <w:name w:val="Intense Quote Char"/>
    <w:basedOn w:val="DefaultParagraphFont"/>
    <w:link w:val="IntenseQuote"/>
    <w:uiPriority w:val="30"/>
    <w:rsid w:val="007E0CF3"/>
    <w:rPr>
      <w:i/>
      <w:iCs/>
      <w:color w:val="864EA8" w:themeColor="accent1" w:themeShade="BF"/>
    </w:rPr>
  </w:style>
  <w:style w:type="character" w:styleId="IntenseReference">
    <w:name w:val="Intense Reference"/>
    <w:basedOn w:val="DefaultParagraphFont"/>
    <w:uiPriority w:val="32"/>
    <w:qFormat/>
    <w:rsid w:val="007E0CF3"/>
    <w:rPr>
      <w:b/>
      <w:bCs/>
      <w:smallCaps/>
      <w:color w:val="864EA8" w:themeColor="accent1" w:themeShade="BF"/>
      <w:spacing w:val="5"/>
    </w:rPr>
  </w:style>
  <w:style w:type="character" w:styleId="Hyperlink">
    <w:name w:val="Hyperlink"/>
    <w:basedOn w:val="DefaultParagraphFont"/>
    <w:uiPriority w:val="99"/>
    <w:unhideWhenUsed/>
    <w:rsid w:val="00A0413C"/>
    <w:rPr>
      <w:color w:val="69A020" w:themeColor="hyperlink"/>
      <w:u w:val="single"/>
    </w:rPr>
  </w:style>
  <w:style w:type="character" w:styleId="UnresolvedMention">
    <w:name w:val="Unresolved Mention"/>
    <w:basedOn w:val="DefaultParagraphFont"/>
    <w:uiPriority w:val="99"/>
    <w:semiHidden/>
    <w:unhideWhenUsed/>
    <w:rsid w:val="00A0413C"/>
    <w:rPr>
      <w:color w:val="605E5C"/>
      <w:shd w:val="clear" w:color="auto" w:fill="E1DFDD"/>
    </w:rPr>
  </w:style>
  <w:style w:type="paragraph" w:styleId="NoSpacing">
    <w:name w:val="No Spacing"/>
    <w:link w:val="NoSpacingChar"/>
    <w:uiPriority w:val="1"/>
    <w:qFormat/>
    <w:rsid w:val="007A6CF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A6CF2"/>
    <w:rPr>
      <w:rFonts w:eastAsiaTheme="minorEastAsia"/>
      <w:kern w:val="0"/>
      <w:sz w:val="22"/>
      <w:szCs w:val="22"/>
      <w:lang w:val="en-US"/>
      <w14:ligatures w14:val="none"/>
    </w:rPr>
  </w:style>
  <w:style w:type="paragraph" w:customStyle="1" w:styleId="TableParagraph">
    <w:name w:val="Table Paragraph"/>
    <w:basedOn w:val="Normal"/>
    <w:uiPriority w:val="1"/>
    <w:qFormat/>
    <w:rsid w:val="00713775"/>
    <w:pPr>
      <w:spacing w:after="0" w:line="240" w:lineRule="auto"/>
    </w:pPr>
    <w:rPr>
      <w:rFonts w:eastAsiaTheme="minorEastAsia"/>
      <w:kern w:val="0"/>
      <w:sz w:val="22"/>
      <w:szCs w:val="22"/>
      <w:lang w:eastAsia="en-GB"/>
      <w14:ligatures w14:val="none"/>
    </w:rPr>
  </w:style>
  <w:style w:type="paragraph" w:styleId="Header">
    <w:name w:val="header"/>
    <w:basedOn w:val="Normal"/>
    <w:link w:val="HeaderChar"/>
    <w:uiPriority w:val="99"/>
    <w:unhideWhenUsed/>
    <w:rsid w:val="009F30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0A9"/>
  </w:style>
  <w:style w:type="paragraph" w:styleId="Footer">
    <w:name w:val="footer"/>
    <w:basedOn w:val="Normal"/>
    <w:link w:val="FooterChar"/>
    <w:uiPriority w:val="99"/>
    <w:unhideWhenUsed/>
    <w:rsid w:val="009F30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0A9"/>
  </w:style>
  <w:style w:type="paragraph" w:styleId="TOCHeading">
    <w:name w:val="TOC Heading"/>
    <w:basedOn w:val="Heading1"/>
    <w:next w:val="Normal"/>
    <w:uiPriority w:val="39"/>
    <w:unhideWhenUsed/>
    <w:qFormat/>
    <w:rsid w:val="003C4D21"/>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3C4D21"/>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3C4D21"/>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3C4D21"/>
    <w:pPr>
      <w:spacing w:after="100" w:line="259" w:lineRule="auto"/>
      <w:ind w:left="440"/>
    </w:pPr>
    <w:rPr>
      <w:rFonts w:eastAsiaTheme="minorEastAsia" w:cs="Times New Roman"/>
      <w:kern w:val="0"/>
      <w:sz w:val="22"/>
      <w:szCs w:val="22"/>
      <w:lang w:val="en-US"/>
      <w14:ligatures w14:val="none"/>
    </w:rPr>
  </w:style>
  <w:style w:type="character" w:styleId="LineNumber">
    <w:name w:val="line number"/>
    <w:basedOn w:val="DefaultParagraphFont"/>
    <w:uiPriority w:val="99"/>
    <w:semiHidden/>
    <w:unhideWhenUsed/>
    <w:rsid w:val="007B67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orldbank.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penbanking.org.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hsbc.com/" TargetMode="External"/><Relationship Id="rId4" Type="http://schemas.openxmlformats.org/officeDocument/2006/relationships/settings" Target="settings.xml"/><Relationship Id="rId9" Type="http://schemas.openxmlformats.org/officeDocument/2006/relationships/hyperlink" Target="https://www.ey.com/" TargetMode="External"/><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Slat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Slate">
      <a:majorFont>
        <a:latin typeface="Calisto MT" panose="02040603050505030304"/>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listo MT" panose="02040603050505030304"/>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solidFill>
        <a:blipFill rotWithShape="1">
          <a:blip xmlns:r="http://schemas.openxmlformats.org/officeDocument/2006/relationships" r:embed="rId1">
            <a:duotone>
              <a:schemeClr val="phClr">
                <a:shade val="80000"/>
                <a:lumMod val="80000"/>
              </a:schemeClr>
              <a:schemeClr val="phClr">
                <a:tint val="98000"/>
              </a:schemeClr>
            </a:duotone>
          </a:blip>
          <a:stretch/>
        </a:blipFill>
      </a:bgFillStyleLst>
    </a:fmtScheme>
  </a:themeElements>
  <a:objectDefaults/>
  <a:extraClrSchemeLst/>
  <a:extLst>
    <a:ext uri="{05A4C25C-085E-4340-85A3-A5531E510DB2}">
      <thm15:themeFamily xmlns:thm15="http://schemas.microsoft.com/office/thememl/2012/main" name="Slate" id="{C3F70B94-7CE9-428E-ADC1-3269CC2C3385}" vid="{3F2DE9A5-64E6-437C-A389-CC4477E817E8}"/>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16F4CB-8648-427D-ABC8-B163AA3C1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25</Pages>
  <Words>6248</Words>
  <Characters>35618</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Nazra Parveen</dc:creator>
  <cp:keywords/>
  <dc:description/>
  <cp:lastModifiedBy>Nazra Parveen</cp:lastModifiedBy>
  <cp:revision>111</cp:revision>
  <dcterms:created xsi:type="dcterms:W3CDTF">2026-03-03T13:06:00Z</dcterms:created>
  <dcterms:modified xsi:type="dcterms:W3CDTF">2026-03-06T15:38:00Z</dcterms:modified>
</cp:coreProperties>
</file>