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C1EB4" w14:textId="776810FD" w:rsidR="004B7E44" w:rsidRPr="006A1BCE" w:rsidRDefault="004B7E44" w:rsidP="006A1BCE">
      <w:pPr>
        <w:jc w:val="lowKashida"/>
      </w:pPr>
      <w:r w:rsidRPr="006A1BCE">
        <w:rPr>
          <w:noProof/>
          <w:lang w:bidi="en-GB"/>
        </w:rPr>
        <w:drawing>
          <wp:anchor distT="0" distB="0" distL="114300" distR="114300" simplePos="0" relativeHeight="251658240" behindDoc="1" locked="0" layoutInCell="1" allowOverlap="1" wp14:anchorId="27F5D714" wp14:editId="276AA932">
            <wp:simplePos x="0" y="0"/>
            <wp:positionH relativeFrom="column">
              <wp:posOffset>-720090</wp:posOffset>
            </wp:positionH>
            <wp:positionV relativeFrom="page">
              <wp:posOffset>-445</wp:posOffset>
            </wp:positionV>
            <wp:extent cx="7740015" cy="10842171"/>
            <wp:effectExtent l="0" t="0" r="0" b="0"/>
            <wp:wrapNone/>
            <wp:docPr id="1" name="Picture 1" descr="detail of city buildings in black&amp;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tail of city buildings in black&amp;whit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40015" cy="10842171"/>
                    </a:xfrm>
                    <a:prstGeom prst="rect">
                      <a:avLst/>
                    </a:prstGeom>
                    <a:blipFill>
                      <a:blip r:embed="rId9"/>
                      <a:stretch>
                        <a:fillRect/>
                      </a:stretch>
                    </a:blipFill>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page" w:tblpX="571" w:tblpY="1470"/>
        <w:tblW w:w="9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613"/>
      </w:tblGrid>
      <w:tr w:rsidR="00323F79" w:rsidRPr="006A1BCE" w14:paraId="1A256484" w14:textId="77777777" w:rsidTr="00323F79">
        <w:trPr>
          <w:trHeight w:val="2816"/>
        </w:trPr>
        <w:tc>
          <w:tcPr>
            <w:tcW w:w="9613" w:type="dxa"/>
            <w:tcBorders>
              <w:top w:val="nil"/>
              <w:left w:val="nil"/>
              <w:bottom w:val="nil"/>
              <w:right w:val="nil"/>
            </w:tcBorders>
          </w:tcPr>
          <w:p w14:paraId="401C5CA5" w14:textId="77777777" w:rsidR="00323F79" w:rsidRPr="006A1BCE" w:rsidRDefault="00323F79" w:rsidP="006A1BCE">
            <w:pPr>
              <w:jc w:val="lowKashida"/>
            </w:pPr>
            <w:r w:rsidRPr="006A1BCE">
              <w:rPr>
                <w:noProof/>
                <w:lang w:bidi="en-GB"/>
              </w:rPr>
              <mc:AlternateContent>
                <mc:Choice Requires="wps">
                  <w:drawing>
                    <wp:anchor distT="0" distB="0" distL="114300" distR="114300" simplePos="0" relativeHeight="251660288" behindDoc="1" locked="0" layoutInCell="1" allowOverlap="1" wp14:anchorId="59D37CE0" wp14:editId="216A957D">
                      <wp:simplePos x="0" y="0"/>
                      <wp:positionH relativeFrom="column">
                        <wp:posOffset>-691335</wp:posOffset>
                      </wp:positionH>
                      <wp:positionV relativeFrom="page">
                        <wp:posOffset>-1150212</wp:posOffset>
                      </wp:positionV>
                      <wp:extent cx="6748145" cy="5984875"/>
                      <wp:effectExtent l="0" t="0" r="0" b="0"/>
                      <wp:wrapNone/>
                      <wp:docPr id="2" name="Rectangle 2" descr="coloured rectangle"/>
                      <wp:cNvGraphicFramePr/>
                      <a:graphic xmlns:a="http://schemas.openxmlformats.org/drawingml/2006/main">
                        <a:graphicData uri="http://schemas.microsoft.com/office/word/2010/wordprocessingShape">
                          <wps:wsp>
                            <wps:cNvSpPr/>
                            <wps:spPr>
                              <a:xfrm>
                                <a:off x="0" y="0"/>
                                <a:ext cx="6748145" cy="5984875"/>
                              </a:xfrm>
                              <a:prstGeom prst="rect">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F4DCF6" id="Rectangle 2" o:spid="_x0000_s1026" alt="coloured rectangle" style="position:absolute;margin-left:-54.45pt;margin-top:-90.55pt;width:531.35pt;height:471.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" fillcolor="#0070c0" stroked="f" strokeweight="2pt">
                      <w10:wrap anchory="page"/>
                    </v:rect>
                  </w:pict>
                </mc:Fallback>
              </mc:AlternateContent>
            </w:r>
            <w:r w:rsidRPr="006A1BCE">
              <w:rPr>
                <w:noProof/>
                <w:lang w:bidi="en-GB"/>
              </w:rPr>
              <mc:AlternateContent>
                <mc:Choice Requires="wps">
                  <w:drawing>
                    <wp:inline distT="0" distB="0" distL="0" distR="0" wp14:anchorId="10F59668" wp14:editId="3897DDE3">
                      <wp:extent cx="6005015" cy="1506829"/>
                      <wp:effectExtent l="0" t="0" r="0" b="0"/>
                      <wp:docPr id="8" name="Text Box 8"/>
                      <wp:cNvGraphicFramePr/>
                      <a:graphic xmlns:a="http://schemas.openxmlformats.org/drawingml/2006/main">
                        <a:graphicData uri="http://schemas.microsoft.com/office/word/2010/wordprocessingShape">
                          <wps:wsp>
                            <wps:cNvSpPr txBox="1"/>
                            <wps:spPr>
                              <a:xfrm>
                                <a:off x="0" y="0"/>
                                <a:ext cx="6005015" cy="1506829"/>
                              </a:xfrm>
                              <a:prstGeom prst="rect">
                                <a:avLst/>
                              </a:prstGeom>
                              <a:noFill/>
                              <a:ln w="6350">
                                <a:noFill/>
                              </a:ln>
                            </wps:spPr>
                            <wps:txbx>
                              <w:txbxContent>
                                <w:p w14:paraId="338B4F6D" w14:textId="77777777" w:rsidR="00323F79" w:rsidRPr="00655753" w:rsidRDefault="00323F79" w:rsidP="00323F79">
                                  <w:pPr>
                                    <w:rPr>
                                      <w:sz w:val="460"/>
                                      <w:szCs w:val="340"/>
                                    </w:rPr>
                                  </w:pPr>
                                  <w:r w:rsidRPr="00655753">
                                    <w:rPr>
                                      <w:sz w:val="72"/>
                                      <w:szCs w:val="52"/>
                                    </w:rPr>
                                    <w:t xml:space="preserve">Leading and implementing workplace change </w:t>
                                  </w:r>
                                  <w:r w:rsidRPr="00323F79">
                                    <w:rPr>
                                      <w:sz w:val="48"/>
                                      <w:szCs w:val="48"/>
                                    </w:rPr>
                                    <w:t>(BMSW6103</w:t>
                                  </w:r>
                                  <w:r>
                                    <w:rPr>
                                      <w:sz w:val="48"/>
                                      <w:szCs w:val="4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10F59668" id="_x0000_t202" coordsize="21600,21600" o:spt="202" path="m,l,21600r21600,l21600,xe">
                      <v:stroke joinstyle="miter"/>
                      <v:path gradientshapeok="t" o:connecttype="rect"/>
                    </v:shapetype>
                    <v:shape id="Text Box 8" o:spid="_x0000_s1026" type="#_x0000_t202" style="width:472.85pt;height:118.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" filled="f" stroked="f" strokeweight=".5pt">
                      <v:textbox>
                        <w:txbxContent>
                          <w:p w14:paraId="338B4F6D" w14:textId="77777777" w:rsidR="00323F79" w:rsidRPr="00655753" w:rsidRDefault="00323F79" w:rsidP="00323F79">
                            <w:pPr>
                              <w:rPr>
                                <w:sz w:val="460"/>
                                <w:szCs w:val="340"/>
                              </w:rPr>
                            </w:pPr>
                            <w:r w:rsidRPr="00655753">
                              <w:rPr>
                                <w:sz w:val="72"/>
                                <w:szCs w:val="52"/>
                              </w:rPr>
                              <w:t xml:space="preserve">Leading and implementing workplace change </w:t>
                            </w:r>
                            <w:r w:rsidRPr="00323F79">
                              <w:rPr>
                                <w:sz w:val="48"/>
                                <w:szCs w:val="48"/>
                              </w:rPr>
                              <w:t>(BMSW6103</w:t>
                            </w:r>
                            <w:r>
                              <w:rPr>
                                <w:sz w:val="48"/>
                                <w:szCs w:val="48"/>
                              </w:rPr>
                              <w:t>)</w:t>
                            </w:r>
                          </w:p>
                        </w:txbxContent>
                      </v:textbox>
                      <w10:anchorlock/>
                    </v:shape>
                  </w:pict>
                </mc:Fallback>
              </mc:AlternateContent>
            </w:r>
          </w:p>
          <w:p w14:paraId="1B1AF45B" w14:textId="6BC2ABA2" w:rsidR="00323F79" w:rsidRPr="006A1BCE" w:rsidRDefault="00323F79" w:rsidP="006A1BCE">
            <w:pPr>
              <w:jc w:val="lowKashida"/>
            </w:pPr>
            <w:r w:rsidRPr="006A1BCE">
              <w:rPr>
                <w:noProof/>
                <w:lang w:bidi="en-GB"/>
              </w:rPr>
              <mc:AlternateContent>
                <mc:Choice Requires="wps">
                  <w:drawing>
                    <wp:inline distT="0" distB="0" distL="0" distR="0" wp14:anchorId="35281998" wp14:editId="68077DAC">
                      <wp:extent cx="785611" cy="0"/>
                      <wp:effectExtent l="0" t="38100" r="52705" b="38100"/>
                      <wp:docPr id="5" name="Straight Connector 5" descr="text divider"/>
                      <wp:cNvGraphicFramePr/>
                      <a:graphic xmlns:a="http://schemas.openxmlformats.org/drawingml/2006/main">
                        <a:graphicData uri="http://schemas.microsoft.com/office/word/2010/wordprocessingShape">
                          <wps:wsp>
                            <wps:cNvCnPr/>
                            <wps:spPr>
                              <a:xfrm>
                                <a:off x="0" y="0"/>
                                <a:ext cx="785611" cy="0"/>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57C4340A"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61.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" strokecolor="white [3212]" strokeweight="6pt">
                      <w10:anchorlock/>
                    </v:line>
                  </w:pict>
                </mc:Fallback>
              </mc:AlternateContent>
            </w:r>
          </w:p>
          <w:p w14:paraId="741D1116" w14:textId="6E6C0B72" w:rsidR="00323F79" w:rsidRPr="006A1BCE" w:rsidRDefault="00323F79" w:rsidP="006A1BCE">
            <w:pPr>
              <w:jc w:val="lowKashida"/>
            </w:pPr>
            <w:r w:rsidRPr="006A1BCE">
              <w:rPr>
                <w:noProof/>
                <w:lang w:bidi="en-GB"/>
              </w:rPr>
              <mc:AlternateContent>
                <mc:Choice Requires="wps">
                  <w:drawing>
                    <wp:anchor distT="0" distB="0" distL="114300" distR="114300" simplePos="0" relativeHeight="251661312" behindDoc="1" locked="0" layoutInCell="1" allowOverlap="1" wp14:anchorId="51B2D2DA" wp14:editId="1EFEEDA5">
                      <wp:simplePos x="0" y="0"/>
                      <wp:positionH relativeFrom="column">
                        <wp:posOffset>11430</wp:posOffset>
                      </wp:positionH>
                      <wp:positionV relativeFrom="paragraph">
                        <wp:posOffset>1517650</wp:posOffset>
                      </wp:positionV>
                      <wp:extent cx="5867400" cy="1379220"/>
                      <wp:effectExtent l="0" t="0" r="0" b="0"/>
                      <wp:wrapTight wrapText="bothSides">
                        <wp:wrapPolygon edited="0">
                          <wp:start x="210" y="0"/>
                          <wp:lineTo x="210" y="21182"/>
                          <wp:lineTo x="21390" y="21182"/>
                          <wp:lineTo x="21390" y="0"/>
                          <wp:lineTo x="210" y="0"/>
                        </wp:wrapPolygon>
                      </wp:wrapTight>
                      <wp:docPr id="6" name="Text Box 6"/>
                      <wp:cNvGraphicFramePr/>
                      <a:graphic xmlns:a="http://schemas.openxmlformats.org/drawingml/2006/main">
                        <a:graphicData uri="http://schemas.microsoft.com/office/word/2010/wordprocessingShape">
                          <wps:wsp>
                            <wps:cNvSpPr txBox="1"/>
                            <wps:spPr>
                              <a:xfrm>
                                <a:off x="0" y="0"/>
                                <a:ext cx="5867400" cy="1379220"/>
                              </a:xfrm>
                              <a:prstGeom prst="rect">
                                <a:avLst/>
                              </a:prstGeom>
                              <a:noFill/>
                              <a:ln w="6350">
                                <a:noFill/>
                              </a:ln>
                            </wps:spPr>
                            <wps:txbx>
                              <w:txbxContent>
                                <w:p w14:paraId="09E79113" w14:textId="46C3BF25" w:rsidR="00323F79" w:rsidRPr="00D02592" w:rsidRDefault="00323F79" w:rsidP="00323F79">
                                  <w:pPr>
                                    <w:rPr>
                                      <w:color w:val="auto"/>
                                      <w:sz w:val="48"/>
                                      <w:szCs w:val="40"/>
                                      <w:lang w:bidi="en-GB"/>
                                    </w:rPr>
                                  </w:pPr>
                                  <w:r w:rsidRPr="00655753">
                                    <w:rPr>
                                      <w:sz w:val="48"/>
                                      <w:szCs w:val="40"/>
                                      <w:lang w:bidi="en-GB"/>
                                    </w:rPr>
                                    <w:t>Student name and number</w:t>
                                  </w:r>
                                  <w:r w:rsidR="00321C9D">
                                    <w:rPr>
                                      <w:sz w:val="48"/>
                                      <w:szCs w:val="40"/>
                                      <w:lang w:bidi="en-GB"/>
                                    </w:rPr>
                                    <w:t xml:space="preserve">: </w:t>
                                  </w:r>
                                  <w:r w:rsidR="00D02592">
                                    <w:rPr>
                                      <w:sz w:val="48"/>
                                      <w:szCs w:val="40"/>
                                      <w:lang w:bidi="en-GB"/>
                                    </w:rPr>
                                    <w:t>Mihai Radu Stanciu</w:t>
                                  </w:r>
                                  <w:r w:rsidR="000E7DFF">
                                    <w:rPr>
                                      <w:sz w:val="48"/>
                                      <w:szCs w:val="40"/>
                                      <w:lang w:bidi="en-GB"/>
                                    </w:rPr>
                                    <w:t xml:space="preserve"> / </w:t>
                                  </w:r>
                                  <w:r w:rsidR="00321C9D" w:rsidRPr="00D02592">
                                    <w:rPr>
                                      <w:sz w:val="48"/>
                                      <w:szCs w:val="40"/>
                                      <w:lang w:bidi="en-GB"/>
                                    </w:rPr>
                                    <w:t>2</w:t>
                                  </w:r>
                                  <w:r w:rsidR="00D02592" w:rsidRPr="00D02592">
                                    <w:rPr>
                                      <w:sz w:val="48"/>
                                      <w:szCs w:val="40"/>
                                      <w:lang w:bidi="en-GB"/>
                                    </w:rPr>
                                    <w:t>111825</w:t>
                                  </w:r>
                                  <w:r w:rsidR="00321C9D" w:rsidRPr="00321C9D">
                                    <w:rPr>
                                      <w:color w:val="auto"/>
                                      <w:sz w:val="48"/>
                                      <w:szCs w:val="40"/>
                                      <w:lang w:bidi="en-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B2D2DA" id="_x0000_t202" coordsize="21600,21600" o:spt="202" path="m,l,21600r21600,l21600,xe">
                      <v:stroke joinstyle="miter"/>
                      <v:path gradientshapeok="t" o:connecttype="rect"/>
                    </v:shapetype>
                    <v:shape id="Text Box 6" o:spid="_x0000_s1027" type="#_x0000_t202" style="position:absolute;left:0;text-align:left;margin-left:.9pt;margin-top:119.5pt;width:462pt;height:108.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" filled="f" stroked="f" strokeweight=".5pt">
                      <v:textbox>
                        <w:txbxContent>
                          <w:p w14:paraId="09E79113" w14:textId="46C3BF25" w:rsidR="00323F79" w:rsidRPr="00D02592" w:rsidRDefault="00323F79" w:rsidP="00323F79">
                            <w:pPr>
                              <w:rPr>
                                <w:color w:val="auto"/>
                                <w:sz w:val="48"/>
                                <w:szCs w:val="40"/>
                                <w:lang w:bidi="en-GB"/>
                              </w:rPr>
                            </w:pPr>
                            <w:r w:rsidRPr="00655753">
                              <w:rPr>
                                <w:sz w:val="48"/>
                                <w:szCs w:val="40"/>
                                <w:lang w:bidi="en-GB"/>
                              </w:rPr>
                              <w:t>Student name and number</w:t>
                            </w:r>
                            <w:r w:rsidR="00321C9D">
                              <w:rPr>
                                <w:sz w:val="48"/>
                                <w:szCs w:val="40"/>
                                <w:lang w:bidi="en-GB"/>
                              </w:rPr>
                              <w:t xml:space="preserve">: </w:t>
                            </w:r>
                            <w:r w:rsidR="00D02592">
                              <w:rPr>
                                <w:sz w:val="48"/>
                                <w:szCs w:val="40"/>
                                <w:lang w:bidi="en-GB"/>
                              </w:rPr>
                              <w:t>Mihai Radu Stanciu</w:t>
                            </w:r>
                            <w:r w:rsidR="000E7DFF">
                              <w:rPr>
                                <w:sz w:val="48"/>
                                <w:szCs w:val="40"/>
                                <w:lang w:bidi="en-GB"/>
                              </w:rPr>
                              <w:t xml:space="preserve"> / </w:t>
                            </w:r>
                            <w:r w:rsidR="00321C9D" w:rsidRPr="00D02592">
                              <w:rPr>
                                <w:sz w:val="48"/>
                                <w:szCs w:val="40"/>
                                <w:lang w:bidi="en-GB"/>
                              </w:rPr>
                              <w:t>2</w:t>
                            </w:r>
                            <w:r w:rsidR="00D02592" w:rsidRPr="00D02592">
                              <w:rPr>
                                <w:sz w:val="48"/>
                                <w:szCs w:val="40"/>
                                <w:lang w:bidi="en-GB"/>
                              </w:rPr>
                              <w:t>111825</w:t>
                            </w:r>
                            <w:r w:rsidR="00321C9D" w:rsidRPr="00321C9D">
                              <w:rPr>
                                <w:color w:val="auto"/>
                                <w:sz w:val="48"/>
                                <w:szCs w:val="40"/>
                                <w:lang w:bidi="en-GB"/>
                              </w:rPr>
                              <w:t xml:space="preserve"> </w:t>
                            </w:r>
                          </w:p>
                        </w:txbxContent>
                      </v:textbox>
                      <w10:wrap type="tight"/>
                    </v:shape>
                  </w:pict>
                </mc:Fallback>
              </mc:AlternateContent>
            </w:r>
            <w:r w:rsidRPr="006A1BCE">
              <w:rPr>
                <w:noProof/>
                <w:lang w:bidi="en-GB"/>
              </w:rPr>
              <mc:AlternateContent>
                <mc:Choice Requires="wps">
                  <w:drawing>
                    <wp:inline distT="0" distB="0" distL="0" distR="0" wp14:anchorId="3C3C4D20" wp14:editId="70679B04">
                      <wp:extent cx="5957248" cy="1358020"/>
                      <wp:effectExtent l="0" t="0" r="0" b="0"/>
                      <wp:docPr id="3" name="Text Box 3"/>
                      <wp:cNvGraphicFramePr/>
                      <a:graphic xmlns:a="http://schemas.openxmlformats.org/drawingml/2006/main">
                        <a:graphicData uri="http://schemas.microsoft.com/office/word/2010/wordprocessingShape">
                          <wps:wsp>
                            <wps:cNvSpPr txBox="1"/>
                            <wps:spPr>
                              <a:xfrm>
                                <a:off x="0" y="0"/>
                                <a:ext cx="5957248" cy="1358020"/>
                              </a:xfrm>
                              <a:prstGeom prst="rect">
                                <a:avLst/>
                              </a:prstGeom>
                              <a:noFill/>
                              <a:ln w="6350">
                                <a:noFill/>
                              </a:ln>
                            </wps:spPr>
                            <wps:txbx>
                              <w:txbxContent>
                                <w:p w14:paraId="0272D1CF" w14:textId="77777777" w:rsidR="00323F79" w:rsidRPr="00323F79" w:rsidRDefault="00323F79" w:rsidP="00323F79">
                                  <w:pPr>
                                    <w:rPr>
                                      <w:sz w:val="48"/>
                                      <w:szCs w:val="40"/>
                                    </w:rPr>
                                  </w:pPr>
                                  <w:r w:rsidRPr="00323F79">
                                    <w:rPr>
                                      <w:sz w:val="48"/>
                                      <w:szCs w:val="40"/>
                                      <w:lang w:bidi="en-GB"/>
                                    </w:rPr>
                                    <w:t>Cultural Influences on Change Management: A Case Study of Energy Power's Acquisition of Universal Elect Plc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C3C4D20" id="Text Box 3" o:spid="_x0000_s1028" type="#_x0000_t202" style="width:469.05pt;height:10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" filled="f" stroked="f" strokeweight=".5pt">
                      <v:textbox>
                        <w:txbxContent>
                          <w:p w14:paraId="0272D1CF" w14:textId="77777777" w:rsidR="00323F79" w:rsidRPr="00323F79" w:rsidRDefault="00323F79" w:rsidP="00323F79">
                            <w:pPr>
                              <w:rPr>
                                <w:sz w:val="48"/>
                                <w:szCs w:val="40"/>
                              </w:rPr>
                            </w:pPr>
                            <w:r w:rsidRPr="00323F79">
                              <w:rPr>
                                <w:sz w:val="48"/>
                                <w:szCs w:val="40"/>
                                <w:lang w:bidi="en-GB"/>
                              </w:rPr>
                              <w:t>Cultural Influences on Change Management: A Case Study of Energy Power's Acquisition of Universal Elect Plc</w:t>
                            </w:r>
                          </w:p>
                        </w:txbxContent>
                      </v:textbox>
                      <w10:anchorlock/>
                    </v:shape>
                  </w:pict>
                </mc:Fallback>
              </mc:AlternateContent>
            </w:r>
          </w:p>
        </w:tc>
      </w:tr>
      <w:tr w:rsidR="00323F79" w:rsidRPr="006A1BCE" w14:paraId="3BCD9B81" w14:textId="77777777" w:rsidTr="00323F79">
        <w:trPr>
          <w:trHeight w:val="4235"/>
        </w:trPr>
        <w:tc>
          <w:tcPr>
            <w:tcW w:w="9613" w:type="dxa"/>
            <w:tcBorders>
              <w:top w:val="nil"/>
              <w:left w:val="nil"/>
              <w:bottom w:val="nil"/>
              <w:right w:val="nil"/>
            </w:tcBorders>
            <w:vAlign w:val="bottom"/>
          </w:tcPr>
          <w:p w14:paraId="278DE89B" w14:textId="34C3F49D" w:rsidR="00323F79" w:rsidRPr="006A1BCE" w:rsidRDefault="00323F79" w:rsidP="006A1BCE">
            <w:pPr>
              <w:jc w:val="lowKashida"/>
            </w:pPr>
          </w:p>
          <w:p w14:paraId="0A21552F" w14:textId="5C8C02C6" w:rsidR="00323F79" w:rsidRPr="006A1BCE" w:rsidRDefault="00323F79" w:rsidP="006A1BCE">
            <w:pPr>
              <w:jc w:val="lowKashida"/>
            </w:pPr>
            <w:r w:rsidRPr="006A1BCE">
              <w:rPr>
                <w:noProof/>
              </w:rPr>
              <mc:AlternateContent>
                <mc:Choice Requires="wps">
                  <w:drawing>
                    <wp:anchor distT="0" distB="0" distL="114300" distR="114300" simplePos="0" relativeHeight="251662336" behindDoc="0" locked="0" layoutInCell="1" allowOverlap="1" wp14:anchorId="18604D46" wp14:editId="00A178B2">
                      <wp:simplePos x="0" y="0"/>
                      <wp:positionH relativeFrom="column">
                        <wp:posOffset>-361950</wp:posOffset>
                      </wp:positionH>
                      <wp:positionV relativeFrom="paragraph">
                        <wp:posOffset>1464310</wp:posOffset>
                      </wp:positionV>
                      <wp:extent cx="6482080" cy="1059180"/>
                      <wp:effectExtent l="0" t="0" r="0" b="7620"/>
                      <wp:wrapNone/>
                      <wp:docPr id="68429019" name="Rectangle 2"/>
                      <wp:cNvGraphicFramePr/>
                      <a:graphic xmlns:a="http://schemas.openxmlformats.org/drawingml/2006/main">
                        <a:graphicData uri="http://schemas.microsoft.com/office/word/2010/wordprocessingShape">
                          <wps:wsp>
                            <wps:cNvSpPr/>
                            <wps:spPr>
                              <a:xfrm>
                                <a:off x="0" y="0"/>
                                <a:ext cx="6482080" cy="1059180"/>
                              </a:xfrm>
                              <a:prstGeom prst="rect">
                                <a:avLst/>
                              </a:prstGeom>
                              <a:solidFill>
                                <a:srgbClr val="0070C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5BF2592" w14:textId="07BEF644" w:rsidR="00323F79" w:rsidRPr="00323F79" w:rsidRDefault="00323F79" w:rsidP="00323F79">
                                  <w:pPr>
                                    <w:rPr>
                                      <w:sz w:val="40"/>
                                      <w:szCs w:val="32"/>
                                    </w:rPr>
                                  </w:pPr>
                                  <w:r>
                                    <w:rPr>
                                      <w:sz w:val="40"/>
                                      <w:szCs w:val="32"/>
                                    </w:rPr>
                                    <w:t>Lecturer</w:t>
                                  </w:r>
                                  <w:r w:rsidRPr="00323F79">
                                    <w:rPr>
                                      <w:sz w:val="40"/>
                                      <w:szCs w:val="32"/>
                                    </w:rPr>
                                    <w:t>: Masoud Keimasi</w:t>
                                  </w:r>
                                </w:p>
                                <w:p w14:paraId="1C0D1691" w14:textId="5FC925C6" w:rsidR="00323F79" w:rsidRPr="00323F79" w:rsidRDefault="00323F79" w:rsidP="00323F79">
                                  <w:pPr>
                                    <w:rPr>
                                      <w:sz w:val="40"/>
                                      <w:szCs w:val="32"/>
                                    </w:rPr>
                                  </w:pPr>
                                  <w:r w:rsidRPr="00323F79">
                                    <w:rPr>
                                      <w:sz w:val="40"/>
                                      <w:szCs w:val="32"/>
                                    </w:rPr>
                                    <w:t>Number of words:</w:t>
                                  </w:r>
                                </w:p>
                                <w:p w14:paraId="1C06994E" w14:textId="11EFF22C" w:rsidR="00323F79" w:rsidRPr="00323F79" w:rsidRDefault="00323F79" w:rsidP="00323F79">
                                  <w:pPr>
                                    <w:rPr>
                                      <w:sz w:val="40"/>
                                      <w:szCs w:val="32"/>
                                    </w:rPr>
                                  </w:pPr>
                                  <w:r w:rsidRPr="00323F79">
                                    <w:rPr>
                                      <w:sz w:val="40"/>
                                      <w:szCs w:val="32"/>
                                    </w:rPr>
                                    <w:t>Submission date:</w:t>
                                  </w:r>
                                  <w:r w:rsidR="00D553C5">
                                    <w:rPr>
                                      <w:sz w:val="40"/>
                                      <w:szCs w:val="32"/>
                                    </w:rPr>
                                    <w:t xml:space="preserve"> 22/03/2024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604D46" id="Rectangle 2" o:spid="_x0000_s1029" style="position:absolute;left:0;text-align:left;margin-left:-28.5pt;margin-top:115.3pt;width:510.4pt;height:83.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" fillcolor="#0070c0" stroked="f" strokeweight="2pt">
                      <v:textbox>
                        <w:txbxContent>
                          <w:p w14:paraId="25BF2592" w14:textId="07BEF644" w:rsidR="00323F79" w:rsidRPr="00323F79" w:rsidRDefault="00323F79" w:rsidP="00323F79">
                            <w:pPr>
                              <w:rPr>
                                <w:sz w:val="40"/>
                                <w:szCs w:val="32"/>
                              </w:rPr>
                            </w:pPr>
                            <w:r>
                              <w:rPr>
                                <w:sz w:val="40"/>
                                <w:szCs w:val="32"/>
                              </w:rPr>
                              <w:t>Lecturer</w:t>
                            </w:r>
                            <w:r w:rsidRPr="00323F79">
                              <w:rPr>
                                <w:sz w:val="40"/>
                                <w:szCs w:val="32"/>
                              </w:rPr>
                              <w:t>: Masoud Keimasi</w:t>
                            </w:r>
                          </w:p>
                          <w:p w14:paraId="1C0D1691" w14:textId="5FC925C6" w:rsidR="00323F79" w:rsidRPr="00323F79" w:rsidRDefault="00323F79" w:rsidP="00323F79">
                            <w:pPr>
                              <w:rPr>
                                <w:sz w:val="40"/>
                                <w:szCs w:val="32"/>
                              </w:rPr>
                            </w:pPr>
                            <w:r w:rsidRPr="00323F79">
                              <w:rPr>
                                <w:sz w:val="40"/>
                                <w:szCs w:val="32"/>
                              </w:rPr>
                              <w:t>Number of words:</w:t>
                            </w:r>
                          </w:p>
                          <w:p w14:paraId="1C06994E" w14:textId="11EFF22C" w:rsidR="00323F79" w:rsidRPr="00323F79" w:rsidRDefault="00323F79" w:rsidP="00323F79">
                            <w:pPr>
                              <w:rPr>
                                <w:sz w:val="40"/>
                                <w:szCs w:val="32"/>
                              </w:rPr>
                            </w:pPr>
                            <w:r w:rsidRPr="00323F79">
                              <w:rPr>
                                <w:sz w:val="40"/>
                                <w:szCs w:val="32"/>
                              </w:rPr>
                              <w:t>Submission date:</w:t>
                            </w:r>
                            <w:r w:rsidR="00D553C5">
                              <w:rPr>
                                <w:sz w:val="40"/>
                                <w:szCs w:val="32"/>
                              </w:rPr>
                              <w:t xml:space="preserve"> 22/03/2024</w:t>
                            </w:r>
                          </w:p>
                        </w:txbxContent>
                      </v:textbox>
                    </v:rect>
                  </w:pict>
                </mc:Fallback>
              </mc:AlternateContent>
            </w:r>
          </w:p>
        </w:tc>
      </w:tr>
    </w:tbl>
    <w:p w14:paraId="5182ABAB" w14:textId="77777777" w:rsidR="004B7E44" w:rsidRPr="006A1BCE" w:rsidRDefault="004B7E44" w:rsidP="006A1BCE">
      <w:pPr>
        <w:spacing w:after="200"/>
        <w:jc w:val="lowKashida"/>
      </w:pPr>
      <w:r w:rsidRPr="006A1BCE">
        <w:rPr>
          <w:lang w:bidi="en-GB"/>
        </w:rPr>
        <w:br w:type="page"/>
      </w:r>
    </w:p>
    <w:sdt>
      <w:sdtPr>
        <w:rPr>
          <w:rFonts w:asciiTheme="minorHAnsi" w:eastAsiaTheme="minorEastAsia" w:hAnsiTheme="minorHAnsi" w:cstheme="minorBidi"/>
          <w:color w:val="FFFFFF" w:themeColor="background1"/>
          <w:sz w:val="28"/>
          <w:szCs w:val="22"/>
          <w:lang w:eastAsia="en-US"/>
        </w:rPr>
        <w:id w:val="1026521607"/>
        <w:docPartObj>
          <w:docPartGallery w:val="Table of Contents"/>
          <w:docPartUnique/>
        </w:docPartObj>
      </w:sdtPr>
      <w:sdtEndPr>
        <w:rPr>
          <w:b/>
          <w:bCs/>
        </w:rPr>
      </w:sdtEndPr>
      <w:sdtContent>
        <w:p w14:paraId="763847C9" w14:textId="39B63839" w:rsidR="006A1BCE" w:rsidRPr="006A1BCE" w:rsidRDefault="006A1BCE" w:rsidP="006A1BCE">
          <w:pPr>
            <w:pStyle w:val="TOCHeading"/>
            <w:jc w:val="lowKashida"/>
          </w:pPr>
          <w:r w:rsidRPr="006A1BCE">
            <w:t>Table of Contents</w:t>
          </w:r>
        </w:p>
        <w:p w14:paraId="7A2EC915" w14:textId="6D0E45E1" w:rsidR="00BF235D" w:rsidRPr="00BF235D" w:rsidRDefault="006A1BCE">
          <w:pPr>
            <w:pStyle w:val="TOC1"/>
            <w:tabs>
              <w:tab w:val="right" w:leader="dot" w:pos="9592"/>
            </w:tabs>
            <w:rPr>
              <w:noProof/>
              <w:color w:val="auto"/>
              <w:kern w:val="2"/>
              <w:sz w:val="22"/>
              <w:lang w:eastAsia="en-GB"/>
              <w14:ligatures w14:val="standardContextual"/>
            </w:rPr>
          </w:pPr>
          <w:r w:rsidRPr="006A1BCE">
            <w:fldChar w:fldCharType="begin"/>
          </w:r>
          <w:r w:rsidRPr="006A1BCE">
            <w:instrText xml:space="preserve"> TOC \o "1-3" \h \z \u </w:instrText>
          </w:r>
          <w:r w:rsidRPr="006A1BCE">
            <w:fldChar w:fldCharType="separate"/>
          </w:r>
          <w:hyperlink w:anchor="_Toc157265136" w:history="1">
            <w:r w:rsidR="00BF235D" w:rsidRPr="00BF235D">
              <w:rPr>
                <w:rStyle w:val="Hyperlink"/>
                <w:noProof/>
                <w:color w:val="auto"/>
              </w:rPr>
              <w:t>Introduction</w:t>
            </w:r>
            <w:r w:rsidR="00BF235D" w:rsidRPr="00BF235D">
              <w:rPr>
                <w:noProof/>
                <w:webHidden/>
                <w:color w:val="auto"/>
              </w:rPr>
              <w:tab/>
            </w:r>
            <w:r w:rsidR="00BF235D" w:rsidRPr="00BF235D">
              <w:rPr>
                <w:noProof/>
                <w:webHidden/>
                <w:color w:val="auto"/>
              </w:rPr>
              <w:fldChar w:fldCharType="begin"/>
            </w:r>
            <w:r w:rsidR="00BF235D" w:rsidRPr="00BF235D">
              <w:rPr>
                <w:noProof/>
                <w:webHidden/>
                <w:color w:val="auto"/>
              </w:rPr>
              <w:instrText xml:space="preserve"> PAGEREF _Toc157265136 \h </w:instrText>
            </w:r>
            <w:r w:rsidR="00BF235D" w:rsidRPr="00BF235D">
              <w:rPr>
                <w:noProof/>
                <w:webHidden/>
                <w:color w:val="auto"/>
              </w:rPr>
            </w:r>
            <w:r w:rsidR="00BF235D" w:rsidRPr="00BF235D">
              <w:rPr>
                <w:noProof/>
                <w:webHidden/>
                <w:color w:val="auto"/>
              </w:rPr>
              <w:fldChar w:fldCharType="separate"/>
            </w:r>
            <w:r w:rsidR="00BF235D" w:rsidRPr="00BF235D">
              <w:rPr>
                <w:noProof/>
                <w:webHidden/>
                <w:color w:val="auto"/>
              </w:rPr>
              <w:t>3</w:t>
            </w:r>
            <w:r w:rsidR="00BF235D" w:rsidRPr="00BF235D">
              <w:rPr>
                <w:noProof/>
                <w:webHidden/>
                <w:color w:val="auto"/>
              </w:rPr>
              <w:fldChar w:fldCharType="end"/>
            </w:r>
          </w:hyperlink>
        </w:p>
        <w:p w14:paraId="6FE51A92" w14:textId="2FF1BEE1" w:rsidR="00BF235D" w:rsidRPr="00BF235D" w:rsidRDefault="00E03669">
          <w:pPr>
            <w:pStyle w:val="TOC1"/>
            <w:tabs>
              <w:tab w:val="right" w:leader="dot" w:pos="9592"/>
            </w:tabs>
            <w:rPr>
              <w:noProof/>
              <w:color w:val="auto"/>
              <w:kern w:val="2"/>
              <w:sz w:val="22"/>
              <w:lang w:eastAsia="en-GB"/>
              <w14:ligatures w14:val="standardContextual"/>
            </w:rPr>
          </w:pPr>
          <w:hyperlink w:anchor="_Toc157265137" w:history="1">
            <w:r w:rsidR="00BF235D" w:rsidRPr="00BF235D">
              <w:rPr>
                <w:rStyle w:val="Hyperlink"/>
                <w:noProof/>
                <w:color w:val="auto"/>
              </w:rPr>
              <w:t>Culture's Influence on Communication and Negotiation</w:t>
            </w:r>
            <w:r w:rsidR="00BF235D" w:rsidRPr="00BF235D">
              <w:rPr>
                <w:noProof/>
                <w:webHidden/>
                <w:color w:val="auto"/>
              </w:rPr>
              <w:tab/>
            </w:r>
            <w:r w:rsidR="00BF235D" w:rsidRPr="00BF235D">
              <w:rPr>
                <w:noProof/>
                <w:webHidden/>
                <w:color w:val="auto"/>
              </w:rPr>
              <w:fldChar w:fldCharType="begin"/>
            </w:r>
            <w:r w:rsidR="00BF235D" w:rsidRPr="00BF235D">
              <w:rPr>
                <w:noProof/>
                <w:webHidden/>
                <w:color w:val="auto"/>
              </w:rPr>
              <w:instrText xml:space="preserve"> PAGEREF _Toc157265137 \h </w:instrText>
            </w:r>
            <w:r w:rsidR="00BF235D" w:rsidRPr="00BF235D">
              <w:rPr>
                <w:noProof/>
                <w:webHidden/>
                <w:color w:val="auto"/>
              </w:rPr>
            </w:r>
            <w:r w:rsidR="00BF235D" w:rsidRPr="00BF235D">
              <w:rPr>
                <w:noProof/>
                <w:webHidden/>
                <w:color w:val="auto"/>
              </w:rPr>
              <w:fldChar w:fldCharType="separate"/>
            </w:r>
            <w:r w:rsidR="00BF235D" w:rsidRPr="00BF235D">
              <w:rPr>
                <w:noProof/>
                <w:webHidden/>
                <w:color w:val="auto"/>
              </w:rPr>
              <w:t>3</w:t>
            </w:r>
            <w:r w:rsidR="00BF235D" w:rsidRPr="00BF235D">
              <w:rPr>
                <w:noProof/>
                <w:webHidden/>
                <w:color w:val="auto"/>
              </w:rPr>
              <w:fldChar w:fldCharType="end"/>
            </w:r>
          </w:hyperlink>
        </w:p>
        <w:p w14:paraId="43393B44" w14:textId="084C874C" w:rsidR="00BF235D" w:rsidRPr="00BF235D" w:rsidRDefault="00E03669">
          <w:pPr>
            <w:pStyle w:val="TOC1"/>
            <w:tabs>
              <w:tab w:val="right" w:leader="dot" w:pos="9592"/>
            </w:tabs>
            <w:rPr>
              <w:noProof/>
              <w:color w:val="auto"/>
              <w:kern w:val="2"/>
              <w:sz w:val="22"/>
              <w:lang w:eastAsia="en-GB"/>
              <w14:ligatures w14:val="standardContextual"/>
            </w:rPr>
          </w:pPr>
          <w:hyperlink w:anchor="_Toc157265138" w:history="1">
            <w:r w:rsidR="00BF235D" w:rsidRPr="00BF235D">
              <w:rPr>
                <w:rStyle w:val="Hyperlink"/>
                <w:noProof/>
                <w:color w:val="auto"/>
              </w:rPr>
              <w:t>Ethnocentric and Polycentric Model in People Management</w:t>
            </w:r>
            <w:r w:rsidR="00BF235D" w:rsidRPr="00BF235D">
              <w:rPr>
                <w:noProof/>
                <w:webHidden/>
                <w:color w:val="auto"/>
              </w:rPr>
              <w:tab/>
            </w:r>
            <w:r w:rsidR="00BF235D" w:rsidRPr="00BF235D">
              <w:rPr>
                <w:noProof/>
                <w:webHidden/>
                <w:color w:val="auto"/>
              </w:rPr>
              <w:fldChar w:fldCharType="begin"/>
            </w:r>
            <w:r w:rsidR="00BF235D" w:rsidRPr="00BF235D">
              <w:rPr>
                <w:noProof/>
                <w:webHidden/>
                <w:color w:val="auto"/>
              </w:rPr>
              <w:instrText xml:space="preserve"> PAGEREF _Toc157265138 \h </w:instrText>
            </w:r>
            <w:r w:rsidR="00BF235D" w:rsidRPr="00BF235D">
              <w:rPr>
                <w:noProof/>
                <w:webHidden/>
                <w:color w:val="auto"/>
              </w:rPr>
            </w:r>
            <w:r w:rsidR="00BF235D" w:rsidRPr="00BF235D">
              <w:rPr>
                <w:noProof/>
                <w:webHidden/>
                <w:color w:val="auto"/>
              </w:rPr>
              <w:fldChar w:fldCharType="separate"/>
            </w:r>
            <w:r w:rsidR="00BF235D" w:rsidRPr="00BF235D">
              <w:rPr>
                <w:noProof/>
                <w:webHidden/>
                <w:color w:val="auto"/>
              </w:rPr>
              <w:t>3</w:t>
            </w:r>
            <w:r w:rsidR="00BF235D" w:rsidRPr="00BF235D">
              <w:rPr>
                <w:noProof/>
                <w:webHidden/>
                <w:color w:val="auto"/>
              </w:rPr>
              <w:fldChar w:fldCharType="end"/>
            </w:r>
          </w:hyperlink>
        </w:p>
        <w:p w14:paraId="05A36CA9" w14:textId="6597B945" w:rsidR="00BF235D" w:rsidRPr="00BF235D" w:rsidRDefault="00E03669">
          <w:pPr>
            <w:pStyle w:val="TOC1"/>
            <w:tabs>
              <w:tab w:val="right" w:leader="dot" w:pos="9592"/>
            </w:tabs>
            <w:rPr>
              <w:noProof/>
              <w:color w:val="auto"/>
              <w:kern w:val="2"/>
              <w:sz w:val="22"/>
              <w:lang w:eastAsia="en-GB"/>
              <w14:ligatures w14:val="standardContextual"/>
            </w:rPr>
          </w:pPr>
          <w:hyperlink w:anchor="_Toc157265139" w:history="1">
            <w:r w:rsidR="00BF235D" w:rsidRPr="00BF235D">
              <w:rPr>
                <w:rStyle w:val="Hyperlink"/>
                <w:noProof/>
                <w:color w:val="auto"/>
              </w:rPr>
              <w:t>Interview Analysis on the Validity of the Lewis Model</w:t>
            </w:r>
            <w:r w:rsidR="00BF235D" w:rsidRPr="00BF235D">
              <w:rPr>
                <w:noProof/>
                <w:webHidden/>
                <w:color w:val="auto"/>
              </w:rPr>
              <w:tab/>
            </w:r>
            <w:r w:rsidR="00BF235D" w:rsidRPr="00BF235D">
              <w:rPr>
                <w:noProof/>
                <w:webHidden/>
                <w:color w:val="auto"/>
              </w:rPr>
              <w:fldChar w:fldCharType="begin"/>
            </w:r>
            <w:r w:rsidR="00BF235D" w:rsidRPr="00BF235D">
              <w:rPr>
                <w:noProof/>
                <w:webHidden/>
                <w:color w:val="auto"/>
              </w:rPr>
              <w:instrText xml:space="preserve"> PAGEREF _Toc157265139 \h </w:instrText>
            </w:r>
            <w:r w:rsidR="00BF235D" w:rsidRPr="00BF235D">
              <w:rPr>
                <w:noProof/>
                <w:webHidden/>
                <w:color w:val="auto"/>
              </w:rPr>
            </w:r>
            <w:r w:rsidR="00BF235D" w:rsidRPr="00BF235D">
              <w:rPr>
                <w:noProof/>
                <w:webHidden/>
                <w:color w:val="auto"/>
              </w:rPr>
              <w:fldChar w:fldCharType="separate"/>
            </w:r>
            <w:r w:rsidR="00BF235D" w:rsidRPr="00BF235D">
              <w:rPr>
                <w:noProof/>
                <w:webHidden/>
                <w:color w:val="auto"/>
              </w:rPr>
              <w:t>4</w:t>
            </w:r>
            <w:r w:rsidR="00BF235D" w:rsidRPr="00BF235D">
              <w:rPr>
                <w:noProof/>
                <w:webHidden/>
                <w:color w:val="auto"/>
              </w:rPr>
              <w:fldChar w:fldCharType="end"/>
            </w:r>
          </w:hyperlink>
        </w:p>
        <w:p w14:paraId="698C3169" w14:textId="30D00A0D" w:rsidR="00BF235D" w:rsidRPr="00BF235D" w:rsidRDefault="00E03669">
          <w:pPr>
            <w:pStyle w:val="TOC1"/>
            <w:tabs>
              <w:tab w:val="right" w:leader="dot" w:pos="9592"/>
            </w:tabs>
            <w:rPr>
              <w:noProof/>
              <w:color w:val="auto"/>
              <w:kern w:val="2"/>
              <w:sz w:val="22"/>
              <w:lang w:eastAsia="en-GB"/>
              <w14:ligatures w14:val="standardContextual"/>
            </w:rPr>
          </w:pPr>
          <w:hyperlink w:anchor="_Toc157265140" w:history="1">
            <w:r w:rsidR="00BF235D" w:rsidRPr="00BF235D">
              <w:rPr>
                <w:rStyle w:val="Hyperlink"/>
                <w:noProof/>
                <w:color w:val="auto"/>
              </w:rPr>
              <w:t>Conclusion and Recommendations</w:t>
            </w:r>
            <w:r w:rsidR="00BF235D" w:rsidRPr="00BF235D">
              <w:rPr>
                <w:noProof/>
                <w:webHidden/>
                <w:color w:val="auto"/>
              </w:rPr>
              <w:tab/>
            </w:r>
            <w:r w:rsidR="00BF235D" w:rsidRPr="00BF235D">
              <w:rPr>
                <w:noProof/>
                <w:webHidden/>
                <w:color w:val="auto"/>
              </w:rPr>
              <w:fldChar w:fldCharType="begin"/>
            </w:r>
            <w:r w:rsidR="00BF235D" w:rsidRPr="00BF235D">
              <w:rPr>
                <w:noProof/>
                <w:webHidden/>
                <w:color w:val="auto"/>
              </w:rPr>
              <w:instrText xml:space="preserve"> PAGEREF _Toc157265140 \h </w:instrText>
            </w:r>
            <w:r w:rsidR="00BF235D" w:rsidRPr="00BF235D">
              <w:rPr>
                <w:noProof/>
                <w:webHidden/>
                <w:color w:val="auto"/>
              </w:rPr>
            </w:r>
            <w:r w:rsidR="00BF235D" w:rsidRPr="00BF235D">
              <w:rPr>
                <w:noProof/>
                <w:webHidden/>
                <w:color w:val="auto"/>
              </w:rPr>
              <w:fldChar w:fldCharType="separate"/>
            </w:r>
            <w:r w:rsidR="00BF235D" w:rsidRPr="00BF235D">
              <w:rPr>
                <w:noProof/>
                <w:webHidden/>
                <w:color w:val="auto"/>
              </w:rPr>
              <w:t>4</w:t>
            </w:r>
            <w:r w:rsidR="00BF235D" w:rsidRPr="00BF235D">
              <w:rPr>
                <w:noProof/>
                <w:webHidden/>
                <w:color w:val="auto"/>
              </w:rPr>
              <w:fldChar w:fldCharType="end"/>
            </w:r>
          </w:hyperlink>
        </w:p>
        <w:p w14:paraId="425074D1" w14:textId="13B8C0F6" w:rsidR="00BF235D" w:rsidRPr="00BF235D" w:rsidRDefault="00E03669">
          <w:pPr>
            <w:pStyle w:val="TOC1"/>
            <w:tabs>
              <w:tab w:val="right" w:leader="dot" w:pos="9592"/>
            </w:tabs>
            <w:rPr>
              <w:noProof/>
              <w:color w:val="auto"/>
              <w:kern w:val="2"/>
              <w:sz w:val="22"/>
              <w:lang w:eastAsia="en-GB"/>
              <w14:ligatures w14:val="standardContextual"/>
            </w:rPr>
          </w:pPr>
          <w:hyperlink w:anchor="_Toc157265141" w:history="1">
            <w:r w:rsidR="00BF235D" w:rsidRPr="00BF235D">
              <w:rPr>
                <w:rStyle w:val="Hyperlink"/>
                <w:noProof/>
                <w:color w:val="auto"/>
              </w:rPr>
              <w:t>References</w:t>
            </w:r>
            <w:r w:rsidR="00BF235D" w:rsidRPr="00BF235D">
              <w:rPr>
                <w:noProof/>
                <w:webHidden/>
                <w:color w:val="auto"/>
              </w:rPr>
              <w:tab/>
            </w:r>
            <w:r w:rsidR="00BF235D" w:rsidRPr="00BF235D">
              <w:rPr>
                <w:noProof/>
                <w:webHidden/>
                <w:color w:val="auto"/>
              </w:rPr>
              <w:fldChar w:fldCharType="begin"/>
            </w:r>
            <w:r w:rsidR="00BF235D" w:rsidRPr="00BF235D">
              <w:rPr>
                <w:noProof/>
                <w:webHidden/>
                <w:color w:val="auto"/>
              </w:rPr>
              <w:instrText xml:space="preserve"> PAGEREF _Toc157265141 \h </w:instrText>
            </w:r>
            <w:r w:rsidR="00BF235D" w:rsidRPr="00BF235D">
              <w:rPr>
                <w:noProof/>
                <w:webHidden/>
                <w:color w:val="auto"/>
              </w:rPr>
            </w:r>
            <w:r w:rsidR="00BF235D" w:rsidRPr="00BF235D">
              <w:rPr>
                <w:noProof/>
                <w:webHidden/>
                <w:color w:val="auto"/>
              </w:rPr>
              <w:fldChar w:fldCharType="separate"/>
            </w:r>
            <w:r w:rsidR="00BF235D" w:rsidRPr="00BF235D">
              <w:rPr>
                <w:noProof/>
                <w:webHidden/>
                <w:color w:val="auto"/>
              </w:rPr>
              <w:t>5</w:t>
            </w:r>
            <w:r w:rsidR="00BF235D" w:rsidRPr="00BF235D">
              <w:rPr>
                <w:noProof/>
                <w:webHidden/>
                <w:color w:val="auto"/>
              </w:rPr>
              <w:fldChar w:fldCharType="end"/>
            </w:r>
          </w:hyperlink>
        </w:p>
        <w:p w14:paraId="239E5071" w14:textId="663D8C76" w:rsidR="00BF235D" w:rsidRDefault="00E03669">
          <w:pPr>
            <w:pStyle w:val="TOC1"/>
            <w:tabs>
              <w:tab w:val="right" w:leader="dot" w:pos="9592"/>
            </w:tabs>
            <w:rPr>
              <w:noProof/>
              <w:color w:val="auto"/>
              <w:kern w:val="2"/>
              <w:sz w:val="22"/>
              <w:lang w:eastAsia="en-GB"/>
              <w14:ligatures w14:val="standardContextual"/>
            </w:rPr>
          </w:pPr>
          <w:hyperlink w:anchor="_Toc157265142" w:history="1">
            <w:r w:rsidR="00BF235D" w:rsidRPr="00BF235D">
              <w:rPr>
                <w:rStyle w:val="Hyperlink"/>
                <w:noProof/>
                <w:color w:val="auto"/>
              </w:rPr>
              <w:t>Appendix</w:t>
            </w:r>
            <w:r w:rsidR="00BF235D" w:rsidRPr="00BF235D">
              <w:rPr>
                <w:noProof/>
                <w:webHidden/>
                <w:color w:val="auto"/>
              </w:rPr>
              <w:tab/>
            </w:r>
            <w:r w:rsidR="00BF235D" w:rsidRPr="00BF235D">
              <w:rPr>
                <w:noProof/>
                <w:webHidden/>
                <w:color w:val="auto"/>
              </w:rPr>
              <w:fldChar w:fldCharType="begin"/>
            </w:r>
            <w:r w:rsidR="00BF235D" w:rsidRPr="00BF235D">
              <w:rPr>
                <w:noProof/>
                <w:webHidden/>
                <w:color w:val="auto"/>
              </w:rPr>
              <w:instrText xml:space="preserve"> PAGEREF _Toc157265142 \h </w:instrText>
            </w:r>
            <w:r w:rsidR="00BF235D" w:rsidRPr="00BF235D">
              <w:rPr>
                <w:noProof/>
                <w:webHidden/>
                <w:color w:val="auto"/>
              </w:rPr>
            </w:r>
            <w:r w:rsidR="00BF235D" w:rsidRPr="00BF235D">
              <w:rPr>
                <w:noProof/>
                <w:webHidden/>
                <w:color w:val="auto"/>
              </w:rPr>
              <w:fldChar w:fldCharType="separate"/>
            </w:r>
            <w:r w:rsidR="00BF235D" w:rsidRPr="00BF235D">
              <w:rPr>
                <w:noProof/>
                <w:webHidden/>
                <w:color w:val="auto"/>
              </w:rPr>
              <w:t>5</w:t>
            </w:r>
            <w:r w:rsidR="00BF235D" w:rsidRPr="00BF235D">
              <w:rPr>
                <w:noProof/>
                <w:webHidden/>
                <w:color w:val="auto"/>
              </w:rPr>
              <w:fldChar w:fldCharType="end"/>
            </w:r>
          </w:hyperlink>
        </w:p>
        <w:p w14:paraId="6826D05F" w14:textId="0B80C2B7" w:rsidR="006A1BCE" w:rsidRPr="006A1BCE" w:rsidRDefault="006A1BCE" w:rsidP="006A1BCE">
          <w:pPr>
            <w:jc w:val="lowKashida"/>
          </w:pPr>
          <w:r w:rsidRPr="006A1BCE">
            <w:rPr>
              <w:b/>
              <w:bCs/>
            </w:rPr>
            <w:fldChar w:fldCharType="end"/>
          </w:r>
        </w:p>
      </w:sdtContent>
    </w:sdt>
    <w:p w14:paraId="031F4316" w14:textId="77777777" w:rsidR="00655753" w:rsidRPr="006A1BCE" w:rsidRDefault="00655753" w:rsidP="006A1BCE">
      <w:pPr>
        <w:spacing w:after="200"/>
        <w:jc w:val="lowKashida"/>
        <w:rPr>
          <w:rFonts w:asciiTheme="majorHAnsi" w:eastAsia="Times New Roman" w:hAnsiTheme="majorHAnsi" w:cs="Times New Roman"/>
          <w:b/>
          <w:color w:val="auto"/>
          <w:sz w:val="44"/>
        </w:rPr>
      </w:pPr>
      <w:r w:rsidRPr="006A1BCE">
        <w:rPr>
          <w:b/>
          <w:sz w:val="44"/>
        </w:rPr>
        <w:br w:type="page"/>
      </w:r>
    </w:p>
    <w:p w14:paraId="291D3D0E" w14:textId="06DE0FEC" w:rsidR="004B7E44" w:rsidRPr="003C3886" w:rsidRDefault="00C40336" w:rsidP="003C3886">
      <w:pPr>
        <w:pStyle w:val="Heading1"/>
        <w:spacing w:line="360" w:lineRule="auto"/>
        <w:jc w:val="both"/>
        <w:rPr>
          <w:rFonts w:ascii="Arial" w:hAnsi="Arial" w:cs="Arial"/>
          <w:color w:val="auto"/>
          <w:sz w:val="22"/>
          <w:szCs w:val="22"/>
        </w:rPr>
      </w:pPr>
      <w:bookmarkStart w:id="0" w:name="_Toc157265136"/>
      <w:r w:rsidRPr="003C3886">
        <w:rPr>
          <w:rFonts w:ascii="Arial" w:hAnsi="Arial" w:cs="Arial"/>
          <w:color w:val="auto"/>
          <w:sz w:val="22"/>
          <w:szCs w:val="22"/>
        </w:rPr>
        <w:lastRenderedPageBreak/>
        <w:t xml:space="preserve">                                                             </w:t>
      </w:r>
      <w:r w:rsidR="00323F79" w:rsidRPr="003C3886">
        <w:rPr>
          <w:rFonts w:ascii="Arial" w:hAnsi="Arial" w:cs="Arial"/>
          <w:color w:val="auto"/>
          <w:sz w:val="22"/>
          <w:szCs w:val="22"/>
        </w:rPr>
        <w:t>Introduction</w:t>
      </w:r>
      <w:bookmarkEnd w:id="0"/>
    </w:p>
    <w:p w14:paraId="71378717" w14:textId="38F26F86" w:rsidR="001E2173" w:rsidRPr="003C3886" w:rsidRDefault="001E2173" w:rsidP="003C3886">
      <w:pPr>
        <w:spacing w:line="360" w:lineRule="auto"/>
        <w:jc w:val="both"/>
        <w:rPr>
          <w:rFonts w:ascii="Arial" w:hAnsi="Arial" w:cs="Arial"/>
          <w:color w:val="auto"/>
          <w:sz w:val="22"/>
        </w:rPr>
      </w:pPr>
      <w:r w:rsidRPr="003C3886">
        <w:rPr>
          <w:rFonts w:ascii="Arial" w:hAnsi="Arial" w:cs="Arial"/>
          <w:color w:val="auto"/>
          <w:sz w:val="22"/>
        </w:rPr>
        <w:t xml:space="preserve">The recent </w:t>
      </w:r>
      <w:r w:rsidR="007E37E2" w:rsidRPr="003C3886">
        <w:rPr>
          <w:rFonts w:ascii="Arial" w:hAnsi="Arial" w:cs="Arial"/>
          <w:color w:val="auto"/>
          <w:sz w:val="22"/>
        </w:rPr>
        <w:t>buyouts</w:t>
      </w:r>
      <w:r w:rsidRPr="003C3886">
        <w:rPr>
          <w:rFonts w:ascii="Arial" w:hAnsi="Arial" w:cs="Arial"/>
          <w:color w:val="auto"/>
          <w:sz w:val="22"/>
        </w:rPr>
        <w:t xml:space="preserve"> by Energy Power of Universal Elect Plc in the UK and the UAE are some critical steps in the company's strategic growth and expansion strategies. As the two businesses get ready for the merge at hand, different departments are expected to, literally, work together across borders to make the integration process smooth. Cultural understanding in this initiative is also highly valued, thus the organization has selected a management team with representatives who are recent graduates of leadership and management programs to help to navigate the intricacies of cultural change management in different cultures (Minkov and Hofstede, 2011).</w:t>
      </w:r>
    </w:p>
    <w:p w14:paraId="3719D96C" w14:textId="7A4680C7" w:rsidR="007C25D7" w:rsidRPr="003C3886" w:rsidRDefault="001E2173" w:rsidP="003C3886">
      <w:pPr>
        <w:spacing w:line="360" w:lineRule="auto"/>
        <w:jc w:val="both"/>
        <w:rPr>
          <w:rFonts w:ascii="Arial" w:hAnsi="Arial" w:cs="Arial"/>
          <w:color w:val="auto"/>
          <w:sz w:val="22"/>
        </w:rPr>
      </w:pPr>
      <w:r w:rsidRPr="003C3886">
        <w:rPr>
          <w:rFonts w:ascii="Arial" w:hAnsi="Arial" w:cs="Arial"/>
          <w:color w:val="auto"/>
          <w:sz w:val="22"/>
        </w:rPr>
        <w:t>Culture, as this report will highlight, plays an aspect al role in how communication, negotiation, feedback provision, and people management systems are carried out during takeover process. The paper will be arranged as follows: namely, it will employ the Lewis model of cultural differences as a framework in the process of examining how differences between the UK and the UAE may impact communication processes, negotiation, and feedback practices. With culture as a focus having in place styles of communication, decision-makings processes, and attitudes toward authority in mind, this discussion intends to derive the useful guidelines for related countries to mitigate cultural gaps and promote collaboration.</w:t>
      </w:r>
    </w:p>
    <w:p w14:paraId="2D73222C" w14:textId="77777777" w:rsidR="001556D2" w:rsidRPr="003C3886" w:rsidRDefault="001556D2" w:rsidP="003C3886">
      <w:pPr>
        <w:spacing w:line="360" w:lineRule="auto"/>
        <w:jc w:val="both"/>
        <w:rPr>
          <w:rFonts w:ascii="Arial" w:hAnsi="Arial" w:cs="Arial"/>
          <w:color w:val="auto"/>
          <w:sz w:val="22"/>
        </w:rPr>
      </w:pPr>
      <w:r w:rsidRPr="003C3886">
        <w:rPr>
          <w:rFonts w:ascii="Arial" w:hAnsi="Arial" w:cs="Arial"/>
          <w:color w:val="auto"/>
          <w:sz w:val="22"/>
        </w:rPr>
        <w:t>The report tries to develop the belief of ethnocentrism in international business management as well as polycentrism their meaning and what they imply for the takeover. The research report critically assesses such practices against people management and highlights the areas where ethnocentric and polycentric approaches can assemble HR strategies, leadership development, and organizational culture consideration to ease the integration and to surely bring synergy realization.</w:t>
      </w:r>
    </w:p>
    <w:p w14:paraId="6BF56F5C" w14:textId="2B4C2635" w:rsidR="007E37E2" w:rsidRPr="00E03669" w:rsidRDefault="001556D2" w:rsidP="003C3886">
      <w:pPr>
        <w:spacing w:line="360" w:lineRule="auto"/>
        <w:jc w:val="both"/>
        <w:rPr>
          <w:rFonts w:ascii="Arial" w:hAnsi="Arial" w:cs="Arial"/>
          <w:color w:val="auto"/>
          <w:sz w:val="22"/>
        </w:rPr>
      </w:pPr>
      <w:r w:rsidRPr="003C3886">
        <w:rPr>
          <w:rFonts w:ascii="Arial" w:hAnsi="Arial" w:cs="Arial"/>
          <w:color w:val="auto"/>
          <w:sz w:val="22"/>
        </w:rPr>
        <w:t xml:space="preserve">Alongside that, the paper lists down the findings from department-wide interviews that were carried out with persons from different cultural backgrounds </w:t>
      </w:r>
      <w:proofErr w:type="gramStart"/>
      <w:r w:rsidRPr="003C3886">
        <w:rPr>
          <w:rFonts w:ascii="Arial" w:hAnsi="Arial" w:cs="Arial"/>
          <w:color w:val="auto"/>
          <w:sz w:val="22"/>
        </w:rPr>
        <w:t>in order to</w:t>
      </w:r>
      <w:proofErr w:type="gramEnd"/>
      <w:r w:rsidRPr="003C3886">
        <w:rPr>
          <w:rFonts w:ascii="Arial" w:hAnsi="Arial" w:cs="Arial"/>
          <w:color w:val="auto"/>
          <w:sz w:val="22"/>
        </w:rPr>
        <w:t xml:space="preserve"> confirm the degree of accuracy of the Lewis model in cross-cultural settings. This report strives to validate and improve the insights of Lewis’ model, by establishing a framework for communication, negotiation, and feedback practices. It aims to equip leaders with authentic recommendations for engaging in cultural diversity, and attuning organizations for positive change.</w:t>
      </w:r>
    </w:p>
    <w:p w14:paraId="156179C0" w14:textId="77777777" w:rsidR="00323F79" w:rsidRPr="003C3886" w:rsidRDefault="00323F79" w:rsidP="003C3886">
      <w:pPr>
        <w:pStyle w:val="Heading3"/>
        <w:spacing w:line="360" w:lineRule="auto"/>
        <w:jc w:val="both"/>
        <w:rPr>
          <w:rFonts w:ascii="Arial" w:eastAsiaTheme="minorHAnsi" w:hAnsi="Arial" w:cs="Arial"/>
          <w:b/>
          <w:i w:val="0"/>
          <w:sz w:val="22"/>
        </w:rPr>
      </w:pPr>
    </w:p>
    <w:p w14:paraId="48B64D16" w14:textId="30314B62" w:rsidR="00323F79" w:rsidRPr="003C3886" w:rsidRDefault="00323F79" w:rsidP="00E03669">
      <w:pPr>
        <w:pStyle w:val="Heading1"/>
        <w:spacing w:line="360" w:lineRule="auto"/>
        <w:jc w:val="both"/>
        <w:rPr>
          <w:rFonts w:ascii="Arial" w:hAnsi="Arial" w:cs="Arial"/>
          <w:color w:val="auto"/>
          <w:sz w:val="22"/>
          <w:szCs w:val="22"/>
        </w:rPr>
      </w:pPr>
      <w:bookmarkStart w:id="1" w:name="_Toc157265137"/>
      <w:r w:rsidRPr="003C3886">
        <w:rPr>
          <w:rFonts w:ascii="Arial" w:hAnsi="Arial" w:cs="Arial"/>
          <w:color w:val="auto"/>
          <w:sz w:val="22"/>
          <w:szCs w:val="22"/>
        </w:rPr>
        <w:t>Culture's Influence on Communication</w:t>
      </w:r>
      <w:r w:rsidR="006A1BCE" w:rsidRPr="003C3886">
        <w:rPr>
          <w:rFonts w:ascii="Arial" w:hAnsi="Arial" w:cs="Arial"/>
          <w:color w:val="auto"/>
          <w:sz w:val="22"/>
          <w:szCs w:val="22"/>
        </w:rPr>
        <w:t xml:space="preserve"> and </w:t>
      </w:r>
      <w:r w:rsidRPr="003C3886">
        <w:rPr>
          <w:rFonts w:ascii="Arial" w:hAnsi="Arial" w:cs="Arial"/>
          <w:color w:val="auto"/>
          <w:sz w:val="22"/>
          <w:szCs w:val="22"/>
        </w:rPr>
        <w:t>Negotiation</w:t>
      </w:r>
      <w:bookmarkEnd w:id="1"/>
    </w:p>
    <w:p w14:paraId="204E0110" w14:textId="3AE1EB0E" w:rsidR="002067AD" w:rsidRPr="003C3886" w:rsidRDefault="002067AD" w:rsidP="003C3886">
      <w:pPr>
        <w:spacing w:line="360" w:lineRule="auto"/>
        <w:jc w:val="both"/>
        <w:rPr>
          <w:rFonts w:ascii="Arial" w:hAnsi="Arial" w:cs="Arial"/>
          <w:color w:val="auto"/>
          <w:sz w:val="22"/>
        </w:rPr>
      </w:pPr>
      <w:r w:rsidRPr="003C3886">
        <w:rPr>
          <w:rFonts w:ascii="Arial" w:hAnsi="Arial" w:cs="Arial"/>
          <w:color w:val="auto"/>
          <w:sz w:val="22"/>
        </w:rPr>
        <w:t xml:space="preserve">We denote culture as cognitive patterns, including moral values, traditions, conventions, practices, and symbols, which are being taught and transferred from society or social group member to another. This definition involves the construction of knowledge in a community of praxis, which determines people's perceptions, comprehension, and actions in their surroundings, resulting in different attitudes, social practices, and approaches (Brown, 1998). Culture governs many parts of human lives </w:t>
      </w:r>
      <w:r w:rsidR="00E03669" w:rsidRPr="003C3886">
        <w:rPr>
          <w:rFonts w:ascii="Arial" w:hAnsi="Arial" w:cs="Arial"/>
          <w:color w:val="auto"/>
          <w:sz w:val="22"/>
        </w:rPr>
        <w:t>since</w:t>
      </w:r>
      <w:r w:rsidRPr="003C3886">
        <w:rPr>
          <w:rFonts w:ascii="Arial" w:hAnsi="Arial" w:cs="Arial"/>
          <w:color w:val="auto"/>
          <w:sz w:val="22"/>
        </w:rPr>
        <w:t xml:space="preserve"> it defines the ways in which people speak, communicate, form a family, worship, engage in art activities, observe common customs, and have a society. By doing so, it connects people with their national past, gives them the sense of identity, belonging, and social cohesion, and serves as the foundation for understanding and the arrangement of people`s social lives and relationships. Traditionally different cultures have been changing all time depending on internal as </w:t>
      </w:r>
      <w:r w:rsidRPr="003C3886">
        <w:rPr>
          <w:rFonts w:ascii="Arial" w:hAnsi="Arial" w:cs="Arial"/>
          <w:color w:val="auto"/>
          <w:sz w:val="22"/>
        </w:rPr>
        <w:lastRenderedPageBreak/>
        <w:t>well as external factors including nations stories, migration, globalization, and technical progress (</w:t>
      </w:r>
      <w:proofErr w:type="spellStart"/>
      <w:r w:rsidRPr="003C3886">
        <w:rPr>
          <w:rFonts w:ascii="Arial" w:hAnsi="Arial" w:cs="Arial"/>
          <w:color w:val="auto"/>
          <w:sz w:val="22"/>
        </w:rPr>
        <w:t>Chuda</w:t>
      </w:r>
      <w:proofErr w:type="spellEnd"/>
      <w:r w:rsidRPr="003C3886">
        <w:rPr>
          <w:rFonts w:ascii="Arial" w:hAnsi="Arial" w:cs="Arial"/>
          <w:color w:val="auto"/>
          <w:sz w:val="22"/>
        </w:rPr>
        <w:t xml:space="preserve"> and </w:t>
      </w:r>
      <w:proofErr w:type="spellStart"/>
      <w:r w:rsidRPr="003C3886">
        <w:rPr>
          <w:rFonts w:ascii="Arial" w:hAnsi="Arial" w:cs="Arial"/>
          <w:color w:val="auto"/>
          <w:sz w:val="22"/>
        </w:rPr>
        <w:t>Wyrwicka</w:t>
      </w:r>
      <w:proofErr w:type="spellEnd"/>
      <w:r w:rsidRPr="003C3886">
        <w:rPr>
          <w:rFonts w:ascii="Arial" w:hAnsi="Arial" w:cs="Arial"/>
          <w:color w:val="auto"/>
          <w:sz w:val="22"/>
        </w:rPr>
        <w:t xml:space="preserve">, 2016). Cultural factor acts as a determinant in communication, negotiations offering, and feedback delivering, which greatly influences interaction of people from </w:t>
      </w:r>
      <w:proofErr w:type="gramStart"/>
      <w:r w:rsidRPr="003C3886">
        <w:rPr>
          <w:rFonts w:ascii="Arial" w:hAnsi="Arial" w:cs="Arial"/>
          <w:color w:val="auto"/>
          <w:sz w:val="22"/>
        </w:rPr>
        <w:t>various different</w:t>
      </w:r>
      <w:proofErr w:type="gramEnd"/>
      <w:r w:rsidRPr="003C3886">
        <w:rPr>
          <w:rFonts w:ascii="Arial" w:hAnsi="Arial" w:cs="Arial"/>
          <w:color w:val="auto"/>
          <w:sz w:val="22"/>
        </w:rPr>
        <w:t xml:space="preserve"> cultural backgrounds.</w:t>
      </w:r>
    </w:p>
    <w:p w14:paraId="60068966" w14:textId="689E6026" w:rsidR="002067AD" w:rsidRPr="003C3886" w:rsidRDefault="002067AD" w:rsidP="003C3886">
      <w:pPr>
        <w:spacing w:line="360" w:lineRule="auto"/>
        <w:jc w:val="both"/>
        <w:rPr>
          <w:rFonts w:ascii="Arial" w:hAnsi="Arial" w:cs="Arial"/>
          <w:color w:val="auto"/>
          <w:sz w:val="22"/>
        </w:rPr>
      </w:pPr>
      <w:r w:rsidRPr="003C3886">
        <w:rPr>
          <w:rFonts w:ascii="Arial" w:hAnsi="Arial" w:cs="Arial"/>
          <w:color w:val="auto"/>
          <w:sz w:val="22"/>
        </w:rPr>
        <w:t xml:space="preserve">When it comes to communication, the differences in culture are evident with varying styles of expression – the direct one versus an indirect one. Therefore, for example, a direct style of communication which is more frequently used in UK is different from a more indirect form which prevalent in UAE. Both styles relatively represent these underlying cultural norms and values. This contrast between the different cultural backgrounds creates scope for confusion and misinterpretations, thus steel how we how much cultural sensitivity is vital for cross-cultural communication which is highlighted by the Gov.UK agency in 2023. Regarding the styles of communication, there are values unique to the culture that one would like to take note of from both non-verbal and verbal communication. British people are known to be quite direct and explicit in their communication compared to UAE people, who prefer sometimes indirect and implicit communication, representing the prevalence of the contextual aspects in </w:t>
      </w:r>
      <w:r w:rsidR="002E4BF1" w:rsidRPr="003C3886">
        <w:rPr>
          <w:rFonts w:ascii="Arial" w:hAnsi="Arial" w:cs="Arial"/>
          <w:color w:val="auto"/>
          <w:sz w:val="22"/>
        </w:rPr>
        <w:t>its</w:t>
      </w:r>
      <w:r w:rsidRPr="003C3886">
        <w:rPr>
          <w:rFonts w:ascii="Arial" w:hAnsi="Arial" w:cs="Arial"/>
          <w:color w:val="auto"/>
          <w:sz w:val="22"/>
        </w:rPr>
        <w:t xml:space="preserve"> culture. This cultural disparity surface in non-verbal cues such as body language, </w:t>
      </w:r>
      <w:proofErr w:type="gramStart"/>
      <w:r w:rsidRPr="003C3886">
        <w:rPr>
          <w:rFonts w:ascii="Arial" w:hAnsi="Arial" w:cs="Arial"/>
          <w:color w:val="auto"/>
          <w:sz w:val="22"/>
        </w:rPr>
        <w:t>gestures</w:t>
      </w:r>
      <w:proofErr w:type="gramEnd"/>
      <w:r w:rsidRPr="003C3886">
        <w:rPr>
          <w:rFonts w:ascii="Arial" w:hAnsi="Arial" w:cs="Arial"/>
          <w:color w:val="auto"/>
          <w:sz w:val="22"/>
        </w:rPr>
        <w:t xml:space="preserve"> and facial expressions; UAE customs prioritize elaboration in the verbal area while UK culture give a large amount of attention to the clarity of spoken information (</w:t>
      </w:r>
      <w:proofErr w:type="spellStart"/>
      <w:r w:rsidRPr="003C3886">
        <w:rPr>
          <w:rFonts w:ascii="Arial" w:hAnsi="Arial" w:cs="Arial"/>
          <w:color w:val="auto"/>
          <w:sz w:val="22"/>
        </w:rPr>
        <w:t>Chuda</w:t>
      </w:r>
      <w:proofErr w:type="spellEnd"/>
      <w:r w:rsidRPr="003C3886">
        <w:rPr>
          <w:rFonts w:ascii="Arial" w:hAnsi="Arial" w:cs="Arial"/>
          <w:color w:val="auto"/>
          <w:sz w:val="22"/>
        </w:rPr>
        <w:t xml:space="preserve"> and </w:t>
      </w:r>
      <w:proofErr w:type="spellStart"/>
      <w:r w:rsidRPr="003C3886">
        <w:rPr>
          <w:rFonts w:ascii="Arial" w:hAnsi="Arial" w:cs="Arial"/>
          <w:color w:val="auto"/>
          <w:sz w:val="22"/>
        </w:rPr>
        <w:t>Wyrwicka</w:t>
      </w:r>
      <w:proofErr w:type="spellEnd"/>
      <w:r w:rsidRPr="003C3886">
        <w:rPr>
          <w:rFonts w:ascii="Arial" w:hAnsi="Arial" w:cs="Arial"/>
          <w:color w:val="auto"/>
          <w:sz w:val="22"/>
        </w:rPr>
        <w:t>, 2016).</w:t>
      </w:r>
    </w:p>
    <w:p w14:paraId="329484B6" w14:textId="75D1F561" w:rsidR="00775C54" w:rsidRPr="003C3886" w:rsidRDefault="002067AD" w:rsidP="003C3886">
      <w:pPr>
        <w:spacing w:line="360" w:lineRule="auto"/>
        <w:jc w:val="both"/>
        <w:rPr>
          <w:rFonts w:ascii="Arial" w:hAnsi="Arial" w:cs="Arial"/>
          <w:color w:val="auto"/>
          <w:sz w:val="22"/>
        </w:rPr>
      </w:pPr>
      <w:r w:rsidRPr="003C3886">
        <w:rPr>
          <w:rFonts w:ascii="Arial" w:hAnsi="Arial" w:cs="Arial"/>
          <w:color w:val="auto"/>
          <w:sz w:val="22"/>
        </w:rPr>
        <w:t>Communication of a high context holds in the UAE where the messages are embedded in social context and further the information is concluded based on the shared cultural understanding and applied implicit cues. In fact, the medium through which information is communicated in the UK differs from that in the low-context UK which is the case whereby explicit verbal expression is utilized to precisely ensure that the intended information is well conveyed. The gap between the linguistic system and the real-world experience can be a hindrance to the dialogue accuracy and intelligibility, asking inclusion of the contextual sensitive and cultural connotations in cross-cultural communication (Kita, 2009).</w:t>
      </w:r>
    </w:p>
    <w:p w14:paraId="2AE10A56" w14:textId="751C320C" w:rsidR="00C61D65" w:rsidRPr="003C3886" w:rsidRDefault="00775C54" w:rsidP="003C3886">
      <w:pPr>
        <w:spacing w:line="360" w:lineRule="auto"/>
        <w:jc w:val="both"/>
        <w:rPr>
          <w:rFonts w:ascii="Arial" w:hAnsi="Arial" w:cs="Arial"/>
          <w:color w:val="auto"/>
          <w:sz w:val="22"/>
        </w:rPr>
      </w:pPr>
      <w:r w:rsidRPr="003C3886">
        <w:rPr>
          <w:rFonts w:ascii="Arial" w:hAnsi="Arial" w:cs="Arial"/>
          <w:b/>
          <w:bCs/>
          <w:color w:val="auto"/>
          <w:sz w:val="22"/>
        </w:rPr>
        <w:t>Direct vs. indirect communication</w:t>
      </w:r>
      <w:r w:rsidR="003B6D7A" w:rsidRPr="003C3886">
        <w:rPr>
          <w:rFonts w:ascii="Arial" w:hAnsi="Arial" w:cs="Arial"/>
          <w:b/>
          <w:bCs/>
          <w:color w:val="auto"/>
          <w:sz w:val="22"/>
        </w:rPr>
        <w:t xml:space="preserve">. </w:t>
      </w:r>
      <w:r w:rsidRPr="003C3886">
        <w:rPr>
          <w:rFonts w:ascii="Arial" w:hAnsi="Arial" w:cs="Arial"/>
          <w:color w:val="auto"/>
          <w:sz w:val="22"/>
        </w:rPr>
        <w:t xml:space="preserve"> </w:t>
      </w:r>
    </w:p>
    <w:p w14:paraId="2E4605F7" w14:textId="365C5DA9" w:rsidR="00144F3B" w:rsidRPr="003C3886" w:rsidRDefault="00C242A8" w:rsidP="003C3886">
      <w:pPr>
        <w:spacing w:line="360" w:lineRule="auto"/>
        <w:jc w:val="both"/>
        <w:rPr>
          <w:rFonts w:ascii="Arial" w:hAnsi="Arial" w:cs="Arial"/>
          <w:color w:val="auto"/>
          <w:sz w:val="22"/>
        </w:rPr>
      </w:pPr>
      <w:r w:rsidRPr="003C3886">
        <w:rPr>
          <w:rFonts w:ascii="Arial" w:hAnsi="Arial" w:cs="Arial"/>
          <w:color w:val="auto"/>
          <w:sz w:val="22"/>
        </w:rPr>
        <w:t>T</w:t>
      </w:r>
      <w:r w:rsidR="00144F3B" w:rsidRPr="003C3886">
        <w:rPr>
          <w:rFonts w:ascii="Arial" w:hAnsi="Arial" w:cs="Arial"/>
          <w:color w:val="auto"/>
          <w:sz w:val="22"/>
        </w:rPr>
        <w:t>he indirect manner of communication is used to keep people in touch with the culture. The UK holds them in high regard; direct statements are popular in communication, while the UAE considers humility and tact a top priority in expressing its messages, which are often done indirectly. Different strategies are required for these contradictory stances; thus, the flexibility and cultural competencies are key to work around communication barriers and to achieve the mutual understanding (Kita, 2009).</w:t>
      </w:r>
    </w:p>
    <w:p w14:paraId="4F5FB2C4" w14:textId="12BF70CD" w:rsidR="00144F3B" w:rsidRPr="003C3886" w:rsidRDefault="00144F3B" w:rsidP="003C3886">
      <w:pPr>
        <w:spacing w:line="360" w:lineRule="auto"/>
        <w:jc w:val="both"/>
        <w:rPr>
          <w:rFonts w:ascii="Arial" w:hAnsi="Arial" w:cs="Arial"/>
          <w:color w:val="auto"/>
          <w:sz w:val="22"/>
        </w:rPr>
      </w:pPr>
      <w:r w:rsidRPr="003C3886">
        <w:rPr>
          <w:rFonts w:ascii="Arial" w:hAnsi="Arial" w:cs="Arial"/>
          <w:color w:val="auto"/>
          <w:sz w:val="22"/>
        </w:rPr>
        <w:t xml:space="preserve">The </w:t>
      </w:r>
      <w:proofErr w:type="spellStart"/>
      <w:r w:rsidRPr="003C3886">
        <w:rPr>
          <w:rFonts w:ascii="Arial" w:hAnsi="Arial" w:cs="Arial"/>
          <w:color w:val="auto"/>
          <w:sz w:val="22"/>
        </w:rPr>
        <w:t>Lencity</w:t>
      </w:r>
      <w:proofErr w:type="spellEnd"/>
      <w:r w:rsidRPr="003C3886">
        <w:rPr>
          <w:rFonts w:ascii="Arial" w:hAnsi="Arial" w:cs="Arial"/>
          <w:color w:val="auto"/>
          <w:sz w:val="22"/>
        </w:rPr>
        <w:t xml:space="preserve"> information has a structure that you can use to understand the </w:t>
      </w:r>
      <w:r w:rsidR="000619CB" w:rsidRPr="003C3886">
        <w:rPr>
          <w:rFonts w:ascii="Arial" w:hAnsi="Arial" w:cs="Arial"/>
          <w:color w:val="auto"/>
          <w:sz w:val="22"/>
        </w:rPr>
        <w:t>behaviour</w:t>
      </w:r>
      <w:r w:rsidRPr="003C3886">
        <w:rPr>
          <w:rFonts w:ascii="Arial" w:hAnsi="Arial" w:cs="Arial"/>
          <w:color w:val="auto"/>
          <w:sz w:val="22"/>
        </w:rPr>
        <w:t xml:space="preserve"> of communication patterns across cultures, particularly while dealing with hierarchical structures and attitudes regarding authority. The model certainly offers reveals prospective vital pieces of the picture, but it has too seen too its own limitations and areas for improvements (Line, 2006).</w:t>
      </w:r>
    </w:p>
    <w:p w14:paraId="2559E178" w14:textId="77777777" w:rsidR="00144F3B" w:rsidRPr="003C3886" w:rsidRDefault="00144F3B" w:rsidP="003C3886">
      <w:pPr>
        <w:spacing w:line="360" w:lineRule="auto"/>
        <w:jc w:val="both"/>
        <w:rPr>
          <w:rFonts w:ascii="Arial" w:hAnsi="Arial" w:cs="Arial"/>
          <w:color w:val="auto"/>
          <w:sz w:val="22"/>
        </w:rPr>
      </w:pPr>
    </w:p>
    <w:p w14:paraId="16753FCF" w14:textId="1A9DFB40" w:rsidR="00144F3B" w:rsidRPr="003C3886" w:rsidRDefault="00A974F1" w:rsidP="003C3886">
      <w:pPr>
        <w:spacing w:line="360" w:lineRule="auto"/>
        <w:jc w:val="both"/>
        <w:rPr>
          <w:rFonts w:ascii="Arial" w:hAnsi="Arial" w:cs="Arial"/>
          <w:color w:val="auto"/>
          <w:sz w:val="22"/>
        </w:rPr>
      </w:pPr>
      <w:r w:rsidRPr="003C3886">
        <w:rPr>
          <w:rFonts w:ascii="Arial" w:hAnsi="Arial" w:cs="Arial"/>
          <w:color w:val="auto"/>
          <w:sz w:val="22"/>
        </w:rPr>
        <w:lastRenderedPageBreak/>
        <w:t>Regarding hierarchy and attitudes towards authority, the Lewis Model categorizes cultures into three broad types: linear-active, active-multi, and dynamic. English-speaking cultures with a high degree of linear active polarity turn out to be those in which linearly active people tend to be stricter in hierarchy and authority, while the communication channels tend to be formal. On the contrary, the people-oriented cultures which is the case of the UAE and other Middle Eastern countries like that one, their style of communication is rather informal and relationship-based, displaying less compliance to structured hierarchies. Multicultural communities (like in some Asian countries) value group harmony and may avoid the directness of their communication, so such cultures develop a subtle communication style (MINE, 2006).</w:t>
      </w:r>
    </w:p>
    <w:p w14:paraId="2B1DAE8F" w14:textId="3A0C79A9" w:rsidR="00144F3B" w:rsidRPr="003C3886" w:rsidRDefault="00144F3B" w:rsidP="003C3886">
      <w:pPr>
        <w:spacing w:line="360" w:lineRule="auto"/>
        <w:jc w:val="both"/>
        <w:rPr>
          <w:rFonts w:ascii="Arial" w:hAnsi="Arial" w:cs="Arial"/>
          <w:color w:val="auto"/>
          <w:sz w:val="22"/>
        </w:rPr>
      </w:pPr>
      <w:r w:rsidRPr="003C3886">
        <w:rPr>
          <w:rFonts w:ascii="Arial" w:hAnsi="Arial" w:cs="Arial"/>
          <w:color w:val="auto"/>
          <w:sz w:val="22"/>
        </w:rPr>
        <w:t>However, the Lewis Model appears to be a valuable perspective, at least as a commencing point, to understanding the underlying cultural dynamics of communication; but it is too simplified to accept it as an all-inclusive theory. The cultural variations between groups in countries like the UK and UAE, with their focus on multiculturalism, may present a significant barrier in implementing the model. Such as, in UK the culture of organization is mostly pilot-action whereas the multicultural groups incorporate not the elements of pilot-action but of both horizontal-action and conflict communication thus the main generalization can be bolder than the model's classifications (Lewis, 2012).</w:t>
      </w:r>
    </w:p>
    <w:p w14:paraId="2782BD42" w14:textId="42DA5908" w:rsidR="00716B1B" w:rsidRPr="003C3886" w:rsidRDefault="00716B1B" w:rsidP="003C3886">
      <w:pPr>
        <w:spacing w:line="360" w:lineRule="auto"/>
        <w:jc w:val="both"/>
        <w:rPr>
          <w:rFonts w:ascii="Arial" w:hAnsi="Arial" w:cs="Arial"/>
          <w:color w:val="auto"/>
          <w:sz w:val="22"/>
        </w:rPr>
      </w:pPr>
      <w:r w:rsidRPr="003C3886">
        <w:rPr>
          <w:rFonts w:ascii="Arial" w:hAnsi="Arial" w:cs="Arial"/>
          <w:color w:val="auto"/>
          <w:sz w:val="22"/>
        </w:rPr>
        <w:t>It is also worth noting that the "Lewis Model" might be responsible for stereotypes and may also fail to take consideration of diverse cultural traits found among individuals. Allocating the same manner of communication to an entire population of a given culture over-generalizes. It may result in some misperception and misinterpretation, which hence cause miscommunication. Also, the trend of giving prominence to national culture to the neglect of organizational culture, personal values and situational factors may not be precise.</w:t>
      </w:r>
    </w:p>
    <w:p w14:paraId="5B76791B" w14:textId="0469DBC7" w:rsidR="00716B1B" w:rsidRPr="003C3886" w:rsidRDefault="00716B1B" w:rsidP="003C3886">
      <w:pPr>
        <w:spacing w:line="360" w:lineRule="auto"/>
        <w:jc w:val="both"/>
        <w:rPr>
          <w:rFonts w:ascii="Arial" w:hAnsi="Arial" w:cs="Arial"/>
          <w:color w:val="auto"/>
          <w:sz w:val="22"/>
        </w:rPr>
      </w:pPr>
      <w:r w:rsidRPr="003C3886">
        <w:rPr>
          <w:rFonts w:ascii="Arial" w:hAnsi="Arial" w:cs="Arial"/>
          <w:color w:val="auto"/>
          <w:sz w:val="22"/>
        </w:rPr>
        <w:t>Similarly, the way people are negotiated is influenced by cultural factors with the attitudes varying from being assertive, cooperative and conflict-mediums, among others. The UK might not be able to align with the UAE style of cooperation and collaboration, because the UK could have such a competitive negotiation style. This could eventually become an obstacle in concluding a successful negotiation. Appreciating and adopting various cultural ways in negotiation are the main estate for building confidence while ai</w:t>
      </w:r>
      <w:r w:rsidR="00E03669">
        <w:rPr>
          <w:rFonts w:ascii="Arial" w:hAnsi="Arial" w:cs="Arial"/>
          <w:color w:val="auto"/>
          <w:sz w:val="22"/>
        </w:rPr>
        <w:t>ms</w:t>
      </w:r>
      <w:r w:rsidRPr="003C3886">
        <w:rPr>
          <w:rFonts w:ascii="Arial" w:hAnsi="Arial" w:cs="Arial"/>
          <w:color w:val="auto"/>
          <w:sz w:val="22"/>
        </w:rPr>
        <w:t xml:space="preserve"> are achieved.</w:t>
      </w:r>
    </w:p>
    <w:p w14:paraId="01DA35E2" w14:textId="68317CB3" w:rsidR="00716B1B" w:rsidRPr="003C3886" w:rsidRDefault="00716B1B" w:rsidP="003C3886">
      <w:pPr>
        <w:spacing w:line="360" w:lineRule="auto"/>
        <w:jc w:val="both"/>
        <w:rPr>
          <w:rFonts w:ascii="Arial" w:hAnsi="Arial" w:cs="Arial"/>
          <w:color w:val="auto"/>
          <w:sz w:val="22"/>
        </w:rPr>
      </w:pPr>
      <w:r w:rsidRPr="003C3886">
        <w:rPr>
          <w:rFonts w:ascii="Arial" w:hAnsi="Arial" w:cs="Arial"/>
          <w:color w:val="auto"/>
          <w:sz w:val="22"/>
        </w:rPr>
        <w:t xml:space="preserve">The examination of negotiation styles within a cultural setting shows that the Lewis Model is not completely applicable to describe issues the other than those provided in the classifications. The model which thinks world cultures in three main groups like traditional, flexible, and reactive cultures bases the bargaining styles on the many characters such culture norms, values, historical </w:t>
      </w:r>
      <w:proofErr w:type="gramStart"/>
      <w:r w:rsidRPr="003C3886">
        <w:rPr>
          <w:rFonts w:ascii="Arial" w:hAnsi="Arial" w:cs="Arial"/>
          <w:color w:val="auto"/>
          <w:sz w:val="22"/>
        </w:rPr>
        <w:t>conditions</w:t>
      </w:r>
      <w:proofErr w:type="gramEnd"/>
      <w:r w:rsidRPr="003C3886">
        <w:rPr>
          <w:rFonts w:ascii="Arial" w:hAnsi="Arial" w:cs="Arial"/>
          <w:color w:val="auto"/>
          <w:sz w:val="22"/>
        </w:rPr>
        <w:t xml:space="preserve"> and personal choice.</w:t>
      </w:r>
    </w:p>
    <w:p w14:paraId="2CBE6CEE" w14:textId="2B51DD5E" w:rsidR="00144F3B" w:rsidRPr="003C3886" w:rsidRDefault="00716B1B" w:rsidP="003C3886">
      <w:pPr>
        <w:spacing w:line="360" w:lineRule="auto"/>
        <w:jc w:val="both"/>
        <w:rPr>
          <w:rFonts w:ascii="Arial" w:hAnsi="Arial" w:cs="Arial"/>
          <w:color w:val="auto"/>
          <w:sz w:val="22"/>
        </w:rPr>
      </w:pPr>
      <w:r w:rsidRPr="003C3886">
        <w:rPr>
          <w:rFonts w:ascii="Arial" w:hAnsi="Arial" w:cs="Arial"/>
          <w:color w:val="auto"/>
          <w:sz w:val="22"/>
        </w:rPr>
        <w:t>The categorization laid down by Lewis Model proposes that aggressive and invitational behaviours developed by the UK population may succeed in the competitive environment, but in contrast, the UAE society may cultivate a welfare society. While this oversimplification captures the unevenness of negotiation dynamics, it remains insufficient to cover the diversity of negotiation modes across and within cultures (Lewis, 2012).</w:t>
      </w:r>
    </w:p>
    <w:p w14:paraId="1E73DB87" w14:textId="2DC9455F" w:rsidR="009378DF" w:rsidRPr="003C3886" w:rsidRDefault="009378DF" w:rsidP="003C3886">
      <w:pPr>
        <w:spacing w:line="360" w:lineRule="auto"/>
        <w:jc w:val="both"/>
        <w:rPr>
          <w:rFonts w:ascii="Arial" w:hAnsi="Arial" w:cs="Arial"/>
          <w:color w:val="auto"/>
          <w:sz w:val="22"/>
        </w:rPr>
      </w:pPr>
      <w:proofErr w:type="gramStart"/>
      <w:r w:rsidRPr="003C3886">
        <w:rPr>
          <w:rFonts w:ascii="Arial" w:hAnsi="Arial" w:cs="Arial"/>
          <w:color w:val="auto"/>
          <w:sz w:val="22"/>
        </w:rPr>
        <w:lastRenderedPageBreak/>
        <w:t>In reality, the</w:t>
      </w:r>
      <w:proofErr w:type="gramEnd"/>
      <w:r w:rsidRPr="003C3886">
        <w:rPr>
          <w:rFonts w:ascii="Arial" w:hAnsi="Arial" w:cs="Arial"/>
          <w:color w:val="auto"/>
          <w:sz w:val="22"/>
        </w:rPr>
        <w:t xml:space="preserve"> types of styles for negotiation are being shaped by a mixture of factors which consist of cultural, situational, and individual ones. Whereas cultural norms have a large impact, there are deviations from culture, this might include education, professions, and experiences gained in engagements with other cultures. On the other hand, a citizen from UK is liable to adjust the bargaining pattern as per the local contexts and counterparts; that is showed up through mix of assertiveness and cooperation.</w:t>
      </w:r>
    </w:p>
    <w:p w14:paraId="31B1F63D" w14:textId="59A75C6C" w:rsidR="009378DF" w:rsidRPr="003C3886" w:rsidRDefault="009378DF" w:rsidP="003C3886">
      <w:pPr>
        <w:spacing w:line="360" w:lineRule="auto"/>
        <w:jc w:val="both"/>
        <w:rPr>
          <w:rFonts w:ascii="Arial" w:hAnsi="Arial" w:cs="Arial"/>
          <w:color w:val="auto"/>
          <w:sz w:val="22"/>
        </w:rPr>
      </w:pPr>
      <w:r w:rsidRPr="003C3886">
        <w:rPr>
          <w:rFonts w:ascii="Arial" w:hAnsi="Arial" w:cs="Arial"/>
          <w:color w:val="auto"/>
          <w:sz w:val="22"/>
        </w:rPr>
        <w:t xml:space="preserve">Furthermore, negotiation styles are not stagnant and are subjected to mutation as well as fluctuation of conditions notwithstanding. The negotiations of globalization, multiculturalism and technology development have </w:t>
      </w:r>
      <w:r w:rsidR="002E4BF1" w:rsidRPr="003C3886">
        <w:rPr>
          <w:rFonts w:ascii="Arial" w:hAnsi="Arial" w:cs="Arial"/>
          <w:color w:val="auto"/>
          <w:sz w:val="22"/>
        </w:rPr>
        <w:t>levelled</w:t>
      </w:r>
      <w:r w:rsidRPr="003C3886">
        <w:rPr>
          <w:rFonts w:ascii="Arial" w:hAnsi="Arial" w:cs="Arial"/>
          <w:color w:val="auto"/>
          <w:sz w:val="22"/>
        </w:rPr>
        <w:t xml:space="preserve"> up the playing field and, therefore, the negotiators should be flexible enough to adapt the varying culture aspects (Lewis, 2012).</w:t>
      </w:r>
    </w:p>
    <w:p w14:paraId="13404573" w14:textId="22693955" w:rsidR="009378DF" w:rsidRPr="003C3886" w:rsidRDefault="002E4BF1" w:rsidP="003C3886">
      <w:pPr>
        <w:spacing w:line="360" w:lineRule="auto"/>
        <w:jc w:val="both"/>
        <w:rPr>
          <w:rFonts w:ascii="Arial" w:hAnsi="Arial" w:cs="Arial"/>
          <w:color w:val="auto"/>
          <w:sz w:val="22"/>
        </w:rPr>
      </w:pPr>
      <w:r w:rsidRPr="003C3886">
        <w:rPr>
          <w:rFonts w:ascii="Arial" w:hAnsi="Arial" w:cs="Arial"/>
          <w:color w:val="auto"/>
          <w:sz w:val="22"/>
        </w:rPr>
        <w:t>Analysing</w:t>
      </w:r>
      <w:r w:rsidR="009378DF" w:rsidRPr="003C3886">
        <w:rPr>
          <w:rFonts w:ascii="Arial" w:hAnsi="Arial" w:cs="Arial"/>
          <w:color w:val="auto"/>
          <w:sz w:val="22"/>
        </w:rPr>
        <w:t xml:space="preserve"> negotiation patterns demands studying beyond simplified characterizations and </w:t>
      </w:r>
      <w:proofErr w:type="gramStart"/>
      <w:r w:rsidR="009378DF" w:rsidRPr="003C3886">
        <w:rPr>
          <w:rFonts w:ascii="Arial" w:hAnsi="Arial" w:cs="Arial"/>
          <w:color w:val="auto"/>
          <w:sz w:val="22"/>
        </w:rPr>
        <w:t>taking into account</w:t>
      </w:r>
      <w:proofErr w:type="gramEnd"/>
      <w:r w:rsidR="009378DF" w:rsidRPr="003C3886">
        <w:rPr>
          <w:rFonts w:ascii="Arial" w:hAnsi="Arial" w:cs="Arial"/>
          <w:color w:val="auto"/>
          <w:sz w:val="22"/>
        </w:rPr>
        <w:t xml:space="preserve"> the flow of negotiation </w:t>
      </w:r>
      <w:r w:rsidRPr="003C3886">
        <w:rPr>
          <w:rFonts w:ascii="Arial" w:hAnsi="Arial" w:cs="Arial"/>
          <w:color w:val="auto"/>
          <w:sz w:val="22"/>
        </w:rPr>
        <w:t>behaviour</w:t>
      </w:r>
      <w:r w:rsidR="009378DF" w:rsidRPr="003C3886">
        <w:rPr>
          <w:rFonts w:ascii="Arial" w:hAnsi="Arial" w:cs="Arial"/>
          <w:color w:val="auto"/>
          <w:sz w:val="22"/>
        </w:rPr>
        <w:t xml:space="preserve"> as it incorporates various personal aspects. Negotiation strategies may be greatly influenced by the paramount role of culture, but successful negotiation will still depend on a successful understanding and grasp of all parties' objectives, interests, and styles of communication. By being open-minded to the necessity and uniqueness of the different situations the negotiations might have and through relationship-building, rapport development and the subsequent achievement of the common goals, negotiators can negotiate effectively in the diverse and complicated negotiation contexts.</w:t>
      </w:r>
    </w:p>
    <w:p w14:paraId="4C2E7D20" w14:textId="5EE2E3F4" w:rsidR="009378DF" w:rsidRPr="003C3886" w:rsidRDefault="009378DF" w:rsidP="003C3886">
      <w:pPr>
        <w:spacing w:line="360" w:lineRule="auto"/>
        <w:jc w:val="both"/>
        <w:rPr>
          <w:rFonts w:ascii="Arial" w:hAnsi="Arial" w:cs="Arial"/>
          <w:color w:val="auto"/>
          <w:sz w:val="22"/>
        </w:rPr>
      </w:pPr>
      <w:r w:rsidRPr="003C3886">
        <w:rPr>
          <w:rFonts w:ascii="Arial" w:hAnsi="Arial" w:cs="Arial"/>
          <w:color w:val="auto"/>
          <w:sz w:val="22"/>
        </w:rPr>
        <w:t xml:space="preserve">The feedback mechanism, in addition to representing the cultural norms, allows for adaptability, which helps in communication effectiveness and creates a healthy organizational environment. The UK direct and transparent feedback process is a stark contrast to UAE indirect approach in feedback delivery. This different feeding reflects the distinctive values of the culture in terms to confrontation, </w:t>
      </w:r>
      <w:proofErr w:type="gramStart"/>
      <w:r w:rsidRPr="003C3886">
        <w:rPr>
          <w:rFonts w:ascii="Arial" w:hAnsi="Arial" w:cs="Arial"/>
          <w:color w:val="auto"/>
          <w:sz w:val="22"/>
        </w:rPr>
        <w:t>respect</w:t>
      </w:r>
      <w:proofErr w:type="gramEnd"/>
      <w:r w:rsidRPr="003C3886">
        <w:rPr>
          <w:rFonts w:ascii="Arial" w:hAnsi="Arial" w:cs="Arial"/>
          <w:color w:val="auto"/>
          <w:sz w:val="22"/>
        </w:rPr>
        <w:t xml:space="preserve"> and hierarchy. Such cultural differences may impact internalization of feedback as well as execution of suggestions, reiterating the crucially necessary role of cultural sensitivity in shaping </w:t>
      </w:r>
      <w:r w:rsidR="002E4BF1" w:rsidRPr="003C3886">
        <w:rPr>
          <w:rFonts w:ascii="Arial" w:hAnsi="Arial" w:cs="Arial"/>
          <w:color w:val="auto"/>
          <w:sz w:val="22"/>
        </w:rPr>
        <w:t>rewarding feedback</w:t>
      </w:r>
      <w:r w:rsidRPr="003C3886">
        <w:rPr>
          <w:rFonts w:ascii="Arial" w:hAnsi="Arial" w:cs="Arial"/>
          <w:color w:val="auto"/>
          <w:sz w:val="22"/>
        </w:rPr>
        <w:t xml:space="preserve"> setting and building a </w:t>
      </w:r>
      <w:r w:rsidR="002E4BF1" w:rsidRPr="003C3886">
        <w:rPr>
          <w:rFonts w:ascii="Arial" w:hAnsi="Arial" w:cs="Arial"/>
          <w:color w:val="auto"/>
          <w:sz w:val="22"/>
        </w:rPr>
        <w:t>favourable</w:t>
      </w:r>
      <w:r w:rsidRPr="003C3886">
        <w:rPr>
          <w:rFonts w:ascii="Arial" w:hAnsi="Arial" w:cs="Arial"/>
          <w:color w:val="auto"/>
          <w:sz w:val="22"/>
        </w:rPr>
        <w:t xml:space="preserve"> working environment. Grasping with feedback dynamics in terms of cultural variance </w:t>
      </w:r>
      <w:r w:rsidR="002E4BF1" w:rsidRPr="003C3886">
        <w:rPr>
          <w:rFonts w:ascii="Arial" w:hAnsi="Arial" w:cs="Arial"/>
          <w:color w:val="auto"/>
          <w:sz w:val="22"/>
        </w:rPr>
        <w:t>evidence</w:t>
      </w:r>
      <w:r w:rsidRPr="003C3886">
        <w:rPr>
          <w:rFonts w:ascii="Arial" w:hAnsi="Arial" w:cs="Arial"/>
          <w:color w:val="auto"/>
          <w:sz w:val="22"/>
        </w:rPr>
        <w:t xml:space="preserve"> challenging and yet chance prominent issues for communication and development in organizations. Although feedback is one envoy for individual growth and organizational enhancement, cultural views and modes of communication are deep rooted, change them they may not and influence how feedback is offered, accepted, and enforced (Ghosh, 2010).</w:t>
      </w:r>
    </w:p>
    <w:p w14:paraId="1EC9514A" w14:textId="308F1DFD" w:rsidR="003D3919" w:rsidRPr="003C3886" w:rsidRDefault="003D3919" w:rsidP="003C3886">
      <w:pPr>
        <w:spacing w:line="360" w:lineRule="auto"/>
        <w:jc w:val="both"/>
        <w:rPr>
          <w:rFonts w:ascii="Arial" w:hAnsi="Arial" w:cs="Arial"/>
          <w:color w:val="auto"/>
          <w:sz w:val="22"/>
        </w:rPr>
      </w:pPr>
      <w:r w:rsidRPr="003C3886">
        <w:rPr>
          <w:rFonts w:ascii="Arial" w:hAnsi="Arial" w:cs="Arial"/>
          <w:color w:val="auto"/>
          <w:sz w:val="22"/>
        </w:rPr>
        <w:t xml:space="preserve">Culturally, whether it is UK, or other Western outfits the feedback tends to be straightforward, blunt and emphasizes points for betterment. The workers, among them, are allowed to discuss the good and bad issues frankly with the spirit of telling the truth and adherence to as well as participation in the general sessions held. While in indirect cultures such as the Arab countries, feedback is usually delivered in a less direct and implicit way to the receiver </w:t>
      </w:r>
      <w:proofErr w:type="gramStart"/>
      <w:r w:rsidRPr="003C3886">
        <w:rPr>
          <w:rFonts w:ascii="Arial" w:hAnsi="Arial" w:cs="Arial"/>
          <w:color w:val="auto"/>
          <w:sz w:val="22"/>
        </w:rPr>
        <w:t>in order to</w:t>
      </w:r>
      <w:proofErr w:type="gramEnd"/>
      <w:r w:rsidRPr="003C3886">
        <w:rPr>
          <w:rFonts w:ascii="Arial" w:hAnsi="Arial" w:cs="Arial"/>
          <w:color w:val="auto"/>
          <w:sz w:val="22"/>
        </w:rPr>
        <w:t xml:space="preserve"> preserve the latter’s face and dignity so no offense would be caused. </w:t>
      </w:r>
      <w:r w:rsidR="00485E4C" w:rsidRPr="003C3886">
        <w:rPr>
          <w:rFonts w:ascii="Arial" w:hAnsi="Arial" w:cs="Arial"/>
          <w:color w:val="auto"/>
          <w:sz w:val="22"/>
        </w:rPr>
        <w:t>(Rizvi</w:t>
      </w:r>
      <w:r w:rsidRPr="003C3886">
        <w:rPr>
          <w:rFonts w:ascii="Arial" w:hAnsi="Arial" w:cs="Arial"/>
          <w:color w:val="auto"/>
          <w:sz w:val="22"/>
        </w:rPr>
        <w:t>, 2018).</w:t>
      </w:r>
    </w:p>
    <w:p w14:paraId="3A7289BC" w14:textId="0E2EF998" w:rsidR="003D3919" w:rsidRPr="003C3886" w:rsidRDefault="003D3919" w:rsidP="003C3886">
      <w:pPr>
        <w:spacing w:line="360" w:lineRule="auto"/>
        <w:jc w:val="both"/>
        <w:rPr>
          <w:rFonts w:ascii="Arial" w:hAnsi="Arial" w:cs="Arial"/>
          <w:color w:val="auto"/>
          <w:sz w:val="22"/>
        </w:rPr>
      </w:pPr>
      <w:r w:rsidRPr="003C3886">
        <w:rPr>
          <w:rFonts w:ascii="Arial" w:hAnsi="Arial" w:cs="Arial"/>
          <w:color w:val="auto"/>
          <w:sz w:val="22"/>
        </w:rPr>
        <w:t xml:space="preserve">The Lewis Model’s categorization not only helps us understand how the cultural characteristics. for </w:t>
      </w:r>
      <w:r w:rsidR="00485E4C" w:rsidRPr="003C3886">
        <w:rPr>
          <w:rFonts w:ascii="Arial" w:hAnsi="Arial" w:cs="Arial"/>
          <w:color w:val="auto"/>
          <w:sz w:val="22"/>
        </w:rPr>
        <w:t>instance, authority</w:t>
      </w:r>
      <w:r w:rsidRPr="003C3886">
        <w:rPr>
          <w:rFonts w:ascii="Arial" w:hAnsi="Arial" w:cs="Arial"/>
          <w:color w:val="auto"/>
          <w:sz w:val="22"/>
        </w:rPr>
        <w:t xml:space="preserve"> and hierarchy system, impact the feedback process, but it also brings out the inseparable relationship between culture and feedback. For example, in societies with hierarchical </w:t>
      </w:r>
      <w:r w:rsidRPr="003C3886">
        <w:rPr>
          <w:rFonts w:ascii="Arial" w:hAnsi="Arial" w:cs="Arial"/>
          <w:color w:val="auto"/>
          <w:sz w:val="22"/>
        </w:rPr>
        <w:lastRenderedPageBreak/>
        <w:t xml:space="preserve">organizational culture such UAE, subordinates may be in the fear of repercussions or being </w:t>
      </w:r>
      <w:r w:rsidR="000B7800" w:rsidRPr="003C3886">
        <w:rPr>
          <w:rFonts w:ascii="Arial" w:hAnsi="Arial" w:cs="Arial"/>
          <w:color w:val="auto"/>
          <w:sz w:val="22"/>
        </w:rPr>
        <w:t>labelled</w:t>
      </w:r>
      <w:r w:rsidRPr="003C3886">
        <w:rPr>
          <w:rFonts w:ascii="Arial" w:hAnsi="Arial" w:cs="Arial"/>
          <w:color w:val="auto"/>
          <w:sz w:val="22"/>
        </w:rPr>
        <w:t xml:space="preserve"> as rebellious if they provide upward feedback to superiors. On other hand, people-central cultures like the one found in Britain, are marked by an open attitude towards feedback at all levels; that is, from the top to the bottom of the organizational hierarchy.</w:t>
      </w:r>
    </w:p>
    <w:p w14:paraId="3AC1A5F2" w14:textId="701EFFC0" w:rsidR="003D3919" w:rsidRPr="003C3886" w:rsidRDefault="003D3919" w:rsidP="003C3886">
      <w:pPr>
        <w:spacing w:line="360" w:lineRule="auto"/>
        <w:jc w:val="both"/>
        <w:rPr>
          <w:rFonts w:ascii="Arial" w:hAnsi="Arial" w:cs="Arial"/>
          <w:color w:val="auto"/>
          <w:sz w:val="22"/>
        </w:rPr>
      </w:pPr>
      <w:r w:rsidRPr="003C3886">
        <w:rPr>
          <w:rFonts w:ascii="Arial" w:hAnsi="Arial" w:cs="Arial"/>
          <w:color w:val="auto"/>
          <w:sz w:val="22"/>
        </w:rPr>
        <w:t xml:space="preserve">On the contrary, Lewis Model's meshed framework could be imprecise by its nature because it is based primarily on national culture and lacks to </w:t>
      </w:r>
      <w:proofErr w:type="gramStart"/>
      <w:r w:rsidRPr="003C3886">
        <w:rPr>
          <w:rFonts w:ascii="Arial" w:hAnsi="Arial" w:cs="Arial"/>
          <w:color w:val="auto"/>
          <w:sz w:val="22"/>
        </w:rPr>
        <w:t>take into account</w:t>
      </w:r>
      <w:proofErr w:type="gramEnd"/>
      <w:r w:rsidRPr="003C3886">
        <w:rPr>
          <w:rFonts w:ascii="Arial" w:hAnsi="Arial" w:cs="Arial"/>
          <w:color w:val="auto"/>
          <w:sz w:val="22"/>
        </w:rPr>
        <w:t xml:space="preserve"> organizational culture, individual habits, and situational conditions. Through this, feedback dynamics are formed not just based on existing cultural norms but also on organizational norms, leadership styles and power networks. These highly present the specific contexts.</w:t>
      </w:r>
    </w:p>
    <w:p w14:paraId="7B026A15" w14:textId="35D2F21C" w:rsidR="003D3919" w:rsidRPr="003C3886" w:rsidRDefault="003D3919" w:rsidP="003C3886">
      <w:pPr>
        <w:spacing w:line="360" w:lineRule="auto"/>
        <w:jc w:val="both"/>
        <w:rPr>
          <w:rFonts w:ascii="Arial" w:hAnsi="Arial" w:cs="Arial"/>
          <w:color w:val="auto"/>
          <w:sz w:val="22"/>
        </w:rPr>
      </w:pPr>
      <w:r w:rsidRPr="003C3886">
        <w:rPr>
          <w:rFonts w:ascii="Arial" w:hAnsi="Arial" w:cs="Arial"/>
          <w:color w:val="auto"/>
          <w:sz w:val="22"/>
        </w:rPr>
        <w:t xml:space="preserve">Information is delivered about critically </w:t>
      </w:r>
      <w:r w:rsidR="000B7800" w:rsidRPr="003C3886">
        <w:rPr>
          <w:rFonts w:ascii="Arial" w:hAnsi="Arial" w:cs="Arial"/>
          <w:color w:val="auto"/>
          <w:sz w:val="22"/>
        </w:rPr>
        <w:t>analysing</w:t>
      </w:r>
      <w:r w:rsidRPr="003C3886">
        <w:rPr>
          <w:rFonts w:ascii="Arial" w:hAnsi="Arial" w:cs="Arial"/>
          <w:color w:val="auto"/>
          <w:sz w:val="22"/>
        </w:rPr>
        <w:t xml:space="preserve"> the feedback mechanisms, which has in view of the complex interplay of cultural, organizational, and individual factors. Notwithstanding the effect of cultural difference over feedback practices, firms should incorporate a multi-cultural feedback process that suits all communication preferences, </w:t>
      </w:r>
      <w:proofErr w:type="gramStart"/>
      <w:r w:rsidRPr="003C3886">
        <w:rPr>
          <w:rFonts w:ascii="Arial" w:hAnsi="Arial" w:cs="Arial"/>
          <w:color w:val="auto"/>
          <w:sz w:val="22"/>
        </w:rPr>
        <w:t>styles</w:t>
      </w:r>
      <w:proofErr w:type="gramEnd"/>
      <w:r w:rsidRPr="003C3886">
        <w:rPr>
          <w:rFonts w:ascii="Arial" w:hAnsi="Arial" w:cs="Arial"/>
          <w:color w:val="auto"/>
          <w:sz w:val="22"/>
        </w:rPr>
        <w:t xml:space="preserve"> and the distinct culture. This could range from offering guidelines for staff in directing to personalizing feedback sets, the fostering of a safe psychological holding and an environment where continuous learning is not only paramount, but easy as well.</w:t>
      </w:r>
    </w:p>
    <w:p w14:paraId="484ACC94" w14:textId="1784BEF9" w:rsidR="003D3919" w:rsidRPr="003C3886" w:rsidRDefault="003D3919" w:rsidP="003C3886">
      <w:pPr>
        <w:spacing w:line="360" w:lineRule="auto"/>
        <w:jc w:val="both"/>
        <w:rPr>
          <w:rFonts w:ascii="Arial" w:hAnsi="Arial" w:cs="Arial"/>
          <w:color w:val="auto"/>
          <w:sz w:val="22"/>
        </w:rPr>
      </w:pPr>
      <w:r w:rsidRPr="003C3886">
        <w:rPr>
          <w:rFonts w:ascii="Arial" w:hAnsi="Arial" w:cs="Arial"/>
          <w:color w:val="auto"/>
          <w:sz w:val="22"/>
        </w:rPr>
        <w:t xml:space="preserve">Communication mechanisms surely, provide cultural borders crossing and are among the most helpful elements for organizational success as they support </w:t>
      </w:r>
      <w:r w:rsidR="00A72F02" w:rsidRPr="003C3886">
        <w:rPr>
          <w:rFonts w:ascii="Arial" w:hAnsi="Arial" w:cs="Arial"/>
          <w:color w:val="auto"/>
          <w:sz w:val="22"/>
        </w:rPr>
        <w:t>employee’s</w:t>
      </w:r>
      <w:r w:rsidRPr="003C3886">
        <w:rPr>
          <w:rFonts w:ascii="Arial" w:hAnsi="Arial" w:cs="Arial"/>
          <w:color w:val="auto"/>
          <w:sz w:val="22"/>
        </w:rPr>
        <w:t xml:space="preserve"> engagement with the organization, </w:t>
      </w:r>
      <w:r w:rsidR="000B7800" w:rsidRPr="003C3886">
        <w:rPr>
          <w:rFonts w:ascii="Arial" w:hAnsi="Arial" w:cs="Arial"/>
          <w:color w:val="auto"/>
          <w:sz w:val="22"/>
        </w:rPr>
        <w:t>development,</w:t>
      </w:r>
      <w:r w:rsidRPr="003C3886">
        <w:rPr>
          <w:rFonts w:ascii="Arial" w:hAnsi="Arial" w:cs="Arial"/>
          <w:color w:val="auto"/>
          <w:sz w:val="22"/>
        </w:rPr>
        <w:t xml:space="preserve"> and performance. Through the </w:t>
      </w:r>
      <w:r w:rsidR="00A72F02" w:rsidRPr="003C3886">
        <w:rPr>
          <w:rFonts w:ascii="Arial" w:hAnsi="Arial" w:cs="Arial"/>
          <w:color w:val="auto"/>
          <w:sz w:val="22"/>
        </w:rPr>
        <w:t>distention</w:t>
      </w:r>
      <w:r w:rsidRPr="003C3886">
        <w:rPr>
          <w:rFonts w:ascii="Arial" w:hAnsi="Arial" w:cs="Arial"/>
          <w:color w:val="auto"/>
          <w:sz w:val="22"/>
        </w:rPr>
        <w:t xml:space="preserve"> of feedback practices and the feedback on different cultures organizations can release the talents and the true potential of the workforce and to create the environment of innovations and growth respectively.</w:t>
      </w:r>
    </w:p>
    <w:p w14:paraId="222852EE" w14:textId="4848835E" w:rsidR="00323F79" w:rsidRPr="003C3886" w:rsidRDefault="003D3919" w:rsidP="003C3886">
      <w:pPr>
        <w:spacing w:line="360" w:lineRule="auto"/>
        <w:jc w:val="both"/>
        <w:rPr>
          <w:rFonts w:ascii="Arial" w:hAnsi="Arial" w:cs="Arial"/>
          <w:color w:val="auto"/>
          <w:sz w:val="22"/>
          <w:lang w:bidi="en-GB"/>
        </w:rPr>
      </w:pPr>
      <w:r w:rsidRPr="003C3886">
        <w:rPr>
          <w:rFonts w:ascii="Arial" w:hAnsi="Arial" w:cs="Arial"/>
          <w:color w:val="auto"/>
          <w:sz w:val="22"/>
        </w:rPr>
        <w:t>The role of culture is not simplistically analysing the communication, negotiation, and feedback, but rather their complex nature in cross-cultural communication. On the other hand, there are both benefits and challenges of cultural diversity in the workplace. As it works for organizational decisions and creativity, cultural differences are also difficult to handle. Language and cultural variations, as well as the conflict of interests are real challenges that need to be worked out for effective collaboration and communication. Recognizing culture as a medium that shapes perceptions of communication system and dispute settlement techniques is a vital step to bring down the cultural barriers and build intercultural unity and cohesion in multicultural milieu</w:t>
      </w:r>
      <w:r w:rsidR="00E03669" w:rsidRPr="00E03669">
        <w:t xml:space="preserve"> </w:t>
      </w:r>
      <w:r w:rsidR="00E03669" w:rsidRPr="00E03669">
        <w:rPr>
          <w:rFonts w:ascii="Arial" w:hAnsi="Arial" w:cs="Arial"/>
          <w:color w:val="auto"/>
          <w:sz w:val="22"/>
        </w:rPr>
        <w:t>(</w:t>
      </w:r>
      <w:proofErr w:type="spellStart"/>
      <w:r w:rsidR="00E03669" w:rsidRPr="00E03669">
        <w:rPr>
          <w:rFonts w:ascii="Arial" w:hAnsi="Arial" w:cs="Arial"/>
          <w:color w:val="auto"/>
          <w:sz w:val="22"/>
        </w:rPr>
        <w:t>Thiederman</w:t>
      </w:r>
      <w:proofErr w:type="spellEnd"/>
      <w:r w:rsidR="00E03669" w:rsidRPr="00E03669">
        <w:rPr>
          <w:rFonts w:ascii="Arial" w:hAnsi="Arial" w:cs="Arial"/>
          <w:color w:val="auto"/>
          <w:sz w:val="22"/>
        </w:rPr>
        <w:t>, 1991)</w:t>
      </w:r>
      <w:r w:rsidRPr="003C3886">
        <w:rPr>
          <w:rFonts w:ascii="Arial" w:hAnsi="Arial" w:cs="Arial"/>
          <w:color w:val="auto"/>
          <w:sz w:val="22"/>
        </w:rPr>
        <w:t>.</w:t>
      </w:r>
    </w:p>
    <w:p w14:paraId="5C8AD55B" w14:textId="2CD72AE2" w:rsidR="00323F79" w:rsidRPr="003C3886" w:rsidRDefault="00323F79" w:rsidP="003C3886">
      <w:pPr>
        <w:pStyle w:val="Heading1"/>
        <w:spacing w:line="360" w:lineRule="auto"/>
        <w:jc w:val="both"/>
        <w:rPr>
          <w:rFonts w:ascii="Arial" w:hAnsi="Arial" w:cs="Arial"/>
          <w:color w:val="auto"/>
          <w:sz w:val="22"/>
          <w:szCs w:val="22"/>
        </w:rPr>
      </w:pPr>
      <w:bookmarkStart w:id="2" w:name="_Toc157265138"/>
      <w:r w:rsidRPr="003C3886">
        <w:rPr>
          <w:rFonts w:ascii="Arial" w:hAnsi="Arial" w:cs="Arial"/>
          <w:color w:val="auto"/>
          <w:sz w:val="22"/>
          <w:szCs w:val="22"/>
        </w:rPr>
        <w:t>Ethnocentric and Polycentric Model in People Management</w:t>
      </w:r>
      <w:bookmarkEnd w:id="2"/>
    </w:p>
    <w:p w14:paraId="372B5FED" w14:textId="3F0262F5" w:rsidR="00AB7A63" w:rsidRPr="003C3886" w:rsidRDefault="00AB7A63" w:rsidP="003C3886">
      <w:pPr>
        <w:spacing w:line="360" w:lineRule="auto"/>
        <w:jc w:val="both"/>
        <w:rPr>
          <w:rFonts w:ascii="Arial" w:hAnsi="Arial" w:cs="Arial"/>
          <w:color w:val="auto"/>
          <w:sz w:val="22"/>
        </w:rPr>
      </w:pPr>
      <w:r w:rsidRPr="003C3886">
        <w:rPr>
          <w:rFonts w:ascii="Arial" w:hAnsi="Arial" w:cs="Arial"/>
          <w:color w:val="auto"/>
          <w:sz w:val="22"/>
        </w:rPr>
        <w:t xml:space="preserve">In international human resource management (IHRM), two prominent models guide organizations in navigating staffing and decision-making practices across global subsidiaries: the ethnocentric and polycentric regimes. Ethnocentric model manifests this approach in the form of a centralized system with a preference for selection of human resources from their parent companies back home for topmost positions in the subsidiaries worldwide. Here, the polycentric structure focuses on the dispersion of authority to increase the extent of local citizens hire and their development who are charged with operations management in each host country (Perkins and Shortland, 2006). Such approaches allude to divergent thinking on obtaining of the egalitarianism and the acculturation coherence in the practices of human resources management. </w:t>
      </w:r>
      <w:r w:rsidR="000B7800" w:rsidRPr="003C3886">
        <w:rPr>
          <w:rFonts w:ascii="Arial" w:hAnsi="Arial" w:cs="Arial"/>
          <w:color w:val="auto"/>
          <w:sz w:val="22"/>
        </w:rPr>
        <w:t>Each</w:t>
      </w:r>
      <w:r w:rsidRPr="003C3886">
        <w:rPr>
          <w:rFonts w:ascii="Arial" w:hAnsi="Arial" w:cs="Arial"/>
          <w:color w:val="auto"/>
          <w:sz w:val="22"/>
        </w:rPr>
        <w:t xml:space="preserve"> model is unique in providing its </w:t>
      </w:r>
      <w:r w:rsidRPr="003C3886">
        <w:rPr>
          <w:rFonts w:ascii="Arial" w:hAnsi="Arial" w:cs="Arial"/>
          <w:color w:val="auto"/>
          <w:sz w:val="22"/>
        </w:rPr>
        <w:lastRenderedPageBreak/>
        <w:t>specific advantages and disadvantages, which enormously affect organizational culture, decision-making and communications, and human resource managements within multinational enterprises.</w:t>
      </w:r>
    </w:p>
    <w:p w14:paraId="5FA77588" w14:textId="23804DB1" w:rsidR="00AB7A63" w:rsidRPr="000E7DFF" w:rsidRDefault="00AB7A63" w:rsidP="003C3886">
      <w:pPr>
        <w:spacing w:line="360" w:lineRule="auto"/>
        <w:jc w:val="both"/>
        <w:rPr>
          <w:rFonts w:ascii="Arial" w:hAnsi="Arial" w:cs="Arial"/>
          <w:b/>
          <w:bCs/>
          <w:color w:val="auto"/>
          <w:sz w:val="22"/>
        </w:rPr>
      </w:pPr>
      <w:r w:rsidRPr="000E7DFF">
        <w:rPr>
          <w:rFonts w:ascii="Arial" w:hAnsi="Arial" w:cs="Arial"/>
          <w:b/>
          <w:bCs/>
          <w:color w:val="auto"/>
          <w:sz w:val="22"/>
        </w:rPr>
        <w:t>Ethnocentric Model</w:t>
      </w:r>
    </w:p>
    <w:p w14:paraId="6EBD6C6A" w14:textId="52BA5A2A" w:rsidR="00AB7A63" w:rsidRPr="003C3886" w:rsidRDefault="00AB7A63" w:rsidP="003C3886">
      <w:pPr>
        <w:spacing w:line="360" w:lineRule="auto"/>
        <w:jc w:val="both"/>
        <w:rPr>
          <w:rFonts w:ascii="Arial" w:hAnsi="Arial" w:cs="Arial"/>
          <w:color w:val="auto"/>
          <w:sz w:val="22"/>
        </w:rPr>
      </w:pPr>
      <w:r w:rsidRPr="003C3886">
        <w:rPr>
          <w:rFonts w:ascii="Arial" w:hAnsi="Arial" w:cs="Arial"/>
          <w:color w:val="auto"/>
          <w:sz w:val="22"/>
        </w:rPr>
        <w:t>According to the ethnocentric model of IHRM, headquarters of the parent corporation assumes controlling and human resource management roles including recruitment. Under this model, the number of people who are accompanying the firm of foreign origin is usually key people, and they are informally transferred to various top positions at the subsidiary companies at the home country (Perkins and Shortland, 2006).</w:t>
      </w:r>
    </w:p>
    <w:p w14:paraId="62C23420" w14:textId="78A06DFD" w:rsidR="002528AF" w:rsidRPr="003C3886" w:rsidRDefault="00AB7A63" w:rsidP="003C3886">
      <w:pPr>
        <w:spacing w:line="360" w:lineRule="auto"/>
        <w:jc w:val="both"/>
        <w:rPr>
          <w:rFonts w:ascii="Arial" w:hAnsi="Arial" w:cs="Arial"/>
          <w:color w:val="auto"/>
          <w:sz w:val="22"/>
        </w:rPr>
      </w:pPr>
      <w:r w:rsidRPr="003C3886">
        <w:rPr>
          <w:rFonts w:ascii="Arial" w:hAnsi="Arial" w:cs="Arial"/>
          <w:color w:val="auto"/>
          <w:sz w:val="22"/>
        </w:rPr>
        <w:t>When it comes to merger &amp; acquisition process of Universal Elect Plc by Energy Power, in ethnocentric IHRM model there is a centralized decision-making and staffing system which allows mostly the senior (the country of origin is Energy Power) to take up high responsibility positions in the new sub sales company.</w:t>
      </w:r>
    </w:p>
    <w:p w14:paraId="4504D638" w14:textId="51213286" w:rsidR="0098698B" w:rsidRPr="003C3886" w:rsidRDefault="002528AF" w:rsidP="003C3886">
      <w:pPr>
        <w:spacing w:line="360" w:lineRule="auto"/>
        <w:jc w:val="both"/>
        <w:rPr>
          <w:rFonts w:ascii="Arial" w:hAnsi="Arial" w:cs="Arial"/>
          <w:b/>
          <w:bCs/>
          <w:color w:val="auto"/>
          <w:sz w:val="22"/>
        </w:rPr>
      </w:pPr>
      <w:r w:rsidRPr="003C3886">
        <w:rPr>
          <w:rFonts w:ascii="Arial" w:hAnsi="Arial" w:cs="Arial"/>
          <w:b/>
          <w:bCs/>
          <w:color w:val="auto"/>
          <w:sz w:val="22"/>
        </w:rPr>
        <w:t>Advantages</w:t>
      </w:r>
      <w:r w:rsidR="008E2DDD" w:rsidRPr="003C3886">
        <w:rPr>
          <w:rFonts w:ascii="Arial" w:hAnsi="Arial" w:cs="Arial"/>
          <w:b/>
          <w:bCs/>
          <w:color w:val="auto"/>
          <w:sz w:val="22"/>
        </w:rPr>
        <w:t xml:space="preserve"> </w:t>
      </w:r>
    </w:p>
    <w:p w14:paraId="03E39E9B" w14:textId="1DE75476" w:rsidR="0098698B" w:rsidRPr="003C3886" w:rsidRDefault="0098698B" w:rsidP="003C3886">
      <w:pPr>
        <w:spacing w:line="360" w:lineRule="auto"/>
        <w:jc w:val="both"/>
        <w:rPr>
          <w:rFonts w:ascii="Arial" w:hAnsi="Arial" w:cs="Arial"/>
          <w:color w:val="auto"/>
          <w:sz w:val="22"/>
        </w:rPr>
      </w:pPr>
      <w:r w:rsidRPr="003C3886">
        <w:rPr>
          <w:rFonts w:ascii="Arial" w:hAnsi="Arial" w:cs="Arial"/>
          <w:color w:val="auto"/>
          <w:sz w:val="22"/>
        </w:rPr>
        <w:t>Consistency and Standardization: Through the ethnocentric model, Energy Power may expect consistency across its subsidiary, the top management staff and the expatriate from Power Elect can be responsible to enforcing standard uniform policies, procedures, and practices including those of Universal Elect Plc. Such setup promotes centralized command and routinely checks that the new assemblies comply with the established Energy Power's corporate culture, principles, and attitudes.</w:t>
      </w:r>
    </w:p>
    <w:p w14:paraId="4894EE40" w14:textId="7C699BB7" w:rsidR="0098698B" w:rsidRPr="003C3886" w:rsidRDefault="0098698B" w:rsidP="003C3886">
      <w:pPr>
        <w:spacing w:line="360" w:lineRule="auto"/>
        <w:jc w:val="both"/>
        <w:rPr>
          <w:rFonts w:ascii="Arial" w:hAnsi="Arial" w:cs="Arial"/>
          <w:color w:val="auto"/>
          <w:sz w:val="22"/>
        </w:rPr>
      </w:pPr>
      <w:r w:rsidRPr="003C3886">
        <w:rPr>
          <w:rFonts w:ascii="Arial" w:hAnsi="Arial" w:cs="Arial"/>
          <w:color w:val="auto"/>
          <w:sz w:val="22"/>
        </w:rPr>
        <w:t xml:space="preserve">Specialized Expertise Transfer: Through the persons of expatriates Energy Power sends from them to the key leadership positions of the subsidiaries Universal Elect comes the ethnocentric model draws the drawing of the transfer of </w:t>
      </w:r>
      <w:r w:rsidR="003C3886" w:rsidRPr="003C3886">
        <w:rPr>
          <w:rFonts w:ascii="Arial" w:hAnsi="Arial" w:cs="Arial"/>
          <w:color w:val="auto"/>
          <w:sz w:val="22"/>
        </w:rPr>
        <w:t>the</w:t>
      </w:r>
      <w:r w:rsidRPr="003C3886">
        <w:rPr>
          <w:rFonts w:ascii="Arial" w:hAnsi="Arial" w:cs="Arial"/>
          <w:color w:val="auto"/>
          <w:sz w:val="22"/>
        </w:rPr>
        <w:t xml:space="preserve"> specialized knowledge, skills, and best practices from the parent company to the is acquired subsidiary. Such action can be viewed as an instrument for organizational learning, operational efficiency and, finally, implementation of uniform processes and information technologies</w:t>
      </w:r>
      <w:r w:rsidR="00D33B20" w:rsidRPr="00D33B20">
        <w:t xml:space="preserve"> </w:t>
      </w:r>
      <w:r w:rsidR="00D33B20" w:rsidRPr="00D33B20">
        <w:rPr>
          <w:rFonts w:ascii="Arial" w:hAnsi="Arial" w:cs="Arial"/>
          <w:color w:val="auto"/>
          <w:sz w:val="22"/>
        </w:rPr>
        <w:t>(Blass, 2016)</w:t>
      </w:r>
      <w:r w:rsidRPr="003C3886">
        <w:rPr>
          <w:rFonts w:ascii="Arial" w:hAnsi="Arial" w:cs="Arial"/>
          <w:color w:val="auto"/>
          <w:sz w:val="22"/>
        </w:rPr>
        <w:t>.</w:t>
      </w:r>
    </w:p>
    <w:p w14:paraId="244E87A3" w14:textId="3FE36CA8" w:rsidR="002528AF" w:rsidRPr="003C3886" w:rsidRDefault="0098698B" w:rsidP="003C3886">
      <w:pPr>
        <w:spacing w:line="360" w:lineRule="auto"/>
        <w:jc w:val="both"/>
        <w:rPr>
          <w:rFonts w:ascii="Arial" w:hAnsi="Arial" w:cs="Arial"/>
          <w:color w:val="auto"/>
          <w:sz w:val="22"/>
        </w:rPr>
      </w:pPr>
      <w:r w:rsidRPr="003C3886">
        <w:rPr>
          <w:rFonts w:ascii="Arial" w:hAnsi="Arial" w:cs="Arial"/>
          <w:color w:val="auto"/>
          <w:sz w:val="22"/>
        </w:rPr>
        <w:t>Rapid Integration and Synergy Realization: The ethnocentric model which is in use in Universal Elect Plc helps to fast track the integration process by imposing a clear organizational structure, reporting hierarchy and systematic mode of operation or management As the people from Energy Power take control of the company, they can easily reduce the time taken for decision-making and create synergy to make the entire procedure leaner and in this way, the company will gain an edge over its competitors.</w:t>
      </w:r>
    </w:p>
    <w:p w14:paraId="73B64C48" w14:textId="77777777" w:rsidR="002528AF" w:rsidRPr="003C3886" w:rsidRDefault="002528AF" w:rsidP="003C3886">
      <w:pPr>
        <w:spacing w:line="360" w:lineRule="auto"/>
        <w:jc w:val="both"/>
        <w:rPr>
          <w:rFonts w:ascii="Arial" w:hAnsi="Arial" w:cs="Arial"/>
          <w:b/>
          <w:bCs/>
          <w:color w:val="auto"/>
          <w:sz w:val="22"/>
        </w:rPr>
      </w:pPr>
      <w:r w:rsidRPr="003C3886">
        <w:rPr>
          <w:rFonts w:ascii="Arial" w:hAnsi="Arial" w:cs="Arial"/>
          <w:b/>
          <w:bCs/>
          <w:color w:val="auto"/>
          <w:sz w:val="22"/>
        </w:rPr>
        <w:t>Disadvantages within the Acquisition Context:</w:t>
      </w:r>
    </w:p>
    <w:p w14:paraId="114FCDA4" w14:textId="72D848B7" w:rsidR="002255EB" w:rsidRPr="003C3886" w:rsidRDefault="002255EB" w:rsidP="003C3886">
      <w:pPr>
        <w:spacing w:line="360" w:lineRule="auto"/>
        <w:jc w:val="both"/>
        <w:rPr>
          <w:rFonts w:ascii="Arial" w:hAnsi="Arial" w:cs="Arial"/>
          <w:color w:val="auto"/>
          <w:sz w:val="22"/>
        </w:rPr>
      </w:pPr>
      <w:r w:rsidRPr="003C3886">
        <w:rPr>
          <w:rFonts w:ascii="Arial" w:hAnsi="Arial" w:cs="Arial"/>
          <w:color w:val="auto"/>
          <w:sz w:val="22"/>
        </w:rPr>
        <w:t xml:space="preserve">Cultural Insensitivity and Resistance: Ethnocentrism may stem </w:t>
      </w:r>
      <w:r w:rsidR="00F224D8" w:rsidRPr="003C3886">
        <w:rPr>
          <w:rFonts w:ascii="Arial" w:hAnsi="Arial" w:cs="Arial"/>
          <w:color w:val="auto"/>
          <w:sz w:val="22"/>
        </w:rPr>
        <w:t>people</w:t>
      </w:r>
      <w:r w:rsidRPr="003C3886">
        <w:rPr>
          <w:rFonts w:ascii="Arial" w:hAnsi="Arial" w:cs="Arial"/>
          <w:color w:val="auto"/>
          <w:sz w:val="22"/>
        </w:rPr>
        <w:t xml:space="preserve"> against and cultural barriers at Universal Elect Plc because local employees who may be against the arrival of expats, CTs are </w:t>
      </w:r>
      <w:r w:rsidR="00CA56B6" w:rsidRPr="003C3886">
        <w:rPr>
          <w:rFonts w:ascii="Arial" w:hAnsi="Arial" w:cs="Arial"/>
          <w:color w:val="auto"/>
          <w:sz w:val="22"/>
        </w:rPr>
        <w:t>referred</w:t>
      </w:r>
      <w:r w:rsidRPr="003C3886">
        <w:rPr>
          <w:rFonts w:ascii="Arial" w:hAnsi="Arial" w:cs="Arial"/>
          <w:color w:val="auto"/>
          <w:sz w:val="22"/>
        </w:rPr>
        <w:t xml:space="preserve"> to as imposing alien values and culture. It may result in conflicts of culture, motivation issues and employee dislocation thus it would weaken the efforts of integration besides crushed the synergy.</w:t>
      </w:r>
    </w:p>
    <w:p w14:paraId="3D90D628" w14:textId="77777777" w:rsidR="002255EB" w:rsidRPr="003C3886" w:rsidRDefault="002255EB" w:rsidP="003C3886">
      <w:pPr>
        <w:spacing w:line="360" w:lineRule="auto"/>
        <w:jc w:val="both"/>
        <w:rPr>
          <w:rFonts w:ascii="Arial" w:hAnsi="Arial" w:cs="Arial"/>
          <w:color w:val="auto"/>
          <w:sz w:val="22"/>
        </w:rPr>
      </w:pPr>
    </w:p>
    <w:p w14:paraId="2DDBB39D" w14:textId="450D732C" w:rsidR="002255EB" w:rsidRPr="003C3886" w:rsidRDefault="002255EB" w:rsidP="003C3886">
      <w:pPr>
        <w:spacing w:line="360" w:lineRule="auto"/>
        <w:jc w:val="both"/>
        <w:rPr>
          <w:rFonts w:ascii="Arial" w:hAnsi="Arial" w:cs="Arial"/>
          <w:color w:val="auto"/>
          <w:sz w:val="22"/>
        </w:rPr>
      </w:pPr>
      <w:r w:rsidRPr="003C3886">
        <w:rPr>
          <w:rFonts w:ascii="Arial" w:hAnsi="Arial" w:cs="Arial"/>
          <w:color w:val="auto"/>
          <w:sz w:val="22"/>
        </w:rPr>
        <w:t>Limited Local Adaptation and Innovation: Uni</w:t>
      </w:r>
      <w:r w:rsidR="000B7800" w:rsidRPr="003C3886">
        <w:rPr>
          <w:rFonts w:ascii="Arial" w:hAnsi="Arial" w:cs="Arial"/>
          <w:color w:val="auto"/>
          <w:sz w:val="22"/>
        </w:rPr>
        <w:t>versal Elect Plc</w:t>
      </w:r>
      <w:r w:rsidRPr="003C3886">
        <w:rPr>
          <w:rFonts w:ascii="Arial" w:hAnsi="Arial" w:cs="Arial"/>
          <w:color w:val="auto"/>
          <w:sz w:val="22"/>
        </w:rPr>
        <w:t xml:space="preserve"> may find itself at a disadvantage when it heavily depends on Energy Power’s expatriates, as this will hinder the adjustment and innovation </w:t>
      </w:r>
      <w:r w:rsidRPr="003C3886">
        <w:rPr>
          <w:rFonts w:ascii="Arial" w:hAnsi="Arial" w:cs="Arial"/>
          <w:color w:val="auto"/>
          <w:sz w:val="22"/>
        </w:rPr>
        <w:lastRenderedPageBreak/>
        <w:t>of employees of the energy supplier. The ethnocentric model might block the access to insightful information, experience, ideas, which are beyond the comprehension of capitalists from head offices and may be detrimental to their ability to adapt to the market demands, and local opportunities and challenges.</w:t>
      </w:r>
    </w:p>
    <w:p w14:paraId="1CDEE9FC" w14:textId="71EA7A9B" w:rsidR="002255EB" w:rsidRPr="003C3886" w:rsidRDefault="002255EB" w:rsidP="003C3886">
      <w:pPr>
        <w:spacing w:line="360" w:lineRule="auto"/>
        <w:jc w:val="both"/>
        <w:rPr>
          <w:rFonts w:ascii="Arial" w:hAnsi="Arial" w:cs="Arial"/>
          <w:color w:val="auto"/>
          <w:sz w:val="22"/>
        </w:rPr>
      </w:pPr>
      <w:r w:rsidRPr="003C3886">
        <w:rPr>
          <w:rFonts w:ascii="Arial" w:hAnsi="Arial" w:cs="Arial"/>
          <w:color w:val="auto"/>
          <w:sz w:val="22"/>
        </w:rPr>
        <w:t xml:space="preserve">Cost and Talent Management Challenges: The ethnocentric model can resent a large expense related to the expatriate assignments amongst others, relocation expenses, housing allowance, and benefit packages that will cater to expatriate staff. Furthermore, I believe it may result in talent management problems </w:t>
      </w:r>
      <w:proofErr w:type="gramStart"/>
      <w:r w:rsidRPr="003C3886">
        <w:rPr>
          <w:rFonts w:ascii="Arial" w:hAnsi="Arial" w:cs="Arial"/>
          <w:color w:val="auto"/>
          <w:sz w:val="22"/>
        </w:rPr>
        <w:t>due to the fact that</w:t>
      </w:r>
      <w:proofErr w:type="gramEnd"/>
      <w:r w:rsidRPr="003C3886">
        <w:rPr>
          <w:rFonts w:ascii="Arial" w:hAnsi="Arial" w:cs="Arial"/>
          <w:color w:val="auto"/>
          <w:sz w:val="22"/>
        </w:rPr>
        <w:t xml:space="preserve"> the current personnel within Universal Elect is likely to postulate a lack of career advancement and growth potential under the control of expat managers</w:t>
      </w:r>
      <w:r w:rsidR="006A5073" w:rsidRPr="006A5073">
        <w:t xml:space="preserve"> </w:t>
      </w:r>
      <w:r w:rsidR="006A5073" w:rsidRPr="006A5073">
        <w:rPr>
          <w:rFonts w:ascii="Arial" w:hAnsi="Arial" w:cs="Arial"/>
          <w:color w:val="auto"/>
          <w:sz w:val="22"/>
        </w:rPr>
        <w:t>(Blass, 2016)</w:t>
      </w:r>
      <w:r w:rsidRPr="003C3886">
        <w:rPr>
          <w:rFonts w:ascii="Arial" w:hAnsi="Arial" w:cs="Arial"/>
          <w:color w:val="auto"/>
          <w:sz w:val="22"/>
        </w:rPr>
        <w:t>.</w:t>
      </w:r>
    </w:p>
    <w:p w14:paraId="0F30972E" w14:textId="79E46F0A" w:rsidR="002255EB" w:rsidRPr="003C3886" w:rsidRDefault="002255EB" w:rsidP="003C3886">
      <w:pPr>
        <w:spacing w:line="360" w:lineRule="auto"/>
        <w:jc w:val="both"/>
        <w:rPr>
          <w:rFonts w:ascii="Arial" w:hAnsi="Arial" w:cs="Arial"/>
          <w:color w:val="auto"/>
          <w:sz w:val="22"/>
        </w:rPr>
      </w:pPr>
      <w:r w:rsidRPr="003C3886">
        <w:rPr>
          <w:rFonts w:ascii="Arial" w:hAnsi="Arial" w:cs="Arial"/>
          <w:color w:val="auto"/>
          <w:sz w:val="22"/>
        </w:rPr>
        <w:t xml:space="preserve">Summarizing, while ethnocentric model provides the advantages of conserving the past, streaming in existing expertise as well as the speed of integration within the acquisition context, it also has the negative potential challenges such as sensitivity to cultures, </w:t>
      </w:r>
      <w:r w:rsidR="000E7DFF" w:rsidRPr="003C3886">
        <w:rPr>
          <w:rFonts w:ascii="Arial" w:hAnsi="Arial" w:cs="Arial"/>
          <w:color w:val="auto"/>
          <w:sz w:val="22"/>
        </w:rPr>
        <w:t>innovation,</w:t>
      </w:r>
      <w:r w:rsidRPr="003C3886">
        <w:rPr>
          <w:rFonts w:ascii="Arial" w:hAnsi="Arial" w:cs="Arial"/>
          <w:color w:val="auto"/>
          <w:sz w:val="22"/>
        </w:rPr>
        <w:t xml:space="preserve"> and talent management. Successful adoption depends on a good compromising between centralized power and </w:t>
      </w:r>
      <w:r w:rsidR="000E7DFF" w:rsidRPr="003C3886">
        <w:rPr>
          <w:rFonts w:ascii="Arial" w:hAnsi="Arial" w:cs="Arial"/>
          <w:color w:val="auto"/>
          <w:sz w:val="22"/>
        </w:rPr>
        <w:t>considering</w:t>
      </w:r>
      <w:r w:rsidRPr="003C3886">
        <w:rPr>
          <w:rFonts w:ascii="Arial" w:hAnsi="Arial" w:cs="Arial"/>
          <w:color w:val="auto"/>
          <w:sz w:val="22"/>
        </w:rPr>
        <w:t xml:space="preserve"> local dynamics, promotion of cultural custom share and empowering local talent in the acquired unit.</w:t>
      </w:r>
    </w:p>
    <w:p w14:paraId="518F220F" w14:textId="71CBC6FF" w:rsidR="006877A8" w:rsidRPr="003C3886" w:rsidRDefault="002255EB" w:rsidP="003C3886">
      <w:pPr>
        <w:spacing w:line="360" w:lineRule="auto"/>
        <w:jc w:val="both"/>
        <w:rPr>
          <w:rFonts w:ascii="Arial" w:hAnsi="Arial" w:cs="Arial"/>
          <w:color w:val="auto"/>
          <w:sz w:val="22"/>
        </w:rPr>
      </w:pPr>
      <w:r w:rsidRPr="003C3886">
        <w:rPr>
          <w:rFonts w:ascii="Arial" w:hAnsi="Arial" w:cs="Arial"/>
          <w:color w:val="auto"/>
          <w:sz w:val="22"/>
        </w:rPr>
        <w:t>The polycentric model of IHRM is a model which is decentralized in nature – where the subsidiaries of different countries have more of an authority to decide when it comes to the human resource questions. To a marked degree, the polycentric model conveys the opposite of ethnocentrism as, unlike the ethnocentric model which place a premium on staffing from the country of the parent company or headquarters, the polycentric model looks at recruiting and promoting local employees to key positions within a subsidiary in the polycentric model (Perkins and Shortland, 2006).</w:t>
      </w:r>
    </w:p>
    <w:p w14:paraId="60084F44" w14:textId="77777777" w:rsidR="00467EEB" w:rsidRPr="003C3886" w:rsidRDefault="00467EEB" w:rsidP="003C3886">
      <w:pPr>
        <w:spacing w:line="360" w:lineRule="auto"/>
        <w:jc w:val="both"/>
        <w:rPr>
          <w:rFonts w:ascii="Arial" w:hAnsi="Arial" w:cs="Arial"/>
          <w:b/>
          <w:bCs/>
          <w:color w:val="auto"/>
          <w:sz w:val="22"/>
        </w:rPr>
      </w:pPr>
      <w:r w:rsidRPr="003C3886">
        <w:rPr>
          <w:rFonts w:ascii="Arial" w:hAnsi="Arial" w:cs="Arial"/>
          <w:b/>
          <w:bCs/>
          <w:color w:val="auto"/>
          <w:sz w:val="22"/>
        </w:rPr>
        <w:t>Advantages within the Acquisition Context:</w:t>
      </w:r>
    </w:p>
    <w:p w14:paraId="6C018317" w14:textId="5B892481" w:rsidR="008E6825" w:rsidRPr="003C3886" w:rsidRDefault="008E6825" w:rsidP="003C3886">
      <w:pPr>
        <w:spacing w:line="360" w:lineRule="auto"/>
        <w:jc w:val="both"/>
        <w:rPr>
          <w:rFonts w:ascii="Arial" w:hAnsi="Arial" w:cs="Arial"/>
          <w:color w:val="auto"/>
          <w:sz w:val="22"/>
        </w:rPr>
      </w:pPr>
      <w:r w:rsidRPr="003C3886">
        <w:rPr>
          <w:rFonts w:ascii="Arial" w:hAnsi="Arial" w:cs="Arial"/>
          <w:color w:val="auto"/>
          <w:sz w:val="22"/>
        </w:rPr>
        <w:t xml:space="preserve">Cultural Sensitivity: This will </w:t>
      </w:r>
      <w:r w:rsidR="00FB4976" w:rsidRPr="003C3886">
        <w:rPr>
          <w:rFonts w:ascii="Arial" w:hAnsi="Arial" w:cs="Arial"/>
          <w:color w:val="auto"/>
          <w:sz w:val="22"/>
        </w:rPr>
        <w:t>be enabled</w:t>
      </w:r>
      <w:r w:rsidRPr="003C3886">
        <w:rPr>
          <w:rFonts w:ascii="Arial" w:hAnsi="Arial" w:cs="Arial"/>
          <w:color w:val="auto"/>
          <w:sz w:val="22"/>
        </w:rPr>
        <w:t xml:space="preserve"> to adopt Polycentric model of Energy Power as they are able to preserve the culture and practices of Universal Elect Plc as they are UK based company and multinational corporation where they are going to be acquired. The maintenance of workforce locally throughout Energy Power in the Universal Elect Plc will maintain the sense of coherence and typicality which will enhance integration.</w:t>
      </w:r>
    </w:p>
    <w:p w14:paraId="065F2230" w14:textId="7CF97C8B" w:rsidR="008E6825" w:rsidRPr="003C3886" w:rsidRDefault="008E6825" w:rsidP="003C3886">
      <w:pPr>
        <w:spacing w:line="360" w:lineRule="auto"/>
        <w:jc w:val="both"/>
        <w:rPr>
          <w:rFonts w:ascii="Arial" w:hAnsi="Arial" w:cs="Arial"/>
          <w:color w:val="auto"/>
          <w:sz w:val="22"/>
        </w:rPr>
      </w:pPr>
      <w:r w:rsidRPr="003C3886">
        <w:rPr>
          <w:rFonts w:ascii="Arial" w:hAnsi="Arial" w:cs="Arial"/>
          <w:color w:val="auto"/>
          <w:sz w:val="22"/>
        </w:rPr>
        <w:t>Local Expertise Utilization: The potential of a polycentric model is precisely what Energy Power exploits to gain access to the fine-grained knowledge of the Local market, as well as the experience of Universal Elect Plc employee. It is also very important for understanding the full complexities of the British market, regulatory aspects, and customer tastes, that will in turn help to have less transformation processes and market integration strategies</w:t>
      </w:r>
      <w:r w:rsidR="006A5073" w:rsidRPr="006A5073">
        <w:t xml:space="preserve"> </w:t>
      </w:r>
      <w:r w:rsidR="006A5073" w:rsidRPr="006A5073">
        <w:rPr>
          <w:rFonts w:ascii="Arial" w:hAnsi="Arial" w:cs="Arial"/>
          <w:color w:val="auto"/>
          <w:sz w:val="22"/>
        </w:rPr>
        <w:t>(Blass, 2016)</w:t>
      </w:r>
      <w:r w:rsidRPr="003C3886">
        <w:rPr>
          <w:rFonts w:ascii="Arial" w:hAnsi="Arial" w:cs="Arial"/>
          <w:color w:val="auto"/>
          <w:sz w:val="22"/>
        </w:rPr>
        <w:t>.</w:t>
      </w:r>
    </w:p>
    <w:p w14:paraId="612099B6" w14:textId="3A1BF1ED" w:rsidR="00467EEB" w:rsidRPr="003C3886" w:rsidRDefault="008E6825" w:rsidP="003C3886">
      <w:pPr>
        <w:spacing w:line="360" w:lineRule="auto"/>
        <w:jc w:val="both"/>
        <w:rPr>
          <w:rFonts w:ascii="Arial" w:hAnsi="Arial" w:cs="Arial"/>
          <w:color w:val="auto"/>
          <w:sz w:val="22"/>
        </w:rPr>
      </w:pPr>
      <w:r w:rsidRPr="003C3886">
        <w:rPr>
          <w:rFonts w:ascii="Arial" w:hAnsi="Arial" w:cs="Arial"/>
          <w:color w:val="auto"/>
          <w:sz w:val="22"/>
        </w:rPr>
        <w:t xml:space="preserve">Cost Efficiency: </w:t>
      </w:r>
      <w:proofErr w:type="gramStart"/>
      <w:r w:rsidRPr="003C3886">
        <w:rPr>
          <w:rFonts w:ascii="Arial" w:hAnsi="Arial" w:cs="Arial"/>
          <w:color w:val="auto"/>
          <w:sz w:val="22"/>
        </w:rPr>
        <w:t>Due to the fact that</w:t>
      </w:r>
      <w:proofErr w:type="gramEnd"/>
      <w:r w:rsidRPr="003C3886">
        <w:rPr>
          <w:rFonts w:ascii="Arial" w:hAnsi="Arial" w:cs="Arial"/>
          <w:color w:val="auto"/>
          <w:sz w:val="22"/>
        </w:rPr>
        <w:t xml:space="preserve"> the polycentric model is taking into consideration the acquisition process; it leads to cost saving during the life cycle of the products. Through the employment of the native resources of Universal Elect Plc for the vital posts in terms of employing expatriates, Energy Power can prevent the budgeting of expensive expatriate assignments and related relocation charges. Hence, cost efficiency will be attained during the process of integration</w:t>
      </w:r>
      <w:r w:rsidR="006A5073" w:rsidRPr="006A5073">
        <w:t xml:space="preserve"> </w:t>
      </w:r>
      <w:r w:rsidR="006A5073" w:rsidRPr="006A5073">
        <w:rPr>
          <w:rFonts w:ascii="Arial" w:hAnsi="Arial" w:cs="Arial"/>
          <w:color w:val="auto"/>
          <w:sz w:val="22"/>
        </w:rPr>
        <w:t>(Blass, 2016)</w:t>
      </w:r>
      <w:r w:rsidRPr="003C3886">
        <w:rPr>
          <w:rFonts w:ascii="Arial" w:hAnsi="Arial" w:cs="Arial"/>
          <w:color w:val="auto"/>
          <w:sz w:val="22"/>
        </w:rPr>
        <w:t>.</w:t>
      </w:r>
    </w:p>
    <w:p w14:paraId="3AB5B76E" w14:textId="77777777" w:rsidR="00467EEB" w:rsidRPr="003C3886" w:rsidRDefault="00467EEB" w:rsidP="003C3886">
      <w:pPr>
        <w:spacing w:line="360" w:lineRule="auto"/>
        <w:jc w:val="both"/>
        <w:rPr>
          <w:rFonts w:ascii="Arial" w:hAnsi="Arial" w:cs="Arial"/>
          <w:b/>
          <w:bCs/>
          <w:color w:val="auto"/>
          <w:sz w:val="22"/>
        </w:rPr>
      </w:pPr>
      <w:r w:rsidRPr="003C3886">
        <w:rPr>
          <w:rFonts w:ascii="Arial" w:hAnsi="Arial" w:cs="Arial"/>
          <w:b/>
          <w:bCs/>
          <w:color w:val="auto"/>
          <w:sz w:val="22"/>
        </w:rPr>
        <w:t>Disadvantages within the Acquisition Context:</w:t>
      </w:r>
    </w:p>
    <w:p w14:paraId="684AC868" w14:textId="77777777" w:rsidR="00467EEB" w:rsidRPr="003C3886" w:rsidRDefault="00467EEB" w:rsidP="003C3886">
      <w:pPr>
        <w:spacing w:line="360" w:lineRule="auto"/>
        <w:jc w:val="both"/>
        <w:rPr>
          <w:rFonts w:ascii="Arial" w:hAnsi="Arial" w:cs="Arial"/>
          <w:color w:val="auto"/>
          <w:sz w:val="22"/>
        </w:rPr>
      </w:pPr>
    </w:p>
    <w:p w14:paraId="44C477C3" w14:textId="5E1C0851" w:rsidR="00B47A1D" w:rsidRPr="003C3886" w:rsidRDefault="00B47A1D" w:rsidP="003C3886">
      <w:pPr>
        <w:spacing w:line="360" w:lineRule="auto"/>
        <w:jc w:val="both"/>
        <w:rPr>
          <w:rFonts w:ascii="Arial" w:hAnsi="Arial" w:cs="Arial"/>
          <w:color w:val="auto"/>
          <w:sz w:val="22"/>
        </w:rPr>
      </w:pPr>
      <w:r w:rsidRPr="003C3886">
        <w:rPr>
          <w:rFonts w:ascii="Arial" w:hAnsi="Arial" w:cs="Arial"/>
          <w:color w:val="auto"/>
          <w:sz w:val="22"/>
        </w:rPr>
        <w:lastRenderedPageBreak/>
        <w:t>Potential Lack of Integration: Though polycentric model considers localization as a power in it, it might also contribute to fragmentation and misalignment with Red Power Company and Energy Masters. It is also possible that even though mergers and acquisitions are usually made to further the integration efforts and synergies realization, there might be a huge cultural gap between the two companies, making the processes more difficult.</w:t>
      </w:r>
    </w:p>
    <w:p w14:paraId="0AC4E30F" w14:textId="0CF3CB2B" w:rsidR="00B47A1D" w:rsidRPr="003C3886" w:rsidRDefault="00B47A1D" w:rsidP="003C3886">
      <w:pPr>
        <w:spacing w:line="360" w:lineRule="auto"/>
        <w:jc w:val="both"/>
        <w:rPr>
          <w:rFonts w:ascii="Arial" w:hAnsi="Arial" w:cs="Arial"/>
          <w:color w:val="auto"/>
          <w:sz w:val="22"/>
        </w:rPr>
      </w:pPr>
      <w:r w:rsidRPr="003C3886">
        <w:rPr>
          <w:rFonts w:ascii="Arial" w:hAnsi="Arial" w:cs="Arial"/>
          <w:color w:val="auto"/>
          <w:sz w:val="22"/>
        </w:rPr>
        <w:t>Career Mobility Limitations: The polycentric approach could, however, frustrate employees’ chances of getting promotion and overseas experience while working for the Energy Power holding. This could result in an outflow of talented staff, and knowledge, necessary to a smooth transition and effective skill set development of the newly established combined group</w:t>
      </w:r>
      <w:r w:rsidR="006A5073" w:rsidRPr="006A5073">
        <w:t xml:space="preserve"> </w:t>
      </w:r>
      <w:r w:rsidR="006A5073" w:rsidRPr="006A5073">
        <w:rPr>
          <w:rFonts w:ascii="Arial" w:hAnsi="Arial" w:cs="Arial"/>
          <w:color w:val="auto"/>
          <w:sz w:val="22"/>
        </w:rPr>
        <w:t>(Blass, 2016)</w:t>
      </w:r>
      <w:r w:rsidRPr="003C3886">
        <w:rPr>
          <w:rFonts w:ascii="Arial" w:hAnsi="Arial" w:cs="Arial"/>
          <w:color w:val="auto"/>
          <w:sz w:val="22"/>
        </w:rPr>
        <w:t>.</w:t>
      </w:r>
    </w:p>
    <w:p w14:paraId="565B27E3" w14:textId="23D9D28C" w:rsidR="00B47A1D" w:rsidRPr="003C3886" w:rsidRDefault="00B47A1D" w:rsidP="003C3886">
      <w:pPr>
        <w:spacing w:line="360" w:lineRule="auto"/>
        <w:jc w:val="both"/>
        <w:rPr>
          <w:rFonts w:ascii="Arial" w:hAnsi="Arial" w:cs="Arial"/>
          <w:color w:val="auto"/>
          <w:sz w:val="22"/>
        </w:rPr>
      </w:pPr>
      <w:r w:rsidRPr="003C3886">
        <w:rPr>
          <w:rFonts w:ascii="Arial" w:hAnsi="Arial" w:cs="Arial"/>
          <w:color w:val="auto"/>
          <w:sz w:val="22"/>
        </w:rPr>
        <w:t>Cultural Barriers and Silos: But creating polycentric models of developing relations paves the way to the phenomenon of local approaches tending to be manipulated and the creation of cultural barriers and isolation between the Universal Elect Plc and Energy Power. Insufficiently organized relationships and participation between employees located at the office and those at the headquarters could lead to fewer knowledge sharing, less creativity at the workplace and weak alignment among staff members</w:t>
      </w:r>
      <w:r w:rsidR="0095727E" w:rsidRPr="0095727E">
        <w:t xml:space="preserve"> </w:t>
      </w:r>
      <w:r w:rsidR="0095727E" w:rsidRPr="0095727E">
        <w:rPr>
          <w:rFonts w:ascii="Arial" w:hAnsi="Arial" w:cs="Arial"/>
          <w:color w:val="auto"/>
          <w:sz w:val="22"/>
        </w:rPr>
        <w:t>(</w:t>
      </w:r>
      <w:proofErr w:type="spellStart"/>
      <w:r w:rsidR="0095727E" w:rsidRPr="0095727E">
        <w:rPr>
          <w:rFonts w:ascii="Arial" w:hAnsi="Arial" w:cs="Arial"/>
          <w:color w:val="auto"/>
          <w:sz w:val="22"/>
        </w:rPr>
        <w:t>Thiederman</w:t>
      </w:r>
      <w:proofErr w:type="spellEnd"/>
      <w:r w:rsidR="0095727E" w:rsidRPr="0095727E">
        <w:rPr>
          <w:rFonts w:ascii="Arial" w:hAnsi="Arial" w:cs="Arial"/>
          <w:color w:val="auto"/>
          <w:sz w:val="22"/>
        </w:rPr>
        <w:t>, 1991)</w:t>
      </w:r>
      <w:r w:rsidRPr="003C3886">
        <w:rPr>
          <w:rFonts w:ascii="Arial" w:hAnsi="Arial" w:cs="Arial"/>
          <w:color w:val="auto"/>
          <w:sz w:val="22"/>
        </w:rPr>
        <w:t>.</w:t>
      </w:r>
    </w:p>
    <w:p w14:paraId="4719C9CA" w14:textId="3E75EA0B" w:rsidR="00337500" w:rsidRPr="003C3886" w:rsidRDefault="00B47A1D" w:rsidP="0095727E">
      <w:pPr>
        <w:spacing w:line="360" w:lineRule="auto"/>
        <w:jc w:val="both"/>
        <w:rPr>
          <w:rFonts w:ascii="Arial" w:hAnsi="Arial" w:cs="Arial"/>
          <w:color w:val="auto"/>
          <w:sz w:val="22"/>
        </w:rPr>
      </w:pPr>
      <w:r w:rsidRPr="003C3886">
        <w:rPr>
          <w:rFonts w:ascii="Arial" w:hAnsi="Arial" w:cs="Arial"/>
          <w:color w:val="auto"/>
          <w:sz w:val="22"/>
        </w:rPr>
        <w:t xml:space="preserve">Finally, the polycentric strategy has the benefits of cultural awareness, strengthening of local authorities, and affordable prices in the context of procurement. However, this form of organization can be quite challenging with the task of integrating remotely working people, creating the mobility of the candidates, and even more the cultural differences which are most difficult to find a solution. Successful implementation involves carefully managing these factors </w:t>
      </w:r>
      <w:proofErr w:type="gramStart"/>
      <w:r w:rsidRPr="003C3886">
        <w:rPr>
          <w:rFonts w:ascii="Arial" w:hAnsi="Arial" w:cs="Arial"/>
          <w:color w:val="auto"/>
          <w:sz w:val="22"/>
        </w:rPr>
        <w:t>in order for</w:t>
      </w:r>
      <w:proofErr w:type="gramEnd"/>
      <w:r w:rsidRPr="003C3886">
        <w:rPr>
          <w:rFonts w:ascii="Arial" w:hAnsi="Arial" w:cs="Arial"/>
          <w:color w:val="auto"/>
          <w:sz w:val="22"/>
        </w:rPr>
        <w:t xml:space="preserve"> Synergy</w:t>
      </w:r>
      <w:r w:rsidR="00D76ADC" w:rsidRPr="003C3886">
        <w:rPr>
          <w:rFonts w:ascii="Arial" w:hAnsi="Arial" w:cs="Arial"/>
          <w:color w:val="auto"/>
          <w:sz w:val="22"/>
        </w:rPr>
        <w:t>.</w:t>
      </w:r>
      <w:r w:rsidRPr="003C3886">
        <w:rPr>
          <w:rFonts w:ascii="Arial" w:hAnsi="Arial" w:cs="Arial"/>
          <w:color w:val="auto"/>
          <w:sz w:val="22"/>
        </w:rPr>
        <w:t xml:space="preserve"> </w:t>
      </w:r>
      <w:r w:rsidR="0095727E" w:rsidRPr="003C3886">
        <w:rPr>
          <w:rFonts w:ascii="Arial" w:hAnsi="Arial" w:cs="Arial"/>
          <w:color w:val="auto"/>
          <w:sz w:val="22"/>
        </w:rPr>
        <w:t>Both</w:t>
      </w:r>
      <w:r w:rsidRPr="003C3886">
        <w:rPr>
          <w:rFonts w:ascii="Arial" w:hAnsi="Arial" w:cs="Arial"/>
          <w:color w:val="auto"/>
          <w:sz w:val="22"/>
        </w:rPr>
        <w:t xml:space="preserve"> </w:t>
      </w:r>
      <w:r w:rsidR="00D76ADC" w:rsidRPr="003C3886">
        <w:rPr>
          <w:rFonts w:ascii="Arial" w:hAnsi="Arial" w:cs="Arial"/>
          <w:color w:val="auto"/>
          <w:sz w:val="22"/>
        </w:rPr>
        <w:t xml:space="preserve">businesses </w:t>
      </w:r>
      <w:r w:rsidR="00222DDA" w:rsidRPr="003C3886">
        <w:rPr>
          <w:rFonts w:ascii="Arial" w:hAnsi="Arial" w:cs="Arial"/>
          <w:color w:val="auto"/>
          <w:sz w:val="22"/>
        </w:rPr>
        <w:t>liaise</w:t>
      </w:r>
      <w:r w:rsidRPr="003C3886">
        <w:rPr>
          <w:rFonts w:ascii="Arial" w:hAnsi="Arial" w:cs="Arial"/>
          <w:color w:val="auto"/>
          <w:sz w:val="22"/>
        </w:rPr>
        <w:t xml:space="preserve"> and </w:t>
      </w:r>
      <w:r w:rsidR="00D76ADC" w:rsidRPr="003C3886">
        <w:rPr>
          <w:rFonts w:ascii="Arial" w:hAnsi="Arial" w:cs="Arial"/>
          <w:color w:val="auto"/>
          <w:sz w:val="22"/>
        </w:rPr>
        <w:t>fulfil</w:t>
      </w:r>
      <w:r w:rsidRPr="003C3886">
        <w:rPr>
          <w:rFonts w:ascii="Arial" w:hAnsi="Arial" w:cs="Arial"/>
          <w:color w:val="auto"/>
          <w:sz w:val="22"/>
        </w:rPr>
        <w:t xml:space="preserve"> this mission</w:t>
      </w:r>
      <w:r w:rsidR="00DF3465" w:rsidRPr="00DF3465">
        <w:t xml:space="preserve"> </w:t>
      </w:r>
      <w:r w:rsidR="00DF3465" w:rsidRPr="00DF3465">
        <w:rPr>
          <w:rFonts w:ascii="Arial" w:hAnsi="Arial" w:cs="Arial"/>
          <w:color w:val="auto"/>
          <w:sz w:val="22"/>
        </w:rPr>
        <w:t>(</w:t>
      </w:r>
      <w:proofErr w:type="spellStart"/>
      <w:r w:rsidR="00DF3465" w:rsidRPr="00DF3465">
        <w:rPr>
          <w:rFonts w:ascii="Arial" w:hAnsi="Arial" w:cs="Arial"/>
          <w:color w:val="auto"/>
          <w:sz w:val="22"/>
        </w:rPr>
        <w:t>Thiederman</w:t>
      </w:r>
      <w:proofErr w:type="spellEnd"/>
      <w:r w:rsidR="00DF3465" w:rsidRPr="00DF3465">
        <w:rPr>
          <w:rFonts w:ascii="Arial" w:hAnsi="Arial" w:cs="Arial"/>
          <w:color w:val="auto"/>
          <w:sz w:val="22"/>
        </w:rPr>
        <w:t>, 1991)</w:t>
      </w:r>
      <w:r w:rsidRPr="003C3886">
        <w:rPr>
          <w:rFonts w:ascii="Arial" w:hAnsi="Arial" w:cs="Arial"/>
          <w:color w:val="auto"/>
          <w:sz w:val="22"/>
        </w:rPr>
        <w:t>.</w:t>
      </w:r>
      <w:r w:rsidR="00323F79" w:rsidRPr="003C3886">
        <w:rPr>
          <w:rFonts w:ascii="Arial" w:hAnsi="Arial" w:cs="Arial"/>
          <w:color w:val="auto"/>
          <w:sz w:val="22"/>
        </w:rPr>
        <w:t xml:space="preserve"> </w:t>
      </w:r>
    </w:p>
    <w:p w14:paraId="35114905" w14:textId="24987DE5" w:rsidR="00C40336" w:rsidRPr="003C3886" w:rsidRDefault="006A1BCE" w:rsidP="003C3886">
      <w:pPr>
        <w:pStyle w:val="Heading1"/>
        <w:spacing w:line="360" w:lineRule="auto"/>
        <w:jc w:val="both"/>
        <w:rPr>
          <w:rFonts w:ascii="Arial" w:hAnsi="Arial" w:cs="Arial"/>
          <w:color w:val="auto"/>
          <w:sz w:val="22"/>
          <w:szCs w:val="22"/>
        </w:rPr>
      </w:pPr>
      <w:bookmarkStart w:id="3" w:name="_Toc157265140"/>
      <w:r w:rsidRPr="003C3886">
        <w:rPr>
          <w:rFonts w:ascii="Arial" w:hAnsi="Arial" w:cs="Arial"/>
          <w:color w:val="auto"/>
          <w:sz w:val="22"/>
          <w:szCs w:val="22"/>
        </w:rPr>
        <w:t>Conclusion and Recommendations</w:t>
      </w:r>
      <w:bookmarkEnd w:id="3"/>
      <w:r w:rsidRPr="003C3886">
        <w:rPr>
          <w:rFonts w:ascii="Arial" w:hAnsi="Arial" w:cs="Arial"/>
          <w:color w:val="auto"/>
          <w:sz w:val="22"/>
          <w:szCs w:val="22"/>
        </w:rPr>
        <w:t xml:space="preserve"> </w:t>
      </w:r>
    </w:p>
    <w:p w14:paraId="58BC9F45" w14:textId="5A0090DE" w:rsidR="00C40336" w:rsidRPr="003C3886" w:rsidRDefault="00C40336" w:rsidP="003C3886">
      <w:pPr>
        <w:spacing w:line="360" w:lineRule="auto"/>
        <w:jc w:val="both"/>
        <w:rPr>
          <w:rFonts w:ascii="Arial" w:hAnsi="Arial" w:cs="Arial"/>
          <w:color w:val="auto"/>
          <w:sz w:val="22"/>
        </w:rPr>
      </w:pPr>
      <w:r w:rsidRPr="003C3886">
        <w:rPr>
          <w:rFonts w:ascii="Arial" w:hAnsi="Arial" w:cs="Arial"/>
          <w:color w:val="auto"/>
          <w:sz w:val="22"/>
        </w:rPr>
        <w:t>Concluding, c</w:t>
      </w:r>
      <w:r w:rsidRPr="003C3886">
        <w:rPr>
          <w:rFonts w:ascii="Arial" w:hAnsi="Arial" w:cs="Arial"/>
          <w:color w:val="auto"/>
          <w:sz w:val="22"/>
        </w:rPr>
        <w:t>ultural varieties are key in that communication flow, negotiations and feedback practices can be very susceptible. Through the Lewis’s cultural model knowledge, the Energy Power will know what communication styles are unique to the UAE and UK and, based on that understanding, can design cultural gap bridging strategies and guarantee a successful integration. A big factor here would become an investment on cultural awareness training for both teams which plays a significant role in effectiveness and achievement of sustainable results.</w:t>
      </w:r>
    </w:p>
    <w:p w14:paraId="74F53D65" w14:textId="099B5B25" w:rsidR="00C40336" w:rsidRPr="003C3886" w:rsidRDefault="00C40336" w:rsidP="003C3886">
      <w:pPr>
        <w:spacing w:line="360" w:lineRule="auto"/>
        <w:jc w:val="both"/>
        <w:rPr>
          <w:rFonts w:ascii="Arial" w:hAnsi="Arial" w:cs="Arial"/>
          <w:b/>
          <w:bCs/>
          <w:color w:val="auto"/>
          <w:sz w:val="22"/>
        </w:rPr>
      </w:pPr>
      <w:r w:rsidRPr="003C3886">
        <w:rPr>
          <w:rFonts w:ascii="Arial" w:hAnsi="Arial" w:cs="Arial"/>
          <w:b/>
          <w:bCs/>
          <w:color w:val="auto"/>
          <w:sz w:val="22"/>
        </w:rPr>
        <w:t>Recommendations</w:t>
      </w:r>
    </w:p>
    <w:p w14:paraId="7F414359" w14:textId="77777777" w:rsidR="00C40336" w:rsidRPr="003C3886" w:rsidRDefault="00C40336" w:rsidP="003C3886">
      <w:pPr>
        <w:spacing w:line="360" w:lineRule="auto"/>
        <w:jc w:val="both"/>
        <w:rPr>
          <w:rFonts w:ascii="Arial" w:hAnsi="Arial" w:cs="Arial"/>
          <w:color w:val="auto"/>
          <w:sz w:val="22"/>
        </w:rPr>
      </w:pPr>
      <w:r w:rsidRPr="003C3886">
        <w:rPr>
          <w:rFonts w:ascii="Arial" w:hAnsi="Arial" w:cs="Arial"/>
          <w:b/>
          <w:bCs/>
          <w:color w:val="auto"/>
          <w:sz w:val="22"/>
        </w:rPr>
        <w:t>Develop a Cross-Cultural Communication Plan</w:t>
      </w:r>
      <w:r w:rsidRPr="003C3886">
        <w:rPr>
          <w:rFonts w:ascii="Arial" w:hAnsi="Arial" w:cs="Arial"/>
          <w:color w:val="auto"/>
          <w:sz w:val="22"/>
        </w:rPr>
        <w:t>: Communication protocols, time frame for meetings and strategies for resolving conflicts are the various aspects that plan on this should focus on.</w:t>
      </w:r>
    </w:p>
    <w:p w14:paraId="05C1B0AF" w14:textId="77777777" w:rsidR="00C40336" w:rsidRPr="003C3886" w:rsidRDefault="00C40336" w:rsidP="003C3886">
      <w:pPr>
        <w:spacing w:line="360" w:lineRule="auto"/>
        <w:jc w:val="both"/>
        <w:rPr>
          <w:rFonts w:ascii="Arial" w:hAnsi="Arial" w:cs="Arial"/>
          <w:color w:val="auto"/>
          <w:sz w:val="22"/>
        </w:rPr>
      </w:pPr>
      <w:r w:rsidRPr="003C3886">
        <w:rPr>
          <w:rFonts w:ascii="Arial" w:hAnsi="Arial" w:cs="Arial"/>
          <w:b/>
          <w:bCs/>
          <w:color w:val="auto"/>
          <w:sz w:val="22"/>
        </w:rPr>
        <w:t>Invest in Cultural Competency Training</w:t>
      </w:r>
      <w:r w:rsidRPr="003C3886">
        <w:rPr>
          <w:rFonts w:ascii="Arial" w:hAnsi="Arial" w:cs="Arial"/>
          <w:color w:val="auto"/>
          <w:sz w:val="22"/>
        </w:rPr>
        <w:t>: Ensure that both teams are experienced with cultural differences, communication ways, and negotiation approaches in the UAE and the UK.</w:t>
      </w:r>
    </w:p>
    <w:p w14:paraId="72A3ED15" w14:textId="77777777" w:rsidR="00C40336" w:rsidRPr="003C3886" w:rsidRDefault="00C40336" w:rsidP="003C3886">
      <w:pPr>
        <w:spacing w:line="360" w:lineRule="auto"/>
        <w:jc w:val="both"/>
        <w:rPr>
          <w:rFonts w:ascii="Arial" w:hAnsi="Arial" w:cs="Arial"/>
          <w:color w:val="auto"/>
          <w:sz w:val="22"/>
        </w:rPr>
      </w:pPr>
      <w:r w:rsidRPr="003C3886">
        <w:rPr>
          <w:rFonts w:ascii="Arial" w:hAnsi="Arial" w:cs="Arial"/>
          <w:b/>
          <w:bCs/>
          <w:color w:val="auto"/>
          <w:sz w:val="22"/>
        </w:rPr>
        <w:t>Build Relationships and Trust</w:t>
      </w:r>
      <w:r w:rsidRPr="003C3886">
        <w:rPr>
          <w:rFonts w:ascii="Arial" w:hAnsi="Arial" w:cs="Arial"/>
          <w:color w:val="auto"/>
          <w:sz w:val="22"/>
        </w:rPr>
        <w:t>: Promote personal interactions outside formal work settings to foster empathy and balance between the individuals. This is crucial for a smooth collaboration of the teammates across cultures.</w:t>
      </w:r>
    </w:p>
    <w:p w14:paraId="6C0493E0" w14:textId="0DE1A11E" w:rsidR="00323F79" w:rsidRPr="003C3886" w:rsidRDefault="00C40336" w:rsidP="003C3886">
      <w:pPr>
        <w:spacing w:line="360" w:lineRule="auto"/>
        <w:jc w:val="both"/>
        <w:rPr>
          <w:rFonts w:ascii="Arial" w:hAnsi="Arial" w:cs="Arial"/>
          <w:color w:val="auto"/>
          <w:sz w:val="22"/>
        </w:rPr>
      </w:pPr>
      <w:r w:rsidRPr="003C3886">
        <w:rPr>
          <w:rFonts w:ascii="Arial" w:hAnsi="Arial" w:cs="Arial"/>
          <w:color w:val="auto"/>
          <w:sz w:val="22"/>
        </w:rPr>
        <w:lastRenderedPageBreak/>
        <w:t xml:space="preserve">Through the realization of these recommendations, Energy Power has a chance to capitalize on the economic diversity aspect, create a collaborative system of gathering, </w:t>
      </w:r>
      <w:r w:rsidR="00DF3465" w:rsidRPr="003C3886">
        <w:rPr>
          <w:rFonts w:ascii="Arial" w:hAnsi="Arial" w:cs="Arial"/>
          <w:color w:val="auto"/>
          <w:sz w:val="22"/>
        </w:rPr>
        <w:t>learning,</w:t>
      </w:r>
      <w:r w:rsidRPr="003C3886">
        <w:rPr>
          <w:rFonts w:ascii="Arial" w:hAnsi="Arial" w:cs="Arial"/>
          <w:color w:val="auto"/>
          <w:sz w:val="22"/>
        </w:rPr>
        <w:t xml:space="preserve"> and exchanging opinions, and smoothly cover Universal Elect Plc.</w:t>
      </w:r>
    </w:p>
    <w:p w14:paraId="1FFB4506" w14:textId="77777777" w:rsidR="00323F79" w:rsidRPr="003C3886" w:rsidRDefault="00323F79" w:rsidP="003C3886">
      <w:pPr>
        <w:pStyle w:val="Heading3"/>
        <w:spacing w:line="360" w:lineRule="auto"/>
        <w:jc w:val="both"/>
        <w:rPr>
          <w:rFonts w:ascii="Arial" w:eastAsiaTheme="minorHAnsi" w:hAnsi="Arial" w:cs="Arial"/>
          <w:b/>
          <w:i w:val="0"/>
          <w:sz w:val="22"/>
        </w:rPr>
      </w:pPr>
    </w:p>
    <w:p w14:paraId="46A3BD7A" w14:textId="305D7D39" w:rsidR="006A1BCE" w:rsidRPr="003C3886" w:rsidRDefault="006A1BCE" w:rsidP="003C3886">
      <w:pPr>
        <w:pStyle w:val="Heading1"/>
        <w:spacing w:line="360" w:lineRule="auto"/>
        <w:jc w:val="both"/>
        <w:rPr>
          <w:rFonts w:ascii="Arial" w:hAnsi="Arial" w:cs="Arial"/>
          <w:color w:val="auto"/>
          <w:sz w:val="22"/>
          <w:szCs w:val="22"/>
        </w:rPr>
      </w:pPr>
      <w:bookmarkStart w:id="4" w:name="_Toc157265141"/>
      <w:r w:rsidRPr="003C3886">
        <w:rPr>
          <w:rFonts w:ascii="Arial" w:hAnsi="Arial" w:cs="Arial"/>
          <w:color w:val="auto"/>
          <w:sz w:val="22"/>
          <w:szCs w:val="22"/>
        </w:rPr>
        <w:t>References</w:t>
      </w:r>
      <w:bookmarkEnd w:id="4"/>
    </w:p>
    <w:p w14:paraId="3AE306EF" w14:textId="37B18A87" w:rsidR="00514AD4" w:rsidRDefault="00514AD4" w:rsidP="003C3886">
      <w:pPr>
        <w:spacing w:after="240" w:line="360" w:lineRule="auto"/>
        <w:jc w:val="both"/>
        <w:rPr>
          <w:rFonts w:ascii="Arial" w:eastAsia="Times New Roman" w:hAnsi="Arial" w:cs="Arial"/>
          <w:color w:val="auto"/>
          <w:sz w:val="22"/>
          <w:lang w:eastAsia="en-GB"/>
        </w:rPr>
      </w:pPr>
      <w:r w:rsidRPr="00514AD4">
        <w:rPr>
          <w:rFonts w:ascii="Arial" w:eastAsia="Times New Roman" w:hAnsi="Arial" w:cs="Arial"/>
          <w:color w:val="auto"/>
          <w:sz w:val="22"/>
          <w:lang w:eastAsia="en-GB"/>
        </w:rPr>
        <w:t>Blass, E. (2016). Talent Management. Palgrave Macmillan.</w:t>
      </w:r>
    </w:p>
    <w:p w14:paraId="143FE7AA" w14:textId="5EC4B1BA" w:rsidR="00C71514" w:rsidRPr="003C3886" w:rsidRDefault="00C71514" w:rsidP="003C3886">
      <w:pPr>
        <w:spacing w:after="240" w:line="360" w:lineRule="auto"/>
        <w:jc w:val="both"/>
        <w:rPr>
          <w:rFonts w:ascii="Arial" w:eastAsia="Times New Roman" w:hAnsi="Arial" w:cs="Arial"/>
          <w:color w:val="auto"/>
          <w:sz w:val="22"/>
          <w:lang w:eastAsia="en-GB"/>
        </w:rPr>
      </w:pPr>
      <w:r w:rsidRPr="003C3886">
        <w:rPr>
          <w:rFonts w:ascii="Arial" w:eastAsia="Times New Roman" w:hAnsi="Arial" w:cs="Arial"/>
          <w:color w:val="auto"/>
          <w:sz w:val="22"/>
          <w:lang w:eastAsia="en-GB"/>
        </w:rPr>
        <w:t xml:space="preserve">Brown, A.D. (1998). </w:t>
      </w:r>
      <w:r w:rsidRPr="003C3886">
        <w:rPr>
          <w:rFonts w:ascii="Arial" w:eastAsia="Times New Roman" w:hAnsi="Arial" w:cs="Arial"/>
          <w:i/>
          <w:iCs/>
          <w:color w:val="auto"/>
          <w:sz w:val="22"/>
          <w:lang w:eastAsia="en-GB"/>
        </w:rPr>
        <w:t>Organisational culture</w:t>
      </w:r>
      <w:r w:rsidRPr="003C3886">
        <w:rPr>
          <w:rFonts w:ascii="Arial" w:eastAsia="Times New Roman" w:hAnsi="Arial" w:cs="Arial"/>
          <w:color w:val="auto"/>
          <w:sz w:val="22"/>
          <w:lang w:eastAsia="en-GB"/>
        </w:rPr>
        <w:t>. Harlow [U.A.] Prentice Hall [U.A.</w:t>
      </w:r>
    </w:p>
    <w:p w14:paraId="72A70E0A" w14:textId="77777777" w:rsidR="00C71514" w:rsidRPr="003C3886" w:rsidRDefault="00C71514" w:rsidP="003C3886">
      <w:pPr>
        <w:spacing w:after="240" w:line="360" w:lineRule="auto"/>
        <w:jc w:val="both"/>
        <w:rPr>
          <w:rFonts w:ascii="Arial" w:eastAsia="Times New Roman" w:hAnsi="Arial" w:cs="Arial"/>
          <w:color w:val="auto"/>
          <w:sz w:val="22"/>
          <w:lang w:eastAsia="en-GB"/>
        </w:rPr>
      </w:pPr>
      <w:r w:rsidRPr="003C3886">
        <w:rPr>
          <w:rFonts w:ascii="Arial" w:eastAsia="Times New Roman" w:hAnsi="Arial" w:cs="Arial"/>
          <w:color w:val="auto"/>
          <w:sz w:val="22"/>
          <w:lang w:eastAsia="en-GB"/>
        </w:rPr>
        <w:t xml:space="preserve">Chuda, A. and Wyrwicka, M. (2016). Impact of organizational culture perception efficiency of workers enterprise – case study impact of organizational culture perception efficiency of workers enterprise – case study. </w:t>
      </w:r>
      <w:r w:rsidRPr="003C3886">
        <w:rPr>
          <w:rFonts w:ascii="Arial" w:eastAsia="Times New Roman" w:hAnsi="Arial" w:cs="Arial"/>
          <w:i/>
          <w:iCs/>
          <w:color w:val="auto"/>
          <w:sz w:val="22"/>
          <w:lang w:eastAsia="en-GB"/>
        </w:rPr>
        <w:t>Research in Logistics and Production</w:t>
      </w:r>
      <w:r w:rsidRPr="003C3886">
        <w:rPr>
          <w:rFonts w:ascii="Arial" w:eastAsia="Times New Roman" w:hAnsi="Arial" w:cs="Arial"/>
          <w:color w:val="auto"/>
          <w:sz w:val="22"/>
          <w:lang w:eastAsia="en-GB"/>
        </w:rPr>
        <w:t xml:space="preserve">, 6(5), pp.429–441. </w:t>
      </w:r>
      <w:proofErr w:type="gramStart"/>
      <w:r w:rsidRPr="003C3886">
        <w:rPr>
          <w:rFonts w:ascii="Arial" w:eastAsia="Times New Roman" w:hAnsi="Arial" w:cs="Arial"/>
          <w:color w:val="auto"/>
          <w:sz w:val="22"/>
          <w:lang w:eastAsia="en-GB"/>
        </w:rPr>
        <w:t>doi:https://doi.org/10.21008/j.2083-4950.2016.6.5.5</w:t>
      </w:r>
      <w:proofErr w:type="gramEnd"/>
      <w:r w:rsidRPr="003C3886">
        <w:rPr>
          <w:rFonts w:ascii="Arial" w:eastAsia="Times New Roman" w:hAnsi="Arial" w:cs="Arial"/>
          <w:color w:val="auto"/>
          <w:sz w:val="22"/>
          <w:lang w:eastAsia="en-GB"/>
        </w:rPr>
        <w:t>.</w:t>
      </w:r>
    </w:p>
    <w:p w14:paraId="0DD2990F" w14:textId="77777777" w:rsidR="00C71514" w:rsidRPr="003C3886" w:rsidRDefault="00C71514" w:rsidP="003C3886">
      <w:pPr>
        <w:spacing w:after="240" w:line="360" w:lineRule="auto"/>
        <w:jc w:val="both"/>
        <w:rPr>
          <w:rFonts w:ascii="Arial" w:eastAsia="Times New Roman" w:hAnsi="Arial" w:cs="Arial"/>
          <w:color w:val="auto"/>
          <w:sz w:val="22"/>
          <w:lang w:eastAsia="en-GB"/>
        </w:rPr>
      </w:pPr>
      <w:r w:rsidRPr="003C3886">
        <w:rPr>
          <w:rFonts w:ascii="Arial" w:eastAsia="Times New Roman" w:hAnsi="Arial" w:cs="Arial"/>
          <w:color w:val="auto"/>
          <w:sz w:val="22"/>
          <w:lang w:eastAsia="en-GB"/>
        </w:rPr>
        <w:t xml:space="preserve">Ghosh, P. (2010). Improving Civic Services Through Location Based Feedback Mechanism. </w:t>
      </w:r>
      <w:r w:rsidRPr="003C3886">
        <w:rPr>
          <w:rFonts w:ascii="Arial" w:eastAsia="Times New Roman" w:hAnsi="Arial" w:cs="Arial"/>
          <w:i/>
          <w:iCs/>
          <w:color w:val="auto"/>
          <w:sz w:val="22"/>
          <w:lang w:eastAsia="en-GB"/>
        </w:rPr>
        <w:t>SSRN Electronic Journal</w:t>
      </w:r>
      <w:r w:rsidRPr="003C3886">
        <w:rPr>
          <w:rFonts w:ascii="Arial" w:eastAsia="Times New Roman" w:hAnsi="Arial" w:cs="Arial"/>
          <w:color w:val="auto"/>
          <w:sz w:val="22"/>
          <w:lang w:eastAsia="en-GB"/>
        </w:rPr>
        <w:t xml:space="preserve">. </w:t>
      </w:r>
      <w:proofErr w:type="gramStart"/>
      <w:r w:rsidRPr="003C3886">
        <w:rPr>
          <w:rFonts w:ascii="Arial" w:eastAsia="Times New Roman" w:hAnsi="Arial" w:cs="Arial"/>
          <w:color w:val="auto"/>
          <w:sz w:val="22"/>
          <w:lang w:eastAsia="en-GB"/>
        </w:rPr>
        <w:t>doi:https://doi.org/10.2139/ssrn.1555632</w:t>
      </w:r>
      <w:proofErr w:type="gramEnd"/>
      <w:r w:rsidRPr="003C3886">
        <w:rPr>
          <w:rFonts w:ascii="Arial" w:eastAsia="Times New Roman" w:hAnsi="Arial" w:cs="Arial"/>
          <w:color w:val="auto"/>
          <w:sz w:val="22"/>
          <w:lang w:eastAsia="en-GB"/>
        </w:rPr>
        <w:t>.</w:t>
      </w:r>
    </w:p>
    <w:p w14:paraId="63469F00" w14:textId="55454499" w:rsidR="00C71514" w:rsidRPr="003C3886" w:rsidRDefault="00C71514" w:rsidP="003C3886">
      <w:pPr>
        <w:spacing w:after="240" w:line="360" w:lineRule="auto"/>
        <w:jc w:val="both"/>
        <w:rPr>
          <w:rFonts w:ascii="Arial" w:eastAsia="Times New Roman" w:hAnsi="Arial" w:cs="Arial"/>
          <w:color w:val="auto"/>
          <w:sz w:val="22"/>
          <w:lang w:eastAsia="en-GB"/>
        </w:rPr>
      </w:pPr>
      <w:r w:rsidRPr="003C3886">
        <w:rPr>
          <w:rFonts w:ascii="Arial" w:eastAsia="Times New Roman" w:hAnsi="Arial" w:cs="Arial"/>
          <w:color w:val="auto"/>
          <w:sz w:val="22"/>
          <w:lang w:eastAsia="en-GB"/>
        </w:rPr>
        <w:t xml:space="preserve">GOV.UK. (2023). </w:t>
      </w:r>
      <w:r w:rsidRPr="003C3886">
        <w:rPr>
          <w:rFonts w:ascii="Arial" w:eastAsia="Times New Roman" w:hAnsi="Arial" w:cs="Arial"/>
          <w:i/>
          <w:iCs/>
          <w:color w:val="auto"/>
          <w:sz w:val="22"/>
          <w:lang w:eastAsia="en-GB"/>
        </w:rPr>
        <w:t>UK and United Arab Emirates agree to boost energy security and unlock investment</w:t>
      </w:r>
      <w:r w:rsidRPr="003C3886">
        <w:rPr>
          <w:rFonts w:ascii="Arial" w:eastAsia="Times New Roman" w:hAnsi="Arial" w:cs="Arial"/>
          <w:color w:val="auto"/>
          <w:sz w:val="22"/>
          <w:lang w:eastAsia="en-GB"/>
        </w:rPr>
        <w:t xml:space="preserve">. [online] Available at: </w:t>
      </w:r>
      <w:hyperlink r:id="rId10" w:history="1">
        <w:r w:rsidR="0095727E" w:rsidRPr="00DA52AD">
          <w:rPr>
            <w:rStyle w:val="Hyperlink"/>
            <w:rFonts w:ascii="Arial" w:eastAsia="Times New Roman" w:hAnsi="Arial" w:cs="Arial"/>
            <w:sz w:val="22"/>
            <w:lang w:eastAsia="en-GB"/>
          </w:rPr>
          <w:t>https://www.gov.uk/government/news/uk-and-united-arab-emirates-agree-to-boost-energy-security-and-unlock-investment</w:t>
        </w:r>
      </w:hyperlink>
      <w:r w:rsidR="0095727E">
        <w:rPr>
          <w:rFonts w:ascii="Arial" w:eastAsia="Times New Roman" w:hAnsi="Arial" w:cs="Arial"/>
          <w:color w:val="auto"/>
          <w:sz w:val="22"/>
          <w:lang w:eastAsia="en-GB"/>
        </w:rPr>
        <w:t xml:space="preserve"> [Accessed on 10 March 2024</w:t>
      </w:r>
      <w:r w:rsidR="00DF3465">
        <w:rPr>
          <w:rFonts w:ascii="Arial" w:eastAsia="Times New Roman" w:hAnsi="Arial" w:cs="Arial"/>
          <w:color w:val="auto"/>
          <w:sz w:val="22"/>
          <w:lang w:eastAsia="en-GB"/>
        </w:rPr>
        <w:t>]</w:t>
      </w:r>
    </w:p>
    <w:p w14:paraId="274EB8F0" w14:textId="77777777" w:rsidR="00C71514" w:rsidRPr="003C3886" w:rsidRDefault="00C71514" w:rsidP="003C3886">
      <w:pPr>
        <w:spacing w:after="240" w:line="360" w:lineRule="auto"/>
        <w:jc w:val="both"/>
        <w:rPr>
          <w:rFonts w:ascii="Arial" w:eastAsia="Times New Roman" w:hAnsi="Arial" w:cs="Arial"/>
          <w:color w:val="auto"/>
          <w:sz w:val="22"/>
          <w:lang w:eastAsia="en-GB"/>
        </w:rPr>
      </w:pPr>
      <w:r w:rsidRPr="003C3886">
        <w:rPr>
          <w:rFonts w:ascii="Arial" w:eastAsia="Times New Roman" w:hAnsi="Arial" w:cs="Arial"/>
          <w:color w:val="auto"/>
          <w:sz w:val="22"/>
          <w:lang w:eastAsia="en-GB"/>
        </w:rPr>
        <w:t xml:space="preserve">Kita, S. (2009). Cross-cultural variation of speech-accompanying gesture: A review. </w:t>
      </w:r>
      <w:r w:rsidRPr="003C3886">
        <w:rPr>
          <w:rFonts w:ascii="Arial" w:eastAsia="Times New Roman" w:hAnsi="Arial" w:cs="Arial"/>
          <w:i/>
          <w:iCs/>
          <w:color w:val="auto"/>
          <w:sz w:val="22"/>
          <w:lang w:eastAsia="en-GB"/>
        </w:rPr>
        <w:t>Language and Cognitive Processes</w:t>
      </w:r>
      <w:r w:rsidRPr="003C3886">
        <w:rPr>
          <w:rFonts w:ascii="Arial" w:eastAsia="Times New Roman" w:hAnsi="Arial" w:cs="Arial"/>
          <w:color w:val="auto"/>
          <w:sz w:val="22"/>
          <w:lang w:eastAsia="en-GB"/>
        </w:rPr>
        <w:t xml:space="preserve">, 24(2), pp.145–167. </w:t>
      </w:r>
      <w:proofErr w:type="gramStart"/>
      <w:r w:rsidRPr="003C3886">
        <w:rPr>
          <w:rFonts w:ascii="Arial" w:eastAsia="Times New Roman" w:hAnsi="Arial" w:cs="Arial"/>
          <w:color w:val="auto"/>
          <w:sz w:val="22"/>
          <w:lang w:eastAsia="en-GB"/>
        </w:rPr>
        <w:t>doi:https://doi.org/10.1080/01690960802586188</w:t>
      </w:r>
      <w:proofErr w:type="gramEnd"/>
      <w:r w:rsidRPr="003C3886">
        <w:rPr>
          <w:rFonts w:ascii="Arial" w:eastAsia="Times New Roman" w:hAnsi="Arial" w:cs="Arial"/>
          <w:color w:val="auto"/>
          <w:sz w:val="22"/>
          <w:lang w:eastAsia="en-GB"/>
        </w:rPr>
        <w:t>.</w:t>
      </w:r>
    </w:p>
    <w:p w14:paraId="1219A549" w14:textId="1764B64D" w:rsidR="00C71514" w:rsidRPr="003C3886" w:rsidRDefault="00C71514" w:rsidP="003C3886">
      <w:pPr>
        <w:spacing w:after="240" w:line="360" w:lineRule="auto"/>
        <w:jc w:val="both"/>
        <w:rPr>
          <w:rFonts w:ascii="Arial" w:eastAsia="Times New Roman" w:hAnsi="Arial" w:cs="Arial"/>
          <w:color w:val="auto"/>
          <w:sz w:val="22"/>
          <w:lang w:eastAsia="en-GB"/>
        </w:rPr>
      </w:pPr>
      <w:r w:rsidRPr="003C3886">
        <w:rPr>
          <w:rFonts w:ascii="Arial" w:eastAsia="Times New Roman" w:hAnsi="Arial" w:cs="Arial"/>
          <w:color w:val="auto"/>
          <w:sz w:val="22"/>
          <w:lang w:eastAsia="en-GB"/>
        </w:rPr>
        <w:t xml:space="preserve">Lewis, B. (2012). </w:t>
      </w:r>
      <w:r w:rsidR="0095727E" w:rsidRPr="003C3886">
        <w:rPr>
          <w:rFonts w:ascii="Arial" w:eastAsia="Times New Roman" w:hAnsi="Arial" w:cs="Arial"/>
          <w:i/>
          <w:iCs/>
          <w:color w:val="auto"/>
          <w:sz w:val="22"/>
          <w:lang w:eastAsia="en-GB"/>
        </w:rPr>
        <w:t>Depression:</w:t>
      </w:r>
      <w:r w:rsidRPr="003C3886">
        <w:rPr>
          <w:rFonts w:ascii="Arial" w:eastAsia="Times New Roman" w:hAnsi="Arial" w:cs="Arial"/>
          <w:i/>
          <w:iCs/>
          <w:color w:val="auto"/>
          <w:sz w:val="22"/>
          <w:lang w:eastAsia="en-GB"/>
        </w:rPr>
        <w:t xml:space="preserve"> integrating science, culture, and humanities</w:t>
      </w:r>
      <w:r w:rsidRPr="003C3886">
        <w:rPr>
          <w:rFonts w:ascii="Arial" w:eastAsia="Times New Roman" w:hAnsi="Arial" w:cs="Arial"/>
          <w:color w:val="auto"/>
          <w:sz w:val="22"/>
          <w:lang w:eastAsia="en-GB"/>
        </w:rPr>
        <w:t>. New York: Routledge.</w:t>
      </w:r>
    </w:p>
    <w:p w14:paraId="7CE689AD" w14:textId="77777777" w:rsidR="00C71514" w:rsidRPr="003C3886" w:rsidRDefault="00C71514" w:rsidP="003C3886">
      <w:pPr>
        <w:spacing w:after="240" w:line="360" w:lineRule="auto"/>
        <w:jc w:val="both"/>
        <w:rPr>
          <w:rFonts w:ascii="Arial" w:eastAsia="Times New Roman" w:hAnsi="Arial" w:cs="Arial"/>
          <w:color w:val="auto"/>
          <w:sz w:val="22"/>
          <w:lang w:eastAsia="en-GB"/>
        </w:rPr>
      </w:pPr>
      <w:r w:rsidRPr="003C3886">
        <w:rPr>
          <w:rFonts w:ascii="Arial" w:eastAsia="Times New Roman" w:hAnsi="Arial" w:cs="Arial"/>
          <w:color w:val="auto"/>
          <w:sz w:val="22"/>
          <w:lang w:eastAsia="en-GB"/>
        </w:rPr>
        <w:t xml:space="preserve">MINE, Y. (2006). THE POLITICAL ELEMENT IN THE WORKS OF W. ARTHUR LEWIS: THE 1954 LEWIS MODEL AND AFRICAN DEVELOPMENT. </w:t>
      </w:r>
      <w:r w:rsidRPr="003C3886">
        <w:rPr>
          <w:rFonts w:ascii="Arial" w:eastAsia="Times New Roman" w:hAnsi="Arial" w:cs="Arial"/>
          <w:i/>
          <w:iCs/>
          <w:color w:val="auto"/>
          <w:sz w:val="22"/>
          <w:lang w:eastAsia="en-GB"/>
        </w:rPr>
        <w:t>The Developing Economies</w:t>
      </w:r>
      <w:r w:rsidRPr="003C3886">
        <w:rPr>
          <w:rFonts w:ascii="Arial" w:eastAsia="Times New Roman" w:hAnsi="Arial" w:cs="Arial"/>
          <w:color w:val="auto"/>
          <w:sz w:val="22"/>
          <w:lang w:eastAsia="en-GB"/>
        </w:rPr>
        <w:t xml:space="preserve">, 44(3), pp.329–355. </w:t>
      </w:r>
      <w:proofErr w:type="gramStart"/>
      <w:r w:rsidRPr="003C3886">
        <w:rPr>
          <w:rFonts w:ascii="Arial" w:eastAsia="Times New Roman" w:hAnsi="Arial" w:cs="Arial"/>
          <w:color w:val="auto"/>
          <w:sz w:val="22"/>
          <w:lang w:eastAsia="en-GB"/>
        </w:rPr>
        <w:t>doi:https://doi.org/10.1111/j.1746-1049.2006.00020.x</w:t>
      </w:r>
      <w:proofErr w:type="gramEnd"/>
      <w:r w:rsidRPr="003C3886">
        <w:rPr>
          <w:rFonts w:ascii="Arial" w:eastAsia="Times New Roman" w:hAnsi="Arial" w:cs="Arial"/>
          <w:color w:val="auto"/>
          <w:sz w:val="22"/>
          <w:lang w:eastAsia="en-GB"/>
        </w:rPr>
        <w:t>.</w:t>
      </w:r>
    </w:p>
    <w:p w14:paraId="333CBFD6" w14:textId="77777777" w:rsidR="00C71514" w:rsidRPr="003C3886" w:rsidRDefault="00C71514" w:rsidP="003C3886">
      <w:pPr>
        <w:spacing w:after="240" w:line="360" w:lineRule="auto"/>
        <w:jc w:val="both"/>
        <w:rPr>
          <w:rFonts w:ascii="Arial" w:eastAsia="Times New Roman" w:hAnsi="Arial" w:cs="Arial"/>
          <w:color w:val="auto"/>
          <w:sz w:val="22"/>
          <w:lang w:eastAsia="en-GB"/>
        </w:rPr>
      </w:pPr>
      <w:r w:rsidRPr="003C3886">
        <w:rPr>
          <w:rFonts w:ascii="Arial" w:eastAsia="Times New Roman" w:hAnsi="Arial" w:cs="Arial"/>
          <w:color w:val="auto"/>
          <w:sz w:val="22"/>
          <w:lang w:eastAsia="en-GB"/>
        </w:rPr>
        <w:t xml:space="preserve">Minkov, </w:t>
      </w:r>
      <w:proofErr w:type="gramStart"/>
      <w:r w:rsidRPr="003C3886">
        <w:rPr>
          <w:rFonts w:ascii="Arial" w:eastAsia="Times New Roman" w:hAnsi="Arial" w:cs="Arial"/>
          <w:color w:val="auto"/>
          <w:sz w:val="22"/>
          <w:lang w:eastAsia="en-GB"/>
        </w:rPr>
        <w:t>M.</w:t>
      </w:r>
      <w:proofErr w:type="gramEnd"/>
      <w:r w:rsidRPr="003C3886">
        <w:rPr>
          <w:rFonts w:ascii="Arial" w:eastAsia="Times New Roman" w:hAnsi="Arial" w:cs="Arial"/>
          <w:color w:val="auto"/>
          <w:sz w:val="22"/>
          <w:lang w:eastAsia="en-GB"/>
        </w:rPr>
        <w:t xml:space="preserve"> and Geert Hofstede (2011). </w:t>
      </w:r>
      <w:r w:rsidRPr="003C3886">
        <w:rPr>
          <w:rFonts w:ascii="Arial" w:eastAsia="Times New Roman" w:hAnsi="Arial" w:cs="Arial"/>
          <w:i/>
          <w:iCs/>
          <w:color w:val="auto"/>
          <w:sz w:val="22"/>
          <w:lang w:eastAsia="en-GB"/>
        </w:rPr>
        <w:t>Cultural differences in a globalizing world</w:t>
      </w:r>
      <w:r w:rsidRPr="003C3886">
        <w:rPr>
          <w:rFonts w:ascii="Arial" w:eastAsia="Times New Roman" w:hAnsi="Arial" w:cs="Arial"/>
          <w:color w:val="auto"/>
          <w:sz w:val="22"/>
          <w:lang w:eastAsia="en-GB"/>
        </w:rPr>
        <w:t>. Bingley, Uk: Emerald.</w:t>
      </w:r>
    </w:p>
    <w:p w14:paraId="3C9856AD" w14:textId="1A66DDD2" w:rsidR="00C71514" w:rsidRPr="003C3886" w:rsidRDefault="00C71514" w:rsidP="003C3886">
      <w:pPr>
        <w:spacing w:after="240" w:line="360" w:lineRule="auto"/>
        <w:jc w:val="both"/>
        <w:rPr>
          <w:rFonts w:ascii="Arial" w:eastAsia="Times New Roman" w:hAnsi="Arial" w:cs="Arial"/>
          <w:color w:val="auto"/>
          <w:sz w:val="22"/>
          <w:lang w:eastAsia="en-GB"/>
        </w:rPr>
      </w:pPr>
      <w:r w:rsidRPr="003C3886">
        <w:rPr>
          <w:rFonts w:ascii="Arial" w:eastAsia="Times New Roman" w:hAnsi="Arial" w:cs="Arial"/>
          <w:color w:val="auto"/>
          <w:sz w:val="22"/>
          <w:lang w:eastAsia="en-GB"/>
        </w:rPr>
        <w:t xml:space="preserve">Perkins, S.J. and Shortland, S.M. (2006). </w:t>
      </w:r>
      <w:r w:rsidRPr="003C3886">
        <w:rPr>
          <w:rFonts w:ascii="Arial" w:eastAsia="Times New Roman" w:hAnsi="Arial" w:cs="Arial"/>
          <w:i/>
          <w:iCs/>
          <w:color w:val="auto"/>
          <w:sz w:val="22"/>
          <w:lang w:eastAsia="en-GB"/>
        </w:rPr>
        <w:t xml:space="preserve">Strategic international human resource </w:t>
      </w:r>
      <w:r w:rsidR="0095727E" w:rsidRPr="003C3886">
        <w:rPr>
          <w:rFonts w:ascii="Arial" w:eastAsia="Times New Roman" w:hAnsi="Arial" w:cs="Arial"/>
          <w:i/>
          <w:iCs/>
          <w:color w:val="auto"/>
          <w:sz w:val="22"/>
          <w:lang w:eastAsia="en-GB"/>
        </w:rPr>
        <w:t>management:</w:t>
      </w:r>
      <w:r w:rsidRPr="003C3886">
        <w:rPr>
          <w:rFonts w:ascii="Arial" w:eastAsia="Times New Roman" w:hAnsi="Arial" w:cs="Arial"/>
          <w:i/>
          <w:iCs/>
          <w:color w:val="auto"/>
          <w:sz w:val="22"/>
          <w:lang w:eastAsia="en-GB"/>
        </w:rPr>
        <w:t xml:space="preserve"> choices and consequences in multinational people management</w:t>
      </w:r>
      <w:r w:rsidRPr="003C3886">
        <w:rPr>
          <w:rFonts w:ascii="Arial" w:eastAsia="Times New Roman" w:hAnsi="Arial" w:cs="Arial"/>
          <w:color w:val="auto"/>
          <w:sz w:val="22"/>
          <w:lang w:eastAsia="en-GB"/>
        </w:rPr>
        <w:t xml:space="preserve">. </w:t>
      </w:r>
      <w:r w:rsidR="0095727E" w:rsidRPr="003C3886">
        <w:rPr>
          <w:rFonts w:ascii="Arial" w:eastAsia="Times New Roman" w:hAnsi="Arial" w:cs="Arial"/>
          <w:color w:val="auto"/>
          <w:sz w:val="22"/>
          <w:lang w:eastAsia="en-GB"/>
        </w:rPr>
        <w:t>London;</w:t>
      </w:r>
      <w:r w:rsidRPr="003C3886">
        <w:rPr>
          <w:rFonts w:ascii="Arial" w:eastAsia="Times New Roman" w:hAnsi="Arial" w:cs="Arial"/>
          <w:color w:val="auto"/>
          <w:sz w:val="22"/>
          <w:lang w:eastAsia="en-GB"/>
        </w:rPr>
        <w:t xml:space="preserve"> Philadelphia: Kogan Page.</w:t>
      </w:r>
    </w:p>
    <w:p w14:paraId="3B41EDD6" w14:textId="77777777" w:rsidR="00C71514" w:rsidRDefault="00C71514" w:rsidP="003C3886">
      <w:pPr>
        <w:spacing w:after="240" w:line="360" w:lineRule="auto"/>
        <w:jc w:val="both"/>
        <w:rPr>
          <w:rFonts w:ascii="Arial" w:eastAsia="Times New Roman" w:hAnsi="Arial" w:cs="Arial"/>
          <w:color w:val="auto"/>
          <w:sz w:val="22"/>
          <w:lang w:eastAsia="en-GB"/>
        </w:rPr>
      </w:pPr>
      <w:r w:rsidRPr="003C3886">
        <w:rPr>
          <w:rFonts w:ascii="Arial" w:eastAsia="Times New Roman" w:hAnsi="Arial" w:cs="Arial"/>
          <w:color w:val="auto"/>
          <w:sz w:val="22"/>
          <w:lang w:eastAsia="en-GB"/>
        </w:rPr>
        <w:t xml:space="preserve">Rizvi, U.Z. (2018). Critical Heritage and Participatory Discourse in the UAE. </w:t>
      </w:r>
      <w:r w:rsidRPr="003C3886">
        <w:rPr>
          <w:rFonts w:ascii="Arial" w:eastAsia="Times New Roman" w:hAnsi="Arial" w:cs="Arial"/>
          <w:i/>
          <w:iCs/>
          <w:color w:val="auto"/>
          <w:sz w:val="22"/>
          <w:lang w:eastAsia="en-GB"/>
        </w:rPr>
        <w:t>Design and Culture</w:t>
      </w:r>
      <w:r w:rsidRPr="003C3886">
        <w:rPr>
          <w:rFonts w:ascii="Arial" w:eastAsia="Times New Roman" w:hAnsi="Arial" w:cs="Arial"/>
          <w:color w:val="auto"/>
          <w:sz w:val="22"/>
          <w:lang w:eastAsia="en-GB"/>
        </w:rPr>
        <w:t xml:space="preserve">, 10(1), pp.55–70. </w:t>
      </w:r>
      <w:proofErr w:type="spellStart"/>
      <w:proofErr w:type="gramStart"/>
      <w:r w:rsidRPr="003C3886">
        <w:rPr>
          <w:rFonts w:ascii="Arial" w:eastAsia="Times New Roman" w:hAnsi="Arial" w:cs="Arial"/>
          <w:color w:val="auto"/>
          <w:sz w:val="22"/>
          <w:lang w:eastAsia="en-GB"/>
        </w:rPr>
        <w:t>doi:https</w:t>
      </w:r>
      <w:proofErr w:type="spellEnd"/>
      <w:r w:rsidRPr="003C3886">
        <w:rPr>
          <w:rFonts w:ascii="Arial" w:eastAsia="Times New Roman" w:hAnsi="Arial" w:cs="Arial"/>
          <w:color w:val="auto"/>
          <w:sz w:val="22"/>
          <w:lang w:eastAsia="en-GB"/>
        </w:rPr>
        <w:t>://doi.org/10.1080/17547075.2018.1431861</w:t>
      </w:r>
      <w:proofErr w:type="gramEnd"/>
      <w:r w:rsidRPr="003C3886">
        <w:rPr>
          <w:rFonts w:ascii="Arial" w:eastAsia="Times New Roman" w:hAnsi="Arial" w:cs="Arial"/>
          <w:color w:val="auto"/>
          <w:sz w:val="22"/>
          <w:lang w:eastAsia="en-GB"/>
        </w:rPr>
        <w:t>.</w:t>
      </w:r>
    </w:p>
    <w:p w14:paraId="1ECC17CF" w14:textId="70945A63" w:rsidR="00514AD4" w:rsidRPr="003C3886" w:rsidRDefault="00514AD4" w:rsidP="003C3886">
      <w:pPr>
        <w:spacing w:after="240" w:line="360" w:lineRule="auto"/>
        <w:jc w:val="both"/>
        <w:rPr>
          <w:rFonts w:ascii="Arial" w:eastAsia="Times New Roman" w:hAnsi="Arial" w:cs="Arial"/>
          <w:color w:val="auto"/>
          <w:sz w:val="22"/>
          <w:lang w:eastAsia="en-GB"/>
        </w:rPr>
      </w:pPr>
      <w:proofErr w:type="spellStart"/>
      <w:r w:rsidRPr="00514AD4">
        <w:rPr>
          <w:rFonts w:ascii="Arial" w:eastAsia="Times New Roman" w:hAnsi="Arial" w:cs="Arial"/>
          <w:color w:val="auto"/>
          <w:sz w:val="22"/>
          <w:lang w:eastAsia="en-GB"/>
        </w:rPr>
        <w:t>Thiederman</w:t>
      </w:r>
      <w:proofErr w:type="spellEnd"/>
      <w:r w:rsidRPr="00514AD4">
        <w:rPr>
          <w:rFonts w:ascii="Arial" w:eastAsia="Times New Roman" w:hAnsi="Arial" w:cs="Arial"/>
          <w:color w:val="auto"/>
          <w:sz w:val="22"/>
          <w:lang w:eastAsia="en-GB"/>
        </w:rPr>
        <w:t xml:space="preserve">, S.B. (1991). Bridging cultural barriers for corporate </w:t>
      </w:r>
      <w:proofErr w:type="gramStart"/>
      <w:r w:rsidRPr="00514AD4">
        <w:rPr>
          <w:rFonts w:ascii="Arial" w:eastAsia="Times New Roman" w:hAnsi="Arial" w:cs="Arial"/>
          <w:color w:val="auto"/>
          <w:sz w:val="22"/>
          <w:lang w:eastAsia="en-GB"/>
        </w:rPr>
        <w:t>success :</w:t>
      </w:r>
      <w:proofErr w:type="gramEnd"/>
      <w:r w:rsidRPr="00514AD4">
        <w:rPr>
          <w:rFonts w:ascii="Arial" w:eastAsia="Times New Roman" w:hAnsi="Arial" w:cs="Arial"/>
          <w:color w:val="auto"/>
          <w:sz w:val="22"/>
          <w:lang w:eastAsia="en-GB"/>
        </w:rPr>
        <w:t xml:space="preserve"> how to manage the multicultural work force. Lexington, Mass.: Lexington Books.</w:t>
      </w:r>
    </w:p>
    <w:p w14:paraId="3E816CF6" w14:textId="77777777" w:rsidR="00C71514" w:rsidRPr="003C3886" w:rsidRDefault="00C71514" w:rsidP="003C3886">
      <w:pPr>
        <w:spacing w:line="360" w:lineRule="auto"/>
        <w:jc w:val="both"/>
        <w:rPr>
          <w:rFonts w:ascii="Arial" w:hAnsi="Arial" w:cs="Arial"/>
          <w:color w:val="auto"/>
          <w:sz w:val="22"/>
        </w:rPr>
      </w:pPr>
    </w:p>
    <w:p w14:paraId="10C6D583" w14:textId="77777777" w:rsidR="00323F79" w:rsidRPr="003C3886" w:rsidRDefault="00323F79" w:rsidP="003C3886">
      <w:pPr>
        <w:pStyle w:val="Heading3"/>
        <w:spacing w:line="360" w:lineRule="auto"/>
        <w:jc w:val="both"/>
        <w:rPr>
          <w:rFonts w:ascii="Arial" w:eastAsiaTheme="minorHAnsi" w:hAnsi="Arial" w:cs="Arial"/>
          <w:b/>
          <w:i w:val="0"/>
          <w:sz w:val="22"/>
        </w:rPr>
      </w:pPr>
    </w:p>
    <w:p w14:paraId="2125BC76" w14:textId="77777777" w:rsidR="006A1BCE" w:rsidRPr="003C3886" w:rsidRDefault="006A1BCE" w:rsidP="003C3886">
      <w:pPr>
        <w:pStyle w:val="Heading1"/>
        <w:spacing w:line="360" w:lineRule="auto"/>
        <w:jc w:val="both"/>
        <w:rPr>
          <w:rFonts w:ascii="Arial" w:hAnsi="Arial" w:cs="Arial"/>
          <w:color w:val="auto"/>
          <w:sz w:val="22"/>
          <w:szCs w:val="22"/>
        </w:rPr>
      </w:pPr>
    </w:p>
    <w:p w14:paraId="46902E43" w14:textId="77777777" w:rsidR="00032E58" w:rsidRPr="003C3886" w:rsidRDefault="00032E58" w:rsidP="003C3886">
      <w:pPr>
        <w:spacing w:after="200" w:line="360" w:lineRule="auto"/>
        <w:jc w:val="both"/>
        <w:rPr>
          <w:rFonts w:ascii="Arial" w:eastAsia="Times New Roman" w:hAnsi="Arial" w:cs="Arial"/>
          <w:b/>
          <w:color w:val="auto"/>
          <w:sz w:val="22"/>
        </w:rPr>
      </w:pPr>
      <w:r w:rsidRPr="003C3886">
        <w:rPr>
          <w:rFonts w:ascii="Arial" w:hAnsi="Arial" w:cs="Arial"/>
          <w:color w:val="auto"/>
          <w:sz w:val="22"/>
        </w:rPr>
        <w:br w:type="page"/>
      </w:r>
    </w:p>
    <w:p w14:paraId="0FB273D0" w14:textId="1ECC077D" w:rsidR="003605D1" w:rsidRPr="003C3886" w:rsidRDefault="003605D1" w:rsidP="003C3886">
      <w:pPr>
        <w:spacing w:line="360" w:lineRule="auto"/>
        <w:jc w:val="both"/>
        <w:rPr>
          <w:rFonts w:ascii="Arial" w:hAnsi="Arial" w:cs="Arial"/>
          <w:color w:val="auto"/>
          <w:sz w:val="22"/>
          <w:highlight w:val="yellow"/>
        </w:rPr>
      </w:pPr>
    </w:p>
    <w:sectPr w:rsidR="003605D1" w:rsidRPr="003C3886" w:rsidSect="00675156">
      <w:headerReference w:type="even" r:id="rId11"/>
      <w:headerReference w:type="default" r:id="rId12"/>
      <w:footerReference w:type="even" r:id="rId13"/>
      <w:footerReference w:type="default" r:id="rId14"/>
      <w:headerReference w:type="first" r:id="rId15"/>
      <w:footerReference w:type="first" r:id="rId16"/>
      <w:pgSz w:w="11906" w:h="16838" w:code="9"/>
      <w:pgMar w:top="720" w:right="1152" w:bottom="720" w:left="1152"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3773C" w14:textId="77777777" w:rsidR="00675156" w:rsidRDefault="00675156" w:rsidP="004B7E44">
      <w:r>
        <w:separator/>
      </w:r>
    </w:p>
  </w:endnote>
  <w:endnote w:type="continuationSeparator" w:id="0">
    <w:p w14:paraId="0F780503" w14:textId="77777777" w:rsidR="00675156" w:rsidRDefault="00675156"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ranklin Gothic Book">
    <w:panose1 w:val="020B05030201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527F3" w14:textId="77777777" w:rsidR="00AB32ED" w:rsidRDefault="00AB32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4B7E44" w14:paraId="1C27FD6E" w14:textId="77777777" w:rsidTr="004B7E44">
      <w:trPr>
        <w:trHeight w:val="730"/>
        <w:jc w:val="center"/>
      </w:trPr>
      <w:tc>
        <w:tcPr>
          <w:tcW w:w="12258" w:type="dxa"/>
          <w:tcBorders>
            <w:top w:val="nil"/>
            <w:left w:val="nil"/>
            <w:bottom w:val="nil"/>
            <w:right w:val="nil"/>
          </w:tcBorders>
          <w:shd w:val="clear" w:color="auto" w:fill="161718" w:themeFill="text1"/>
          <w:vAlign w:val="center"/>
        </w:tcPr>
        <w:p w14:paraId="2B66A72C" w14:textId="77777777" w:rsidR="004B7E44" w:rsidRDefault="004B7E44" w:rsidP="004B7E44">
          <w:pPr>
            <w:pStyle w:val="Footer"/>
          </w:pPr>
          <w:r>
            <w:rPr>
              <w:lang w:bidi="en-GB"/>
            </w:rPr>
            <w:t>www.companywebsite.com</w:t>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6191010"/>
      <w:docPartObj>
        <w:docPartGallery w:val="Page Numbers (Bottom of Page)"/>
        <w:docPartUnique/>
      </w:docPartObj>
    </w:sdtPr>
    <w:sdtEndPr>
      <w:rPr>
        <w:noProof/>
      </w:rPr>
    </w:sdtEndPr>
    <w:sdtContent>
      <w:p w14:paraId="31C8A55B" w14:textId="77777777" w:rsidR="005A718F" w:rsidRDefault="005A718F" w:rsidP="004B7E44">
        <w:pPr>
          <w:pStyle w:val="Footer"/>
        </w:pPr>
        <w:r>
          <w:rPr>
            <w:lang w:bidi="en-GB"/>
          </w:rPr>
          <w:fldChar w:fldCharType="begin"/>
        </w:r>
        <w:r>
          <w:rPr>
            <w:lang w:bidi="en-GB"/>
          </w:rPr>
          <w:instrText xml:space="preserve"> PAGE   \* MERGEFORMAT </w:instrText>
        </w:r>
        <w:r>
          <w:rPr>
            <w:lang w:bidi="en-GB"/>
          </w:rPr>
          <w:fldChar w:fldCharType="separate"/>
        </w:r>
        <w:r w:rsidR="009120E9">
          <w:rPr>
            <w:noProof/>
            <w:lang w:bidi="en-GB"/>
          </w:rPr>
          <w:t>1</w:t>
        </w:r>
        <w:r>
          <w:rPr>
            <w:noProof/>
            <w:lang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AE4E5" w14:textId="77777777" w:rsidR="00675156" w:rsidRDefault="00675156" w:rsidP="004B7E44">
      <w:r>
        <w:separator/>
      </w:r>
    </w:p>
  </w:footnote>
  <w:footnote w:type="continuationSeparator" w:id="0">
    <w:p w14:paraId="1112CFEE" w14:textId="77777777" w:rsidR="00675156" w:rsidRDefault="00675156"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BCA9E" w14:textId="77777777" w:rsidR="00AB32ED" w:rsidRDefault="00AB32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4B7E44" w14:paraId="3B5A9BFE" w14:textId="77777777" w:rsidTr="004B7E44">
      <w:trPr>
        <w:trHeight w:val="1318"/>
      </w:trPr>
      <w:tc>
        <w:tcPr>
          <w:tcW w:w="12210" w:type="dxa"/>
          <w:tcBorders>
            <w:top w:val="nil"/>
            <w:left w:val="nil"/>
            <w:bottom w:val="nil"/>
            <w:right w:val="nil"/>
          </w:tcBorders>
        </w:tcPr>
        <w:p w14:paraId="303D5109" w14:textId="77777777" w:rsidR="004B7E44" w:rsidRDefault="004B7E44" w:rsidP="004B7E44">
          <w:pPr>
            <w:pStyle w:val="Header"/>
          </w:pPr>
          <w:r>
            <w:rPr>
              <w:noProof/>
              <w:lang w:bidi="en-GB"/>
            </w:rPr>
            <mc:AlternateContent>
              <mc:Choice Requires="wps">
                <w:drawing>
                  <wp:inline distT="0" distB="0" distL="0" distR="0" wp14:anchorId="0EB4168D" wp14:editId="034A0C17">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A733A2" w14:textId="77777777" w:rsidR="004B7E44" w:rsidRPr="004B7E44" w:rsidRDefault="004B7E44" w:rsidP="004B7E44">
                                <w:pPr>
                                  <w:jc w:val="center"/>
                                  <w:rPr>
                                    <w:b/>
                                  </w:rPr>
                                </w:pPr>
                                <w:r w:rsidRPr="004B7E44">
                                  <w:rPr>
                                    <w:b/>
                                    <w:lang w:bidi="en-GB"/>
                                  </w:rPr>
                                  <w:fldChar w:fldCharType="begin"/>
                                </w:r>
                                <w:r w:rsidRPr="004B7E44">
                                  <w:rPr>
                                    <w:b/>
                                    <w:lang w:bidi="en-GB"/>
                                  </w:rPr>
                                  <w:instrText xml:space="preserve"> PAGE  \* Arabic  \* MERGEFORMAT </w:instrText>
                                </w:r>
                                <w:r w:rsidRPr="004B7E44">
                                  <w:rPr>
                                    <w:b/>
                                    <w:lang w:bidi="en-GB"/>
                                  </w:rPr>
                                  <w:fldChar w:fldCharType="separate"/>
                                </w:r>
                                <w:r w:rsidR="009120E9">
                                  <w:rPr>
                                    <w:b/>
                                    <w:noProof/>
                                    <w:lang w:bidi="en-GB"/>
                                  </w:rPr>
                                  <w:t>2</w:t>
                                </w:r>
                                <w:r w:rsidRPr="004B7E44">
                                  <w:rPr>
                                    <w:b/>
                                    <w:lang w:bidi="en-GB"/>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0EB4168D" id="Rectangle 11" o:spid="_x0000_s1030"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" fillcolor="#0070c0" stroked="f" strokeweight="2pt">
                    <v:textbox>
                      <w:txbxContent>
                        <w:p w14:paraId="0AA733A2" w14:textId="77777777" w:rsidR="004B7E44" w:rsidRPr="004B7E44" w:rsidRDefault="004B7E44" w:rsidP="004B7E44">
                          <w:pPr>
                            <w:jc w:val="center"/>
                            <w:rPr>
                              <w:b/>
                            </w:rPr>
                          </w:pPr>
                          <w:r w:rsidRPr="004B7E44">
                            <w:rPr>
                              <w:b/>
                              <w:lang w:bidi="en-GB"/>
                            </w:rPr>
                            <w:fldChar w:fldCharType="begin"/>
                          </w:r>
                          <w:r w:rsidRPr="004B7E44">
                            <w:rPr>
                              <w:b/>
                              <w:lang w:bidi="en-GB"/>
                            </w:rPr>
                            <w:instrText xml:space="preserve"> PAGE  \* Arabic  \* MERGEFORMAT </w:instrText>
                          </w:r>
                          <w:r w:rsidRPr="004B7E44">
                            <w:rPr>
                              <w:b/>
                              <w:lang w:bidi="en-GB"/>
                            </w:rPr>
                            <w:fldChar w:fldCharType="separate"/>
                          </w:r>
                          <w:r w:rsidR="009120E9">
                            <w:rPr>
                              <w:b/>
                              <w:noProof/>
                              <w:lang w:bidi="en-GB"/>
                            </w:rPr>
                            <w:t>2</w:t>
                          </w:r>
                          <w:r w:rsidRPr="004B7E44">
                            <w:rPr>
                              <w:b/>
                              <w:lang w:bidi="en-GB"/>
                            </w:rPr>
                            <w:fldChar w:fldCharType="end"/>
                          </w:r>
                        </w:p>
                      </w:txbxContent>
                    </v:textbox>
                    <w10:anchorlock/>
                  </v:rect>
                </w:pict>
              </mc:Fallback>
            </mc:AlternateContent>
          </w:r>
        </w:p>
      </w:tc>
    </w:tr>
  </w:tbl>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24B92" w14:textId="77777777" w:rsidR="00AB32ED" w:rsidRDefault="00AB32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90CF6"/>
    <w:multiLevelType w:val="multilevel"/>
    <w:tmpl w:val="C59A52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D47EB7"/>
    <w:multiLevelType w:val="multilevel"/>
    <w:tmpl w:val="FBA69E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1648E9"/>
    <w:multiLevelType w:val="hybridMultilevel"/>
    <w:tmpl w:val="CC66E3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D2547D"/>
    <w:multiLevelType w:val="multilevel"/>
    <w:tmpl w:val="0D165D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1F0612"/>
    <w:multiLevelType w:val="multilevel"/>
    <w:tmpl w:val="08064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C1011F2"/>
    <w:multiLevelType w:val="multilevel"/>
    <w:tmpl w:val="5D8E70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73542164">
    <w:abstractNumId w:val="0"/>
  </w:num>
  <w:num w:numId="2" w16cid:durableId="1281835060">
    <w:abstractNumId w:val="4"/>
  </w:num>
  <w:num w:numId="3" w16cid:durableId="216624082">
    <w:abstractNumId w:val="5"/>
  </w:num>
  <w:num w:numId="4" w16cid:durableId="1421296912">
    <w:abstractNumId w:val="1"/>
  </w:num>
  <w:num w:numId="5" w16cid:durableId="256140464">
    <w:abstractNumId w:val="3"/>
  </w:num>
  <w:num w:numId="6" w16cid:durableId="1761618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753"/>
    <w:rsid w:val="00013955"/>
    <w:rsid w:val="00032E58"/>
    <w:rsid w:val="000507F2"/>
    <w:rsid w:val="000619CB"/>
    <w:rsid w:val="000821D9"/>
    <w:rsid w:val="00094A07"/>
    <w:rsid w:val="000B7800"/>
    <w:rsid w:val="000E7DFF"/>
    <w:rsid w:val="00122964"/>
    <w:rsid w:val="001249D0"/>
    <w:rsid w:val="00144F3B"/>
    <w:rsid w:val="001544EE"/>
    <w:rsid w:val="001556D2"/>
    <w:rsid w:val="001C334B"/>
    <w:rsid w:val="001E2173"/>
    <w:rsid w:val="002067AD"/>
    <w:rsid w:val="00211574"/>
    <w:rsid w:val="00222DDA"/>
    <w:rsid w:val="002255EB"/>
    <w:rsid w:val="002528AF"/>
    <w:rsid w:val="002712BF"/>
    <w:rsid w:val="00293B83"/>
    <w:rsid w:val="002E4BF1"/>
    <w:rsid w:val="00321C9D"/>
    <w:rsid w:val="00323F79"/>
    <w:rsid w:val="00337500"/>
    <w:rsid w:val="003605D1"/>
    <w:rsid w:val="003B6D7A"/>
    <w:rsid w:val="003B774C"/>
    <w:rsid w:val="003C3886"/>
    <w:rsid w:val="003D3919"/>
    <w:rsid w:val="003F2E21"/>
    <w:rsid w:val="00416924"/>
    <w:rsid w:val="00421945"/>
    <w:rsid w:val="00467EEB"/>
    <w:rsid w:val="00472986"/>
    <w:rsid w:val="00485E4C"/>
    <w:rsid w:val="004B7E44"/>
    <w:rsid w:val="004D5252"/>
    <w:rsid w:val="004F2B86"/>
    <w:rsid w:val="00514AD4"/>
    <w:rsid w:val="00535A97"/>
    <w:rsid w:val="00572A23"/>
    <w:rsid w:val="005A718F"/>
    <w:rsid w:val="005C5E32"/>
    <w:rsid w:val="00621878"/>
    <w:rsid w:val="00655753"/>
    <w:rsid w:val="00675156"/>
    <w:rsid w:val="006877A8"/>
    <w:rsid w:val="006A1BCE"/>
    <w:rsid w:val="006A3CE7"/>
    <w:rsid w:val="006A5073"/>
    <w:rsid w:val="00716B1B"/>
    <w:rsid w:val="0073699D"/>
    <w:rsid w:val="007516CF"/>
    <w:rsid w:val="00775C54"/>
    <w:rsid w:val="007C19BD"/>
    <w:rsid w:val="007C25D7"/>
    <w:rsid w:val="007E37E2"/>
    <w:rsid w:val="007E76D1"/>
    <w:rsid w:val="00807A5F"/>
    <w:rsid w:val="008B33BC"/>
    <w:rsid w:val="008C5303"/>
    <w:rsid w:val="008E2DDD"/>
    <w:rsid w:val="008E6825"/>
    <w:rsid w:val="008F45D5"/>
    <w:rsid w:val="009120E9"/>
    <w:rsid w:val="009378DF"/>
    <w:rsid w:val="00944083"/>
    <w:rsid w:val="00945900"/>
    <w:rsid w:val="0095727E"/>
    <w:rsid w:val="0098698B"/>
    <w:rsid w:val="00993696"/>
    <w:rsid w:val="009C396C"/>
    <w:rsid w:val="009D3AAC"/>
    <w:rsid w:val="00A126B7"/>
    <w:rsid w:val="00A2779B"/>
    <w:rsid w:val="00A5294E"/>
    <w:rsid w:val="00A72F02"/>
    <w:rsid w:val="00A84390"/>
    <w:rsid w:val="00A974F1"/>
    <w:rsid w:val="00AB32ED"/>
    <w:rsid w:val="00AB7A63"/>
    <w:rsid w:val="00AE5F61"/>
    <w:rsid w:val="00AF2295"/>
    <w:rsid w:val="00B375DA"/>
    <w:rsid w:val="00B47A1D"/>
    <w:rsid w:val="00B524D8"/>
    <w:rsid w:val="00B572B4"/>
    <w:rsid w:val="00B6611E"/>
    <w:rsid w:val="00BB29B8"/>
    <w:rsid w:val="00BF235D"/>
    <w:rsid w:val="00C242A8"/>
    <w:rsid w:val="00C40336"/>
    <w:rsid w:val="00C61D65"/>
    <w:rsid w:val="00C71514"/>
    <w:rsid w:val="00CA3BBA"/>
    <w:rsid w:val="00CA56B6"/>
    <w:rsid w:val="00CB7FA4"/>
    <w:rsid w:val="00CF3F58"/>
    <w:rsid w:val="00D02592"/>
    <w:rsid w:val="00D30DCF"/>
    <w:rsid w:val="00D33B20"/>
    <w:rsid w:val="00D553C5"/>
    <w:rsid w:val="00D76ADC"/>
    <w:rsid w:val="00DB26A7"/>
    <w:rsid w:val="00DF3465"/>
    <w:rsid w:val="00E03669"/>
    <w:rsid w:val="00E07142"/>
    <w:rsid w:val="00E13197"/>
    <w:rsid w:val="00E27874"/>
    <w:rsid w:val="00E331F9"/>
    <w:rsid w:val="00E76CAD"/>
    <w:rsid w:val="00E843E4"/>
    <w:rsid w:val="00E94B5F"/>
    <w:rsid w:val="00EF3079"/>
    <w:rsid w:val="00F11152"/>
    <w:rsid w:val="00F15C1A"/>
    <w:rsid w:val="00F224D8"/>
    <w:rsid w:val="00F6674E"/>
    <w:rsid w:val="00FA063C"/>
    <w:rsid w:val="00FB4976"/>
    <w:rsid w:val="00FC4C3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87272A"/>
  <w15:chartTrackingRefBased/>
  <w15:docId w15:val="{AEAE214C-0C59-4A10-8C40-A8DCA01FE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18"/>
        <w:szCs w:val="18"/>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E44"/>
    <w:pPr>
      <w:spacing w:after="0"/>
    </w:pPr>
    <w:rPr>
      <w:rFonts w:eastAsiaTheme="minorEastAsia"/>
      <w:color w:val="FFFFFF" w:themeColor="background1"/>
      <w:sz w:val="28"/>
      <w:szCs w:val="22"/>
    </w:rPr>
  </w:style>
  <w:style w:type="paragraph" w:styleId="Heading1">
    <w:name w:val="heading 1"/>
    <w:basedOn w:val="Normal"/>
    <w:link w:val="Heading1Char"/>
    <w:uiPriority w:val="2"/>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iPriority w:val="2"/>
    <w:unhideWhenUsed/>
    <w:qFormat/>
    <w:rsid w:val="004B7E44"/>
    <w:pPr>
      <w:keepNext/>
      <w:spacing w:line="240" w:lineRule="auto"/>
      <w:outlineLvl w:val="1"/>
    </w:pPr>
    <w:rPr>
      <w:rFonts w:asciiTheme="majorHAnsi" w:eastAsia="Times New Roman" w:hAnsiTheme="majorHAnsi" w:cs="Times New Roman"/>
      <w:b/>
      <w:color w:val="auto"/>
      <w:sz w:val="52"/>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color w:val="auto"/>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B7E44"/>
    <w:rPr>
      <w:rFonts w:asciiTheme="majorHAnsi" w:eastAsia="Times New Roman" w:hAnsiTheme="majorHAnsi" w:cs="Times New Roman"/>
      <w:b/>
      <w:sz w:val="52"/>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TOCHeading">
    <w:name w:val="TOC Heading"/>
    <w:basedOn w:val="Heading1"/>
    <w:next w:val="Normal"/>
    <w:uiPriority w:val="39"/>
    <w:unhideWhenUsed/>
    <w:qFormat/>
    <w:rsid w:val="006A1BCE"/>
    <w:pPr>
      <w:keepLines/>
      <w:spacing w:before="240" w:line="259" w:lineRule="auto"/>
      <w:outlineLvl w:val="9"/>
    </w:pPr>
    <w:rPr>
      <w:rFonts w:eastAsiaTheme="majorEastAsia" w:cstheme="majorBidi"/>
      <w:b w:val="0"/>
      <w:color w:val="7A042E" w:themeColor="accent1" w:themeShade="BF"/>
      <w:sz w:val="32"/>
      <w:szCs w:val="32"/>
      <w:lang w:eastAsia="en-GB"/>
    </w:rPr>
  </w:style>
  <w:style w:type="paragraph" w:styleId="TOC1">
    <w:name w:val="toc 1"/>
    <w:basedOn w:val="Normal"/>
    <w:next w:val="Normal"/>
    <w:autoRedefine/>
    <w:uiPriority w:val="39"/>
    <w:unhideWhenUsed/>
    <w:rsid w:val="006A1BCE"/>
    <w:pPr>
      <w:spacing w:after="100"/>
    </w:pPr>
  </w:style>
  <w:style w:type="character" w:styleId="Hyperlink">
    <w:name w:val="Hyperlink"/>
    <w:basedOn w:val="DefaultParagraphFont"/>
    <w:uiPriority w:val="99"/>
    <w:unhideWhenUsed/>
    <w:rsid w:val="006A1BCE"/>
    <w:rPr>
      <w:color w:val="93C842" w:themeColor="hyperlink"/>
      <w:u w:val="single"/>
    </w:rPr>
  </w:style>
  <w:style w:type="paragraph" w:styleId="NormalWeb">
    <w:name w:val="Normal (Web)"/>
    <w:basedOn w:val="Normal"/>
    <w:uiPriority w:val="99"/>
    <w:semiHidden/>
    <w:unhideWhenUsed/>
    <w:rsid w:val="006A1BCE"/>
    <w:rPr>
      <w:rFonts w:ascii="Times New Roman" w:hAnsi="Times New Roman" w:cs="Times New Roman"/>
      <w:sz w:val="24"/>
      <w:szCs w:val="24"/>
    </w:rPr>
  </w:style>
  <w:style w:type="paragraph" w:styleId="ListParagraph">
    <w:name w:val="List Paragraph"/>
    <w:basedOn w:val="Normal"/>
    <w:uiPriority w:val="34"/>
    <w:unhideWhenUsed/>
    <w:qFormat/>
    <w:rsid w:val="00944083"/>
    <w:pPr>
      <w:ind w:left="720"/>
      <w:contextualSpacing/>
    </w:pPr>
  </w:style>
  <w:style w:type="character" w:styleId="UnresolvedMention">
    <w:name w:val="Unresolved Mention"/>
    <w:basedOn w:val="DefaultParagraphFont"/>
    <w:uiPriority w:val="99"/>
    <w:semiHidden/>
    <w:unhideWhenUsed/>
    <w:rsid w:val="009572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223512">
      <w:bodyDiv w:val="1"/>
      <w:marLeft w:val="0"/>
      <w:marRight w:val="0"/>
      <w:marTop w:val="0"/>
      <w:marBottom w:val="0"/>
      <w:divBdr>
        <w:top w:val="none" w:sz="0" w:space="0" w:color="auto"/>
        <w:left w:val="none" w:sz="0" w:space="0" w:color="auto"/>
        <w:bottom w:val="none" w:sz="0" w:space="0" w:color="auto"/>
        <w:right w:val="none" w:sz="0" w:space="0" w:color="auto"/>
      </w:divBdr>
    </w:div>
    <w:div w:id="625619844">
      <w:bodyDiv w:val="1"/>
      <w:marLeft w:val="0"/>
      <w:marRight w:val="0"/>
      <w:marTop w:val="0"/>
      <w:marBottom w:val="0"/>
      <w:divBdr>
        <w:top w:val="none" w:sz="0" w:space="0" w:color="auto"/>
        <w:left w:val="none" w:sz="0" w:space="0" w:color="auto"/>
        <w:bottom w:val="none" w:sz="0" w:space="0" w:color="auto"/>
        <w:right w:val="none" w:sz="0" w:space="0" w:color="auto"/>
      </w:divBdr>
    </w:div>
    <w:div w:id="836574241">
      <w:bodyDiv w:val="1"/>
      <w:marLeft w:val="0"/>
      <w:marRight w:val="0"/>
      <w:marTop w:val="0"/>
      <w:marBottom w:val="0"/>
      <w:divBdr>
        <w:top w:val="none" w:sz="0" w:space="0" w:color="auto"/>
        <w:left w:val="none" w:sz="0" w:space="0" w:color="auto"/>
        <w:bottom w:val="none" w:sz="0" w:space="0" w:color="auto"/>
        <w:right w:val="none" w:sz="0" w:space="0" w:color="auto"/>
      </w:divBdr>
    </w:div>
    <w:div w:id="872379804">
      <w:bodyDiv w:val="1"/>
      <w:marLeft w:val="0"/>
      <w:marRight w:val="0"/>
      <w:marTop w:val="0"/>
      <w:marBottom w:val="0"/>
      <w:divBdr>
        <w:top w:val="none" w:sz="0" w:space="0" w:color="auto"/>
        <w:left w:val="none" w:sz="0" w:space="0" w:color="auto"/>
        <w:bottom w:val="none" w:sz="0" w:space="0" w:color="auto"/>
        <w:right w:val="none" w:sz="0" w:space="0" w:color="auto"/>
      </w:divBdr>
    </w:div>
    <w:div w:id="932203086">
      <w:bodyDiv w:val="1"/>
      <w:marLeft w:val="0"/>
      <w:marRight w:val="0"/>
      <w:marTop w:val="0"/>
      <w:marBottom w:val="0"/>
      <w:divBdr>
        <w:top w:val="none" w:sz="0" w:space="0" w:color="auto"/>
        <w:left w:val="none" w:sz="0" w:space="0" w:color="auto"/>
        <w:bottom w:val="none" w:sz="0" w:space="0" w:color="auto"/>
        <w:right w:val="none" w:sz="0" w:space="0" w:color="auto"/>
      </w:divBdr>
    </w:div>
    <w:div w:id="1054935712">
      <w:bodyDiv w:val="1"/>
      <w:marLeft w:val="0"/>
      <w:marRight w:val="0"/>
      <w:marTop w:val="0"/>
      <w:marBottom w:val="0"/>
      <w:divBdr>
        <w:top w:val="none" w:sz="0" w:space="0" w:color="auto"/>
        <w:left w:val="none" w:sz="0" w:space="0" w:color="auto"/>
        <w:bottom w:val="none" w:sz="0" w:space="0" w:color="auto"/>
        <w:right w:val="none" w:sz="0" w:space="0" w:color="auto"/>
      </w:divBdr>
    </w:div>
    <w:div w:id="1241908521">
      <w:bodyDiv w:val="1"/>
      <w:marLeft w:val="0"/>
      <w:marRight w:val="0"/>
      <w:marTop w:val="0"/>
      <w:marBottom w:val="0"/>
      <w:divBdr>
        <w:top w:val="none" w:sz="0" w:space="0" w:color="auto"/>
        <w:left w:val="none" w:sz="0" w:space="0" w:color="auto"/>
        <w:bottom w:val="none" w:sz="0" w:space="0" w:color="auto"/>
        <w:right w:val="none" w:sz="0" w:space="0" w:color="auto"/>
      </w:divBdr>
    </w:div>
    <w:div w:id="1245532308">
      <w:bodyDiv w:val="1"/>
      <w:marLeft w:val="0"/>
      <w:marRight w:val="0"/>
      <w:marTop w:val="0"/>
      <w:marBottom w:val="0"/>
      <w:divBdr>
        <w:top w:val="none" w:sz="0" w:space="0" w:color="auto"/>
        <w:left w:val="none" w:sz="0" w:space="0" w:color="auto"/>
        <w:bottom w:val="none" w:sz="0" w:space="0" w:color="auto"/>
        <w:right w:val="none" w:sz="0" w:space="0" w:color="auto"/>
      </w:divBdr>
    </w:div>
    <w:div w:id="1265191847">
      <w:bodyDiv w:val="1"/>
      <w:marLeft w:val="0"/>
      <w:marRight w:val="0"/>
      <w:marTop w:val="0"/>
      <w:marBottom w:val="0"/>
      <w:divBdr>
        <w:top w:val="none" w:sz="0" w:space="0" w:color="auto"/>
        <w:left w:val="none" w:sz="0" w:space="0" w:color="auto"/>
        <w:bottom w:val="none" w:sz="0" w:space="0" w:color="auto"/>
        <w:right w:val="none" w:sz="0" w:space="0" w:color="auto"/>
      </w:divBdr>
    </w:div>
    <w:div w:id="1302153706">
      <w:bodyDiv w:val="1"/>
      <w:marLeft w:val="0"/>
      <w:marRight w:val="0"/>
      <w:marTop w:val="0"/>
      <w:marBottom w:val="0"/>
      <w:divBdr>
        <w:top w:val="none" w:sz="0" w:space="0" w:color="auto"/>
        <w:left w:val="none" w:sz="0" w:space="0" w:color="auto"/>
        <w:bottom w:val="none" w:sz="0" w:space="0" w:color="auto"/>
        <w:right w:val="none" w:sz="0" w:space="0" w:color="auto"/>
      </w:divBdr>
    </w:div>
    <w:div w:id="1384333140">
      <w:bodyDiv w:val="1"/>
      <w:marLeft w:val="0"/>
      <w:marRight w:val="0"/>
      <w:marTop w:val="0"/>
      <w:marBottom w:val="0"/>
      <w:divBdr>
        <w:top w:val="none" w:sz="0" w:space="0" w:color="auto"/>
        <w:left w:val="none" w:sz="0" w:space="0" w:color="auto"/>
        <w:bottom w:val="none" w:sz="0" w:space="0" w:color="auto"/>
        <w:right w:val="none" w:sz="0" w:space="0" w:color="auto"/>
      </w:divBdr>
      <w:divsChild>
        <w:div w:id="1507288600">
          <w:marLeft w:val="0"/>
          <w:marRight w:val="0"/>
          <w:marTop w:val="0"/>
          <w:marBottom w:val="0"/>
          <w:divBdr>
            <w:top w:val="none" w:sz="0" w:space="0" w:color="auto"/>
            <w:left w:val="none" w:sz="0" w:space="0" w:color="auto"/>
            <w:bottom w:val="none" w:sz="0" w:space="0" w:color="auto"/>
            <w:right w:val="none" w:sz="0" w:space="0" w:color="auto"/>
          </w:divBdr>
        </w:div>
      </w:divsChild>
    </w:div>
    <w:div w:id="1444420242">
      <w:bodyDiv w:val="1"/>
      <w:marLeft w:val="0"/>
      <w:marRight w:val="0"/>
      <w:marTop w:val="0"/>
      <w:marBottom w:val="0"/>
      <w:divBdr>
        <w:top w:val="none" w:sz="0" w:space="0" w:color="auto"/>
        <w:left w:val="none" w:sz="0" w:space="0" w:color="auto"/>
        <w:bottom w:val="none" w:sz="0" w:space="0" w:color="auto"/>
        <w:right w:val="none" w:sz="0" w:space="0" w:color="auto"/>
      </w:divBdr>
    </w:div>
    <w:div w:id="1479032899">
      <w:bodyDiv w:val="1"/>
      <w:marLeft w:val="0"/>
      <w:marRight w:val="0"/>
      <w:marTop w:val="0"/>
      <w:marBottom w:val="0"/>
      <w:divBdr>
        <w:top w:val="none" w:sz="0" w:space="0" w:color="auto"/>
        <w:left w:val="none" w:sz="0" w:space="0" w:color="auto"/>
        <w:bottom w:val="none" w:sz="0" w:space="0" w:color="auto"/>
        <w:right w:val="none" w:sz="0" w:space="0" w:color="auto"/>
      </w:divBdr>
    </w:div>
    <w:div w:id="1989554350">
      <w:bodyDiv w:val="1"/>
      <w:marLeft w:val="0"/>
      <w:marRight w:val="0"/>
      <w:marTop w:val="0"/>
      <w:marBottom w:val="0"/>
      <w:divBdr>
        <w:top w:val="none" w:sz="0" w:space="0" w:color="auto"/>
        <w:left w:val="none" w:sz="0" w:space="0" w:color="auto"/>
        <w:bottom w:val="none" w:sz="0" w:space="0" w:color="auto"/>
        <w:right w:val="none" w:sz="0" w:space="0" w:color="auto"/>
      </w:divBdr>
    </w:div>
    <w:div w:id="2109614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gov.uk/government/news/uk-and-united-arab-emirates-agree-to-boost-energy-security-and-unlock-investment"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oPlus\AppData\Local\Microsoft\Office\16.0\DTS\en-GB%7bC0C7E608-CB40-41FB-800E-2256C342B342%7d\%7bF50173EC-200A-422E-820F-EF860E7D8E50%7dtf16392796_win32.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AA121-4CB7-46EE-8F0A-4F41B40AE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{F50173EC-200A-422E-820F-EF860E7D8E50}tf16392796_win32</Template>
  <TotalTime>132</TotalTime>
  <Pages>13</Pages>
  <Words>4185</Words>
  <Characters>25821</Characters>
  <Application>Microsoft Office Word</Application>
  <DocSecurity>0</DocSecurity>
  <Lines>215</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ProPlus</dc:creator>
  <cp:keywords/>
  <dc:description/>
  <cp:lastModifiedBy>Luminita Crisu</cp:lastModifiedBy>
  <cp:revision>56</cp:revision>
  <dcterms:created xsi:type="dcterms:W3CDTF">2024-03-22T08:36:00Z</dcterms:created>
  <dcterms:modified xsi:type="dcterms:W3CDTF">2024-03-22T11:10:00Z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9fff49f6-56e1-4dd9-8439-ae7c71c4e3ed</vt:lpwstr>
  </property>
</Properties>
</file>