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9CA95" w14:textId="2FBAB869" w:rsidR="00B8269A" w:rsidRPr="00AF607C" w:rsidRDefault="00B8269A" w:rsidP="00B8269A">
      <w:pPr>
        <w:rPr>
          <w:rFonts w:ascii="Arial" w:hAnsi="Arial" w:cs="Arial"/>
          <w:b/>
          <w:bCs/>
          <w:sz w:val="28"/>
          <w:szCs w:val="28"/>
        </w:rPr>
      </w:pPr>
      <w:r w:rsidRPr="00AF607C">
        <w:rPr>
          <w:rFonts w:ascii="Arial" w:hAnsi="Arial" w:cs="Arial"/>
          <w:b/>
          <w:bCs/>
          <w:sz w:val="28"/>
          <w:szCs w:val="28"/>
        </w:rPr>
        <w:t>Part 1:</w:t>
      </w:r>
      <w:r w:rsidR="000165A7" w:rsidRPr="00AF607C">
        <w:rPr>
          <w:rFonts w:ascii="Arial" w:hAnsi="Arial" w:cs="Arial"/>
          <w:b/>
          <w:bCs/>
          <w:sz w:val="28"/>
          <w:szCs w:val="28"/>
        </w:rPr>
        <w:t xml:space="preserve"> A</w:t>
      </w:r>
      <w:r w:rsidR="000165A7" w:rsidRPr="00AF607C">
        <w:rPr>
          <w:rFonts w:ascii="Arial" w:hAnsi="Arial" w:cs="Arial"/>
          <w:b/>
          <w:bCs/>
          <w:sz w:val="28"/>
          <w:szCs w:val="28"/>
        </w:rPr>
        <w:t>nalysis of the Welsh Health Survey</w:t>
      </w:r>
    </w:p>
    <w:p w14:paraId="3597F53D" w14:textId="1BC32401" w:rsidR="00A41AF7" w:rsidRPr="00AF607C" w:rsidRDefault="00B8269A">
      <w:pPr>
        <w:rPr>
          <w:rFonts w:ascii="Arial" w:hAnsi="Arial" w:cs="Arial"/>
        </w:rPr>
      </w:pPr>
      <w:r w:rsidRPr="00B8269A">
        <w:rPr>
          <w:rFonts w:ascii="Arial" w:hAnsi="Arial" w:cs="Arial"/>
        </w:rPr>
        <w:t xml:space="preserve">This report presents data from </w:t>
      </w:r>
      <w:r w:rsidR="008158CB">
        <w:rPr>
          <w:rFonts w:ascii="Arial" w:hAnsi="Arial" w:cs="Arial"/>
        </w:rPr>
        <w:t xml:space="preserve">Tifanny </w:t>
      </w:r>
      <w:r w:rsidR="008158CB" w:rsidRPr="00D2537F">
        <w:rPr>
          <w:rFonts w:ascii="Arial" w:hAnsi="Arial" w:cs="Arial"/>
          <w:i/>
          <w:iCs/>
        </w:rPr>
        <w:t>et al.</w:t>
      </w:r>
      <w:r w:rsidR="00D2537F" w:rsidRPr="00D2537F">
        <w:rPr>
          <w:rFonts w:ascii="Arial" w:hAnsi="Arial" w:cs="Arial"/>
          <w:i/>
          <w:iCs/>
        </w:rPr>
        <w:t>’s</w:t>
      </w:r>
      <w:r w:rsidR="00D2537F">
        <w:rPr>
          <w:rFonts w:ascii="Arial" w:hAnsi="Arial" w:cs="Arial"/>
        </w:rPr>
        <w:t xml:space="preserve"> (2012) report on </w:t>
      </w:r>
      <w:r w:rsidRPr="00B8269A">
        <w:rPr>
          <w:rFonts w:ascii="Arial" w:hAnsi="Arial" w:cs="Arial"/>
        </w:rPr>
        <w:t xml:space="preserve">the </w:t>
      </w:r>
      <w:r w:rsidR="00D2537F">
        <w:rPr>
          <w:rFonts w:ascii="Arial" w:hAnsi="Arial" w:cs="Arial"/>
        </w:rPr>
        <w:t>Sub local</w:t>
      </w:r>
      <w:r w:rsidR="008158CB">
        <w:rPr>
          <w:rFonts w:ascii="Arial" w:hAnsi="Arial" w:cs="Arial"/>
        </w:rPr>
        <w:t xml:space="preserve"> Authority Analysis </w:t>
      </w:r>
      <w:r w:rsidRPr="00B8269A">
        <w:rPr>
          <w:rFonts w:ascii="Arial" w:hAnsi="Arial" w:cs="Arial"/>
        </w:rPr>
        <w:t>Welsh Health Survey examining variations in health status, illness prevalence, health</w:t>
      </w:r>
      <w:r w:rsidRPr="00B8269A">
        <w:rPr>
          <w:rFonts w:ascii="Arial" w:hAnsi="Arial" w:cs="Arial"/>
        </w:rPr>
        <w:noBreakHyphen/>
        <w:t xml:space="preserve">related lifestyles, and health service use across Upper Super Output Areas (USOAs) in Wales between 2003 and 2009. As part of the coursework requirements, the data are analysed using </w:t>
      </w:r>
      <w:r w:rsidR="00FE2828">
        <w:rPr>
          <w:rFonts w:ascii="Arial" w:hAnsi="Arial" w:cs="Arial"/>
        </w:rPr>
        <w:t xml:space="preserve">IBM </w:t>
      </w:r>
      <w:r w:rsidRPr="00B8269A">
        <w:rPr>
          <w:rFonts w:ascii="Arial" w:hAnsi="Arial" w:cs="Arial"/>
        </w:rPr>
        <w:t>SPSS</w:t>
      </w:r>
      <w:r w:rsidR="00FE2828">
        <w:rPr>
          <w:rFonts w:ascii="Arial" w:hAnsi="Arial" w:cs="Arial"/>
        </w:rPr>
        <w:t xml:space="preserve"> statistic</w:t>
      </w:r>
      <w:r w:rsidR="002C4989">
        <w:rPr>
          <w:rFonts w:ascii="Arial" w:hAnsi="Arial" w:cs="Arial"/>
        </w:rPr>
        <w:t xml:space="preserve"> </w:t>
      </w:r>
      <w:r w:rsidR="00D97417">
        <w:rPr>
          <w:rFonts w:ascii="Arial" w:hAnsi="Arial" w:cs="Arial"/>
        </w:rPr>
        <w:t xml:space="preserve">software </w:t>
      </w:r>
      <w:r w:rsidR="002C4989" w:rsidRPr="002C4989">
        <w:rPr>
          <w:rFonts w:ascii="Arial" w:hAnsi="Arial" w:cs="Arial"/>
        </w:rPr>
        <w:t>(IBM Corp., 2021)</w:t>
      </w:r>
      <w:r w:rsidRPr="00B8269A">
        <w:rPr>
          <w:rFonts w:ascii="Arial" w:hAnsi="Arial" w:cs="Arial"/>
        </w:rPr>
        <w:t xml:space="preserve"> and summarised using descriptive statistics, including tables and forest plots, to identify key </w:t>
      </w:r>
      <w:r w:rsidR="002B238A">
        <w:rPr>
          <w:rFonts w:ascii="Arial" w:hAnsi="Arial" w:cs="Arial"/>
        </w:rPr>
        <w:t xml:space="preserve">themes and </w:t>
      </w:r>
      <w:r w:rsidRPr="00B8269A">
        <w:rPr>
          <w:rFonts w:ascii="Arial" w:hAnsi="Arial" w:cs="Arial"/>
        </w:rPr>
        <w:t>patterns.</w:t>
      </w:r>
    </w:p>
    <w:p w14:paraId="3BF08B6A" w14:textId="7A2C1CC6" w:rsidR="00AF607C" w:rsidRDefault="00AF607C" w:rsidP="00AF607C">
      <w:pPr>
        <w:pStyle w:val="Caption"/>
        <w:keepNext/>
      </w:pPr>
    </w:p>
    <w:tbl>
      <w:tblPr>
        <w:tblStyle w:val="GridTable4-Accent4"/>
        <w:tblW w:w="9983" w:type="dxa"/>
        <w:tblLook w:val="04A0" w:firstRow="1" w:lastRow="0" w:firstColumn="1" w:lastColumn="0" w:noHBand="0" w:noVBand="1"/>
      </w:tblPr>
      <w:tblGrid>
        <w:gridCol w:w="3114"/>
        <w:gridCol w:w="709"/>
        <w:gridCol w:w="1275"/>
        <w:gridCol w:w="1276"/>
        <w:gridCol w:w="1134"/>
        <w:gridCol w:w="2475"/>
      </w:tblGrid>
      <w:tr w:rsidR="00A41AF7" w:rsidRPr="00A41AF7" w14:paraId="3CA96725" w14:textId="77777777" w:rsidTr="00607C4B">
        <w:trPr>
          <w:cnfStyle w:val="100000000000" w:firstRow="1" w:lastRow="0" w:firstColumn="0" w:lastColumn="0" w:oddVBand="0" w:evenVBand="0" w:oddHBand="0" w:evenHBand="0" w:firstRowFirstColumn="0" w:firstRowLastColumn="0" w:lastRowFirstColumn="0" w:lastRowLastColumn="0"/>
          <w:trHeight w:val="837"/>
        </w:trPr>
        <w:tc>
          <w:tcPr>
            <w:cnfStyle w:val="001000000000" w:firstRow="0" w:lastRow="0" w:firstColumn="1" w:lastColumn="0" w:oddVBand="0" w:evenVBand="0" w:oddHBand="0" w:evenHBand="0" w:firstRowFirstColumn="0" w:firstRowLastColumn="0" w:lastRowFirstColumn="0" w:lastRowLastColumn="0"/>
            <w:tcW w:w="9983" w:type="dxa"/>
            <w:gridSpan w:val="6"/>
            <w:hideMark/>
          </w:tcPr>
          <w:p w14:paraId="335F7937" w14:textId="3780AFE2" w:rsidR="003D4328" w:rsidRPr="00AF607C" w:rsidRDefault="00A41AF7" w:rsidP="003D4328">
            <w:pPr>
              <w:spacing w:line="278" w:lineRule="auto"/>
              <w:jc w:val="center"/>
              <w:rPr>
                <w:rFonts w:ascii="Arial" w:hAnsi="Arial" w:cs="Arial"/>
              </w:rPr>
            </w:pPr>
            <w:r w:rsidRPr="00A41AF7">
              <w:rPr>
                <w:rFonts w:ascii="Arial" w:hAnsi="Arial" w:cs="Arial"/>
              </w:rPr>
              <w:t>Descriptive Statistics</w:t>
            </w:r>
            <w:r w:rsidR="003D4328" w:rsidRPr="00AF607C">
              <w:rPr>
                <w:rFonts w:ascii="Arial" w:hAnsi="Arial" w:cs="Arial"/>
                <w:b w:val="0"/>
                <w:bCs w:val="0"/>
              </w:rPr>
              <w:t xml:space="preserve"> </w:t>
            </w:r>
            <w:r w:rsidR="003D4328" w:rsidRPr="00AF607C">
              <w:rPr>
                <w:rFonts w:ascii="Arial" w:hAnsi="Arial" w:cs="Arial"/>
              </w:rPr>
              <w:t>for illness prevalence, health</w:t>
            </w:r>
            <w:r w:rsidR="003D4328" w:rsidRPr="00AF607C">
              <w:rPr>
                <w:rFonts w:ascii="Arial" w:hAnsi="Arial" w:cs="Arial"/>
              </w:rPr>
              <w:noBreakHyphen/>
              <w:t>related lifestyles, and health status among people in Wales</w:t>
            </w:r>
          </w:p>
          <w:p w14:paraId="4F59A205" w14:textId="70BA0865" w:rsidR="00A41AF7" w:rsidRPr="00A41AF7" w:rsidRDefault="00A41AF7" w:rsidP="003D4328">
            <w:pPr>
              <w:spacing w:after="160" w:line="278" w:lineRule="auto"/>
              <w:jc w:val="center"/>
              <w:rPr>
                <w:rFonts w:ascii="Arial" w:hAnsi="Arial" w:cs="Arial"/>
              </w:rPr>
            </w:pPr>
          </w:p>
        </w:tc>
      </w:tr>
      <w:tr w:rsidR="004767FD" w:rsidRPr="00AF607C" w14:paraId="634DB407" w14:textId="77777777" w:rsidTr="00607C4B">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114" w:type="dxa"/>
            <w:hideMark/>
          </w:tcPr>
          <w:p w14:paraId="49E6BB4D" w14:textId="77777777" w:rsidR="00A41AF7" w:rsidRPr="00A41AF7" w:rsidRDefault="00A41AF7" w:rsidP="00A41AF7">
            <w:pPr>
              <w:spacing w:after="160" w:line="278" w:lineRule="auto"/>
              <w:rPr>
                <w:rFonts w:ascii="Arial" w:hAnsi="Arial" w:cs="Arial"/>
              </w:rPr>
            </w:pPr>
          </w:p>
        </w:tc>
        <w:tc>
          <w:tcPr>
            <w:tcW w:w="709" w:type="dxa"/>
            <w:hideMark/>
          </w:tcPr>
          <w:p w14:paraId="33AC500A"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N</w:t>
            </w:r>
          </w:p>
        </w:tc>
        <w:tc>
          <w:tcPr>
            <w:tcW w:w="1275" w:type="dxa"/>
            <w:hideMark/>
          </w:tcPr>
          <w:p w14:paraId="74876C04"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Minimum</w:t>
            </w:r>
          </w:p>
        </w:tc>
        <w:tc>
          <w:tcPr>
            <w:tcW w:w="1276" w:type="dxa"/>
            <w:hideMark/>
          </w:tcPr>
          <w:p w14:paraId="0A47D43C"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Maximum</w:t>
            </w:r>
          </w:p>
        </w:tc>
        <w:tc>
          <w:tcPr>
            <w:tcW w:w="1134" w:type="dxa"/>
            <w:hideMark/>
          </w:tcPr>
          <w:p w14:paraId="00A5C22A"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Mean</w:t>
            </w:r>
          </w:p>
        </w:tc>
        <w:tc>
          <w:tcPr>
            <w:tcW w:w="2475" w:type="dxa"/>
            <w:hideMark/>
          </w:tcPr>
          <w:p w14:paraId="721679DB" w14:textId="5CD9A1FD"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S</w:t>
            </w:r>
            <w:r w:rsidR="00AF607C">
              <w:rPr>
                <w:rFonts w:ascii="Arial" w:hAnsi="Arial" w:cs="Arial"/>
              </w:rPr>
              <w:t>tandar</w:t>
            </w:r>
            <w:r w:rsidRPr="00A41AF7">
              <w:rPr>
                <w:rFonts w:ascii="Arial" w:hAnsi="Arial" w:cs="Arial"/>
              </w:rPr>
              <w:t>d</w:t>
            </w:r>
            <w:r w:rsidR="000901FD">
              <w:rPr>
                <w:rFonts w:ascii="Arial" w:hAnsi="Arial" w:cs="Arial"/>
              </w:rPr>
              <w:t xml:space="preserve"> </w:t>
            </w:r>
            <w:r w:rsidRPr="00A41AF7">
              <w:rPr>
                <w:rFonts w:ascii="Arial" w:hAnsi="Arial" w:cs="Arial"/>
              </w:rPr>
              <w:t>Deviation</w:t>
            </w:r>
          </w:p>
        </w:tc>
      </w:tr>
      <w:tr w:rsidR="004767FD" w:rsidRPr="00AF607C" w14:paraId="54692191" w14:textId="77777777" w:rsidTr="00607C4B">
        <w:trPr>
          <w:trHeight w:val="493"/>
        </w:trPr>
        <w:tc>
          <w:tcPr>
            <w:cnfStyle w:val="001000000000" w:firstRow="0" w:lastRow="0" w:firstColumn="1" w:lastColumn="0" w:oddVBand="0" w:evenVBand="0" w:oddHBand="0" w:evenHBand="0" w:firstRowFirstColumn="0" w:firstRowLastColumn="0" w:lastRowFirstColumn="0" w:lastRowLastColumn="0"/>
            <w:tcW w:w="3114" w:type="dxa"/>
            <w:hideMark/>
          </w:tcPr>
          <w:p w14:paraId="37006475" w14:textId="3B0D19A8" w:rsidR="00A41AF7" w:rsidRPr="00A41AF7" w:rsidRDefault="004767FD" w:rsidP="00A41AF7">
            <w:pPr>
              <w:spacing w:after="160" w:line="278" w:lineRule="auto"/>
              <w:rPr>
                <w:rFonts w:ascii="Arial" w:hAnsi="Arial" w:cs="Arial"/>
              </w:rPr>
            </w:pPr>
            <w:r w:rsidRPr="00AF607C">
              <w:rPr>
                <w:rFonts w:ascii="Arial" w:hAnsi="Arial" w:cs="Arial"/>
              </w:rPr>
              <w:t>High blood pressure</w:t>
            </w:r>
          </w:p>
        </w:tc>
        <w:tc>
          <w:tcPr>
            <w:tcW w:w="709" w:type="dxa"/>
            <w:hideMark/>
          </w:tcPr>
          <w:p w14:paraId="251AB645" w14:textId="77777777" w:rsidR="00A41AF7" w:rsidRPr="00A41AF7" w:rsidRDefault="00A41AF7" w:rsidP="00A41AF7">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41AF7">
              <w:rPr>
                <w:rFonts w:ascii="Arial" w:hAnsi="Arial" w:cs="Arial"/>
              </w:rPr>
              <w:t>94</w:t>
            </w:r>
          </w:p>
        </w:tc>
        <w:tc>
          <w:tcPr>
            <w:tcW w:w="1275" w:type="dxa"/>
            <w:hideMark/>
          </w:tcPr>
          <w:p w14:paraId="0CCF3FC6" w14:textId="77777777" w:rsidR="00A41AF7" w:rsidRPr="00A41AF7" w:rsidRDefault="00A41AF7" w:rsidP="00A41AF7">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41AF7">
              <w:rPr>
                <w:rFonts w:ascii="Arial" w:hAnsi="Arial" w:cs="Arial"/>
              </w:rPr>
              <w:t>15</w:t>
            </w:r>
          </w:p>
        </w:tc>
        <w:tc>
          <w:tcPr>
            <w:tcW w:w="1276" w:type="dxa"/>
            <w:hideMark/>
          </w:tcPr>
          <w:p w14:paraId="05CE4615" w14:textId="77777777" w:rsidR="00A41AF7" w:rsidRPr="00A41AF7" w:rsidRDefault="00A41AF7" w:rsidP="00A41AF7">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41AF7">
              <w:rPr>
                <w:rFonts w:ascii="Arial" w:hAnsi="Arial" w:cs="Arial"/>
              </w:rPr>
              <w:t>25</w:t>
            </w:r>
          </w:p>
        </w:tc>
        <w:tc>
          <w:tcPr>
            <w:tcW w:w="1134" w:type="dxa"/>
            <w:hideMark/>
          </w:tcPr>
          <w:p w14:paraId="55633B1D" w14:textId="77777777" w:rsidR="00A41AF7" w:rsidRPr="00A41AF7" w:rsidRDefault="00A41AF7" w:rsidP="00A41AF7">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41AF7">
              <w:rPr>
                <w:rFonts w:ascii="Arial" w:hAnsi="Arial" w:cs="Arial"/>
              </w:rPr>
              <w:t>19.41</w:t>
            </w:r>
          </w:p>
        </w:tc>
        <w:tc>
          <w:tcPr>
            <w:tcW w:w="2475" w:type="dxa"/>
            <w:hideMark/>
          </w:tcPr>
          <w:p w14:paraId="5ADFBD2C" w14:textId="77777777" w:rsidR="00A41AF7" w:rsidRPr="00A41AF7" w:rsidRDefault="00A41AF7" w:rsidP="00A41AF7">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41AF7">
              <w:rPr>
                <w:rFonts w:ascii="Arial" w:hAnsi="Arial" w:cs="Arial"/>
              </w:rPr>
              <w:t>2.649</w:t>
            </w:r>
          </w:p>
        </w:tc>
      </w:tr>
      <w:tr w:rsidR="004767FD" w:rsidRPr="00AF607C" w14:paraId="4DD948DE" w14:textId="77777777" w:rsidTr="00607C4B">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3114" w:type="dxa"/>
            <w:hideMark/>
          </w:tcPr>
          <w:p w14:paraId="603996AF" w14:textId="39F9A777" w:rsidR="00A41AF7" w:rsidRPr="00A41AF7" w:rsidRDefault="004767FD" w:rsidP="00A41AF7">
            <w:pPr>
              <w:spacing w:after="160" w:line="278" w:lineRule="auto"/>
              <w:rPr>
                <w:rFonts w:ascii="Arial" w:hAnsi="Arial" w:cs="Arial"/>
              </w:rPr>
            </w:pPr>
            <w:r w:rsidRPr="00AF607C">
              <w:rPr>
                <w:rFonts w:ascii="Arial" w:hAnsi="Arial" w:cs="Arial"/>
              </w:rPr>
              <w:t>Respiratory illness</w:t>
            </w:r>
          </w:p>
        </w:tc>
        <w:tc>
          <w:tcPr>
            <w:tcW w:w="709" w:type="dxa"/>
            <w:hideMark/>
          </w:tcPr>
          <w:p w14:paraId="1C569DB4"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94</w:t>
            </w:r>
          </w:p>
        </w:tc>
        <w:tc>
          <w:tcPr>
            <w:tcW w:w="1275" w:type="dxa"/>
            <w:hideMark/>
          </w:tcPr>
          <w:p w14:paraId="41ECCBF8"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8</w:t>
            </w:r>
          </w:p>
        </w:tc>
        <w:tc>
          <w:tcPr>
            <w:tcW w:w="1276" w:type="dxa"/>
            <w:hideMark/>
          </w:tcPr>
          <w:p w14:paraId="3459D12C"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20</w:t>
            </w:r>
          </w:p>
        </w:tc>
        <w:tc>
          <w:tcPr>
            <w:tcW w:w="1134" w:type="dxa"/>
            <w:hideMark/>
          </w:tcPr>
          <w:p w14:paraId="74BA43EC"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13.76</w:t>
            </w:r>
          </w:p>
        </w:tc>
        <w:tc>
          <w:tcPr>
            <w:tcW w:w="2475" w:type="dxa"/>
            <w:hideMark/>
          </w:tcPr>
          <w:p w14:paraId="28CCA4C1"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2.430</w:t>
            </w:r>
          </w:p>
        </w:tc>
      </w:tr>
      <w:tr w:rsidR="004767FD" w:rsidRPr="00AF607C" w14:paraId="0390D7F5" w14:textId="77777777" w:rsidTr="00607C4B">
        <w:trPr>
          <w:trHeight w:val="311"/>
        </w:trPr>
        <w:tc>
          <w:tcPr>
            <w:cnfStyle w:val="001000000000" w:firstRow="0" w:lastRow="0" w:firstColumn="1" w:lastColumn="0" w:oddVBand="0" w:evenVBand="0" w:oddHBand="0" w:evenHBand="0" w:firstRowFirstColumn="0" w:firstRowLastColumn="0" w:lastRowFirstColumn="0" w:lastRowLastColumn="0"/>
            <w:tcW w:w="3114" w:type="dxa"/>
            <w:hideMark/>
          </w:tcPr>
          <w:p w14:paraId="23CD54CD" w14:textId="50689334" w:rsidR="00A41AF7" w:rsidRPr="00A41AF7" w:rsidRDefault="004767FD" w:rsidP="00A41AF7">
            <w:pPr>
              <w:spacing w:after="160" w:line="278" w:lineRule="auto"/>
              <w:rPr>
                <w:rFonts w:ascii="Arial" w:hAnsi="Arial" w:cs="Arial"/>
              </w:rPr>
            </w:pPr>
            <w:r w:rsidRPr="00AF607C">
              <w:rPr>
                <w:rFonts w:ascii="Arial" w:hAnsi="Arial" w:cs="Arial"/>
              </w:rPr>
              <w:t>Mental illness</w:t>
            </w:r>
          </w:p>
        </w:tc>
        <w:tc>
          <w:tcPr>
            <w:tcW w:w="709" w:type="dxa"/>
            <w:hideMark/>
          </w:tcPr>
          <w:p w14:paraId="173B0262" w14:textId="77777777" w:rsidR="00A41AF7" w:rsidRPr="00A41AF7" w:rsidRDefault="00A41AF7" w:rsidP="00A41AF7">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41AF7">
              <w:rPr>
                <w:rFonts w:ascii="Arial" w:hAnsi="Arial" w:cs="Arial"/>
              </w:rPr>
              <w:t>94</w:t>
            </w:r>
          </w:p>
        </w:tc>
        <w:tc>
          <w:tcPr>
            <w:tcW w:w="1275" w:type="dxa"/>
            <w:hideMark/>
          </w:tcPr>
          <w:p w14:paraId="4DD72F22" w14:textId="77777777" w:rsidR="00A41AF7" w:rsidRPr="00A41AF7" w:rsidRDefault="00A41AF7" w:rsidP="00A41AF7">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41AF7">
              <w:rPr>
                <w:rFonts w:ascii="Arial" w:hAnsi="Arial" w:cs="Arial"/>
              </w:rPr>
              <w:t>4</w:t>
            </w:r>
          </w:p>
        </w:tc>
        <w:tc>
          <w:tcPr>
            <w:tcW w:w="1276" w:type="dxa"/>
            <w:hideMark/>
          </w:tcPr>
          <w:p w14:paraId="53381AC5" w14:textId="77777777" w:rsidR="00A41AF7" w:rsidRPr="00A41AF7" w:rsidRDefault="00A41AF7" w:rsidP="00A41AF7">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41AF7">
              <w:rPr>
                <w:rFonts w:ascii="Arial" w:hAnsi="Arial" w:cs="Arial"/>
              </w:rPr>
              <w:t>14</w:t>
            </w:r>
          </w:p>
        </w:tc>
        <w:tc>
          <w:tcPr>
            <w:tcW w:w="1134" w:type="dxa"/>
            <w:hideMark/>
          </w:tcPr>
          <w:p w14:paraId="2A67D53A" w14:textId="77777777" w:rsidR="00A41AF7" w:rsidRPr="00A41AF7" w:rsidRDefault="00A41AF7" w:rsidP="00A41AF7">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41AF7">
              <w:rPr>
                <w:rFonts w:ascii="Arial" w:hAnsi="Arial" w:cs="Arial"/>
              </w:rPr>
              <w:t>9.62</w:t>
            </w:r>
          </w:p>
        </w:tc>
        <w:tc>
          <w:tcPr>
            <w:tcW w:w="2475" w:type="dxa"/>
            <w:hideMark/>
          </w:tcPr>
          <w:p w14:paraId="6C6BEDDB" w14:textId="77777777" w:rsidR="00A41AF7" w:rsidRPr="00A41AF7" w:rsidRDefault="00A41AF7" w:rsidP="00A41AF7">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41AF7">
              <w:rPr>
                <w:rFonts w:ascii="Arial" w:hAnsi="Arial" w:cs="Arial"/>
              </w:rPr>
              <w:t>2.338</w:t>
            </w:r>
          </w:p>
        </w:tc>
      </w:tr>
      <w:tr w:rsidR="004767FD" w:rsidRPr="00AF607C" w14:paraId="64B360E7" w14:textId="77777777" w:rsidTr="00607C4B">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114" w:type="dxa"/>
            <w:hideMark/>
          </w:tcPr>
          <w:p w14:paraId="66B98CF8" w14:textId="4A2C01B1" w:rsidR="00A41AF7" w:rsidRPr="00A41AF7" w:rsidRDefault="004767FD" w:rsidP="00A41AF7">
            <w:pPr>
              <w:spacing w:after="160" w:line="278" w:lineRule="auto"/>
              <w:rPr>
                <w:rFonts w:ascii="Arial" w:hAnsi="Arial" w:cs="Arial"/>
              </w:rPr>
            </w:pPr>
            <w:r w:rsidRPr="00AF607C">
              <w:rPr>
                <w:rFonts w:ascii="Arial" w:hAnsi="Arial" w:cs="Arial"/>
              </w:rPr>
              <w:t>Diabetes</w:t>
            </w:r>
          </w:p>
        </w:tc>
        <w:tc>
          <w:tcPr>
            <w:tcW w:w="709" w:type="dxa"/>
            <w:hideMark/>
          </w:tcPr>
          <w:p w14:paraId="7762046B"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94</w:t>
            </w:r>
          </w:p>
        </w:tc>
        <w:tc>
          <w:tcPr>
            <w:tcW w:w="1275" w:type="dxa"/>
            <w:hideMark/>
          </w:tcPr>
          <w:p w14:paraId="06508685"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3</w:t>
            </w:r>
          </w:p>
        </w:tc>
        <w:tc>
          <w:tcPr>
            <w:tcW w:w="1276" w:type="dxa"/>
            <w:hideMark/>
          </w:tcPr>
          <w:p w14:paraId="5A45435A"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10</w:t>
            </w:r>
          </w:p>
        </w:tc>
        <w:tc>
          <w:tcPr>
            <w:tcW w:w="1134" w:type="dxa"/>
            <w:hideMark/>
          </w:tcPr>
          <w:p w14:paraId="2E35C5E3"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5.94</w:t>
            </w:r>
          </w:p>
        </w:tc>
        <w:tc>
          <w:tcPr>
            <w:tcW w:w="2475" w:type="dxa"/>
            <w:hideMark/>
          </w:tcPr>
          <w:p w14:paraId="5FF56869"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1.343</w:t>
            </w:r>
          </w:p>
        </w:tc>
      </w:tr>
      <w:tr w:rsidR="004767FD" w:rsidRPr="00AF607C" w14:paraId="400AFF14" w14:textId="77777777" w:rsidTr="00607C4B">
        <w:trPr>
          <w:trHeight w:val="508"/>
        </w:trPr>
        <w:tc>
          <w:tcPr>
            <w:cnfStyle w:val="001000000000" w:firstRow="0" w:lastRow="0" w:firstColumn="1" w:lastColumn="0" w:oddVBand="0" w:evenVBand="0" w:oddHBand="0" w:evenHBand="0" w:firstRowFirstColumn="0" w:firstRowLastColumn="0" w:lastRowFirstColumn="0" w:lastRowLastColumn="0"/>
            <w:tcW w:w="3114" w:type="dxa"/>
            <w:hideMark/>
          </w:tcPr>
          <w:p w14:paraId="5099792D" w14:textId="43E9F63A" w:rsidR="00A41AF7" w:rsidRPr="00A41AF7" w:rsidRDefault="004767FD" w:rsidP="00A41AF7">
            <w:pPr>
              <w:spacing w:after="160" w:line="278" w:lineRule="auto"/>
              <w:rPr>
                <w:rFonts w:ascii="Arial" w:hAnsi="Arial" w:cs="Arial"/>
              </w:rPr>
            </w:pPr>
            <w:r w:rsidRPr="00AF607C">
              <w:rPr>
                <w:rFonts w:ascii="Arial" w:hAnsi="Arial" w:cs="Arial"/>
              </w:rPr>
              <w:t>Poor or fair Health status</w:t>
            </w:r>
          </w:p>
        </w:tc>
        <w:tc>
          <w:tcPr>
            <w:tcW w:w="709" w:type="dxa"/>
            <w:hideMark/>
          </w:tcPr>
          <w:p w14:paraId="2ACA8578" w14:textId="77777777" w:rsidR="00A41AF7" w:rsidRPr="00A41AF7" w:rsidRDefault="00A41AF7" w:rsidP="00A41AF7">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41AF7">
              <w:rPr>
                <w:rFonts w:ascii="Arial" w:hAnsi="Arial" w:cs="Arial"/>
              </w:rPr>
              <w:t>94</w:t>
            </w:r>
          </w:p>
        </w:tc>
        <w:tc>
          <w:tcPr>
            <w:tcW w:w="1275" w:type="dxa"/>
            <w:hideMark/>
          </w:tcPr>
          <w:p w14:paraId="366F296E" w14:textId="77777777" w:rsidR="00A41AF7" w:rsidRPr="00A41AF7" w:rsidRDefault="00A41AF7" w:rsidP="00A41AF7">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41AF7">
              <w:rPr>
                <w:rFonts w:ascii="Arial" w:hAnsi="Arial" w:cs="Arial"/>
              </w:rPr>
              <w:t>14</w:t>
            </w:r>
          </w:p>
        </w:tc>
        <w:tc>
          <w:tcPr>
            <w:tcW w:w="1276" w:type="dxa"/>
            <w:hideMark/>
          </w:tcPr>
          <w:p w14:paraId="61953CD2" w14:textId="77777777" w:rsidR="00A41AF7" w:rsidRPr="00A41AF7" w:rsidRDefault="00A41AF7" w:rsidP="00A41AF7">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41AF7">
              <w:rPr>
                <w:rFonts w:ascii="Arial" w:hAnsi="Arial" w:cs="Arial"/>
              </w:rPr>
              <w:t>34</w:t>
            </w:r>
          </w:p>
        </w:tc>
        <w:tc>
          <w:tcPr>
            <w:tcW w:w="1134" w:type="dxa"/>
            <w:hideMark/>
          </w:tcPr>
          <w:p w14:paraId="354B38A7" w14:textId="77777777" w:rsidR="00A41AF7" w:rsidRPr="00A41AF7" w:rsidRDefault="00A41AF7" w:rsidP="00A41AF7">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41AF7">
              <w:rPr>
                <w:rFonts w:ascii="Arial" w:hAnsi="Arial" w:cs="Arial"/>
              </w:rPr>
              <w:t>21.47</w:t>
            </w:r>
          </w:p>
        </w:tc>
        <w:tc>
          <w:tcPr>
            <w:tcW w:w="2475" w:type="dxa"/>
            <w:hideMark/>
          </w:tcPr>
          <w:p w14:paraId="21C93BE2" w14:textId="77777777" w:rsidR="00A41AF7" w:rsidRPr="00A41AF7" w:rsidRDefault="00A41AF7" w:rsidP="00A41AF7">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41AF7">
              <w:rPr>
                <w:rFonts w:ascii="Arial" w:hAnsi="Arial" w:cs="Arial"/>
              </w:rPr>
              <w:t>5.054</w:t>
            </w:r>
          </w:p>
        </w:tc>
      </w:tr>
      <w:tr w:rsidR="004767FD" w:rsidRPr="00AF607C" w14:paraId="1CB3A250" w14:textId="77777777" w:rsidTr="00607C4B">
        <w:trPr>
          <w:cnfStyle w:val="000000100000" w:firstRow="0" w:lastRow="0" w:firstColumn="0" w:lastColumn="0" w:oddVBand="0" w:evenVBand="0" w:oddHBand="1" w:evenHBand="0" w:firstRowFirstColumn="0" w:firstRowLastColumn="0" w:lastRowFirstColumn="0" w:lastRowLastColumn="0"/>
          <w:trHeight w:val="493"/>
        </w:trPr>
        <w:tc>
          <w:tcPr>
            <w:cnfStyle w:val="001000000000" w:firstRow="0" w:lastRow="0" w:firstColumn="1" w:lastColumn="0" w:oddVBand="0" w:evenVBand="0" w:oddHBand="0" w:evenHBand="0" w:firstRowFirstColumn="0" w:firstRowLastColumn="0" w:lastRowFirstColumn="0" w:lastRowLastColumn="0"/>
            <w:tcW w:w="3114" w:type="dxa"/>
            <w:hideMark/>
          </w:tcPr>
          <w:p w14:paraId="00E88207" w14:textId="2FC56390" w:rsidR="00A41AF7" w:rsidRPr="00A41AF7" w:rsidRDefault="004767FD" w:rsidP="00A41AF7">
            <w:pPr>
              <w:spacing w:after="160" w:line="278" w:lineRule="auto"/>
              <w:rPr>
                <w:rFonts w:ascii="Arial" w:hAnsi="Arial" w:cs="Arial"/>
              </w:rPr>
            </w:pPr>
            <w:r w:rsidRPr="00AF607C">
              <w:rPr>
                <w:rFonts w:ascii="Arial" w:hAnsi="Arial" w:cs="Arial"/>
              </w:rPr>
              <w:t>Smoker</w:t>
            </w:r>
          </w:p>
        </w:tc>
        <w:tc>
          <w:tcPr>
            <w:tcW w:w="709" w:type="dxa"/>
            <w:hideMark/>
          </w:tcPr>
          <w:p w14:paraId="72D0FF43"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94</w:t>
            </w:r>
          </w:p>
        </w:tc>
        <w:tc>
          <w:tcPr>
            <w:tcW w:w="1275" w:type="dxa"/>
            <w:hideMark/>
          </w:tcPr>
          <w:p w14:paraId="56DD9A6F"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14</w:t>
            </w:r>
          </w:p>
        </w:tc>
        <w:tc>
          <w:tcPr>
            <w:tcW w:w="1276" w:type="dxa"/>
            <w:hideMark/>
          </w:tcPr>
          <w:p w14:paraId="0E7A8BB0"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36</w:t>
            </w:r>
          </w:p>
        </w:tc>
        <w:tc>
          <w:tcPr>
            <w:tcW w:w="1134" w:type="dxa"/>
            <w:hideMark/>
          </w:tcPr>
          <w:p w14:paraId="0E4D9FFB"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25.37</w:t>
            </w:r>
          </w:p>
        </w:tc>
        <w:tc>
          <w:tcPr>
            <w:tcW w:w="2475" w:type="dxa"/>
            <w:hideMark/>
          </w:tcPr>
          <w:p w14:paraId="52FF06C5"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4.207</w:t>
            </w:r>
          </w:p>
        </w:tc>
      </w:tr>
      <w:tr w:rsidR="004767FD" w:rsidRPr="00AF607C" w14:paraId="4763547C" w14:textId="77777777" w:rsidTr="00607C4B">
        <w:trPr>
          <w:trHeight w:val="493"/>
        </w:trPr>
        <w:tc>
          <w:tcPr>
            <w:cnfStyle w:val="001000000000" w:firstRow="0" w:lastRow="0" w:firstColumn="1" w:lastColumn="0" w:oddVBand="0" w:evenVBand="0" w:oddHBand="0" w:evenHBand="0" w:firstRowFirstColumn="0" w:firstRowLastColumn="0" w:lastRowFirstColumn="0" w:lastRowLastColumn="0"/>
            <w:tcW w:w="3114" w:type="dxa"/>
            <w:hideMark/>
          </w:tcPr>
          <w:p w14:paraId="32669C5F" w14:textId="17E5DA56" w:rsidR="00A41AF7" w:rsidRPr="00A41AF7" w:rsidRDefault="004767FD" w:rsidP="00A41AF7">
            <w:pPr>
              <w:spacing w:after="160" w:line="278" w:lineRule="auto"/>
              <w:rPr>
                <w:rFonts w:ascii="Arial" w:hAnsi="Arial" w:cs="Arial"/>
              </w:rPr>
            </w:pPr>
            <w:r w:rsidRPr="00AF607C">
              <w:rPr>
                <w:rFonts w:ascii="Arial" w:hAnsi="Arial" w:cs="Arial"/>
              </w:rPr>
              <w:t>High BMI (</w:t>
            </w:r>
            <w:r w:rsidR="00A943C2" w:rsidRPr="00AF607C">
              <w:rPr>
                <w:rFonts w:ascii="Arial" w:hAnsi="Arial" w:cs="Arial"/>
              </w:rPr>
              <w:t>Overweight/obese)</w:t>
            </w:r>
          </w:p>
        </w:tc>
        <w:tc>
          <w:tcPr>
            <w:tcW w:w="709" w:type="dxa"/>
            <w:hideMark/>
          </w:tcPr>
          <w:p w14:paraId="2589C307" w14:textId="77777777" w:rsidR="00A41AF7" w:rsidRPr="00A41AF7" w:rsidRDefault="00A41AF7" w:rsidP="00A41AF7">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41AF7">
              <w:rPr>
                <w:rFonts w:ascii="Arial" w:hAnsi="Arial" w:cs="Arial"/>
              </w:rPr>
              <w:t>94</w:t>
            </w:r>
          </w:p>
        </w:tc>
        <w:tc>
          <w:tcPr>
            <w:tcW w:w="1275" w:type="dxa"/>
            <w:hideMark/>
          </w:tcPr>
          <w:p w14:paraId="310BA734" w14:textId="77777777" w:rsidR="00A41AF7" w:rsidRPr="00A41AF7" w:rsidRDefault="00A41AF7" w:rsidP="00A41AF7">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41AF7">
              <w:rPr>
                <w:rFonts w:ascii="Arial" w:hAnsi="Arial" w:cs="Arial"/>
              </w:rPr>
              <w:t>48</w:t>
            </w:r>
          </w:p>
        </w:tc>
        <w:tc>
          <w:tcPr>
            <w:tcW w:w="1276" w:type="dxa"/>
            <w:hideMark/>
          </w:tcPr>
          <w:p w14:paraId="271A508E" w14:textId="77777777" w:rsidR="00A41AF7" w:rsidRPr="00A41AF7" w:rsidRDefault="00A41AF7" w:rsidP="00A41AF7">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41AF7">
              <w:rPr>
                <w:rFonts w:ascii="Arial" w:hAnsi="Arial" w:cs="Arial"/>
              </w:rPr>
              <w:t>63</w:t>
            </w:r>
          </w:p>
        </w:tc>
        <w:tc>
          <w:tcPr>
            <w:tcW w:w="1134" w:type="dxa"/>
            <w:hideMark/>
          </w:tcPr>
          <w:p w14:paraId="3791292F" w14:textId="77777777" w:rsidR="00A41AF7" w:rsidRPr="00A41AF7" w:rsidRDefault="00A41AF7" w:rsidP="00A41AF7">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41AF7">
              <w:rPr>
                <w:rFonts w:ascii="Arial" w:hAnsi="Arial" w:cs="Arial"/>
              </w:rPr>
              <w:t>55.81</w:t>
            </w:r>
          </w:p>
        </w:tc>
        <w:tc>
          <w:tcPr>
            <w:tcW w:w="2475" w:type="dxa"/>
            <w:hideMark/>
          </w:tcPr>
          <w:p w14:paraId="56E5C27F" w14:textId="77777777" w:rsidR="00A41AF7" w:rsidRPr="00A41AF7" w:rsidRDefault="00A41AF7" w:rsidP="00A41AF7">
            <w:pPr>
              <w:spacing w:after="160" w:line="278"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A41AF7">
              <w:rPr>
                <w:rFonts w:ascii="Arial" w:hAnsi="Arial" w:cs="Arial"/>
              </w:rPr>
              <w:t>3.952</w:t>
            </w:r>
          </w:p>
        </w:tc>
      </w:tr>
      <w:tr w:rsidR="004767FD" w:rsidRPr="00AF607C" w14:paraId="1359529B" w14:textId="77777777" w:rsidTr="00607C4B">
        <w:trPr>
          <w:cnfStyle w:val="000000100000" w:firstRow="0" w:lastRow="0" w:firstColumn="0" w:lastColumn="0" w:oddVBand="0" w:evenVBand="0" w:oddHBand="1" w:evenHBand="0" w:firstRowFirstColumn="0" w:firstRowLastColumn="0" w:lastRowFirstColumn="0" w:lastRowLastColumn="0"/>
          <w:trHeight w:val="508"/>
        </w:trPr>
        <w:tc>
          <w:tcPr>
            <w:cnfStyle w:val="001000000000" w:firstRow="0" w:lastRow="0" w:firstColumn="1" w:lastColumn="0" w:oddVBand="0" w:evenVBand="0" w:oddHBand="0" w:evenHBand="0" w:firstRowFirstColumn="0" w:firstRowLastColumn="0" w:lastRowFirstColumn="0" w:lastRowLastColumn="0"/>
            <w:tcW w:w="3114" w:type="dxa"/>
            <w:hideMark/>
          </w:tcPr>
          <w:p w14:paraId="48ACE46D" w14:textId="77777777" w:rsidR="00A41AF7" w:rsidRPr="00A41AF7" w:rsidRDefault="00A41AF7" w:rsidP="00A41AF7">
            <w:pPr>
              <w:spacing w:after="160" w:line="278" w:lineRule="auto"/>
              <w:rPr>
                <w:rFonts w:ascii="Arial" w:hAnsi="Arial" w:cs="Arial"/>
              </w:rPr>
            </w:pPr>
            <w:r w:rsidRPr="00A41AF7">
              <w:rPr>
                <w:rFonts w:ascii="Arial" w:hAnsi="Arial" w:cs="Arial"/>
              </w:rPr>
              <w:t>Valid N (listwise)</w:t>
            </w:r>
          </w:p>
        </w:tc>
        <w:tc>
          <w:tcPr>
            <w:tcW w:w="709" w:type="dxa"/>
            <w:hideMark/>
          </w:tcPr>
          <w:p w14:paraId="2BC3F919"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A41AF7">
              <w:rPr>
                <w:rFonts w:ascii="Arial" w:hAnsi="Arial" w:cs="Arial"/>
              </w:rPr>
              <w:t>94</w:t>
            </w:r>
          </w:p>
        </w:tc>
        <w:tc>
          <w:tcPr>
            <w:tcW w:w="1275" w:type="dxa"/>
            <w:hideMark/>
          </w:tcPr>
          <w:p w14:paraId="18380336"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276" w:type="dxa"/>
            <w:hideMark/>
          </w:tcPr>
          <w:p w14:paraId="37DFDAE7"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134" w:type="dxa"/>
            <w:hideMark/>
          </w:tcPr>
          <w:p w14:paraId="21DD90CF" w14:textId="77777777" w:rsidR="00A41AF7" w:rsidRPr="00A41AF7" w:rsidRDefault="00A41AF7" w:rsidP="00A41AF7">
            <w:pPr>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475" w:type="dxa"/>
            <w:hideMark/>
          </w:tcPr>
          <w:p w14:paraId="4C091437" w14:textId="77777777" w:rsidR="00A41AF7" w:rsidRPr="00A41AF7" w:rsidRDefault="00A41AF7" w:rsidP="00AF607C">
            <w:pPr>
              <w:keepNext/>
              <w:spacing w:after="160" w:line="278"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bl>
    <w:p w14:paraId="5A88A2EB" w14:textId="0CCFE9EF" w:rsidR="00A41AF7" w:rsidRPr="00607C4B" w:rsidRDefault="00AF607C" w:rsidP="00AF607C">
      <w:pPr>
        <w:pStyle w:val="Caption"/>
        <w:jc w:val="center"/>
        <w:rPr>
          <w:rFonts w:ascii="Arial" w:hAnsi="Arial" w:cs="Arial"/>
          <w:color w:val="auto"/>
          <w:sz w:val="28"/>
          <w:szCs w:val="28"/>
        </w:rPr>
      </w:pPr>
      <w:r w:rsidRPr="00607C4B">
        <w:rPr>
          <w:color w:val="auto"/>
          <w:sz w:val="20"/>
          <w:szCs w:val="20"/>
        </w:rPr>
        <w:t xml:space="preserve">Figure </w:t>
      </w:r>
      <w:r w:rsidRPr="00607C4B">
        <w:rPr>
          <w:color w:val="auto"/>
          <w:sz w:val="20"/>
          <w:szCs w:val="20"/>
        </w:rPr>
        <w:fldChar w:fldCharType="begin"/>
      </w:r>
      <w:r w:rsidRPr="00607C4B">
        <w:rPr>
          <w:color w:val="auto"/>
          <w:sz w:val="20"/>
          <w:szCs w:val="20"/>
        </w:rPr>
        <w:instrText xml:space="preserve"> SEQ Table \* ARABIC </w:instrText>
      </w:r>
      <w:r w:rsidRPr="00607C4B">
        <w:rPr>
          <w:color w:val="auto"/>
          <w:sz w:val="20"/>
          <w:szCs w:val="20"/>
        </w:rPr>
        <w:fldChar w:fldCharType="separate"/>
      </w:r>
      <w:r w:rsidR="00607C4B" w:rsidRPr="00607C4B">
        <w:rPr>
          <w:noProof/>
          <w:color w:val="auto"/>
          <w:sz w:val="20"/>
          <w:szCs w:val="20"/>
        </w:rPr>
        <w:t>1</w:t>
      </w:r>
      <w:r w:rsidRPr="00607C4B">
        <w:rPr>
          <w:color w:val="auto"/>
          <w:sz w:val="20"/>
          <w:szCs w:val="20"/>
        </w:rPr>
        <w:fldChar w:fldCharType="end"/>
      </w:r>
      <w:r w:rsidRPr="00607C4B">
        <w:rPr>
          <w:color w:val="auto"/>
          <w:sz w:val="20"/>
          <w:szCs w:val="20"/>
        </w:rPr>
        <w:t xml:space="preserve"> Prevalence of Health illness, health-related lifestyle and health status in Wales</w:t>
      </w:r>
    </w:p>
    <w:p w14:paraId="39CE3461" w14:textId="77777777" w:rsidR="00AF607C" w:rsidRDefault="00AF607C" w:rsidP="00BC0088">
      <w:pPr>
        <w:rPr>
          <w:rFonts w:ascii="Arial" w:hAnsi="Arial" w:cs="Arial"/>
        </w:rPr>
      </w:pPr>
    </w:p>
    <w:p w14:paraId="06BB17FD" w14:textId="4881E043" w:rsidR="00BC0088" w:rsidRPr="00BC0088" w:rsidRDefault="00AF607C" w:rsidP="00BC0088">
      <w:pPr>
        <w:rPr>
          <w:rFonts w:ascii="Arial" w:hAnsi="Arial" w:cs="Arial"/>
        </w:rPr>
      </w:pPr>
      <w:r>
        <w:rPr>
          <w:rFonts w:ascii="Arial" w:hAnsi="Arial" w:cs="Arial"/>
        </w:rPr>
        <w:t>Figure 1</w:t>
      </w:r>
      <w:r w:rsidR="00BC0088" w:rsidRPr="00BC0088">
        <w:rPr>
          <w:rFonts w:ascii="Arial" w:hAnsi="Arial" w:cs="Arial"/>
        </w:rPr>
        <w:t xml:space="preserve"> presents descriptive statistics for illness prevalence, health</w:t>
      </w:r>
      <w:r w:rsidR="00BC0088" w:rsidRPr="00BC0088">
        <w:rPr>
          <w:rFonts w:ascii="Arial" w:hAnsi="Arial" w:cs="Arial"/>
        </w:rPr>
        <w:noBreakHyphen/>
        <w:t xml:space="preserve">related lifestyles, and health status among people in Wales. The data focus on measures of central tendency (mean) and variability (standard deviation) for a selection of the 17 health indicators against </w:t>
      </w:r>
      <w:r w:rsidR="00BC0088" w:rsidRPr="00AF607C">
        <w:rPr>
          <w:rFonts w:ascii="Arial" w:hAnsi="Arial" w:cs="Arial"/>
        </w:rPr>
        <w:t>the total</w:t>
      </w:r>
      <w:r w:rsidR="00BC0088" w:rsidRPr="00BC0088">
        <w:rPr>
          <w:rFonts w:ascii="Arial" w:hAnsi="Arial" w:cs="Arial"/>
        </w:rPr>
        <w:t xml:space="preserve"> number of observations (N)</w:t>
      </w:r>
      <w:r w:rsidR="001E01C5">
        <w:rPr>
          <w:rFonts w:ascii="Arial" w:hAnsi="Arial" w:cs="Arial"/>
        </w:rPr>
        <w:t xml:space="preserve"> or sample</w:t>
      </w:r>
      <w:r w:rsidR="00BC0088" w:rsidRPr="00BC0088">
        <w:rPr>
          <w:rFonts w:ascii="Arial" w:hAnsi="Arial" w:cs="Arial"/>
        </w:rPr>
        <w:t xml:space="preserve"> included in the Welsh Health Survey. </w:t>
      </w:r>
    </w:p>
    <w:p w14:paraId="0FAD16A9" w14:textId="242846BF" w:rsidR="00BC0088" w:rsidRPr="00BC0088" w:rsidRDefault="00BC0088" w:rsidP="00BC0088">
      <w:pPr>
        <w:rPr>
          <w:rFonts w:ascii="Arial" w:hAnsi="Arial" w:cs="Arial"/>
        </w:rPr>
      </w:pPr>
      <w:r w:rsidRPr="00BC0088">
        <w:rPr>
          <w:rFonts w:ascii="Arial" w:hAnsi="Arial" w:cs="Arial"/>
        </w:rPr>
        <w:t xml:space="preserve">The illness indicators presented include high blood pressure, respiratory illness, mental illness and diabetes. The mean values represent the average prevalence of each condition within the sample. High blood pressure has the highest mean, with an average of 19.41 of adults reporting being treated for this condition. Respiratory illness (13.76) and mental illness (9.62) show progressively lower mean values, indicating lower reported prevalence compared to high blood pressure. Diabetes has the lowest mean, suggesting consistently low prevalence across the sample. All four </w:t>
      </w:r>
      <w:r w:rsidRPr="00BC0088">
        <w:rPr>
          <w:rFonts w:ascii="Arial" w:hAnsi="Arial" w:cs="Arial"/>
        </w:rPr>
        <w:lastRenderedPageBreak/>
        <w:t>illness indicators demonstrate relatively low standard deviations, indicating limited variability and that responses are closely clustered around their respective means. Diabetes has the lowest standard deviation, reflecting very little spread in the data. All of which show a stable and consistent patterns across observations.</w:t>
      </w:r>
    </w:p>
    <w:p w14:paraId="62BEFF8A" w14:textId="77ECDBF9" w:rsidR="00C709C8" w:rsidRDefault="00BC0088" w:rsidP="00BC0088">
      <w:pPr>
        <w:rPr>
          <w:rFonts w:ascii="Arial" w:hAnsi="Arial" w:cs="Arial"/>
        </w:rPr>
      </w:pPr>
      <w:r w:rsidRPr="00BC0088">
        <w:rPr>
          <w:rFonts w:ascii="Arial" w:hAnsi="Arial" w:cs="Arial"/>
        </w:rPr>
        <w:t>In contrast, health status and health</w:t>
      </w:r>
      <w:r w:rsidRPr="00BC0088">
        <w:rPr>
          <w:rFonts w:ascii="Arial" w:hAnsi="Arial" w:cs="Arial"/>
        </w:rPr>
        <w:noBreakHyphen/>
        <w:t xml:space="preserve">related lifestyle indicators display higher mean values than illness indicators. Smoking (25.37) and fair or poor health status (21.47) have higher average values than any of the reported illnesses, while high BMI shows the highest mean overall, more than twice as high that of smoking. The standard deviations for health status and lifestyle indicators are also higher, suggesting greater variability and more widely dispersed responses within the Wales locality. This indicates a higher level of heterogeneity among participants for </w:t>
      </w:r>
      <w:r w:rsidR="00372F75" w:rsidRPr="00AF607C">
        <w:rPr>
          <w:rFonts w:ascii="Arial" w:hAnsi="Arial" w:cs="Arial"/>
        </w:rPr>
        <w:t>health-related</w:t>
      </w:r>
      <w:r w:rsidRPr="00BC0088">
        <w:rPr>
          <w:rFonts w:ascii="Arial" w:hAnsi="Arial" w:cs="Arial"/>
        </w:rPr>
        <w:t xml:space="preserve"> factors, reflecting more diverse patterns across the population.</w:t>
      </w:r>
    </w:p>
    <w:p w14:paraId="6AD3755D" w14:textId="77777777" w:rsidR="00882A4F" w:rsidRPr="00AF607C" w:rsidRDefault="00882A4F" w:rsidP="00BC0088">
      <w:pPr>
        <w:rPr>
          <w:rFonts w:ascii="Arial" w:hAnsi="Arial" w:cs="Arial"/>
        </w:rPr>
      </w:pPr>
    </w:p>
    <w:p w14:paraId="540CFB10" w14:textId="4403F009" w:rsidR="00607C4B" w:rsidRDefault="00882A4F" w:rsidP="00882A4F">
      <w:pPr>
        <w:keepNext/>
      </w:pPr>
      <w:r w:rsidRPr="00AF607C">
        <w:rPr>
          <w:rFonts w:ascii="Arial" w:hAnsi="Arial" w:cs="Arial"/>
          <w:noProof/>
        </w:rPr>
        <w:drawing>
          <wp:inline distT="0" distB="0" distL="0" distR="0" wp14:anchorId="031FFEE3" wp14:editId="35FFCFC3">
            <wp:extent cx="5550104" cy="4410075"/>
            <wp:effectExtent l="0" t="0" r="0" b="0"/>
            <wp:docPr id="9619689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968956" name=""/>
                    <pic:cNvPicPr/>
                  </pic:nvPicPr>
                  <pic:blipFill>
                    <a:blip r:embed="rId4">
                      <a:extLst>
                        <a:ext uri="{28A0092B-C50C-407E-A947-70E740481C1C}">
                          <a14:useLocalDpi xmlns:a14="http://schemas.microsoft.com/office/drawing/2010/main" val="0"/>
                        </a:ext>
                      </a:extLst>
                    </a:blip>
                    <a:stretch>
                      <a:fillRect/>
                    </a:stretch>
                  </pic:blipFill>
                  <pic:spPr>
                    <a:xfrm>
                      <a:off x="0" y="0"/>
                      <a:ext cx="5552694" cy="4412133"/>
                    </a:xfrm>
                    <a:prstGeom prst="rect">
                      <a:avLst/>
                    </a:prstGeom>
                  </pic:spPr>
                </pic:pic>
              </a:graphicData>
            </a:graphic>
          </wp:inline>
        </w:drawing>
      </w:r>
    </w:p>
    <w:p w14:paraId="73876A8B" w14:textId="4057549D" w:rsidR="00A41AF7" w:rsidRPr="00607C4B" w:rsidRDefault="00607C4B" w:rsidP="00607C4B">
      <w:pPr>
        <w:pStyle w:val="Caption"/>
        <w:jc w:val="center"/>
        <w:rPr>
          <w:rFonts w:ascii="Arial" w:hAnsi="Arial" w:cs="Arial"/>
          <w:sz w:val="28"/>
          <w:szCs w:val="28"/>
        </w:rPr>
      </w:pPr>
      <w:r w:rsidRPr="00607C4B">
        <w:rPr>
          <w:color w:val="auto"/>
          <w:sz w:val="20"/>
          <w:szCs w:val="20"/>
        </w:rPr>
        <w:t xml:space="preserve">Figure </w:t>
      </w:r>
      <w:r w:rsidRPr="00607C4B">
        <w:rPr>
          <w:color w:val="auto"/>
          <w:sz w:val="20"/>
          <w:szCs w:val="20"/>
        </w:rPr>
        <w:fldChar w:fldCharType="begin"/>
      </w:r>
      <w:r w:rsidRPr="00607C4B">
        <w:rPr>
          <w:color w:val="auto"/>
          <w:sz w:val="20"/>
          <w:szCs w:val="20"/>
        </w:rPr>
        <w:instrText xml:space="preserve"> SEQ Table \* ARABIC </w:instrText>
      </w:r>
      <w:r w:rsidRPr="00607C4B">
        <w:rPr>
          <w:color w:val="auto"/>
          <w:sz w:val="20"/>
          <w:szCs w:val="20"/>
        </w:rPr>
        <w:fldChar w:fldCharType="separate"/>
      </w:r>
      <w:r w:rsidRPr="00607C4B">
        <w:rPr>
          <w:noProof/>
          <w:color w:val="auto"/>
          <w:sz w:val="20"/>
          <w:szCs w:val="20"/>
        </w:rPr>
        <w:t>2</w:t>
      </w:r>
      <w:r w:rsidRPr="00607C4B">
        <w:rPr>
          <w:color w:val="auto"/>
          <w:sz w:val="20"/>
          <w:szCs w:val="20"/>
        </w:rPr>
        <w:fldChar w:fldCharType="end"/>
      </w:r>
      <w:r w:rsidRPr="00607C4B">
        <w:rPr>
          <w:color w:val="auto"/>
          <w:sz w:val="20"/>
          <w:szCs w:val="20"/>
        </w:rPr>
        <w:t xml:space="preserve"> Prevalence of Respiratory Illness reported by adult population in Wales by USOA code</w:t>
      </w:r>
    </w:p>
    <w:p w14:paraId="4723A023" w14:textId="77777777" w:rsidR="00AF607C" w:rsidRPr="00AF607C" w:rsidRDefault="00AF607C" w:rsidP="00AF607C">
      <w:pPr>
        <w:rPr>
          <w:rFonts w:ascii="Arial" w:hAnsi="Arial" w:cs="Arial"/>
        </w:rPr>
      </w:pPr>
    </w:p>
    <w:p w14:paraId="348F253C" w14:textId="50A9F1D3" w:rsidR="00695E9D" w:rsidRDefault="00607C4B" w:rsidP="00AF607C">
      <w:pPr>
        <w:rPr>
          <w:rFonts w:ascii="Arial" w:hAnsi="Arial" w:cs="Arial"/>
        </w:rPr>
      </w:pPr>
      <w:r>
        <w:rPr>
          <w:rFonts w:ascii="Arial" w:hAnsi="Arial" w:cs="Arial"/>
        </w:rPr>
        <w:t>Figure 2</w:t>
      </w:r>
      <w:r w:rsidR="00AF607C" w:rsidRPr="00AF607C">
        <w:rPr>
          <w:rFonts w:ascii="Arial" w:hAnsi="Arial" w:cs="Arial"/>
        </w:rPr>
        <w:t xml:space="preserve"> shows the prevalence of respiratory illness reported across multiple Upper Layer Super Output Areas (USOA) locations in Wales from 2003/04 to 2009. Each point represents the proportion of adults reporting respiratory illness, accompanied </w:t>
      </w:r>
      <w:r w:rsidR="00AF607C" w:rsidRPr="00AF607C">
        <w:rPr>
          <w:rFonts w:ascii="Arial" w:hAnsi="Arial" w:cs="Arial"/>
        </w:rPr>
        <w:lastRenderedPageBreak/>
        <w:t>by corresponding lower and upper confidence intervals, plotted against all Welsh national average (</w:t>
      </w:r>
      <w:r w:rsidR="00916F9A">
        <w:rPr>
          <w:rFonts w:ascii="Arial" w:hAnsi="Arial" w:cs="Arial"/>
        </w:rPr>
        <w:t xml:space="preserve">approximately </w:t>
      </w:r>
      <w:r w:rsidR="00AF607C" w:rsidRPr="00AF607C">
        <w:rPr>
          <w:rFonts w:ascii="Arial" w:hAnsi="Arial" w:cs="Arial"/>
        </w:rPr>
        <w:t xml:space="preserve">14%). </w:t>
      </w:r>
    </w:p>
    <w:p w14:paraId="7688ECBB" w14:textId="7A932DF3" w:rsidR="00DD1E83" w:rsidRDefault="00AF607C" w:rsidP="00AF607C">
      <w:pPr>
        <w:rPr>
          <w:rFonts w:ascii="Arial" w:hAnsi="Arial" w:cs="Arial"/>
        </w:rPr>
      </w:pPr>
      <w:r w:rsidRPr="00AF607C">
        <w:rPr>
          <w:rFonts w:ascii="Arial" w:hAnsi="Arial" w:cs="Arial"/>
        </w:rPr>
        <w:t xml:space="preserve">Areas (USOA) </w:t>
      </w:r>
      <w:r w:rsidRPr="00AF607C">
        <w:rPr>
          <w:rFonts w:ascii="Arial" w:hAnsi="Arial" w:cs="Arial"/>
        </w:rPr>
        <w:t>with higher</w:t>
      </w:r>
      <w:r w:rsidRPr="00AF607C">
        <w:rPr>
          <w:rFonts w:ascii="Arial" w:hAnsi="Arial" w:cs="Arial"/>
        </w:rPr>
        <w:t xml:space="preserve"> prevalence of respiratory illness have estimates positioned further to the right of the reference line, while those to the left indicate lower prevalence relative to the national average. Confidence intervals that cross the reference line suggest no significant statistical difference from the Welsh average, whereas narrower intervals indicate more clustered estimates. Considerable variation is observed across USOAs, with values ranging approximately between 5% and 25% suggesting geographical heterogeneity in respiratory illnesses. </w:t>
      </w:r>
      <w:r w:rsidR="00607C4B" w:rsidRPr="00AF607C">
        <w:rPr>
          <w:rFonts w:ascii="Arial" w:hAnsi="Arial" w:cs="Arial"/>
        </w:rPr>
        <w:t>However,</w:t>
      </w:r>
      <w:r w:rsidRPr="00AF607C">
        <w:rPr>
          <w:rFonts w:ascii="Arial" w:hAnsi="Arial" w:cs="Arial"/>
        </w:rPr>
        <w:t xml:space="preserve"> there is no observed pattern across all regions</w:t>
      </w:r>
      <w:r w:rsidR="00DD1E83">
        <w:rPr>
          <w:rFonts w:ascii="Arial" w:hAnsi="Arial" w:cs="Arial"/>
        </w:rPr>
        <w:t>.</w:t>
      </w:r>
    </w:p>
    <w:p w14:paraId="0E339D5D" w14:textId="2F484D70" w:rsidR="002518F0" w:rsidRDefault="00DD1E83" w:rsidP="00AF607C">
      <w:pPr>
        <w:rPr>
          <w:rFonts w:ascii="Arial" w:hAnsi="Arial" w:cs="Arial"/>
        </w:rPr>
      </w:pPr>
      <w:r w:rsidRPr="00DD1E83">
        <w:rPr>
          <w:rFonts w:ascii="Arial" w:hAnsi="Arial" w:cs="Arial"/>
        </w:rPr>
        <w:t>The observed differences in mean values and standard deviations between indicators classified as illnesses and those classified as health and lifestyle factors highlight important dynamics within the dataset. Illness indicators generally show lower mean values and smaller standard deviations</w:t>
      </w:r>
      <w:r w:rsidR="00F70D34">
        <w:rPr>
          <w:rFonts w:ascii="Arial" w:hAnsi="Arial" w:cs="Arial"/>
        </w:rPr>
        <w:t xml:space="preserve"> </w:t>
      </w:r>
      <w:r w:rsidRPr="00DD1E83">
        <w:rPr>
          <w:rFonts w:ascii="Arial" w:hAnsi="Arial" w:cs="Arial"/>
        </w:rPr>
        <w:t xml:space="preserve">whereas health and lifestyle indicators such as smoking, high BMI, and poor or fair </w:t>
      </w:r>
      <w:r w:rsidR="00695E9D">
        <w:rPr>
          <w:rFonts w:ascii="Arial" w:hAnsi="Arial" w:cs="Arial"/>
        </w:rPr>
        <w:t xml:space="preserve">health status </w:t>
      </w:r>
      <w:r w:rsidR="00FA59AA">
        <w:rPr>
          <w:rFonts w:ascii="Arial" w:hAnsi="Arial" w:cs="Arial"/>
        </w:rPr>
        <w:t xml:space="preserve">shows </w:t>
      </w:r>
      <w:r w:rsidRPr="00DD1E83">
        <w:rPr>
          <w:rFonts w:ascii="Arial" w:hAnsi="Arial" w:cs="Arial"/>
        </w:rPr>
        <w:t xml:space="preserve">higher means and greater variability, reflecting wider behavioural and experiential differences across individuals and areas. While it is plausible that these lifestyle and health status factors contribute to illness prevalence, this interpretation is likely to be incomplete, as illness patterns are also shaped by broader social and structural determinants, including socioeconomic conditions, </w:t>
      </w:r>
      <w:r w:rsidR="00FA59AA">
        <w:rPr>
          <w:rFonts w:ascii="Arial" w:hAnsi="Arial" w:cs="Arial"/>
        </w:rPr>
        <w:t>age, culture</w:t>
      </w:r>
      <w:r w:rsidR="006B6659">
        <w:rPr>
          <w:rFonts w:ascii="Arial" w:hAnsi="Arial" w:cs="Arial"/>
        </w:rPr>
        <w:t xml:space="preserve">, </w:t>
      </w:r>
      <w:r w:rsidRPr="00DD1E83">
        <w:rPr>
          <w:rFonts w:ascii="Arial" w:hAnsi="Arial" w:cs="Arial"/>
        </w:rPr>
        <w:t>environmental exposures and access to healthcare</w:t>
      </w:r>
      <w:r w:rsidR="00997B99">
        <w:rPr>
          <w:rFonts w:ascii="Arial" w:hAnsi="Arial" w:cs="Arial"/>
        </w:rPr>
        <w:t xml:space="preserve"> (</w:t>
      </w:r>
      <w:r w:rsidR="00F80F8C">
        <w:rPr>
          <w:rFonts w:ascii="Arial" w:hAnsi="Arial" w:cs="Arial"/>
        </w:rPr>
        <w:t>World Health Organisation</w:t>
      </w:r>
      <w:r w:rsidR="00074CD4">
        <w:rPr>
          <w:rFonts w:ascii="Arial" w:hAnsi="Arial" w:cs="Arial"/>
        </w:rPr>
        <w:t xml:space="preserve">, </w:t>
      </w:r>
      <w:r w:rsidR="00B70444">
        <w:rPr>
          <w:rFonts w:ascii="Arial" w:hAnsi="Arial" w:cs="Arial"/>
        </w:rPr>
        <w:t>no date)</w:t>
      </w:r>
      <w:r w:rsidRPr="00DD1E83">
        <w:rPr>
          <w:rFonts w:ascii="Arial" w:hAnsi="Arial" w:cs="Arial"/>
        </w:rPr>
        <w:t xml:space="preserve">. Similar consideration is applied when interpreting </w:t>
      </w:r>
      <w:r w:rsidR="006B6659">
        <w:rPr>
          <w:rFonts w:ascii="Arial" w:hAnsi="Arial" w:cs="Arial"/>
        </w:rPr>
        <w:t>Figure 2</w:t>
      </w:r>
      <w:r w:rsidRPr="00DD1E83">
        <w:rPr>
          <w:rFonts w:ascii="Arial" w:hAnsi="Arial" w:cs="Arial"/>
        </w:rPr>
        <w:t xml:space="preserve">, where some </w:t>
      </w:r>
      <w:r w:rsidR="006B6659">
        <w:rPr>
          <w:rFonts w:ascii="Arial" w:hAnsi="Arial" w:cs="Arial"/>
        </w:rPr>
        <w:t>locations</w:t>
      </w:r>
      <w:r w:rsidRPr="00DD1E83">
        <w:rPr>
          <w:rFonts w:ascii="Arial" w:hAnsi="Arial" w:cs="Arial"/>
        </w:rPr>
        <w:t xml:space="preserve"> consistently show higher or lower prevalence of respiratory illness relative to the Welsh average. Although these spatial patterns may reflect </w:t>
      </w:r>
      <w:r w:rsidR="006451B7">
        <w:rPr>
          <w:rFonts w:ascii="Arial" w:hAnsi="Arial" w:cs="Arial"/>
        </w:rPr>
        <w:t>other</w:t>
      </w:r>
      <w:r w:rsidRPr="00DD1E83">
        <w:rPr>
          <w:rFonts w:ascii="Arial" w:hAnsi="Arial" w:cs="Arial"/>
        </w:rPr>
        <w:t xml:space="preserve"> influences such as geography, culture or healthcare accessibility, the descriptive nature of the analysis limits causal inference and further analysis </w:t>
      </w:r>
      <w:r w:rsidR="006B6659">
        <w:rPr>
          <w:rFonts w:ascii="Arial" w:hAnsi="Arial" w:cs="Arial"/>
        </w:rPr>
        <w:t>is needed</w:t>
      </w:r>
      <w:r w:rsidRPr="00DD1E83">
        <w:rPr>
          <w:rFonts w:ascii="Arial" w:hAnsi="Arial" w:cs="Arial"/>
        </w:rPr>
        <w:t xml:space="preserve"> to fully explain the observed differences.</w:t>
      </w:r>
    </w:p>
    <w:p w14:paraId="4F4816C6" w14:textId="3454C5FD" w:rsidR="002518F0" w:rsidRDefault="002518F0" w:rsidP="00AF607C">
      <w:pPr>
        <w:rPr>
          <w:rFonts w:ascii="Arial" w:hAnsi="Arial" w:cs="Arial"/>
        </w:rPr>
      </w:pPr>
      <w:r w:rsidRPr="002518F0">
        <w:rPr>
          <w:rFonts w:ascii="Arial" w:hAnsi="Arial" w:cs="Arial"/>
        </w:rPr>
        <w:t>Overall, the descriptive statistics show clear differences in prevalence and variability between illness indicators and health</w:t>
      </w:r>
      <w:r w:rsidRPr="002518F0">
        <w:rPr>
          <w:rFonts w:ascii="Arial" w:hAnsi="Arial" w:cs="Arial"/>
        </w:rPr>
        <w:noBreakHyphen/>
        <w:t xml:space="preserve">related lifestyle factors, while the forest plot </w:t>
      </w:r>
      <w:r>
        <w:rPr>
          <w:rFonts w:ascii="Arial" w:hAnsi="Arial" w:cs="Arial"/>
        </w:rPr>
        <w:t xml:space="preserve">(Figure 2) </w:t>
      </w:r>
      <w:r w:rsidRPr="002518F0">
        <w:rPr>
          <w:rFonts w:ascii="Arial" w:hAnsi="Arial" w:cs="Arial"/>
        </w:rPr>
        <w:t>highlights area</w:t>
      </w:r>
      <w:r w:rsidRPr="002518F0">
        <w:rPr>
          <w:rFonts w:ascii="Arial" w:hAnsi="Arial" w:cs="Arial"/>
        </w:rPr>
        <w:noBreakHyphen/>
        <w:t xml:space="preserve">level variation across USOAs. Together, they indicate that population health patterns are not uniform across Wales and are likely influenced by </w:t>
      </w:r>
      <w:r>
        <w:rPr>
          <w:rFonts w:ascii="Arial" w:hAnsi="Arial" w:cs="Arial"/>
        </w:rPr>
        <w:t>other that</w:t>
      </w:r>
      <w:r w:rsidRPr="002518F0">
        <w:rPr>
          <w:rFonts w:ascii="Arial" w:hAnsi="Arial" w:cs="Arial"/>
        </w:rPr>
        <w:t xml:space="preserve"> descriptive analysis alone</w:t>
      </w:r>
      <w:r w:rsidR="00916F9A">
        <w:rPr>
          <w:rFonts w:ascii="Arial" w:hAnsi="Arial" w:cs="Arial"/>
        </w:rPr>
        <w:t xml:space="preserve"> cannot justify.</w:t>
      </w:r>
    </w:p>
    <w:p w14:paraId="078B5EA7" w14:textId="77777777" w:rsidR="00240D0C" w:rsidRPr="00AF607C" w:rsidRDefault="00240D0C" w:rsidP="00AF607C">
      <w:pPr>
        <w:rPr>
          <w:rFonts w:ascii="Arial" w:hAnsi="Arial" w:cs="Arial"/>
        </w:rPr>
      </w:pPr>
    </w:p>
    <w:p w14:paraId="70BC16F8" w14:textId="77777777" w:rsidR="00820DB4" w:rsidRDefault="00820DB4" w:rsidP="00372F75">
      <w:pPr>
        <w:jc w:val="center"/>
        <w:rPr>
          <w:rFonts w:ascii="Arial" w:hAnsi="Arial" w:cs="Arial"/>
        </w:rPr>
        <w:sectPr w:rsidR="00820DB4">
          <w:pgSz w:w="11906" w:h="16838"/>
          <w:pgMar w:top="1440" w:right="1440" w:bottom="1440" w:left="1440" w:header="708" w:footer="708" w:gutter="0"/>
          <w:cols w:space="708"/>
          <w:docGrid w:linePitch="360"/>
        </w:sectPr>
      </w:pPr>
    </w:p>
    <w:p w14:paraId="2815947E" w14:textId="7CD738BA" w:rsidR="00AF607C" w:rsidRDefault="00820DB4" w:rsidP="00820DB4">
      <w:pPr>
        <w:rPr>
          <w:rFonts w:ascii="Arial" w:hAnsi="Arial" w:cs="Arial"/>
          <w:b/>
          <w:bCs/>
        </w:rPr>
      </w:pPr>
      <w:r w:rsidRPr="009E7C24">
        <w:rPr>
          <w:rFonts w:ascii="Arial" w:hAnsi="Arial" w:cs="Arial"/>
          <w:b/>
          <w:bCs/>
        </w:rPr>
        <w:lastRenderedPageBreak/>
        <w:t>References</w:t>
      </w:r>
    </w:p>
    <w:p w14:paraId="417D9C33" w14:textId="0B877FC3" w:rsidR="00FE2828" w:rsidRDefault="00FE2828" w:rsidP="00FE2828">
      <w:pPr>
        <w:rPr>
          <w:rFonts w:ascii="Arial" w:hAnsi="Arial" w:cs="Arial"/>
        </w:rPr>
      </w:pPr>
      <w:r w:rsidRPr="00FE2828">
        <w:rPr>
          <w:rFonts w:ascii="Arial" w:hAnsi="Arial" w:cs="Arial"/>
        </w:rPr>
        <w:t xml:space="preserve">IBM Corp., Year. </w:t>
      </w:r>
      <w:r w:rsidRPr="00FE2828">
        <w:rPr>
          <w:rFonts w:ascii="Arial" w:hAnsi="Arial" w:cs="Arial"/>
          <w:i/>
          <w:iCs/>
        </w:rPr>
        <w:t>IBM SPSS Statistics for Windows</w:t>
      </w:r>
      <w:r w:rsidRPr="00FE2828">
        <w:rPr>
          <w:rFonts w:ascii="Arial" w:hAnsi="Arial" w:cs="Arial"/>
        </w:rPr>
        <w:t>, Version number</w:t>
      </w:r>
      <w:r w:rsidR="006451B7">
        <w:rPr>
          <w:rFonts w:ascii="Arial" w:hAnsi="Arial" w:cs="Arial"/>
        </w:rPr>
        <w:t xml:space="preserve"> 30</w:t>
      </w:r>
      <w:r w:rsidRPr="00FE2828">
        <w:rPr>
          <w:rFonts w:ascii="Arial" w:hAnsi="Arial" w:cs="Arial"/>
        </w:rPr>
        <w:t>. Armonk, NY: IBM Corp.</w:t>
      </w:r>
    </w:p>
    <w:p w14:paraId="22CB3C21" w14:textId="77777777" w:rsidR="00F80F8C" w:rsidRDefault="00F80F8C" w:rsidP="00F80F8C">
      <w:pPr>
        <w:rPr>
          <w:rFonts w:ascii="Arial" w:hAnsi="Arial" w:cs="Arial"/>
        </w:rPr>
      </w:pPr>
      <w:r w:rsidRPr="00F80F8C">
        <w:rPr>
          <w:rFonts w:ascii="Arial" w:hAnsi="Arial" w:cs="Arial"/>
          <w:i/>
          <w:iCs/>
        </w:rPr>
        <w:t>Social determinants of health</w:t>
      </w:r>
      <w:r w:rsidRPr="00F80F8C">
        <w:rPr>
          <w:rFonts w:ascii="Arial" w:hAnsi="Arial" w:cs="Arial"/>
        </w:rPr>
        <w:t xml:space="preserve"> (no date). Available at: https://www.who.int/health-topics/social-determinants-of-health#tab=tab_1 (Accessed: April 25, 2026).</w:t>
      </w:r>
    </w:p>
    <w:p w14:paraId="77428D56" w14:textId="77777777" w:rsidR="00B70444" w:rsidRPr="00AA6B05" w:rsidRDefault="00B70444" w:rsidP="00B70444">
      <w:pPr>
        <w:rPr>
          <w:rFonts w:ascii="Arial" w:hAnsi="Arial" w:cs="Arial"/>
        </w:rPr>
      </w:pPr>
      <w:r w:rsidRPr="00AA6B05">
        <w:rPr>
          <w:rFonts w:ascii="Arial" w:hAnsi="Arial" w:cs="Arial"/>
        </w:rPr>
        <w:t xml:space="preserve">Tiffany, C. </w:t>
      </w:r>
      <w:r w:rsidRPr="00AA6B05">
        <w:rPr>
          <w:rFonts w:ascii="Arial" w:hAnsi="Arial" w:cs="Arial"/>
          <w:i/>
          <w:iCs/>
        </w:rPr>
        <w:t>et al.</w:t>
      </w:r>
      <w:r w:rsidRPr="00AA6B05">
        <w:rPr>
          <w:rFonts w:ascii="Arial" w:hAnsi="Arial" w:cs="Arial"/>
        </w:rPr>
        <w:t xml:space="preserve"> (2012) “Public Health Wales Observatory.” Available at: www.publichealthwalesobservatory.wales.nhs.uk (Accessed: April 25, 2026).</w:t>
      </w:r>
    </w:p>
    <w:p w14:paraId="1F64C0BB" w14:textId="77777777" w:rsidR="00B70444" w:rsidRPr="00F80F8C" w:rsidRDefault="00B70444" w:rsidP="00F80F8C">
      <w:pPr>
        <w:rPr>
          <w:rFonts w:ascii="Arial" w:hAnsi="Arial" w:cs="Arial"/>
        </w:rPr>
      </w:pPr>
    </w:p>
    <w:p w14:paraId="74B500A3" w14:textId="77777777" w:rsidR="00F80F8C" w:rsidRPr="00FE2828" w:rsidRDefault="00F80F8C" w:rsidP="00FE2828">
      <w:pPr>
        <w:rPr>
          <w:rFonts w:ascii="Arial" w:hAnsi="Arial" w:cs="Arial"/>
        </w:rPr>
      </w:pPr>
    </w:p>
    <w:p w14:paraId="3C8D45A6" w14:textId="77777777" w:rsidR="009E7C24" w:rsidRPr="009E7C24" w:rsidRDefault="009E7C24" w:rsidP="00820DB4">
      <w:pPr>
        <w:rPr>
          <w:rFonts w:ascii="Arial" w:hAnsi="Arial" w:cs="Arial"/>
          <w:b/>
          <w:bCs/>
        </w:rPr>
      </w:pPr>
    </w:p>
    <w:p w14:paraId="3A7F038A" w14:textId="77777777" w:rsidR="00820DB4" w:rsidRPr="00AF607C" w:rsidRDefault="00820DB4" w:rsidP="00820DB4">
      <w:pPr>
        <w:rPr>
          <w:rFonts w:ascii="Arial" w:hAnsi="Arial" w:cs="Arial"/>
        </w:rPr>
      </w:pPr>
    </w:p>
    <w:sectPr w:rsidR="00820DB4" w:rsidRPr="00AF60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542"/>
    <w:rsid w:val="00000983"/>
    <w:rsid w:val="000128DD"/>
    <w:rsid w:val="000165A7"/>
    <w:rsid w:val="00074CD4"/>
    <w:rsid w:val="000901FD"/>
    <w:rsid w:val="00143CAA"/>
    <w:rsid w:val="001E01C5"/>
    <w:rsid w:val="00240D0C"/>
    <w:rsid w:val="002518F0"/>
    <w:rsid w:val="002B238A"/>
    <w:rsid w:val="002C4989"/>
    <w:rsid w:val="002D5889"/>
    <w:rsid w:val="003445E8"/>
    <w:rsid w:val="00372F75"/>
    <w:rsid w:val="003D4328"/>
    <w:rsid w:val="003E0542"/>
    <w:rsid w:val="004767FD"/>
    <w:rsid w:val="00533998"/>
    <w:rsid w:val="0059748F"/>
    <w:rsid w:val="00607C4B"/>
    <w:rsid w:val="006451B7"/>
    <w:rsid w:val="00695E9D"/>
    <w:rsid w:val="006B6659"/>
    <w:rsid w:val="00806911"/>
    <w:rsid w:val="008158CB"/>
    <w:rsid w:val="00820DB4"/>
    <w:rsid w:val="00871E1F"/>
    <w:rsid w:val="00876E21"/>
    <w:rsid w:val="00882A4F"/>
    <w:rsid w:val="0089549A"/>
    <w:rsid w:val="00916F9A"/>
    <w:rsid w:val="00997B99"/>
    <w:rsid w:val="009E7C24"/>
    <w:rsid w:val="00A41AF7"/>
    <w:rsid w:val="00A943C2"/>
    <w:rsid w:val="00AA6B05"/>
    <w:rsid w:val="00AB726C"/>
    <w:rsid w:val="00AF607C"/>
    <w:rsid w:val="00B138AE"/>
    <w:rsid w:val="00B70444"/>
    <w:rsid w:val="00B8269A"/>
    <w:rsid w:val="00BC0088"/>
    <w:rsid w:val="00C709C8"/>
    <w:rsid w:val="00CA58CC"/>
    <w:rsid w:val="00CD54B6"/>
    <w:rsid w:val="00D2537F"/>
    <w:rsid w:val="00D97417"/>
    <w:rsid w:val="00DD1E83"/>
    <w:rsid w:val="00EF0EE4"/>
    <w:rsid w:val="00F70D34"/>
    <w:rsid w:val="00F71F97"/>
    <w:rsid w:val="00F80F8C"/>
    <w:rsid w:val="00FA59AA"/>
    <w:rsid w:val="00FE28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44CC8"/>
  <w15:chartTrackingRefBased/>
  <w15:docId w15:val="{90D99A11-A8C5-4F32-AE7D-F06860F8C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05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05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05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05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05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05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05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05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05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5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05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05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05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05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05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05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05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0542"/>
    <w:rPr>
      <w:rFonts w:eastAsiaTheme="majorEastAsia" w:cstheme="majorBidi"/>
      <w:color w:val="272727" w:themeColor="text1" w:themeTint="D8"/>
    </w:rPr>
  </w:style>
  <w:style w:type="paragraph" w:styleId="Title">
    <w:name w:val="Title"/>
    <w:basedOn w:val="Normal"/>
    <w:next w:val="Normal"/>
    <w:link w:val="TitleChar"/>
    <w:uiPriority w:val="10"/>
    <w:qFormat/>
    <w:rsid w:val="003E05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05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05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05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0542"/>
    <w:pPr>
      <w:spacing w:before="160"/>
      <w:jc w:val="center"/>
    </w:pPr>
    <w:rPr>
      <w:i/>
      <w:iCs/>
      <w:color w:val="404040" w:themeColor="text1" w:themeTint="BF"/>
    </w:rPr>
  </w:style>
  <w:style w:type="character" w:customStyle="1" w:styleId="QuoteChar">
    <w:name w:val="Quote Char"/>
    <w:basedOn w:val="DefaultParagraphFont"/>
    <w:link w:val="Quote"/>
    <w:uiPriority w:val="29"/>
    <w:rsid w:val="003E0542"/>
    <w:rPr>
      <w:i/>
      <w:iCs/>
      <w:color w:val="404040" w:themeColor="text1" w:themeTint="BF"/>
    </w:rPr>
  </w:style>
  <w:style w:type="paragraph" w:styleId="ListParagraph">
    <w:name w:val="List Paragraph"/>
    <w:basedOn w:val="Normal"/>
    <w:uiPriority w:val="34"/>
    <w:qFormat/>
    <w:rsid w:val="003E0542"/>
    <w:pPr>
      <w:ind w:left="720"/>
      <w:contextualSpacing/>
    </w:pPr>
  </w:style>
  <w:style w:type="character" w:styleId="IntenseEmphasis">
    <w:name w:val="Intense Emphasis"/>
    <w:basedOn w:val="DefaultParagraphFont"/>
    <w:uiPriority w:val="21"/>
    <w:qFormat/>
    <w:rsid w:val="003E0542"/>
    <w:rPr>
      <w:i/>
      <w:iCs/>
      <w:color w:val="0F4761" w:themeColor="accent1" w:themeShade="BF"/>
    </w:rPr>
  </w:style>
  <w:style w:type="paragraph" w:styleId="IntenseQuote">
    <w:name w:val="Intense Quote"/>
    <w:basedOn w:val="Normal"/>
    <w:next w:val="Normal"/>
    <w:link w:val="IntenseQuoteChar"/>
    <w:uiPriority w:val="30"/>
    <w:qFormat/>
    <w:rsid w:val="003E05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0542"/>
    <w:rPr>
      <w:i/>
      <w:iCs/>
      <w:color w:val="0F4761" w:themeColor="accent1" w:themeShade="BF"/>
    </w:rPr>
  </w:style>
  <w:style w:type="character" w:styleId="IntenseReference">
    <w:name w:val="Intense Reference"/>
    <w:basedOn w:val="DefaultParagraphFont"/>
    <w:uiPriority w:val="32"/>
    <w:qFormat/>
    <w:rsid w:val="003E0542"/>
    <w:rPr>
      <w:b/>
      <w:bCs/>
      <w:smallCaps/>
      <w:color w:val="0F4761" w:themeColor="accent1" w:themeShade="BF"/>
      <w:spacing w:val="5"/>
    </w:rPr>
  </w:style>
  <w:style w:type="paragraph" w:styleId="Caption">
    <w:name w:val="caption"/>
    <w:basedOn w:val="Normal"/>
    <w:next w:val="Normal"/>
    <w:uiPriority w:val="35"/>
    <w:unhideWhenUsed/>
    <w:qFormat/>
    <w:rsid w:val="00AF607C"/>
    <w:pPr>
      <w:spacing w:after="200" w:line="240" w:lineRule="auto"/>
    </w:pPr>
    <w:rPr>
      <w:i/>
      <w:iCs/>
      <w:color w:val="0E2841" w:themeColor="text2"/>
      <w:sz w:val="18"/>
      <w:szCs w:val="18"/>
    </w:rPr>
  </w:style>
  <w:style w:type="table" w:styleId="GridTable4-Accent4">
    <w:name w:val="Grid Table 4 Accent 4"/>
    <w:basedOn w:val="TableNormal"/>
    <w:uiPriority w:val="49"/>
    <w:rsid w:val="00607C4B"/>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444</TotalTime>
  <Pages>4</Pages>
  <Words>944</Words>
  <Characters>5383</Characters>
  <Application>Microsoft Office Word</Application>
  <DocSecurity>0</DocSecurity>
  <Lines>44</Lines>
  <Paragraphs>12</Paragraphs>
  <ScaleCrop>false</ScaleCrop>
  <Company/>
  <LinksUpToDate>false</LinksUpToDate>
  <CharactersWithSpaces>6315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Love Mae (Gab) Gabutero</dc:creator>
  <cp:keywords/>
  <dc:description/>
  <cp:lastModifiedBy>Love Mae (Gab) Gabutero</cp:lastModifiedBy>
  <cp:revision>51</cp:revision>
  <dcterms:created xsi:type="dcterms:W3CDTF">2026-04-25T09:52:00Z</dcterms:created>
  <dcterms:modified xsi:type="dcterms:W3CDTF">2026-04-25T22:17:00Z</dcterms:modified>
</cp:coreProperties>
</file>