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385612B" wp14:paraId="34202A0E" wp14:textId="36A9B540">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1"/>
          <w:bCs w:val="1"/>
          <w:i w:val="0"/>
          <w:iCs w:val="0"/>
          <w:caps w:val="0"/>
          <w:smallCaps w:val="0"/>
          <w:noProof w:val="0"/>
          <w:color w:val="000000" w:themeColor="text1" w:themeTint="FF" w:themeShade="FF"/>
          <w:sz w:val="24"/>
          <w:szCs w:val="24"/>
          <w:lang w:val="en-US"/>
        </w:rPr>
        <w:t>Title: Corporate Social Responsibility and Sustainability in the Hospitality Industry: A Case Study on Hilton Hotels</w:t>
      </w:r>
    </w:p>
    <w:p xmlns:wp14="http://schemas.microsoft.com/office/word/2010/wordml" w:rsidP="1385612B" wp14:paraId="6EC01EAA" wp14:textId="4A9FD92D">
      <w:pPr>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1"/>
          <w:bCs w:val="1"/>
          <w:i w:val="0"/>
          <w:iCs w:val="0"/>
          <w:caps w:val="0"/>
          <w:smallCaps w:val="0"/>
          <w:noProof w:val="0"/>
          <w:color w:val="000000" w:themeColor="text1" w:themeTint="FF" w:themeShade="FF"/>
          <w:sz w:val="24"/>
          <w:szCs w:val="24"/>
          <w:lang w:val="en-US"/>
        </w:rPr>
        <w:t>Student Name:</w:t>
      </w: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385612B" w:rsidR="6257626F">
        <w:rPr>
          <w:rFonts w:ascii="Arial Nova" w:hAnsi="Arial Nova" w:eastAsia="Arial Nova" w:cs="Arial Nova"/>
          <w:b w:val="0"/>
          <w:bCs w:val="0"/>
          <w:i w:val="0"/>
          <w:iCs w:val="0"/>
          <w:caps w:val="0"/>
          <w:smallCaps w:val="0"/>
          <w:noProof w:val="0"/>
          <w:color w:val="000000" w:themeColor="text1" w:themeTint="FF" w:themeShade="FF"/>
          <w:sz w:val="24"/>
          <w:szCs w:val="24"/>
          <w:lang w:val="en-US"/>
        </w:rPr>
        <w:t>Melis Shaban</w:t>
      </w:r>
    </w:p>
    <w:p xmlns:wp14="http://schemas.microsoft.com/office/word/2010/wordml" w:rsidP="1385612B" wp14:paraId="0505A9DE" wp14:textId="0726BFA6">
      <w:pPr>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1"/>
          <w:bCs w:val="1"/>
          <w:i w:val="0"/>
          <w:iCs w:val="0"/>
          <w:caps w:val="0"/>
          <w:smallCaps w:val="0"/>
          <w:noProof w:val="0"/>
          <w:color w:val="000000" w:themeColor="text1" w:themeTint="FF" w:themeShade="FF"/>
          <w:sz w:val="24"/>
          <w:szCs w:val="24"/>
          <w:lang w:val="en-US"/>
        </w:rPr>
        <w:t>Student Number:</w:t>
      </w: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385612B" w:rsidR="59C2204B">
        <w:rPr>
          <w:rFonts w:ascii="Arial Nova" w:hAnsi="Arial Nova" w:eastAsia="Arial Nova" w:cs="Arial Nova"/>
          <w:b w:val="0"/>
          <w:bCs w:val="0"/>
          <w:i w:val="0"/>
          <w:iCs w:val="0"/>
          <w:caps w:val="0"/>
          <w:smallCaps w:val="0"/>
          <w:noProof w:val="0"/>
          <w:color w:val="000000" w:themeColor="text1" w:themeTint="FF" w:themeShade="FF"/>
          <w:sz w:val="24"/>
          <w:szCs w:val="24"/>
          <w:lang w:val="en-US"/>
        </w:rPr>
        <w:t>2212035</w:t>
      </w:r>
    </w:p>
    <w:p xmlns:wp14="http://schemas.microsoft.com/office/word/2010/wordml" w:rsidP="1385612B" wp14:paraId="2B3929E0" wp14:textId="75D21275">
      <w:pPr>
        <w:pStyle w:val="Normal"/>
        <w:shd w:val="clear" w:color="auto" w:fill="FFFFFF" w:themeFill="background1"/>
        <w:spacing w:before="0" w:beforeAutospacing="off" w:after="300" w:afterAutospacing="off" w:line="360" w:lineRule="auto"/>
        <w:jc w:val="both"/>
        <w:rPr>
          <w:rFonts w:ascii="Arial Nova" w:hAnsi="Arial Nova" w:eastAsia="Arial Nova" w:cs="Arial Nova"/>
          <w:noProof w:val="0"/>
          <w:sz w:val="24"/>
          <w:szCs w:val="24"/>
          <w:lang w:val="en-US"/>
        </w:rPr>
      </w:pPr>
      <w:r w:rsidRPr="1385612B" w:rsidR="368A332E">
        <w:rPr>
          <w:rFonts w:ascii="Arial Nova" w:hAnsi="Arial Nova" w:eastAsia="Arial Nova" w:cs="Arial Nova"/>
          <w:b w:val="1"/>
          <w:bCs w:val="1"/>
          <w:i w:val="0"/>
          <w:iCs w:val="0"/>
          <w:caps w:val="0"/>
          <w:smallCaps w:val="0"/>
          <w:noProof w:val="0"/>
          <w:color w:val="000000" w:themeColor="text1" w:themeTint="FF" w:themeShade="FF"/>
          <w:sz w:val="24"/>
          <w:szCs w:val="24"/>
          <w:lang w:val="en-US"/>
        </w:rPr>
        <w:t>Module Title:</w:t>
      </w: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385612B" w:rsidR="3560DA62">
        <w:rPr>
          <w:rFonts w:ascii="Arial Nova" w:hAnsi="Arial Nova" w:eastAsia="Arial Nova" w:cs="Arial Nova"/>
          <w:noProof w:val="0"/>
          <w:sz w:val="24"/>
          <w:szCs w:val="24"/>
          <w:lang w:val="en-US"/>
        </w:rPr>
        <w:t xml:space="preserve">Sustainable Hospitality &amp; Tourism Management </w:t>
      </w:r>
    </w:p>
    <w:p xmlns:wp14="http://schemas.microsoft.com/office/word/2010/wordml" w:rsidP="1385612B" wp14:paraId="75F983E3" wp14:textId="65A1B27C">
      <w:pPr>
        <w:pStyle w:val="Normal"/>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1"/>
          <w:bCs w:val="1"/>
          <w:i w:val="0"/>
          <w:iCs w:val="0"/>
          <w:caps w:val="0"/>
          <w:smallCaps w:val="0"/>
          <w:noProof w:val="0"/>
          <w:color w:val="000000" w:themeColor="text1" w:themeTint="FF" w:themeShade="FF"/>
          <w:sz w:val="24"/>
          <w:szCs w:val="24"/>
          <w:lang w:val="en-US"/>
        </w:rPr>
        <w:t>Module Code:</w:t>
      </w: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385612B" w:rsidR="46AF6986">
        <w:rPr>
          <w:rFonts w:ascii="Arial Nova" w:hAnsi="Arial Nova" w:eastAsia="Arial Nova" w:cs="Arial Nova"/>
          <w:noProof w:val="0"/>
          <w:sz w:val="24"/>
          <w:szCs w:val="24"/>
          <w:lang w:val="en-US"/>
        </w:rPr>
        <w:t xml:space="preserve">BMIH5006 </w:t>
      </w:r>
    </w:p>
    <w:p xmlns:wp14="http://schemas.microsoft.com/office/word/2010/wordml" w:rsidP="1385612B" wp14:paraId="68971A64" wp14:textId="2444691B">
      <w:pPr>
        <w:pStyle w:val="Normal"/>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1"/>
          <w:bCs w:val="1"/>
          <w:i w:val="0"/>
          <w:iCs w:val="0"/>
          <w:caps w:val="0"/>
          <w:smallCaps w:val="0"/>
          <w:noProof w:val="0"/>
          <w:color w:val="000000" w:themeColor="text1" w:themeTint="FF" w:themeShade="FF"/>
          <w:sz w:val="24"/>
          <w:szCs w:val="24"/>
          <w:lang w:val="en-US"/>
        </w:rPr>
        <w:t>Lecturer’s Name:</w:t>
      </w: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385612B" w:rsidR="2F7E7620">
        <w:rPr>
          <w:rFonts w:ascii="Arial Nova" w:hAnsi="Arial Nova" w:eastAsia="Arial Nova" w:cs="Arial Nova"/>
          <w:b w:val="0"/>
          <w:bCs w:val="0"/>
          <w:i w:val="0"/>
          <w:iCs w:val="0"/>
          <w:caps w:val="0"/>
          <w:smallCaps w:val="0"/>
          <w:noProof w:val="0"/>
          <w:color w:val="000000" w:themeColor="text1" w:themeTint="FF" w:themeShade="FF"/>
          <w:sz w:val="24"/>
          <w:szCs w:val="24"/>
          <w:lang w:val="en-US"/>
        </w:rPr>
        <w:t>Lisa-Marie Bassler</w:t>
      </w:r>
    </w:p>
    <w:p xmlns:wp14="http://schemas.microsoft.com/office/word/2010/wordml" w:rsidP="1385612B" wp14:paraId="71D11A4C" wp14:textId="4738373F">
      <w:pPr>
        <w:pStyle w:val="Normal"/>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6AE8F392">
        <w:rPr>
          <w:rFonts w:ascii="Arial Nova" w:hAnsi="Arial Nova" w:eastAsia="Arial Nova" w:cs="Arial Nova"/>
          <w:b w:val="0"/>
          <w:bCs w:val="0"/>
          <w:i w:val="0"/>
          <w:iCs w:val="0"/>
          <w:caps w:val="0"/>
          <w:smallCaps w:val="0"/>
          <w:noProof w:val="0"/>
          <w:color w:val="000000" w:themeColor="text1" w:themeTint="FF" w:themeShade="FF"/>
          <w:sz w:val="24"/>
          <w:szCs w:val="24"/>
          <w:lang w:val="en-US"/>
        </w:rPr>
        <w:t>Wordcount: 1897</w:t>
      </w:r>
    </w:p>
    <w:p xmlns:wp14="http://schemas.microsoft.com/office/word/2010/wordml" w:rsidP="1385612B" wp14:paraId="48A83AFC" wp14:textId="5A687197">
      <w:pPr>
        <w:pStyle w:val="Normal"/>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385612B" wp14:paraId="54B47B3B" wp14:textId="04BE1FCA">
      <w:pPr>
        <w:pStyle w:val="Normal"/>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385612B" wp14:paraId="54874604" wp14:textId="3BABFEB3">
      <w:pPr>
        <w:pStyle w:val="Normal"/>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385612B" wp14:paraId="416E2D0B" wp14:textId="003E4AFD">
      <w:pPr>
        <w:pStyle w:val="Normal"/>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385612B" wp14:paraId="5259B387" wp14:textId="5D488F96">
      <w:pPr>
        <w:pStyle w:val="Normal"/>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385612B" wp14:paraId="24F95D88" wp14:textId="7D48B5C5">
      <w:pPr>
        <w:pStyle w:val="Normal"/>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385612B" wp14:paraId="1D0A90C3" wp14:textId="7A31B800">
      <w:pPr>
        <w:pStyle w:val="Normal"/>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385612B" wp14:paraId="604BD2DD" wp14:textId="57069CA3">
      <w:pPr>
        <w:pStyle w:val="Normal"/>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385612B" wp14:paraId="32775141" wp14:textId="28EA706B">
      <w:pPr>
        <w:pStyle w:val="Normal"/>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385612B" wp14:paraId="43182E60" wp14:textId="2F79CC27">
      <w:pPr>
        <w:pStyle w:val="Normal"/>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385612B" wp14:paraId="731B134F" wp14:textId="73883D04">
      <w:pPr>
        <w:spacing w:line="360" w:lineRule="auto"/>
        <w:jc w:val="both"/>
        <w:rPr>
          <w:rFonts w:ascii="Arial Nova" w:hAnsi="Arial Nova" w:eastAsia="Arial Nova" w:cs="Arial Nova"/>
          <w:sz w:val="24"/>
          <w:szCs w:val="24"/>
        </w:rPr>
      </w:pPr>
    </w:p>
    <w:p xmlns:wp14="http://schemas.microsoft.com/office/word/2010/wordml" w:rsidP="1385612B" wp14:paraId="697E7014" wp14:textId="76BFDCD2">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1"/>
          <w:bCs w:val="1"/>
          <w:i w:val="0"/>
          <w:iCs w:val="0"/>
          <w:caps w:val="0"/>
          <w:smallCaps w:val="0"/>
          <w:noProof w:val="0"/>
          <w:color w:val="000000" w:themeColor="text1" w:themeTint="FF" w:themeShade="FF"/>
          <w:sz w:val="24"/>
          <w:szCs w:val="24"/>
          <w:lang w:val="en-US"/>
        </w:rPr>
        <w:t>Introduction</w:t>
      </w:r>
    </w:p>
    <w:p xmlns:wp14="http://schemas.microsoft.com/office/word/2010/wordml" w:rsidP="1385612B" wp14:paraId="68DF83D8" wp14:textId="5AF76AA4">
      <w:pPr>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4E37933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today’s environmentally conscious and socially responsible market, Corporate Social Responsibility (CSR) stands as a cornerstone for successful business operations, particularly in the hospitality industry. As global attention increasingly focuses on the impacts of climate change, resource depletion, and social inequality, hospitality enterprises are under greater scrutiny to </w:t>
      </w:r>
      <w:r w:rsidRPr="1385612B" w:rsidR="4E379337">
        <w:rPr>
          <w:rFonts w:ascii="Arial Nova" w:hAnsi="Arial Nova" w:eastAsia="Arial Nova" w:cs="Arial Nova"/>
          <w:b w:val="0"/>
          <w:bCs w:val="0"/>
          <w:i w:val="0"/>
          <w:iCs w:val="0"/>
          <w:caps w:val="0"/>
          <w:smallCaps w:val="0"/>
          <w:noProof w:val="0"/>
          <w:color w:val="000000" w:themeColor="text1" w:themeTint="FF" w:themeShade="FF"/>
          <w:sz w:val="24"/>
          <w:szCs w:val="24"/>
          <w:lang w:val="en-US"/>
        </w:rPr>
        <w:t>operate</w:t>
      </w:r>
      <w:r w:rsidRPr="1385612B" w:rsidR="4E37933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sustainably and ethically. This essay critically examines the role of CSR in promoting sustainability within Hilton Hotels, a leading global hospitality company, highlighting how it addresses the triple bottom line of environmental, social, and economic impacts.</w:t>
      </w:r>
    </w:p>
    <w:p xmlns:wp14="http://schemas.microsoft.com/office/word/2010/wordml" w:rsidP="1385612B" wp14:paraId="6ADD9E6F" wp14:textId="0F38FFBB">
      <w:pPr>
        <w:pStyle w:val="Normal"/>
        <w:shd w:val="clear" w:color="auto" w:fill="FFFFFF" w:themeFill="background1"/>
        <w:spacing w:before="30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4E37933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Corporate Social Responsibility in the hospitality industry involves adopting practices that ensure responsible management of environmental impacts, enhance social equity, and drive economic growth. </w:t>
      </w:r>
      <w:r w:rsidRPr="1385612B" w:rsidR="703E4E32">
        <w:rPr>
          <w:rFonts w:ascii="Arial Nova" w:hAnsi="Arial Nova" w:eastAsia="Arial Nova" w:cs="Arial Nova"/>
          <w:b w:val="0"/>
          <w:bCs w:val="0"/>
          <w:i w:val="0"/>
          <w:iCs w:val="0"/>
          <w:caps w:val="0"/>
          <w:smallCaps w:val="0"/>
          <w:noProof w:val="0"/>
          <w:color w:val="000000" w:themeColor="text1" w:themeTint="FF" w:themeShade="FF"/>
          <w:sz w:val="24"/>
          <w:szCs w:val="24"/>
          <w:lang w:val="en-US"/>
        </w:rPr>
        <w:t>Industry</w:t>
      </w:r>
      <w:r w:rsidRPr="1385612B" w:rsidR="4E379337">
        <w:rPr>
          <w:rFonts w:ascii="Arial Nova" w:hAnsi="Arial Nova" w:eastAsia="Arial Nova" w:cs="Arial Nova"/>
          <w:b w:val="0"/>
          <w:bCs w:val="0"/>
          <w:i w:val="0"/>
          <w:iCs w:val="0"/>
          <w:caps w:val="0"/>
          <w:smallCaps w:val="0"/>
          <w:noProof w:val="0"/>
          <w:color w:val="000000" w:themeColor="text1" w:themeTint="FF" w:themeShade="FF"/>
          <w:sz w:val="24"/>
          <w:szCs w:val="24"/>
          <w:lang w:val="en-US"/>
        </w:rPr>
        <w:t>, known for its significant resource consumption and waste production, provides a unique platform for implementing CSR initiatives that can lead to substantial improvements in sustainability</w:t>
      </w:r>
      <w:r w:rsidRPr="1385612B" w:rsidR="063EFB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385612B" w:rsidR="063EFB2A">
        <w:rPr>
          <w:rFonts w:ascii="Arial Nova" w:hAnsi="Arial Nova" w:eastAsia="Arial Nova" w:cs="Arial Nova"/>
          <w:b w:val="0"/>
          <w:bCs w:val="0"/>
          <w:i w:val="0"/>
          <w:iCs w:val="0"/>
          <w:caps w:val="0"/>
          <w:smallCaps w:val="0"/>
          <w:noProof w:val="0"/>
          <w:color w:val="000000" w:themeColor="text1" w:themeTint="FF" w:themeShade="FF"/>
          <w:sz w:val="24"/>
          <w:szCs w:val="24"/>
          <w:lang w:val="en-US"/>
        </w:rPr>
        <w:t>Bohdanowicz</w:t>
      </w:r>
      <w:r w:rsidRPr="1385612B" w:rsidR="063EFB2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&amp; Zientara, 2008)</w:t>
      </w:r>
      <w:r w:rsidRPr="1385612B" w:rsidR="4E37933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Hilton Hotels has been at the forefront of integrating CSR into its business strategy, </w:t>
      </w:r>
      <w:r w:rsidRPr="1385612B" w:rsidR="4E379337">
        <w:rPr>
          <w:rFonts w:ascii="Arial Nova" w:hAnsi="Arial Nova" w:eastAsia="Arial Nova" w:cs="Arial Nova"/>
          <w:b w:val="0"/>
          <w:bCs w:val="0"/>
          <w:i w:val="0"/>
          <w:iCs w:val="0"/>
          <w:caps w:val="0"/>
          <w:smallCaps w:val="0"/>
          <w:noProof w:val="0"/>
          <w:color w:val="000000" w:themeColor="text1" w:themeTint="FF" w:themeShade="FF"/>
          <w:sz w:val="24"/>
          <w:szCs w:val="24"/>
          <w:lang w:val="en-US"/>
        </w:rPr>
        <w:t>leveraging</w:t>
      </w:r>
      <w:r w:rsidRPr="1385612B" w:rsidR="4E37933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these initiatives not only to reduce its operational footprint but also to improve community relations and achieve economic benefits.</w:t>
      </w:r>
    </w:p>
    <w:p xmlns:wp14="http://schemas.microsoft.com/office/word/2010/wordml" w:rsidP="1385612B" wp14:paraId="1F7ACDAE" wp14:textId="772B8D5A">
      <w:pPr>
        <w:shd w:val="clear" w:color="auto" w:fill="FFFFFF" w:themeFill="background1"/>
        <w:spacing w:before="30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4E379337">
        <w:rPr>
          <w:rFonts w:ascii="Arial Nova" w:hAnsi="Arial Nova" w:eastAsia="Arial Nova" w:cs="Arial Nova"/>
          <w:b w:val="0"/>
          <w:bCs w:val="0"/>
          <w:i w:val="0"/>
          <w:iCs w:val="0"/>
          <w:caps w:val="0"/>
          <w:smallCaps w:val="0"/>
          <w:noProof w:val="0"/>
          <w:color w:val="000000" w:themeColor="text1" w:themeTint="FF" w:themeShade="FF"/>
          <w:sz w:val="24"/>
          <w:szCs w:val="24"/>
          <w:lang w:val="en-US"/>
        </w:rPr>
        <w:t>This analysis will explore several key areas where Hilton’s CSR initiatives have a significant impact, including environmental sustainability measures like energy conservation and waste reduction, social responsibility efforts such as community engagement and employee welfare, and economic practices that promote sustainable sourcing and improve profitability. Additionally, the essay will address the challenges and opportunities associated with implementing effective CSR policies, which require balancing corporate goals with environmental stewardship and social responsibility.</w:t>
      </w:r>
    </w:p>
    <w:p xmlns:wp14="http://schemas.microsoft.com/office/word/2010/wordml" w:rsidP="1385612B" wp14:paraId="1AECB50D" wp14:textId="4B36E31D">
      <w:pPr>
        <w:shd w:val="clear" w:color="auto" w:fill="FFFFFF" w:themeFill="background1"/>
        <w:spacing w:before="300" w:beforeAutospacing="off" w:after="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4E37933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By delving into Hilton’s CSR strategies, this essay aims to provide a comprehensive overview of how integrated CSR policies can enhance business sustainability and foster a positive corporate image. The discussion will also critically evaluate the effectiveness and scope of Hilton's initiatives, drawing on a variety of academic, governmental, and industrial sources to provide a well-rounded perspective on CSR’s role in the hospitality industry. Through this exploration, the essay will </w:t>
      </w:r>
      <w:r w:rsidRPr="1385612B" w:rsidR="4E379337">
        <w:rPr>
          <w:rFonts w:ascii="Arial Nova" w:hAnsi="Arial Nova" w:eastAsia="Arial Nova" w:cs="Arial Nova"/>
          <w:b w:val="0"/>
          <w:bCs w:val="0"/>
          <w:i w:val="0"/>
          <w:iCs w:val="0"/>
          <w:caps w:val="0"/>
          <w:smallCaps w:val="0"/>
          <w:noProof w:val="0"/>
          <w:color w:val="000000" w:themeColor="text1" w:themeTint="FF" w:themeShade="FF"/>
          <w:sz w:val="24"/>
          <w:szCs w:val="24"/>
          <w:lang w:val="en-US"/>
        </w:rPr>
        <w:t>demonstrate</w:t>
      </w:r>
      <w:r w:rsidRPr="1385612B" w:rsidR="4E37933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integral role of CSR in shaping sustainable business practices that not only meet but exceed the ethical standards demanded by consumers, investors, and regulatory bodies today.</w:t>
      </w:r>
      <w:r w:rsidRPr="1385612B" w:rsidR="4E379337">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1385612B" wp14:paraId="26E93C8F" wp14:textId="641C2248">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1"/>
          <w:bCs w:val="1"/>
          <w:i w:val="0"/>
          <w:iCs w:val="0"/>
          <w:caps w:val="0"/>
          <w:smallCaps w:val="0"/>
          <w:noProof w:val="0"/>
          <w:color w:val="000000" w:themeColor="text1" w:themeTint="FF" w:themeShade="FF"/>
          <w:sz w:val="24"/>
          <w:szCs w:val="24"/>
          <w:lang w:val="en-US"/>
        </w:rPr>
        <w:t>Main Body</w:t>
      </w:r>
    </w:p>
    <w:p xmlns:wp14="http://schemas.microsoft.com/office/word/2010/wordml" w:rsidP="1385612B" wp14:paraId="1620AFC0" wp14:textId="15D298DB">
      <w:pPr>
        <w:pStyle w:val="Heading4"/>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1"/>
          <w:bCs w:val="1"/>
          <w:i w:val="0"/>
          <w:iCs w:val="0"/>
          <w:caps w:val="0"/>
          <w:smallCaps w:val="0"/>
          <w:noProof w:val="0"/>
          <w:color w:val="000000" w:themeColor="text1" w:themeTint="FF" w:themeShade="FF"/>
          <w:sz w:val="24"/>
          <w:szCs w:val="24"/>
          <w:lang w:val="en-US"/>
        </w:rPr>
        <w:t>CSR in the Hospitality Industry</w:t>
      </w:r>
    </w:p>
    <w:p xmlns:wp14="http://schemas.microsoft.com/office/word/2010/wordml" w:rsidP="1385612B" wp14:paraId="0A00660E" wp14:textId="12F460D8">
      <w:pPr>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The hospitality industry, known for its extensive consumption of resources, has a significant environmental footprint involving energy, water, and waste. In response, leading hotels have incorporated CSR strategies to mitigate these impacts and improve their sustainability profile. Hilton Hotels has been at the forefront of this initiative, integrating CSR into every aspect of its operations (Smith &amp; Font, 2017).</w:t>
      </w:r>
    </w:p>
    <w:p xmlns:wp14="http://schemas.microsoft.com/office/word/2010/wordml" w:rsidP="1385612B" wp14:paraId="53810C36" wp14:textId="5E334E08">
      <w:pPr>
        <w:pStyle w:val="Heading4"/>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1"/>
          <w:bCs w:val="1"/>
          <w:i w:val="0"/>
          <w:iCs w:val="0"/>
          <w:caps w:val="0"/>
          <w:smallCaps w:val="0"/>
          <w:noProof w:val="0"/>
          <w:color w:val="000000" w:themeColor="text1" w:themeTint="FF" w:themeShade="FF"/>
          <w:sz w:val="24"/>
          <w:szCs w:val="24"/>
          <w:lang w:val="en-US"/>
        </w:rPr>
        <w:t>Strategic Focus Areas of Hilton's CSR</w:t>
      </w:r>
    </w:p>
    <w:p xmlns:wp14="http://schemas.microsoft.com/office/word/2010/wordml" w:rsidP="1385612B" wp14:paraId="47651393" wp14:textId="0FDCB377">
      <w:pPr>
        <w:shd w:val="clear" w:color="auto" w:fill="FFFFFF" w:themeFill="background1"/>
        <w:spacing w:before="0" w:beforeAutospacing="off" w:after="30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1"/>
          <w:bCs w:val="1"/>
          <w:i w:val="0"/>
          <w:iCs w:val="0"/>
          <w:caps w:val="0"/>
          <w:smallCaps w:val="0"/>
          <w:noProof w:val="0"/>
          <w:color w:val="000000" w:themeColor="text1" w:themeTint="FF" w:themeShade="FF"/>
          <w:sz w:val="24"/>
          <w:szCs w:val="24"/>
          <w:lang w:val="en-US"/>
        </w:rPr>
        <w:t>1. Environmental Sustainability:</w:t>
      </w:r>
    </w:p>
    <w:p xmlns:wp14="http://schemas.microsoft.com/office/word/2010/wordml" w:rsidP="1385612B" wp14:paraId="52D7FFA5" wp14:textId="1CE07BAB">
      <w:pPr>
        <w:pStyle w:val="ListParagraph"/>
        <w:numPr>
          <w:ilvl w:val="0"/>
          <w:numId w:val="2"/>
        </w:numPr>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67E92C54">
        <w:rPr>
          <w:rFonts w:ascii="Arial Nova" w:hAnsi="Arial Nova" w:eastAsia="Arial Nova" w:cs="Arial Nova"/>
          <w:b w:val="1"/>
          <w:bCs w:val="1"/>
          <w:i w:val="0"/>
          <w:iCs w:val="0"/>
          <w:caps w:val="0"/>
          <w:smallCaps w:val="0"/>
          <w:noProof w:val="0"/>
          <w:color w:val="000000" w:themeColor="text1" w:themeTint="FF" w:themeShade="FF"/>
          <w:sz w:val="24"/>
          <w:szCs w:val="24"/>
          <w:lang w:val="en-US"/>
        </w:rPr>
        <w:t>Energy Efficiency</w:t>
      </w:r>
      <w:r w:rsidRPr="1385612B" w:rsidR="67E92C54">
        <w:rPr>
          <w:rFonts w:ascii="Arial Nova" w:hAnsi="Arial Nova" w:eastAsia="Arial Nova" w:cs="Arial Nova"/>
          <w:b w:val="0"/>
          <w:bCs w:val="0"/>
          <w:i w:val="0"/>
          <w:iCs w:val="0"/>
          <w:caps w:val="0"/>
          <w:smallCaps w:val="0"/>
          <w:noProof w:val="0"/>
          <w:color w:val="000000" w:themeColor="text1" w:themeTint="FF" w:themeShade="FF"/>
          <w:sz w:val="24"/>
          <w:szCs w:val="24"/>
          <w:lang w:val="en-US"/>
        </w:rPr>
        <w:t>: Hilton has adopted advanced energy management systems, including the use of smart thermostats and LED lighting across its properties. This shift has not only reduced Hilton's energy consumption significantly but also contributed to operational cost savings. For instance, their initiatives led to a 30% reduction in carbon output over the last decade, illustrating a successful integration of environmental stewardship into business operations (Hilton, 2020).</w:t>
      </w:r>
    </w:p>
    <w:p xmlns:wp14="http://schemas.microsoft.com/office/word/2010/wordml" w:rsidP="1385612B" wp14:paraId="4C4E0230" wp14:textId="4213AEAF">
      <w:pPr>
        <w:pStyle w:val="ListParagraph"/>
        <w:numPr>
          <w:ilvl w:val="0"/>
          <w:numId w:val="2"/>
        </w:numPr>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67E92C54">
        <w:rPr>
          <w:rFonts w:ascii="Arial Nova" w:hAnsi="Arial Nova" w:eastAsia="Arial Nova" w:cs="Arial Nova"/>
          <w:b w:val="1"/>
          <w:bCs w:val="1"/>
          <w:i w:val="0"/>
          <w:iCs w:val="0"/>
          <w:caps w:val="0"/>
          <w:smallCaps w:val="0"/>
          <w:noProof w:val="0"/>
          <w:color w:val="000000" w:themeColor="text1" w:themeTint="FF" w:themeShade="FF"/>
          <w:sz w:val="24"/>
          <w:szCs w:val="24"/>
          <w:lang w:val="en-US"/>
        </w:rPr>
        <w:t>Water Conservation</w:t>
      </w:r>
      <w:r w:rsidRPr="1385612B" w:rsidR="67E92C5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Water conservation efforts at Hilton include installing low-flow showers and faucets and implementing water recycling systems that treat and reuse greywater for landscaping and flushing toilets. These measures have drastically reduced water usage, helping preserve vital water resources in water-scarce regions where some of its properties are </w:t>
      </w:r>
      <w:r w:rsidRPr="1385612B" w:rsidR="67E92C54">
        <w:rPr>
          <w:rFonts w:ascii="Arial Nova" w:hAnsi="Arial Nova" w:eastAsia="Arial Nova" w:cs="Arial Nova"/>
          <w:b w:val="0"/>
          <w:bCs w:val="0"/>
          <w:i w:val="0"/>
          <w:iCs w:val="0"/>
          <w:caps w:val="0"/>
          <w:smallCaps w:val="0"/>
          <w:noProof w:val="0"/>
          <w:color w:val="000000" w:themeColor="text1" w:themeTint="FF" w:themeShade="FF"/>
          <w:sz w:val="24"/>
          <w:szCs w:val="24"/>
          <w:lang w:val="en-US"/>
        </w:rPr>
        <w:t>located</w:t>
      </w:r>
      <w:r w:rsidRPr="1385612B" w:rsidR="67E92C54">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xmlns:wp14="http://schemas.microsoft.com/office/word/2010/wordml" w:rsidP="1385612B" wp14:paraId="10D36DC5" wp14:textId="14507EC0">
      <w:pPr>
        <w:pStyle w:val="ListParagraph"/>
        <w:numPr>
          <w:ilvl w:val="0"/>
          <w:numId w:val="2"/>
        </w:numPr>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67E92C54">
        <w:rPr>
          <w:rFonts w:ascii="Arial Nova" w:hAnsi="Arial Nova" w:eastAsia="Arial Nova" w:cs="Arial Nova"/>
          <w:b w:val="1"/>
          <w:bCs w:val="1"/>
          <w:i w:val="0"/>
          <w:iCs w:val="0"/>
          <w:caps w:val="0"/>
          <w:smallCaps w:val="0"/>
          <w:noProof w:val="0"/>
          <w:color w:val="000000" w:themeColor="text1" w:themeTint="FF" w:themeShade="FF"/>
          <w:sz w:val="24"/>
          <w:szCs w:val="24"/>
          <w:lang w:val="en-US"/>
        </w:rPr>
        <w:t>Waste Management</w:t>
      </w:r>
      <w:r w:rsidRPr="1385612B" w:rsidR="67E92C54">
        <w:rPr>
          <w:rFonts w:ascii="Arial Nova" w:hAnsi="Arial Nova" w:eastAsia="Arial Nova" w:cs="Arial Nova"/>
          <w:b w:val="0"/>
          <w:bCs w:val="0"/>
          <w:i w:val="0"/>
          <w:iCs w:val="0"/>
          <w:caps w:val="0"/>
          <w:smallCaps w:val="0"/>
          <w:noProof w:val="0"/>
          <w:color w:val="000000" w:themeColor="text1" w:themeTint="FF" w:themeShade="FF"/>
          <w:sz w:val="24"/>
          <w:szCs w:val="24"/>
          <w:lang w:val="en-US"/>
        </w:rPr>
        <w:t>: Hilton's approach to waste management emphasizes reduction, reuse, and recycling. Initiatives such as donating leftover food to local charities and recycling soap and shampoo bottles have significantly lowered the waste output of their hotels, contributing to both local community support and environmental conservation (Jones, 2019).</w:t>
      </w:r>
    </w:p>
    <w:p xmlns:wp14="http://schemas.microsoft.com/office/word/2010/wordml" w:rsidP="1385612B" wp14:paraId="5D07311A" wp14:textId="3835A1F3">
      <w:pPr>
        <w:shd w:val="clear" w:color="auto" w:fill="FFFFFF" w:themeFill="background1"/>
        <w:spacing w:before="300" w:beforeAutospacing="off" w:after="30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67E92C54">
        <w:rPr>
          <w:rFonts w:ascii="Arial Nova" w:hAnsi="Arial Nova" w:eastAsia="Arial Nova" w:cs="Arial Nova"/>
          <w:b w:val="1"/>
          <w:bCs w:val="1"/>
          <w:i w:val="0"/>
          <w:iCs w:val="0"/>
          <w:caps w:val="0"/>
          <w:smallCaps w:val="0"/>
          <w:noProof w:val="0"/>
          <w:color w:val="000000" w:themeColor="text1" w:themeTint="FF" w:themeShade="FF"/>
          <w:sz w:val="24"/>
          <w:szCs w:val="24"/>
          <w:lang w:val="en-US"/>
        </w:rPr>
        <w:t>2. Social Responsibility:</w:t>
      </w:r>
    </w:p>
    <w:p xmlns:wp14="http://schemas.microsoft.com/office/word/2010/wordml" w:rsidP="1385612B" wp14:paraId="5D89AD1B" wp14:textId="1762DAD3">
      <w:pPr>
        <w:pStyle w:val="ListParagraph"/>
        <w:numPr>
          <w:ilvl w:val="0"/>
          <w:numId w:val="2"/>
        </w:numPr>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67E92C54">
        <w:rPr>
          <w:rFonts w:ascii="Arial Nova" w:hAnsi="Arial Nova" w:eastAsia="Arial Nova" w:cs="Arial Nova"/>
          <w:b w:val="1"/>
          <w:bCs w:val="1"/>
          <w:i w:val="0"/>
          <w:iCs w:val="0"/>
          <w:caps w:val="0"/>
          <w:smallCaps w:val="0"/>
          <w:noProof w:val="0"/>
          <w:color w:val="000000" w:themeColor="text1" w:themeTint="FF" w:themeShade="FF"/>
          <w:sz w:val="24"/>
          <w:szCs w:val="24"/>
          <w:lang w:val="en-US"/>
        </w:rPr>
        <w:t>Community Engagement</w:t>
      </w:r>
      <w:r w:rsidRPr="1385612B" w:rsidR="67E92C54">
        <w:rPr>
          <w:rFonts w:ascii="Arial Nova" w:hAnsi="Arial Nova" w:eastAsia="Arial Nova" w:cs="Arial Nova"/>
          <w:b w:val="0"/>
          <w:bCs w:val="0"/>
          <w:i w:val="0"/>
          <w:iCs w:val="0"/>
          <w:caps w:val="0"/>
          <w:smallCaps w:val="0"/>
          <w:noProof w:val="0"/>
          <w:color w:val="000000" w:themeColor="text1" w:themeTint="FF" w:themeShade="FF"/>
          <w:sz w:val="24"/>
          <w:szCs w:val="24"/>
          <w:lang w:val="en-US"/>
        </w:rPr>
        <w:t>: Hilton's commitment to CSR extends beyond environmental measures to include substantial contributions to community well-being. Programs like the Hilton Effect Foundation focus on providing education and professional training to young people, enhancing employment opportunities in hospitality around the world. Such initiatives not only foster community development but also ensure a steady supply of trained professionals in the local job markets.</w:t>
      </w:r>
    </w:p>
    <w:p xmlns:wp14="http://schemas.microsoft.com/office/word/2010/wordml" w:rsidP="1385612B" wp14:paraId="23DA234F" wp14:textId="60145C90">
      <w:pPr>
        <w:pStyle w:val="ListParagraph"/>
        <w:numPr>
          <w:ilvl w:val="0"/>
          <w:numId w:val="2"/>
        </w:numPr>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67E92C54">
        <w:rPr>
          <w:rFonts w:ascii="Arial Nova" w:hAnsi="Arial Nova" w:eastAsia="Arial Nova" w:cs="Arial Nova"/>
          <w:b w:val="1"/>
          <w:bCs w:val="1"/>
          <w:i w:val="0"/>
          <w:iCs w:val="0"/>
          <w:caps w:val="0"/>
          <w:smallCaps w:val="0"/>
          <w:noProof w:val="0"/>
          <w:color w:val="000000" w:themeColor="text1" w:themeTint="FF" w:themeShade="FF"/>
          <w:sz w:val="24"/>
          <w:szCs w:val="24"/>
          <w:lang w:val="en-US"/>
        </w:rPr>
        <w:t>Employee Wellbeing</w:t>
      </w:r>
      <w:r w:rsidRPr="1385612B" w:rsidR="67E92C54">
        <w:rPr>
          <w:rFonts w:ascii="Arial Nova" w:hAnsi="Arial Nova" w:eastAsia="Arial Nova" w:cs="Arial Nova"/>
          <w:b w:val="0"/>
          <w:bCs w:val="0"/>
          <w:i w:val="0"/>
          <w:iCs w:val="0"/>
          <w:caps w:val="0"/>
          <w:smallCaps w:val="0"/>
          <w:noProof w:val="0"/>
          <w:color w:val="000000" w:themeColor="text1" w:themeTint="FF" w:themeShade="FF"/>
          <w:sz w:val="24"/>
          <w:szCs w:val="24"/>
          <w:lang w:val="en-US"/>
        </w:rPr>
        <w:t>: Hilton places a high priority on the health and development of its employees. This includes extensive training programs in personal and professional skills, health and safety measures tailored to different job roles, and programs aimed at improving workplace inclusivity and diversity. These efforts result in enhanced employee satisfaction and retention, which are critical for long-term business sustainability (Chen et al., 2020).</w:t>
      </w:r>
    </w:p>
    <w:p xmlns:wp14="http://schemas.microsoft.com/office/word/2010/wordml" w:rsidP="1385612B" wp14:paraId="45A07EDA" wp14:textId="70D8E140">
      <w:pPr>
        <w:shd w:val="clear" w:color="auto" w:fill="FFFFFF" w:themeFill="background1"/>
        <w:spacing w:before="300" w:beforeAutospacing="off" w:after="30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67E92C54">
        <w:rPr>
          <w:rFonts w:ascii="Arial Nova" w:hAnsi="Arial Nova" w:eastAsia="Arial Nova" w:cs="Arial Nova"/>
          <w:b w:val="1"/>
          <w:bCs w:val="1"/>
          <w:i w:val="0"/>
          <w:iCs w:val="0"/>
          <w:caps w:val="0"/>
          <w:smallCaps w:val="0"/>
          <w:noProof w:val="0"/>
          <w:color w:val="000000" w:themeColor="text1" w:themeTint="FF" w:themeShade="FF"/>
          <w:sz w:val="24"/>
          <w:szCs w:val="24"/>
          <w:lang w:val="en-US"/>
        </w:rPr>
        <w:t>3. Economic Sustainability:</w:t>
      </w:r>
    </w:p>
    <w:p xmlns:wp14="http://schemas.microsoft.com/office/word/2010/wordml" w:rsidP="1385612B" wp14:paraId="500BE8E0" wp14:textId="6ED0FE40">
      <w:pPr>
        <w:pStyle w:val="ListParagraph"/>
        <w:numPr>
          <w:ilvl w:val="0"/>
          <w:numId w:val="2"/>
        </w:numPr>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67E92C54">
        <w:rPr>
          <w:rFonts w:ascii="Arial Nova" w:hAnsi="Arial Nova" w:eastAsia="Arial Nova" w:cs="Arial Nova"/>
          <w:b w:val="1"/>
          <w:bCs w:val="1"/>
          <w:i w:val="0"/>
          <w:iCs w:val="0"/>
          <w:caps w:val="0"/>
          <w:smallCaps w:val="0"/>
          <w:noProof w:val="0"/>
          <w:color w:val="000000" w:themeColor="text1" w:themeTint="FF" w:themeShade="FF"/>
          <w:sz w:val="24"/>
          <w:szCs w:val="24"/>
          <w:lang w:val="en-US"/>
        </w:rPr>
        <w:t>Sustainable Sourcing</w:t>
      </w:r>
      <w:r w:rsidRPr="1385612B" w:rsidR="67E92C5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Hilton’s sustainable sourcing policy involves </w:t>
      </w:r>
      <w:r w:rsidRPr="1385612B" w:rsidR="67E92C54">
        <w:rPr>
          <w:rFonts w:ascii="Arial Nova" w:hAnsi="Arial Nova" w:eastAsia="Arial Nova" w:cs="Arial Nova"/>
          <w:b w:val="0"/>
          <w:bCs w:val="0"/>
          <w:i w:val="0"/>
          <w:iCs w:val="0"/>
          <w:caps w:val="0"/>
          <w:smallCaps w:val="0"/>
          <w:noProof w:val="0"/>
          <w:color w:val="000000" w:themeColor="text1" w:themeTint="FF" w:themeShade="FF"/>
          <w:sz w:val="24"/>
          <w:szCs w:val="24"/>
          <w:lang w:val="en-US"/>
        </w:rPr>
        <w:t>purchasing</w:t>
      </w:r>
      <w:r w:rsidRPr="1385612B" w:rsidR="67E92C5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locally produced goods and services wherever possible, which reduces transport emissions and supports local economies. Moreover, the hotel chain prioritizes suppliers who adhere to sustainable practices, thus extending its CSR impact down the supply chain.</w:t>
      </w:r>
    </w:p>
    <w:p xmlns:wp14="http://schemas.microsoft.com/office/word/2010/wordml" w:rsidP="1385612B" wp14:paraId="3EFCA7BE" wp14:textId="04BEAB15">
      <w:pPr>
        <w:pStyle w:val="ListParagraph"/>
        <w:numPr>
          <w:ilvl w:val="0"/>
          <w:numId w:val="2"/>
        </w:numPr>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67E92C54">
        <w:rPr>
          <w:rFonts w:ascii="Arial Nova" w:hAnsi="Arial Nova" w:eastAsia="Arial Nova" w:cs="Arial Nova"/>
          <w:b w:val="1"/>
          <w:bCs w:val="1"/>
          <w:i w:val="0"/>
          <w:iCs w:val="0"/>
          <w:caps w:val="0"/>
          <w:smallCaps w:val="0"/>
          <w:noProof w:val="0"/>
          <w:color w:val="000000" w:themeColor="text1" w:themeTint="FF" w:themeShade="FF"/>
          <w:sz w:val="24"/>
          <w:szCs w:val="24"/>
          <w:lang w:val="en-US"/>
        </w:rPr>
        <w:t>Long-term Profitability</w:t>
      </w:r>
      <w:r w:rsidRPr="1385612B" w:rsidR="67E92C5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economic aspect of Hilton's CSR strategy is </w:t>
      </w:r>
      <w:r w:rsidRPr="1385612B" w:rsidR="67E92C54">
        <w:rPr>
          <w:rFonts w:ascii="Arial Nova" w:hAnsi="Arial Nova" w:eastAsia="Arial Nova" w:cs="Arial Nova"/>
          <w:b w:val="0"/>
          <w:bCs w:val="0"/>
          <w:i w:val="0"/>
          <w:iCs w:val="0"/>
          <w:caps w:val="0"/>
          <w:smallCaps w:val="0"/>
          <w:noProof w:val="0"/>
          <w:color w:val="000000" w:themeColor="text1" w:themeTint="FF" w:themeShade="FF"/>
          <w:sz w:val="24"/>
          <w:szCs w:val="24"/>
          <w:lang w:val="en-US"/>
        </w:rPr>
        <w:t>evident</w:t>
      </w:r>
      <w:r w:rsidRPr="1385612B" w:rsidR="67E92C5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how sustainability initiatives translate into financial savings. Reduced utility costs, efficiency improvements, and enhanced guest loyalty through a strong CSR reputation contribute to Hilton’s bottom line. This alignment of economic and environmental goals is central to the concept of CSR in modern corporate strategies (Wilson, 2019).</w:t>
      </w:r>
    </w:p>
    <w:p xmlns:wp14="http://schemas.microsoft.com/office/word/2010/wordml" w:rsidP="1385612B" wp14:paraId="4D8A9326" wp14:textId="55B78686">
      <w:pPr>
        <w:pStyle w:val="Heading4"/>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67E92C54">
        <w:rPr>
          <w:rFonts w:ascii="Arial Nova" w:hAnsi="Arial Nova" w:eastAsia="Arial Nova" w:cs="Arial Nova"/>
          <w:b w:val="1"/>
          <w:bCs w:val="1"/>
          <w:i w:val="0"/>
          <w:iCs w:val="0"/>
          <w:caps w:val="0"/>
          <w:smallCaps w:val="0"/>
          <w:noProof w:val="0"/>
          <w:color w:val="000000" w:themeColor="text1" w:themeTint="FF" w:themeShade="FF"/>
          <w:sz w:val="24"/>
          <w:szCs w:val="24"/>
          <w:lang w:val="en-US"/>
        </w:rPr>
        <w:t>Challenges and Opportunities in Implementing CSR</w:t>
      </w:r>
    </w:p>
    <w:p xmlns:wp14="http://schemas.microsoft.com/office/word/2010/wordml" w:rsidP="1385612B" wp14:paraId="3E611BC4" wp14:textId="06F62A72">
      <w:pPr>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67E92C54">
        <w:rPr>
          <w:rFonts w:ascii="Arial Nova" w:hAnsi="Arial Nova" w:eastAsia="Arial Nova" w:cs="Arial Nova"/>
          <w:b w:val="0"/>
          <w:bCs w:val="0"/>
          <w:i w:val="0"/>
          <w:iCs w:val="0"/>
          <w:caps w:val="0"/>
          <w:smallCaps w:val="0"/>
          <w:noProof w:val="0"/>
          <w:color w:val="000000" w:themeColor="text1" w:themeTint="FF" w:themeShade="FF"/>
          <w:sz w:val="24"/>
          <w:szCs w:val="24"/>
          <w:lang w:val="en-US"/>
        </w:rPr>
        <w:t>Despite these efforts, Hilton faces challenges such as ensuring consistency in CSR implementation across its global network and adapting to local regulations and cultural expectations. Measuring the long-term impacts of CSR initiatives also poses difficulties due to the complex interplay of different sustainability metrics.</w:t>
      </w:r>
    </w:p>
    <w:p xmlns:wp14="http://schemas.microsoft.com/office/word/2010/wordml" w:rsidP="1385612B" wp14:paraId="15AC08F5" wp14:textId="46EA36A8">
      <w:pPr>
        <w:shd w:val="clear" w:color="auto" w:fill="FFFFFF" w:themeFill="background1"/>
        <w:spacing w:before="30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67E92C54">
        <w:rPr>
          <w:rFonts w:ascii="Arial Nova" w:hAnsi="Arial Nova" w:eastAsia="Arial Nova" w:cs="Arial Nova"/>
          <w:b w:val="0"/>
          <w:bCs w:val="0"/>
          <w:i w:val="0"/>
          <w:iCs w:val="0"/>
          <w:caps w:val="0"/>
          <w:smallCaps w:val="0"/>
          <w:noProof w:val="0"/>
          <w:color w:val="000000" w:themeColor="text1" w:themeTint="FF" w:themeShade="FF"/>
          <w:sz w:val="24"/>
          <w:szCs w:val="24"/>
          <w:lang w:val="en-US"/>
        </w:rPr>
        <w:t>However, these challenges present unique opportunities for innovation and leadership in sustainability within the hospitality industry. Hilton's continued investment in green technology, employee training, and community initiatives not only strengthens its market position but also sets a benchmark for industry practices in sustainability (Baker, 2018).</w:t>
      </w:r>
    </w:p>
    <w:p xmlns:wp14="http://schemas.microsoft.com/office/word/2010/wordml" w:rsidP="1385612B" wp14:paraId="361378B4" wp14:textId="2502A103">
      <w:pPr>
        <w:pStyle w:val="Normal"/>
        <w:shd w:val="clear" w:color="auto" w:fill="FFFFFF" w:themeFill="background1"/>
        <w:spacing w:before="0" w:beforeAutospacing="off" w:after="30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xmlns:wp14="http://schemas.microsoft.com/office/word/2010/wordml" w:rsidP="1385612B" wp14:paraId="3C9EEF29" wp14:textId="364AA248">
      <w:pPr>
        <w:pStyle w:val="Heading4"/>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1"/>
          <w:bCs w:val="1"/>
          <w:i w:val="0"/>
          <w:iCs w:val="0"/>
          <w:caps w:val="0"/>
          <w:smallCaps w:val="0"/>
          <w:noProof w:val="0"/>
          <w:color w:val="000000" w:themeColor="text1" w:themeTint="FF" w:themeShade="FF"/>
          <w:sz w:val="24"/>
          <w:szCs w:val="24"/>
          <w:lang w:val="en-US"/>
        </w:rPr>
        <w:t>Analysis and Evaluation of Hilton's CSR Implementation</w:t>
      </w:r>
    </w:p>
    <w:p xmlns:wp14="http://schemas.microsoft.com/office/word/2010/wordml" w:rsidP="1385612B" wp14:paraId="1A821A46" wp14:textId="383317A9">
      <w:pPr>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The implementation of Corporate Social Responsibility (CSR) at Hilton Hotels has been both extensive and impactful, revealing a nuanced understanding of the interplay between corporate responsibility and business strategy. This section critically evaluates the effectiveness of Hilton's CSR initiatives, highlighting their strengths and potential areas for improvement based on the company's public disclosures and independent assessments.</w:t>
      </w:r>
    </w:p>
    <w:p xmlns:wp14="http://schemas.microsoft.com/office/word/2010/wordml" w:rsidP="1385612B" wp14:paraId="71842396" wp14:textId="14C0ADEA">
      <w:pPr>
        <w:pStyle w:val="Heading4"/>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7F1E6FAE">
        <w:rPr>
          <w:rFonts w:ascii="Arial Nova" w:hAnsi="Arial Nova" w:eastAsia="Arial Nova" w:cs="Arial Nova"/>
          <w:b w:val="1"/>
          <w:bCs w:val="1"/>
          <w:i w:val="0"/>
          <w:iCs w:val="0"/>
          <w:caps w:val="0"/>
          <w:smallCaps w:val="0"/>
          <w:noProof w:val="0"/>
          <w:color w:val="000000" w:themeColor="text1" w:themeTint="FF" w:themeShade="FF"/>
          <w:sz w:val="24"/>
          <w:szCs w:val="24"/>
          <w:lang w:val="en-US"/>
        </w:rPr>
        <w:t>Effectiveness of Environmental Sustainability Initiatives</w:t>
      </w:r>
    </w:p>
    <w:p xmlns:wp14="http://schemas.microsoft.com/office/word/2010/wordml" w:rsidP="1385612B" wp14:paraId="2766D17C" wp14:textId="7E9484DA">
      <w:pPr>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Hilton's commitment to environmental sustainability is </w:t>
      </w: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evident</w:t>
      </w: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through its comprehensive </w:t>
      </w: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LightStay</w:t>
      </w: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program. The program's focus on tracking and reducing energy use, water consumption, and waste production has set industry benchmarks. For instance, Hilton has successfully achieved a 30% reduction in carbon emissions and a 20% reduction in energy and water use, which not only mitigates environmental impact but also translates into significant cost savings (Hilton, 2020). While these achievements are commendable, the challenge </w:t>
      </w: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remains</w:t>
      </w: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scaling these successes across all properties globally, especially in regions with less stringent environmental regulations or differing environmental priorities. Furthermore, Hilton's heavy reliance on technology for environmental management raises questions about the sustainability of such approaches in less developed areas where technological adoption may be slower.</w:t>
      </w:r>
    </w:p>
    <w:p xmlns:wp14="http://schemas.microsoft.com/office/word/2010/wordml" w:rsidP="1385612B" wp14:paraId="3ABC11F4" wp14:textId="05C52B71">
      <w:pPr>
        <w:pStyle w:val="Heading4"/>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7F1E6FAE">
        <w:rPr>
          <w:rFonts w:ascii="Arial Nova" w:hAnsi="Arial Nova" w:eastAsia="Arial Nova" w:cs="Arial Nova"/>
          <w:b w:val="1"/>
          <w:bCs w:val="1"/>
          <w:i w:val="0"/>
          <w:iCs w:val="0"/>
          <w:caps w:val="0"/>
          <w:smallCaps w:val="0"/>
          <w:noProof w:val="0"/>
          <w:color w:val="000000" w:themeColor="text1" w:themeTint="FF" w:themeShade="FF"/>
          <w:sz w:val="24"/>
          <w:szCs w:val="24"/>
          <w:lang w:val="en-US"/>
        </w:rPr>
        <w:t>Social Responsibility Efforts</w:t>
      </w:r>
    </w:p>
    <w:p xmlns:wp14="http://schemas.microsoft.com/office/word/2010/wordml" w:rsidP="1385612B" wp14:paraId="2E441DD8" wp14:textId="108AEA6F">
      <w:pPr>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Hilton's social responsibility initiatives have been robust, focusing on community engagement and employee welfare. Programs aimed at enhancing local livelihoods and expanding professional opportunities in hospitality are particularly impactful. For example, the Hilton Effect Foundation has </w:t>
      </w: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initiated</w:t>
      </w: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various community projects that address local needs, such as supporting food banks or offering career development programs in underserved areas. However, the evaluation of these programs' long-term impact is less clear. While immediate benefits such as community support and enhanced brand image are </w:t>
      </w: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evident</w:t>
      </w: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 assessing the lasting change brought about by these initiatives requires more longitudinal studies and transparent reporting.</w:t>
      </w:r>
    </w:p>
    <w:p xmlns:wp14="http://schemas.microsoft.com/office/word/2010/wordml" w:rsidP="1385612B" wp14:paraId="01914157" wp14:textId="6B143FDB">
      <w:pPr>
        <w:pStyle w:val="Heading4"/>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7F1E6FAE">
        <w:rPr>
          <w:rFonts w:ascii="Arial Nova" w:hAnsi="Arial Nova" w:eastAsia="Arial Nova" w:cs="Arial Nova"/>
          <w:b w:val="1"/>
          <w:bCs w:val="1"/>
          <w:i w:val="0"/>
          <w:iCs w:val="0"/>
          <w:caps w:val="0"/>
          <w:smallCaps w:val="0"/>
          <w:noProof w:val="0"/>
          <w:color w:val="000000" w:themeColor="text1" w:themeTint="FF" w:themeShade="FF"/>
          <w:sz w:val="24"/>
          <w:szCs w:val="24"/>
          <w:lang w:val="en-US"/>
        </w:rPr>
        <w:t>Economic Sustainability and Strategic CSR Integration</w:t>
      </w:r>
    </w:p>
    <w:p xmlns:wp14="http://schemas.microsoft.com/office/word/2010/wordml" w:rsidP="1385612B" wp14:paraId="6742DA79" wp14:textId="4F8B4E70">
      <w:pPr>
        <w:pStyle w:val="Normal"/>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Hilton’s approach to integrating CSR into its economic model has been strategic and beneficial. By reducing operational costs through energy savings and efficient resource use, Hilton has improved its profitability while adhering to its CSR commitments. The use of sustainable sourcing practices also exemplifies Hilton’s commitment to economic sustainability by supporting local economies and reducing environmental impacts associated with long-distance transportation of goods (Chen et al., 2020). However, the economic advantages of CSR need to be communicated more effectively to stakeholders to enhance investment in these areas. This could involve detailed reporting on the return on investment (ROI) for CSR initiatives, which could encourage further integration of sustainability into core business practices</w:t>
      </w:r>
      <w:r w:rsidRPr="1385612B" w:rsidR="669B8DA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(Werther &amp; Chandler, 2011)</w:t>
      </w: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xmlns:wp14="http://schemas.microsoft.com/office/word/2010/wordml" w:rsidP="1385612B" wp14:paraId="7D365B00" wp14:textId="4E97B7D0">
      <w:pPr>
        <w:pStyle w:val="Heading4"/>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7F1E6FAE">
        <w:rPr>
          <w:rFonts w:ascii="Arial Nova" w:hAnsi="Arial Nova" w:eastAsia="Arial Nova" w:cs="Arial Nova"/>
          <w:b w:val="1"/>
          <w:bCs w:val="1"/>
          <w:i w:val="0"/>
          <w:iCs w:val="0"/>
          <w:caps w:val="0"/>
          <w:smallCaps w:val="0"/>
          <w:noProof w:val="0"/>
          <w:color w:val="000000" w:themeColor="text1" w:themeTint="FF" w:themeShade="FF"/>
          <w:sz w:val="24"/>
          <w:szCs w:val="24"/>
          <w:lang w:val="en-US"/>
        </w:rPr>
        <w:t>Opportunities for Improvement</w:t>
      </w:r>
    </w:p>
    <w:p xmlns:wp14="http://schemas.microsoft.com/office/word/2010/wordml" w:rsidP="1385612B" wp14:paraId="555939AD" wp14:textId="74487948">
      <w:pPr>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Despite the success of Hilton’s CSR strategies, there are opportunities for further enhancement:</w:t>
      </w:r>
    </w:p>
    <w:p xmlns:wp14="http://schemas.microsoft.com/office/word/2010/wordml" w:rsidP="1385612B" wp14:paraId="32B1ADE6" wp14:textId="2E30683F">
      <w:pPr>
        <w:pStyle w:val="ListParagraph"/>
        <w:numPr>
          <w:ilvl w:val="0"/>
          <w:numId w:val="2"/>
        </w:numPr>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7F1E6FAE">
        <w:rPr>
          <w:rFonts w:ascii="Arial Nova" w:hAnsi="Arial Nova" w:eastAsia="Arial Nova" w:cs="Arial Nova"/>
          <w:b w:val="1"/>
          <w:bCs w:val="1"/>
          <w:i w:val="0"/>
          <w:iCs w:val="0"/>
          <w:caps w:val="0"/>
          <w:smallCaps w:val="0"/>
          <w:noProof w:val="0"/>
          <w:color w:val="000000" w:themeColor="text1" w:themeTint="FF" w:themeShade="FF"/>
          <w:sz w:val="24"/>
          <w:szCs w:val="24"/>
          <w:lang w:val="en-US"/>
        </w:rPr>
        <w:t>Expanding Environmental Goals</w:t>
      </w: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 Hilton could adopt more aggressive targets for reducing greenhouse gas emissions, in line with global efforts to combat climate change. This might include investing in renewable energy sources or pursuing net-zero emissions goals.</w:t>
      </w:r>
    </w:p>
    <w:p xmlns:wp14="http://schemas.microsoft.com/office/word/2010/wordml" w:rsidP="1385612B" wp14:paraId="1314B68C" wp14:textId="6C34A974">
      <w:pPr>
        <w:pStyle w:val="ListParagraph"/>
        <w:numPr>
          <w:ilvl w:val="0"/>
          <w:numId w:val="2"/>
        </w:numPr>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7F1E6FAE">
        <w:rPr>
          <w:rFonts w:ascii="Arial Nova" w:hAnsi="Arial Nova" w:eastAsia="Arial Nova" w:cs="Arial Nova"/>
          <w:b w:val="1"/>
          <w:bCs w:val="1"/>
          <w:i w:val="0"/>
          <w:iCs w:val="0"/>
          <w:caps w:val="0"/>
          <w:smallCaps w:val="0"/>
          <w:noProof w:val="0"/>
          <w:color w:val="000000" w:themeColor="text1" w:themeTint="FF" w:themeShade="FF"/>
          <w:sz w:val="24"/>
          <w:szCs w:val="24"/>
          <w:lang w:val="en-US"/>
        </w:rPr>
        <w:t>Enhanced Transparency</w:t>
      </w: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 Increasing the transparency of CSR outcomes and methodologies used for measuring impact would build greater trust and engagement among stakeholders, including guests, investors, and community members.</w:t>
      </w:r>
    </w:p>
    <w:p xmlns:wp14="http://schemas.microsoft.com/office/word/2010/wordml" w:rsidP="1385612B" wp14:paraId="75985AF5" wp14:textId="13B6A9E0">
      <w:pPr>
        <w:pStyle w:val="ListParagraph"/>
        <w:numPr>
          <w:ilvl w:val="0"/>
          <w:numId w:val="2"/>
        </w:numPr>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7F1E6FAE">
        <w:rPr>
          <w:rFonts w:ascii="Arial Nova" w:hAnsi="Arial Nova" w:eastAsia="Arial Nova" w:cs="Arial Nova"/>
          <w:b w:val="1"/>
          <w:bCs w:val="1"/>
          <w:i w:val="0"/>
          <w:iCs w:val="0"/>
          <w:caps w:val="0"/>
          <w:smallCaps w:val="0"/>
          <w:noProof w:val="0"/>
          <w:color w:val="000000" w:themeColor="text1" w:themeTint="FF" w:themeShade="FF"/>
          <w:sz w:val="24"/>
          <w:szCs w:val="24"/>
          <w:lang w:val="en-US"/>
        </w:rPr>
        <w:t>Broader Stakeholder Involvement</w:t>
      </w:r>
      <w:r w:rsidRPr="1385612B" w:rsidR="7F1E6FAE">
        <w:rPr>
          <w:rFonts w:ascii="Arial Nova" w:hAnsi="Arial Nova" w:eastAsia="Arial Nova" w:cs="Arial Nova"/>
          <w:b w:val="0"/>
          <w:bCs w:val="0"/>
          <w:i w:val="0"/>
          <w:iCs w:val="0"/>
          <w:caps w:val="0"/>
          <w:smallCaps w:val="0"/>
          <w:noProof w:val="0"/>
          <w:color w:val="000000" w:themeColor="text1" w:themeTint="FF" w:themeShade="FF"/>
          <w:sz w:val="24"/>
          <w:szCs w:val="24"/>
          <w:lang w:val="en-US"/>
        </w:rPr>
        <w:t>: Engaging a wider range of stakeholders in CSR planning and implementation could foster more innovative solutions and ensure that the initiatives are well-rounded and comprehensive, covering all aspects of sustainability.</w:t>
      </w:r>
      <w:r w:rsidRPr="1385612B" w:rsidR="7F1E6FAE">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1385612B" wp14:paraId="4BEA2F67" wp14:textId="63B14ACD">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1"/>
          <w:bCs w:val="1"/>
          <w:i w:val="0"/>
          <w:iCs w:val="0"/>
          <w:caps w:val="0"/>
          <w:smallCaps w:val="0"/>
          <w:noProof w:val="0"/>
          <w:color w:val="000000" w:themeColor="text1" w:themeTint="FF" w:themeShade="FF"/>
          <w:sz w:val="24"/>
          <w:szCs w:val="24"/>
          <w:lang w:val="en-US"/>
        </w:rPr>
        <w:t>Conclusion</w:t>
      </w:r>
    </w:p>
    <w:p xmlns:wp14="http://schemas.microsoft.com/office/word/2010/wordml" w:rsidP="1385612B" wp14:paraId="12A0CF68" wp14:textId="7067C902">
      <w:pPr>
        <w:shd w:val="clear" w:color="auto" w:fill="FFFFFF" w:themeFill="background1"/>
        <w:spacing w:before="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Hilton Hotels' strategic approach to Corporate Social Responsibility (CSR) exemplifies the profound impact that a well-implemented CSR strategy can have within the hospitality industry. Through a series of targeted initiatives focused on environmental sustainability, social responsibility, and economic viability, Hilton has not only enhanced its operational efficiencies but also significantly bolstered its corporate reputation and stakeholder value. This essay has illustrated how effective CSR implementation can catalyze substantial improvements in sustainability practices, </w:t>
      </w: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demonstrating</w:t>
      </w: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tangible benefits across various dimensions.</w:t>
      </w:r>
    </w:p>
    <w:p xmlns:wp14="http://schemas.microsoft.com/office/word/2010/wordml" w:rsidP="1385612B" wp14:paraId="0FA0549F" wp14:textId="3E509A67">
      <w:pPr>
        <w:shd w:val="clear" w:color="auto" w:fill="FFFFFF" w:themeFill="background1"/>
        <w:spacing w:before="30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Firstly, Hilton’s environmental initiatives have set industry standards for sustainability, achieving substantial reductions in energy consumption, water use, and waste production. These efforts not only mitigate the environmental impact but also </w:t>
      </w: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optimize</w:t>
      </w: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resource use, which is crucial in an industry characterized by significant consumption. The environmental strides made by Hilton, such as achieving a 30% reduction in carbon emissions, </w:t>
      </w: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showcase</w:t>
      </w: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potential of CSR to drive significant ecological benefits, aligning business operations with broader environmental conservation goals.</w:t>
      </w:r>
    </w:p>
    <w:p xmlns:wp14="http://schemas.microsoft.com/office/word/2010/wordml" w:rsidP="1385612B" wp14:paraId="0C864C12" wp14:textId="547D0A69">
      <w:pPr>
        <w:shd w:val="clear" w:color="auto" w:fill="FFFFFF" w:themeFill="background1"/>
        <w:spacing w:before="30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Secondly, Hilton’s commitment to social responsibility, particularly through its community engagement and employee welfare programs, has cultivated a positive corporate image and strengthened community ties. These initiatives, which range from local community support to global outreach programs, underscore the importance of integrating CSR into the core business model, not just as an ethical mandate but as a strategic business imperative. The social dimension of Hilton's CSR efforts highlights the role of the hospitality sector in fostering social equity and community development, essential elements in achieving sustainable growth.</w:t>
      </w:r>
    </w:p>
    <w:p xmlns:wp14="http://schemas.microsoft.com/office/word/2010/wordml" w:rsidP="1385612B" wp14:paraId="3611AF07" wp14:textId="0DF5F1DF">
      <w:pPr>
        <w:shd w:val="clear" w:color="auto" w:fill="FFFFFF" w:themeFill="background1"/>
        <w:spacing w:before="30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Lastly, the economic sustainability driven by Hilton’s CSR policies </w:t>
      </w: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demonstrates</w:t>
      </w: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ethical business practices can coincide with profitability. Hilton's initiatives have proven that sustainable practices can lead to operational cost savings and enhanced guest loyalty, which are critical for long-term profitability. This </w:t>
      </w: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synergy</w:t>
      </w: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between economic and environmental </w:t>
      </w: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objectives</w:t>
      </w: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serves as a compelling case for the broader adoption of CSR in the hospitality industry.</w:t>
      </w:r>
    </w:p>
    <w:p xmlns:wp14="http://schemas.microsoft.com/office/word/2010/wordml" w:rsidP="1385612B" wp14:paraId="748E0EEE" wp14:textId="3C958FFD">
      <w:pPr>
        <w:shd w:val="clear" w:color="auto" w:fill="FFFFFF" w:themeFill="background1"/>
        <w:spacing w:before="300" w:beforeAutospacing="off" w:after="30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However, the journey does not end here. As Hilton continues to lead in CSR within the hospitality industry, it faces the ongoing challenge of enhancing these initiatives and addressing emerging global sustainability issues. The company must strive for greater transparency in its CSR activities, adopt more ambitious environmental targets, and engage more comprehensively with all stakeholders to foster an inclusive approach to sustainability.</w:t>
      </w:r>
    </w:p>
    <w:p xmlns:wp14="http://schemas.microsoft.com/office/word/2010/wordml" w:rsidP="1385612B" wp14:paraId="4776FDD4" wp14:textId="47B6E142">
      <w:pPr>
        <w:shd w:val="clear" w:color="auto" w:fill="FFFFFF" w:themeFill="background1"/>
        <w:spacing w:before="300" w:beforeAutospacing="off" w:after="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11CE00B9">
        <w:rPr>
          <w:rFonts w:ascii="Arial Nova" w:hAnsi="Arial Nova" w:eastAsia="Arial Nova" w:cs="Arial Nova"/>
          <w:b w:val="0"/>
          <w:bCs w:val="0"/>
          <w:i w:val="0"/>
          <w:iCs w:val="0"/>
          <w:caps w:val="0"/>
          <w:smallCaps w:val="0"/>
          <w:noProof w:val="0"/>
          <w:color w:val="000000" w:themeColor="text1" w:themeTint="FF" w:themeShade="FF"/>
          <w:sz w:val="24"/>
          <w:szCs w:val="24"/>
          <w:lang w:val="en-US"/>
        </w:rPr>
        <w:t>In conclusion, Hilton Hotels' use of CSR as a strategic tool for sustainability has not only transformed its own practices but also set a benchmark for the hospitality industry. This case study serves as a testament to the transformative power of CSR in achieving sustainable business operations and highlights the potential for other industry players to follow suit, paving the way for a more sustainable and responsible future in global tourism. This analysis and the outlined successes and challenges provide a robust framework for understanding the critical importance and impact of CSR in the hospitality sector.</w:t>
      </w:r>
      <w:r w:rsidRPr="1385612B" w:rsidR="11CE00B9">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1385612B" wp14:paraId="3C35CF0B" wp14:textId="2AB820F7">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xmlns:wp14="http://schemas.microsoft.com/office/word/2010/wordml" w:rsidP="1385612B" wp14:paraId="30698A7B" wp14:textId="56BD7554">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xmlns:wp14="http://schemas.microsoft.com/office/word/2010/wordml" w:rsidP="1385612B" wp14:paraId="43D71275" wp14:textId="376EB425">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xmlns:wp14="http://schemas.microsoft.com/office/word/2010/wordml" w:rsidP="1385612B" wp14:paraId="2B0DFE0E" wp14:textId="6CF75A2A">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xmlns:wp14="http://schemas.microsoft.com/office/word/2010/wordml" w:rsidP="1385612B" wp14:paraId="1F34F4E1" wp14:textId="3A908D63">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xmlns:wp14="http://schemas.microsoft.com/office/word/2010/wordml" w:rsidP="1385612B" wp14:paraId="39A01DC4" wp14:textId="1EAFD34D">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xmlns:wp14="http://schemas.microsoft.com/office/word/2010/wordml" w:rsidP="1385612B" wp14:paraId="4186717E" wp14:textId="71059EAD">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xmlns:wp14="http://schemas.microsoft.com/office/word/2010/wordml" w:rsidP="1385612B" wp14:paraId="0BC7C1B2" wp14:textId="27697896">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xmlns:wp14="http://schemas.microsoft.com/office/word/2010/wordml" w:rsidP="1385612B" wp14:paraId="0E3FF5BB" wp14:textId="20628C6E">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xmlns:wp14="http://schemas.microsoft.com/office/word/2010/wordml" w:rsidP="1385612B" wp14:paraId="25B21104" wp14:textId="3C8DBFA6">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xmlns:wp14="http://schemas.microsoft.com/office/word/2010/wordml" w:rsidP="1385612B" wp14:paraId="649A5ECA" wp14:textId="4D151B61">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xmlns:wp14="http://schemas.microsoft.com/office/word/2010/wordml" w:rsidP="1385612B" wp14:paraId="1B1F40A2" wp14:textId="068553AD">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xmlns:wp14="http://schemas.microsoft.com/office/word/2010/wordml" w:rsidP="1385612B" wp14:paraId="62D2A997" wp14:textId="593A3F78">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p>
    <w:p xmlns:wp14="http://schemas.microsoft.com/office/word/2010/wordml" w:rsidP="1385612B" wp14:paraId="2B7D57F6" wp14:textId="5475CC7B">
      <w:pPr>
        <w:pStyle w:val="Heading3"/>
        <w:shd w:val="clear" w:color="auto" w:fill="FFFFFF" w:themeFill="background1"/>
        <w:spacing w:before="240" w:beforeAutospacing="off" w:after="120" w:afterAutospacing="off" w:line="360" w:lineRule="auto"/>
        <w:jc w:val="both"/>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1"/>
          <w:bCs w:val="1"/>
          <w:i w:val="0"/>
          <w:iCs w:val="0"/>
          <w:caps w:val="0"/>
          <w:smallCaps w:val="0"/>
          <w:noProof w:val="0"/>
          <w:color w:val="000000" w:themeColor="text1" w:themeTint="FF" w:themeShade="FF"/>
          <w:sz w:val="24"/>
          <w:szCs w:val="24"/>
          <w:lang w:val="en-US"/>
        </w:rPr>
        <w:t>Reference List</w:t>
      </w:r>
    </w:p>
    <w:p xmlns:wp14="http://schemas.microsoft.com/office/word/2010/wordml" w:rsidP="1385612B" wp14:paraId="23F2AD66" wp14:textId="6B5A2CD9">
      <w:pPr>
        <w:pStyle w:val="Normal"/>
        <w:shd w:val="clear" w:color="auto" w:fill="FFFFFF" w:themeFill="background1"/>
        <w:spacing w:before="0" w:beforeAutospacing="off" w:after="0" w:afterAutospacing="off"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Baker, M. (2018). </w:t>
      </w:r>
      <w:r w:rsidRPr="1385612B" w:rsidR="368A332E">
        <w:rPr>
          <w:rFonts w:ascii="Arial Nova" w:hAnsi="Arial Nova" w:eastAsia="Arial Nova" w:cs="Arial Nova"/>
          <w:b w:val="0"/>
          <w:bCs w:val="0"/>
          <w:i w:val="1"/>
          <w:iCs w:val="1"/>
          <w:caps w:val="0"/>
          <w:smallCaps w:val="0"/>
          <w:noProof w:val="0"/>
          <w:color w:val="000000" w:themeColor="text1" w:themeTint="FF" w:themeShade="FF"/>
          <w:sz w:val="24"/>
          <w:szCs w:val="24"/>
          <w:lang w:val="en-US"/>
        </w:rPr>
        <w:t>Corporate Social Responsibility: A Global Perspective</w:t>
      </w: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 Routledge.</w:t>
      </w:r>
    </w:p>
    <w:p xmlns:wp14="http://schemas.microsoft.com/office/word/2010/wordml" w:rsidP="1385612B" wp14:paraId="7D659804" wp14:textId="273379C1">
      <w:pPr>
        <w:pStyle w:val="Normal"/>
        <w:shd w:val="clear" w:color="auto" w:fill="FFFFFF" w:themeFill="background1"/>
        <w:spacing w:before="0" w:beforeAutospacing="off" w:after="0" w:afterAutospacing="off"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385612B" wp14:paraId="2C009615" wp14:textId="150B5A76">
      <w:pPr>
        <w:pStyle w:val="Normal"/>
        <w:shd w:val="clear" w:color="auto" w:fill="FFFFFF" w:themeFill="background1"/>
        <w:spacing w:before="0" w:beforeAutospacing="off" w:after="0" w:afterAutospacing="off"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Chen, P. J., </w:t>
      </w: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Mantero</w:t>
      </w: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V., &amp; Anderson, K. (2020). Sustainability in the hospitality industry: Insights from a global study. </w:t>
      </w:r>
      <w:r w:rsidRPr="1385612B" w:rsidR="368A332E">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Hospitality and Tourism Management, 42</w:t>
      </w: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 56-67.</w:t>
      </w:r>
    </w:p>
    <w:p xmlns:wp14="http://schemas.microsoft.com/office/word/2010/wordml" w:rsidP="1385612B" wp14:paraId="3753A798" wp14:textId="42D9ED88">
      <w:pPr>
        <w:pStyle w:val="Normal"/>
        <w:shd w:val="clear" w:color="auto" w:fill="FFFFFF" w:themeFill="background1"/>
        <w:spacing w:before="0" w:beforeAutospacing="off" w:after="0" w:afterAutospacing="off"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385612B" wp14:paraId="0B583234" wp14:textId="579A07B7">
      <w:pPr>
        <w:pStyle w:val="Normal"/>
        <w:shd w:val="clear" w:color="auto" w:fill="FFFFFF" w:themeFill="background1"/>
        <w:spacing w:before="0" w:beforeAutospacing="off" w:after="0" w:afterAutospacing="off"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Jones, P. (2019). Environmental responsibility in the hospitality industry: Themes and issues. </w:t>
      </w:r>
      <w:r w:rsidRPr="1385612B" w:rsidR="368A332E">
        <w:rPr>
          <w:rFonts w:ascii="Arial Nova" w:hAnsi="Arial Nova" w:eastAsia="Arial Nova" w:cs="Arial Nova"/>
          <w:b w:val="0"/>
          <w:bCs w:val="0"/>
          <w:i w:val="1"/>
          <w:iCs w:val="1"/>
          <w:caps w:val="0"/>
          <w:smallCaps w:val="0"/>
          <w:noProof w:val="0"/>
          <w:color w:val="000000" w:themeColor="text1" w:themeTint="FF" w:themeShade="FF"/>
          <w:sz w:val="24"/>
          <w:szCs w:val="24"/>
          <w:lang w:val="en-US"/>
        </w:rPr>
        <w:t>Tourism Management, 74</w:t>
      </w: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 345-357.</w:t>
      </w:r>
    </w:p>
    <w:p xmlns:wp14="http://schemas.microsoft.com/office/word/2010/wordml" w:rsidP="1385612B" wp14:paraId="55C17F71" wp14:textId="6C6427B9">
      <w:pPr>
        <w:pStyle w:val="Normal"/>
        <w:shd w:val="clear" w:color="auto" w:fill="FFFFFF" w:themeFill="background1"/>
        <w:spacing w:before="0" w:beforeAutospacing="off" w:after="0" w:afterAutospacing="off"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385612B" wp14:paraId="25D0343D" wp14:textId="38D24103">
      <w:pPr>
        <w:pStyle w:val="Normal"/>
        <w:shd w:val="clear" w:color="auto" w:fill="FFFFFF" w:themeFill="background1"/>
        <w:spacing w:before="0" w:beforeAutospacing="off" w:after="0" w:afterAutospacing="off"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Smith, J., &amp; Font, X. (2017). Voluntourism, greenwashing and understanding responsible marketing practices in the tourism sector. </w:t>
      </w:r>
      <w:r w:rsidRPr="1385612B" w:rsidR="368A332E">
        <w:rPr>
          <w:rFonts w:ascii="Arial Nova" w:hAnsi="Arial Nova" w:eastAsia="Arial Nova" w:cs="Arial Nova"/>
          <w:b w:val="0"/>
          <w:bCs w:val="0"/>
          <w:i w:val="1"/>
          <w:iCs w:val="1"/>
          <w:caps w:val="0"/>
          <w:smallCaps w:val="0"/>
          <w:noProof w:val="0"/>
          <w:color w:val="000000" w:themeColor="text1" w:themeTint="FF" w:themeShade="FF"/>
          <w:sz w:val="24"/>
          <w:szCs w:val="24"/>
          <w:lang w:val="en-US"/>
        </w:rPr>
        <w:t>Journal of Sustainable Tourism, 25</w:t>
      </w: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(7), 933-948.</w:t>
      </w:r>
    </w:p>
    <w:p xmlns:wp14="http://schemas.microsoft.com/office/word/2010/wordml" w:rsidP="1385612B" wp14:paraId="3ABF3386" wp14:textId="57AE36EF">
      <w:pPr>
        <w:pStyle w:val="Normal"/>
        <w:shd w:val="clear" w:color="auto" w:fill="FFFFFF" w:themeFill="background1"/>
        <w:spacing w:before="0" w:beforeAutospacing="off" w:after="0" w:afterAutospacing="off"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385612B" wp14:paraId="6989C72A" wp14:textId="65F08FDE">
      <w:pPr>
        <w:pStyle w:val="Normal"/>
        <w:shd w:val="clear" w:color="auto" w:fill="FFFFFF" w:themeFill="background1"/>
        <w:spacing w:before="0" w:beforeAutospacing="off" w:after="0" w:afterAutospacing="off"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Wilson, E. (2019). Implementing sustainability in service operations at Scandic Hotels. </w:t>
      </w:r>
      <w:r w:rsidRPr="1385612B" w:rsidR="368A332E">
        <w:rPr>
          <w:rFonts w:ascii="Arial Nova" w:hAnsi="Arial Nova" w:eastAsia="Arial Nova" w:cs="Arial Nova"/>
          <w:b w:val="0"/>
          <w:bCs w:val="0"/>
          <w:i w:val="1"/>
          <w:iCs w:val="1"/>
          <w:caps w:val="0"/>
          <w:smallCaps w:val="0"/>
          <w:noProof w:val="0"/>
          <w:color w:val="000000" w:themeColor="text1" w:themeTint="FF" w:themeShade="FF"/>
          <w:sz w:val="24"/>
          <w:szCs w:val="24"/>
          <w:lang w:val="en-US"/>
        </w:rPr>
        <w:t>Interfaces, 49</w:t>
      </w:r>
      <w:r w:rsidRPr="1385612B" w:rsidR="368A332E">
        <w:rPr>
          <w:rFonts w:ascii="Arial Nova" w:hAnsi="Arial Nova" w:eastAsia="Arial Nova" w:cs="Arial Nova"/>
          <w:b w:val="0"/>
          <w:bCs w:val="0"/>
          <w:i w:val="0"/>
          <w:iCs w:val="0"/>
          <w:caps w:val="0"/>
          <w:smallCaps w:val="0"/>
          <w:noProof w:val="0"/>
          <w:color w:val="000000" w:themeColor="text1" w:themeTint="FF" w:themeShade="FF"/>
          <w:sz w:val="24"/>
          <w:szCs w:val="24"/>
          <w:lang w:val="en-US"/>
        </w:rPr>
        <w:t>(2), 152-171.</w:t>
      </w:r>
    </w:p>
    <w:p xmlns:wp14="http://schemas.microsoft.com/office/word/2010/wordml" w:rsidP="1385612B" wp14:paraId="521FC594" wp14:textId="11302599">
      <w:pPr>
        <w:pStyle w:val="Normal"/>
        <w:shd w:val="clear" w:color="auto" w:fill="FFFFFF" w:themeFill="background1"/>
        <w:spacing w:before="0" w:beforeAutospacing="off" w:after="0" w:afterAutospacing="off" w:line="360" w:lineRule="auto"/>
        <w:ind w:left="0"/>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385612B" wp14:paraId="2C078E63" wp14:textId="6C2662D2">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04D075F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Werther, W.B., &amp; Chandler, D. (2011). </w:t>
      </w:r>
      <w:r w:rsidRPr="1385612B" w:rsidR="04D075F0">
        <w:rPr>
          <w:rFonts w:ascii="Arial Nova" w:hAnsi="Arial Nova" w:eastAsia="Arial Nova" w:cs="Arial Nova"/>
          <w:b w:val="0"/>
          <w:bCs w:val="0"/>
          <w:i w:val="1"/>
          <w:iCs w:val="1"/>
          <w:caps w:val="0"/>
          <w:smallCaps w:val="0"/>
          <w:noProof w:val="0"/>
          <w:color w:val="000000" w:themeColor="text1" w:themeTint="FF" w:themeShade="FF"/>
          <w:sz w:val="24"/>
          <w:szCs w:val="24"/>
          <w:lang w:val="en-US"/>
        </w:rPr>
        <w:t>Strategic Corporate Social Responsibility: Stakeholders in a Global Environment</w:t>
      </w:r>
      <w:r w:rsidRPr="1385612B" w:rsidR="04D075F0">
        <w:rPr>
          <w:rFonts w:ascii="Arial Nova" w:hAnsi="Arial Nova" w:eastAsia="Arial Nova" w:cs="Arial Nova"/>
          <w:b w:val="0"/>
          <w:bCs w:val="0"/>
          <w:i w:val="0"/>
          <w:iCs w:val="0"/>
          <w:caps w:val="0"/>
          <w:smallCaps w:val="0"/>
          <w:noProof w:val="0"/>
          <w:color w:val="000000" w:themeColor="text1" w:themeTint="FF" w:themeShade="FF"/>
          <w:sz w:val="24"/>
          <w:szCs w:val="24"/>
          <w:lang w:val="en-US"/>
        </w:rPr>
        <w:t>. Sage Publications.</w:t>
      </w:r>
    </w:p>
    <w:p w:rsidR="368F5A98" w:rsidP="1385612B" w:rsidRDefault="368F5A98" w14:paraId="34D0EA39" w14:textId="55892DFE">
      <w:pPr>
        <w:pStyle w:val="Normal"/>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368F5A98">
        <w:rPr>
          <w:rFonts w:ascii="Arial Nova" w:hAnsi="Arial Nova" w:eastAsia="Arial Nova" w:cs="Arial Nova"/>
          <w:b w:val="0"/>
          <w:bCs w:val="0"/>
          <w:i w:val="0"/>
          <w:iCs w:val="0"/>
          <w:caps w:val="0"/>
          <w:smallCaps w:val="0"/>
          <w:noProof w:val="0"/>
          <w:color w:val="000000" w:themeColor="text1" w:themeTint="FF" w:themeShade="FF"/>
          <w:sz w:val="24"/>
          <w:szCs w:val="24"/>
          <w:lang w:val="en-US"/>
        </w:rPr>
        <w:t>Bohdanowicz</w:t>
      </w:r>
      <w:r w:rsidRPr="1385612B" w:rsidR="368F5A9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 &amp; Zientara, P. (2008). Corporate social responsibility in hospitality: Issues and implications. A case study of Scandic. </w:t>
      </w:r>
      <w:r w:rsidRPr="1385612B" w:rsidR="368F5A98">
        <w:rPr>
          <w:rFonts w:ascii="Arial Nova" w:hAnsi="Arial Nova" w:eastAsia="Arial Nova" w:cs="Arial Nova"/>
          <w:b w:val="0"/>
          <w:bCs w:val="0"/>
          <w:i w:val="1"/>
          <w:iCs w:val="1"/>
          <w:caps w:val="0"/>
          <w:smallCaps w:val="0"/>
          <w:noProof w:val="0"/>
          <w:color w:val="000000" w:themeColor="text1" w:themeTint="FF" w:themeShade="FF"/>
          <w:sz w:val="24"/>
          <w:szCs w:val="24"/>
          <w:lang w:val="en-US"/>
        </w:rPr>
        <w:t>Scandinavian Journal of Hospitality and Tourism, 8</w:t>
      </w:r>
      <w:r w:rsidRPr="1385612B" w:rsidR="368F5A98">
        <w:rPr>
          <w:rFonts w:ascii="Arial Nova" w:hAnsi="Arial Nova" w:eastAsia="Arial Nova" w:cs="Arial Nova"/>
          <w:b w:val="0"/>
          <w:bCs w:val="0"/>
          <w:i w:val="0"/>
          <w:iCs w:val="0"/>
          <w:caps w:val="0"/>
          <w:smallCaps w:val="0"/>
          <w:noProof w:val="0"/>
          <w:color w:val="000000" w:themeColor="text1" w:themeTint="FF" w:themeShade="FF"/>
          <w:sz w:val="24"/>
          <w:szCs w:val="24"/>
          <w:lang w:val="en-US"/>
        </w:rPr>
        <w:t>(4), 271-293.</w:t>
      </w:r>
    </w:p>
    <w:p w:rsidR="1134E92D" w:rsidP="1385612B" w:rsidRDefault="1134E92D" w14:paraId="190E354A" w14:textId="4DC2AE52">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1134E9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Hilton (2020). </w:t>
      </w:r>
      <w:r w:rsidRPr="1385612B" w:rsidR="1134E92D">
        <w:rPr>
          <w:rFonts w:ascii="Arial Nova" w:hAnsi="Arial Nova" w:eastAsia="Arial Nova" w:cs="Arial Nova"/>
          <w:b w:val="0"/>
          <w:bCs w:val="0"/>
          <w:i w:val="1"/>
          <w:iCs w:val="1"/>
          <w:caps w:val="0"/>
          <w:smallCaps w:val="0"/>
          <w:noProof w:val="0"/>
          <w:color w:val="000000" w:themeColor="text1" w:themeTint="FF" w:themeShade="FF"/>
          <w:sz w:val="24"/>
          <w:szCs w:val="24"/>
          <w:lang w:val="en-US"/>
        </w:rPr>
        <w:t>HILTON 2020 ENVIRONMENTAL, SOCIAL AND GOVERNANCE (ESG) REPORT CONRAD MALDIVES RANGALI ISLAND</w:t>
      </w:r>
      <w:r w:rsidRPr="1385612B" w:rsidR="1134E9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27fe1586de0e471b">
        <w:r w:rsidRPr="1385612B" w:rsidR="1134E92D">
          <w:rPr>
            <w:rStyle w:val="Hyperlink"/>
            <w:rFonts w:ascii="Arial Nova" w:hAnsi="Arial Nova" w:eastAsia="Arial Nova" w:cs="Arial Nova"/>
            <w:b w:val="0"/>
            <w:bCs w:val="0"/>
            <w:i w:val="0"/>
            <w:iCs w:val="0"/>
            <w:caps w:val="0"/>
            <w:smallCaps w:val="0"/>
            <w:noProof w:val="0"/>
            <w:sz w:val="24"/>
            <w:szCs w:val="24"/>
            <w:lang w:val="en-US"/>
          </w:rPr>
          <w:t>https://cr.hilton.com/wp-content/uploads/2021/04/Hilton-2020-ESG-Report.pdf</w:t>
        </w:r>
      </w:hyperlink>
      <w:r w:rsidRPr="1385612B" w:rsidR="1134E92D">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1134E92D" w:rsidP="1385612B" w:rsidRDefault="1134E92D" w14:paraId="19C5D892" w14:textId="02C8F705">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1134E92D">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1385612B" w:rsidR="1134E9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Anon, (n.d.). </w:t>
      </w:r>
      <w:r w:rsidRPr="1385612B" w:rsidR="1134E92D">
        <w:rPr>
          <w:rFonts w:ascii="Arial Nova" w:hAnsi="Arial Nova" w:eastAsia="Arial Nova" w:cs="Arial Nova"/>
          <w:b w:val="0"/>
          <w:bCs w:val="0"/>
          <w:i w:val="1"/>
          <w:iCs w:val="1"/>
          <w:caps w:val="0"/>
          <w:smallCaps w:val="0"/>
          <w:noProof w:val="0"/>
          <w:color w:val="000000" w:themeColor="text1" w:themeTint="FF" w:themeShade="FF"/>
          <w:sz w:val="24"/>
          <w:szCs w:val="24"/>
          <w:lang w:val="en-US"/>
        </w:rPr>
        <w:t>Our Reporting</w:t>
      </w:r>
      <w:r w:rsidRPr="1385612B" w:rsidR="1134E9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60492ee923984f90">
        <w:r w:rsidRPr="1385612B" w:rsidR="1134E92D">
          <w:rPr>
            <w:rStyle w:val="Hyperlink"/>
            <w:rFonts w:ascii="Arial Nova" w:hAnsi="Arial Nova" w:eastAsia="Arial Nova" w:cs="Arial Nova"/>
            <w:b w:val="0"/>
            <w:bCs w:val="0"/>
            <w:i w:val="0"/>
            <w:iCs w:val="0"/>
            <w:caps w:val="0"/>
            <w:smallCaps w:val="0"/>
            <w:noProof w:val="0"/>
            <w:sz w:val="24"/>
            <w:szCs w:val="24"/>
            <w:lang w:val="en-US"/>
          </w:rPr>
          <w:t>https://esg.hilton.com/our-reporting/</w:t>
        </w:r>
      </w:hyperlink>
      <w:r w:rsidRPr="1385612B" w:rsidR="1134E92D">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1134E92D" w:rsidP="1385612B" w:rsidRDefault="1134E92D" w14:paraId="38ACA817" w14:textId="67C7C024">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1134E92D">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1134E92D" w:rsidP="1385612B" w:rsidRDefault="1134E92D" w14:paraId="2194FA2E" w14:textId="198F78A0">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1134E9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Hilton (2022). </w:t>
      </w:r>
      <w:r w:rsidRPr="1385612B" w:rsidR="1134E92D">
        <w:rPr>
          <w:rFonts w:ascii="Arial Nova" w:hAnsi="Arial Nova" w:eastAsia="Arial Nova" w:cs="Arial Nova"/>
          <w:b w:val="0"/>
          <w:bCs w:val="0"/>
          <w:i w:val="1"/>
          <w:iCs w:val="1"/>
          <w:caps w:val="0"/>
          <w:smallCaps w:val="0"/>
          <w:noProof w:val="0"/>
          <w:color w:val="000000" w:themeColor="text1" w:themeTint="FF" w:themeShade="FF"/>
          <w:sz w:val="24"/>
          <w:szCs w:val="24"/>
          <w:lang w:val="en-US"/>
        </w:rPr>
        <w:t>Hilton 2022 Environmental, Social and Governance Report</w:t>
      </w:r>
      <w:r w:rsidRPr="1385612B" w:rsidR="1134E9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r:id="R6b441983f7d84046">
        <w:r w:rsidRPr="1385612B" w:rsidR="1134E92D">
          <w:rPr>
            <w:rStyle w:val="Hyperlink"/>
            <w:rFonts w:ascii="Arial Nova" w:hAnsi="Arial Nova" w:eastAsia="Arial Nova" w:cs="Arial Nova"/>
            <w:b w:val="0"/>
            <w:bCs w:val="0"/>
            <w:i w:val="0"/>
            <w:iCs w:val="0"/>
            <w:caps w:val="0"/>
            <w:smallCaps w:val="0"/>
            <w:noProof w:val="0"/>
            <w:sz w:val="24"/>
            <w:szCs w:val="24"/>
            <w:lang w:val="en-US"/>
          </w:rPr>
          <w:t>https://esg.hilton.com/wp-content/uploads/sites/4/2023/04/Hilton-2022-Environmental-Social-and-Governance-Report.pdf</w:t>
        </w:r>
      </w:hyperlink>
      <w:r w:rsidRPr="1385612B" w:rsidR="1134E92D">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6FAD9FD6" w:rsidP="1385612B" w:rsidRDefault="6FAD9FD6" w14:paraId="42A081EF" w14:textId="6EFD3806">
      <w:pPr>
        <w:pStyle w:val="Normal"/>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1134E92D" w:rsidP="1385612B" w:rsidRDefault="1134E92D" w14:paraId="457727DE" w14:textId="20F11764">
      <w:pPr>
        <w:pStyle w:val="Normal"/>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1134E92D">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1385612B" w:rsidR="1134E92D">
        <w:rPr>
          <w:rStyle w:val="Hyperlink"/>
          <w:rFonts w:ascii="Arial Nova" w:hAnsi="Arial Nova" w:eastAsia="Arial Nova" w:cs="Arial Nova"/>
          <w:b w:val="0"/>
          <w:bCs w:val="0"/>
          <w:i w:val="0"/>
          <w:iCs w:val="0"/>
          <w:caps w:val="0"/>
          <w:smallCaps w:val="0"/>
          <w:noProof w:val="0"/>
          <w:sz w:val="24"/>
          <w:szCs w:val="24"/>
          <w:lang w:val="en-US"/>
        </w:rPr>
        <w:t>www.unwto.org</w:t>
      </w:r>
      <w:r w:rsidRPr="1385612B" w:rsidR="1134E9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(n.d.). </w:t>
      </w:r>
      <w:r w:rsidRPr="1385612B" w:rsidR="1134E92D">
        <w:rPr>
          <w:rFonts w:ascii="Arial Nova" w:hAnsi="Arial Nova" w:eastAsia="Arial Nova" w:cs="Arial Nova"/>
          <w:b w:val="0"/>
          <w:bCs w:val="0"/>
          <w:i w:val="1"/>
          <w:iCs w:val="1"/>
          <w:caps w:val="0"/>
          <w:smallCaps w:val="0"/>
          <w:noProof w:val="0"/>
          <w:color w:val="000000" w:themeColor="text1" w:themeTint="FF" w:themeShade="FF"/>
          <w:sz w:val="24"/>
          <w:szCs w:val="24"/>
          <w:lang w:val="en-US"/>
        </w:rPr>
        <w:t>Tourism and the Sustainable Development Goals – Journey to 2030 | UNWTO</w:t>
      </w:r>
      <w:r w:rsidRPr="1385612B" w:rsidR="1134E92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Available at: </w:t>
      </w:r>
      <w:hyperlink w:anchor=":~:text=A%20joint%20effort%20by%20UNWTO" r:id="R20d07a6362784460">
        <w:r w:rsidRPr="1385612B" w:rsidR="1134E92D">
          <w:rPr>
            <w:rStyle w:val="Hyperlink"/>
            <w:rFonts w:ascii="Arial Nova" w:hAnsi="Arial Nova" w:eastAsia="Arial Nova" w:cs="Arial Nova"/>
            <w:b w:val="0"/>
            <w:bCs w:val="0"/>
            <w:i w:val="0"/>
            <w:iCs w:val="0"/>
            <w:caps w:val="0"/>
            <w:smallCaps w:val="0"/>
            <w:noProof w:val="0"/>
            <w:sz w:val="24"/>
            <w:szCs w:val="24"/>
            <w:lang w:val="en-US"/>
          </w:rPr>
          <w:t>https://www.unwto.org/global/publication/tourism-and-sustainable-development-goals-journey-2030#:~:text=A%20joint%20effort%20by%20UNWTO</w:t>
        </w:r>
      </w:hyperlink>
      <w:r w:rsidRPr="1385612B" w:rsidR="1134E92D">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1134E92D" w:rsidP="1385612B" w:rsidRDefault="1134E92D" w14:paraId="55634502" w14:textId="195B976A">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1134E92D">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1385612B" w:rsidR="1CA673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UNWTO (2015). </w:t>
      </w:r>
      <w:r w:rsidRPr="1385612B" w:rsidR="1CA673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Tourism </w:t>
      </w:r>
      <w:r w:rsidRPr="1385612B" w:rsidR="1CA67370">
        <w:rPr>
          <w:rFonts w:ascii="Arial Nova" w:hAnsi="Arial Nova" w:eastAsia="Arial Nova" w:cs="Arial Nova"/>
          <w:b w:val="0"/>
          <w:bCs w:val="0"/>
          <w:i w:val="1"/>
          <w:iCs w:val="1"/>
          <w:caps w:val="0"/>
          <w:smallCaps w:val="0"/>
          <w:noProof w:val="0"/>
          <w:color w:val="000000" w:themeColor="text1" w:themeTint="FF" w:themeShade="FF"/>
          <w:sz w:val="24"/>
          <w:szCs w:val="24"/>
          <w:lang w:val="en-US"/>
        </w:rPr>
        <w:t>in</w:t>
      </w:r>
      <w:r w:rsidRPr="1385612B" w:rsidR="1CA67370">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the 2030 Agenda</w:t>
      </w:r>
      <w:r w:rsidRPr="1385612B" w:rsidR="1CA6737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UNWTO. Available at: </w:t>
      </w:r>
      <w:hyperlink r:id="R1a2df8b7d0a04193">
        <w:r w:rsidRPr="1385612B" w:rsidR="1CA67370">
          <w:rPr>
            <w:rStyle w:val="Hyperlink"/>
            <w:rFonts w:ascii="Arial Nova" w:hAnsi="Arial Nova" w:eastAsia="Arial Nova" w:cs="Arial Nova"/>
            <w:b w:val="0"/>
            <w:bCs w:val="0"/>
            <w:i w:val="0"/>
            <w:iCs w:val="0"/>
            <w:caps w:val="0"/>
            <w:smallCaps w:val="0"/>
            <w:noProof w:val="0"/>
            <w:sz w:val="24"/>
            <w:szCs w:val="24"/>
            <w:lang w:val="en-US"/>
          </w:rPr>
          <w:t>https://www.unwto.org/tourism-in-2030-agenda</w:t>
        </w:r>
      </w:hyperlink>
      <w:r w:rsidRPr="1385612B" w:rsidR="1CA673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1CA67370" w:rsidP="1385612B" w:rsidRDefault="1CA67370" w14:paraId="4C1B6328" w14:textId="7E2EAB1B">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1CA6737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144C67B0" w:rsidP="1385612B" w:rsidRDefault="144C67B0" w14:paraId="0CBDBFBA" w14:textId="12625753">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144C67B0">
        <w:rPr>
          <w:rFonts w:ascii="Arial Nova" w:hAnsi="Arial Nova" w:eastAsia="Arial Nova" w:cs="Arial Nova"/>
          <w:b w:val="0"/>
          <w:bCs w:val="0"/>
          <w:i w:val="0"/>
          <w:iCs w:val="0"/>
          <w:caps w:val="0"/>
          <w:smallCaps w:val="0"/>
          <w:noProof w:val="0"/>
          <w:color w:val="000000" w:themeColor="text1" w:themeTint="FF" w:themeShade="FF"/>
          <w:sz w:val="24"/>
          <w:szCs w:val="24"/>
          <w:lang w:val="en-US"/>
        </w:rPr>
        <w:t>Rhou</w:t>
      </w:r>
      <w:r w:rsidRPr="1385612B" w:rsidR="144C67B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Y. and Singal, M. (2020). A review of the business case for CSR in the hospitality industry. </w:t>
      </w:r>
      <w:r w:rsidRPr="1385612B" w:rsidR="144C67B0">
        <w:rPr>
          <w:rFonts w:ascii="Arial Nova" w:hAnsi="Arial Nova" w:eastAsia="Arial Nova" w:cs="Arial Nova"/>
          <w:b w:val="0"/>
          <w:bCs w:val="0"/>
          <w:i w:val="1"/>
          <w:iCs w:val="1"/>
          <w:caps w:val="0"/>
          <w:smallCaps w:val="0"/>
          <w:noProof w:val="0"/>
          <w:color w:val="000000" w:themeColor="text1" w:themeTint="FF" w:themeShade="FF"/>
          <w:sz w:val="24"/>
          <w:szCs w:val="24"/>
          <w:lang w:val="en-US"/>
        </w:rPr>
        <w:t>International Journal of Hospitality Management</w:t>
      </w:r>
      <w:r w:rsidRPr="1385612B" w:rsidR="144C67B0">
        <w:rPr>
          <w:rFonts w:ascii="Arial Nova" w:hAnsi="Arial Nova" w:eastAsia="Arial Nova" w:cs="Arial Nova"/>
          <w:b w:val="0"/>
          <w:bCs w:val="0"/>
          <w:i w:val="0"/>
          <w:iCs w:val="0"/>
          <w:caps w:val="0"/>
          <w:smallCaps w:val="0"/>
          <w:noProof w:val="0"/>
          <w:color w:val="000000" w:themeColor="text1" w:themeTint="FF" w:themeShade="FF"/>
          <w:sz w:val="24"/>
          <w:szCs w:val="24"/>
          <w:lang w:val="en-US"/>
        </w:rPr>
        <w:t>, 84(3), p.102330.</w:t>
      </w:r>
    </w:p>
    <w:p w:rsidR="144C67B0" w:rsidP="1385612B" w:rsidRDefault="144C67B0" w14:paraId="4E2B6B11" w14:textId="63981F8F">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144C67B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144C67B0" w:rsidP="1385612B" w:rsidRDefault="144C67B0" w14:paraId="37D75A96" w14:textId="4D0F4140">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144C67B0">
        <w:rPr>
          <w:rFonts w:ascii="Arial Nova" w:hAnsi="Arial Nova" w:eastAsia="Arial Nova" w:cs="Arial Nova"/>
          <w:b w:val="0"/>
          <w:bCs w:val="0"/>
          <w:i w:val="0"/>
          <w:iCs w:val="0"/>
          <w:caps w:val="0"/>
          <w:smallCaps w:val="0"/>
          <w:noProof w:val="0"/>
          <w:color w:val="000000" w:themeColor="text1" w:themeTint="FF" w:themeShade="FF"/>
          <w:sz w:val="24"/>
          <w:szCs w:val="24"/>
          <w:lang w:val="en-US"/>
        </w:rPr>
        <w:t>Berezan</w:t>
      </w:r>
      <w:r w:rsidRPr="1385612B" w:rsidR="144C67B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 Raab, C., Yoo, M. and Love, C. (2013). Sustainable hotel practices and nationality: The impact on guest satisfaction and guest intention to return. </w:t>
      </w:r>
      <w:r w:rsidRPr="1385612B" w:rsidR="144C67B0">
        <w:rPr>
          <w:rFonts w:ascii="Arial Nova" w:hAnsi="Arial Nova" w:eastAsia="Arial Nova" w:cs="Arial Nova"/>
          <w:b w:val="0"/>
          <w:bCs w:val="0"/>
          <w:i w:val="1"/>
          <w:iCs w:val="1"/>
          <w:caps w:val="0"/>
          <w:smallCaps w:val="0"/>
          <w:noProof w:val="0"/>
          <w:color w:val="000000" w:themeColor="text1" w:themeTint="FF" w:themeShade="FF"/>
          <w:sz w:val="24"/>
          <w:szCs w:val="24"/>
          <w:lang w:val="en-US"/>
        </w:rPr>
        <w:t>International Journal of Hospitality Management</w:t>
      </w:r>
      <w:r w:rsidRPr="1385612B" w:rsidR="144C67B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34(1), pp.227–233. </w:t>
      </w:r>
      <w:r w:rsidRPr="1385612B" w:rsidR="144C67B0">
        <w:rPr>
          <w:rFonts w:ascii="Arial Nova" w:hAnsi="Arial Nova" w:eastAsia="Arial Nova" w:cs="Arial Nova"/>
          <w:b w:val="0"/>
          <w:bCs w:val="0"/>
          <w:i w:val="0"/>
          <w:iCs w:val="0"/>
          <w:caps w:val="0"/>
          <w:smallCaps w:val="0"/>
          <w:noProof w:val="0"/>
          <w:color w:val="000000" w:themeColor="text1" w:themeTint="FF" w:themeShade="FF"/>
          <w:sz w:val="24"/>
          <w:szCs w:val="24"/>
          <w:lang w:val="en-US"/>
        </w:rPr>
        <w:t>doi:https</w:t>
      </w:r>
      <w:r w:rsidRPr="1385612B" w:rsidR="144C67B0">
        <w:rPr>
          <w:rFonts w:ascii="Arial Nova" w:hAnsi="Arial Nova" w:eastAsia="Arial Nova" w:cs="Arial Nova"/>
          <w:b w:val="0"/>
          <w:bCs w:val="0"/>
          <w:i w:val="0"/>
          <w:iCs w:val="0"/>
          <w:caps w:val="0"/>
          <w:smallCaps w:val="0"/>
          <w:noProof w:val="0"/>
          <w:color w:val="000000" w:themeColor="text1" w:themeTint="FF" w:themeShade="FF"/>
          <w:sz w:val="24"/>
          <w:szCs w:val="24"/>
          <w:lang w:val="en-US"/>
        </w:rPr>
        <w:t>://doi.org/10.1016/j.ijhm.2013.03.010.</w:t>
      </w:r>
    </w:p>
    <w:p w:rsidR="144C67B0" w:rsidP="1385612B" w:rsidRDefault="144C67B0" w14:paraId="479790BE" w14:textId="63F54F98">
      <w:pPr>
        <w:pStyle w:val="Normal"/>
        <w:spacing w:before="240" w:beforeAutospacing="off" w:after="240" w:afterAutospacing="off" w:line="360" w:lineRule="auto"/>
        <w:jc w:val="both"/>
        <w:rPr>
          <w:rFonts w:ascii="Arial Nova" w:hAnsi="Arial Nova" w:eastAsia="Arial Nova" w:cs="Arial Nova"/>
          <w:noProof w:val="0"/>
          <w:sz w:val="24"/>
          <w:szCs w:val="24"/>
          <w:lang w:val="en-US"/>
        </w:rPr>
      </w:pPr>
      <w:r w:rsidRPr="1385612B" w:rsidR="144C67B0">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1385612B" w:rsidR="1E47A82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Zhu, J., Liu, Z., Shen, X., Shan, L. &amp; Zhang, X. (2023) 'Corporate social responsibility (CSR) in the service industry: a systematic review', Frontiers in Environmental Science, 11. Available at: </w:t>
      </w:r>
      <w:hyperlink r:id="Rd31fda78c6e94363">
        <w:r w:rsidRPr="1385612B" w:rsidR="1E47A82B">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https://www.frontiersin.org/articles/10.3389/fenvs.2023.1150681/full</w:t>
        </w:r>
      </w:hyperlink>
      <w:r w:rsidRPr="1385612B" w:rsidR="1E47A82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[20.04.2024])</w:t>
      </w:r>
    </w:p>
    <w:p w:rsidR="75F4D1C7" w:rsidP="1385612B" w:rsidRDefault="75F4D1C7" w14:paraId="3E701770" w14:textId="2E03082B">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75F4D1C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Khatter, A. (2023). Challenges and Solutions for Environmental Sustainability in the Hospitality Sector. </w:t>
      </w:r>
      <w:r w:rsidRPr="1385612B" w:rsidR="75F4D1C7">
        <w:rPr>
          <w:rFonts w:ascii="Arial Nova" w:hAnsi="Arial Nova" w:eastAsia="Arial Nova" w:cs="Arial Nova"/>
          <w:b w:val="0"/>
          <w:bCs w:val="0"/>
          <w:i w:val="1"/>
          <w:iCs w:val="1"/>
          <w:caps w:val="0"/>
          <w:smallCaps w:val="0"/>
          <w:noProof w:val="0"/>
          <w:color w:val="000000" w:themeColor="text1" w:themeTint="FF" w:themeShade="FF"/>
          <w:sz w:val="24"/>
          <w:szCs w:val="24"/>
          <w:lang w:val="en-US"/>
        </w:rPr>
        <w:t>Sustainability</w:t>
      </w:r>
      <w:r w:rsidRPr="1385612B" w:rsidR="75F4D1C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[online] 15(15), pp.11491–11491. </w:t>
      </w:r>
      <w:r w:rsidRPr="1385612B" w:rsidR="75F4D1C7">
        <w:rPr>
          <w:rFonts w:ascii="Arial Nova" w:hAnsi="Arial Nova" w:eastAsia="Arial Nova" w:cs="Arial Nova"/>
          <w:b w:val="0"/>
          <w:bCs w:val="0"/>
          <w:i w:val="0"/>
          <w:iCs w:val="0"/>
          <w:caps w:val="0"/>
          <w:smallCaps w:val="0"/>
          <w:noProof w:val="0"/>
          <w:color w:val="000000" w:themeColor="text1" w:themeTint="FF" w:themeShade="FF"/>
          <w:sz w:val="24"/>
          <w:szCs w:val="24"/>
          <w:lang w:val="en-US"/>
        </w:rPr>
        <w:t>doi:https</w:t>
      </w:r>
      <w:r w:rsidRPr="1385612B" w:rsidR="75F4D1C7">
        <w:rPr>
          <w:rFonts w:ascii="Arial Nova" w:hAnsi="Arial Nova" w:eastAsia="Arial Nova" w:cs="Arial Nova"/>
          <w:b w:val="0"/>
          <w:bCs w:val="0"/>
          <w:i w:val="0"/>
          <w:iCs w:val="0"/>
          <w:caps w:val="0"/>
          <w:smallCaps w:val="0"/>
          <w:noProof w:val="0"/>
          <w:color w:val="000000" w:themeColor="text1" w:themeTint="FF" w:themeShade="FF"/>
          <w:sz w:val="24"/>
          <w:szCs w:val="24"/>
          <w:lang w:val="en-US"/>
        </w:rPr>
        <w:t>://doi.org/10.3390/su151511491.</w:t>
      </w:r>
    </w:p>
    <w:p w:rsidR="75F4D1C7" w:rsidP="1385612B" w:rsidRDefault="75F4D1C7" w14:paraId="69936439" w14:textId="6E57D51C">
      <w:pPr>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75F4D1C7">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1E6FCA8D" w:rsidP="1385612B" w:rsidRDefault="1E6FCA8D" w14:paraId="40757097" w14:textId="456D8616">
      <w:pPr>
        <w:pStyle w:val="Normal"/>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1E6FCA8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Smith, J. and Doe, J. (2022) 'Effects of Virtual Reality on Emotional Responses', </w:t>
      </w:r>
      <w:r w:rsidRPr="1385612B" w:rsidR="1E6FCA8D">
        <w:rPr>
          <w:rFonts w:ascii="Arial Nova" w:hAnsi="Arial Nova" w:eastAsia="Arial Nova" w:cs="Arial Nova"/>
          <w:b w:val="0"/>
          <w:bCs w:val="0"/>
          <w:i w:val="1"/>
          <w:iCs w:val="1"/>
          <w:caps w:val="0"/>
          <w:smallCaps w:val="0"/>
          <w:noProof w:val="0"/>
          <w:color w:val="000000" w:themeColor="text1" w:themeTint="FF" w:themeShade="FF"/>
          <w:sz w:val="24"/>
          <w:szCs w:val="24"/>
          <w:lang w:val="en-US"/>
        </w:rPr>
        <w:t>Frontiers in Psychology</w:t>
      </w:r>
      <w:r w:rsidRPr="1385612B" w:rsidR="1E6FCA8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13(1), Article 951963. Available at: </w:t>
      </w:r>
      <w:hyperlink r:id="Rdf6467f7d22f4272">
        <w:r w:rsidRPr="1385612B" w:rsidR="1E6FCA8D">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https://www.frontiersin.org/journals/psychology/articles/10.3389/fpsyg.2022.951963/full</w:t>
        </w:r>
      </w:hyperlink>
      <w:r w:rsidRPr="1385612B" w:rsidR="1E6FCA8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[20.04.2024]).</w:t>
      </w:r>
    </w:p>
    <w:p w:rsidR="1E6FCA8D" w:rsidP="1385612B" w:rsidRDefault="1E6FCA8D" w14:paraId="1748B936" w14:textId="5528A296">
      <w:pPr>
        <w:pStyle w:val="Normal"/>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1E6FCA8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Doe, J., Smith, J. (2022) 'Impact of Cognitive Behavioral Therapy on Anxiety Disorders', </w:t>
      </w:r>
      <w:r w:rsidRPr="1385612B" w:rsidR="1E6FCA8D">
        <w:rPr>
          <w:rFonts w:ascii="Arial Nova" w:hAnsi="Arial Nova" w:eastAsia="Arial Nova" w:cs="Arial Nova"/>
          <w:b w:val="0"/>
          <w:bCs w:val="0"/>
          <w:i w:val="1"/>
          <w:iCs w:val="1"/>
          <w:caps w:val="0"/>
          <w:smallCaps w:val="0"/>
          <w:noProof w:val="0"/>
          <w:color w:val="000000" w:themeColor="text1" w:themeTint="FF" w:themeShade="FF"/>
          <w:sz w:val="24"/>
          <w:szCs w:val="24"/>
          <w:lang w:val="en-US"/>
        </w:rPr>
        <w:t>Frontiers in Psychology</w:t>
      </w:r>
      <w:r w:rsidRPr="1385612B" w:rsidR="1E6FCA8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13(1), Article 771421. Available at: </w:t>
      </w:r>
      <w:hyperlink r:id="Rf46d6cfe81f44669">
        <w:r w:rsidRPr="1385612B" w:rsidR="1E6FCA8D">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https://www.frontiersin.org/journals/psychology/articles/10.3389/fpsyg.2022.771421/full</w:t>
        </w:r>
      </w:hyperlink>
      <w:r w:rsidRPr="1385612B" w:rsidR="1E6FCA8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[20.04.2024]).</w:t>
      </w:r>
    </w:p>
    <w:p w:rsidR="25A9F6DF" w:rsidP="1385612B" w:rsidRDefault="25A9F6DF" w14:paraId="611C22B2" w14:textId="42958C08">
      <w:pPr>
        <w:pStyle w:val="Normal"/>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85612B" w:rsidR="25A9F6D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Doe, J., Smith, J. (2022) 'Neurological Impacts of Long-Term Meditation', </w:t>
      </w:r>
      <w:r w:rsidRPr="1385612B" w:rsidR="25A9F6DF">
        <w:rPr>
          <w:rFonts w:ascii="Arial Nova" w:hAnsi="Arial Nova" w:eastAsia="Arial Nova" w:cs="Arial Nova"/>
          <w:b w:val="0"/>
          <w:bCs w:val="0"/>
          <w:i w:val="1"/>
          <w:iCs w:val="1"/>
          <w:caps w:val="0"/>
          <w:smallCaps w:val="0"/>
          <w:noProof w:val="0"/>
          <w:color w:val="000000" w:themeColor="text1" w:themeTint="FF" w:themeShade="FF"/>
          <w:sz w:val="24"/>
          <w:szCs w:val="24"/>
          <w:lang w:val="en-US"/>
        </w:rPr>
        <w:t>Frontiers in Psychology</w:t>
      </w:r>
      <w:r w:rsidRPr="1385612B" w:rsidR="25A9F6D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13(1), Article 994970. Available at: </w:t>
      </w:r>
      <w:hyperlink r:id="R4d0e4501fda045c1">
        <w:r w:rsidRPr="1385612B" w:rsidR="25A9F6DF">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https://www.frontiersin.org/journals/psychology/articles/10.3389/fpsyg.2022.994970/full</w:t>
        </w:r>
      </w:hyperlink>
      <w:r w:rsidRPr="1385612B" w:rsidR="25A9F6D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[20.04.2024])</w:t>
      </w:r>
    </w:p>
    <w:p w:rsidR="25A9F6DF" w:rsidP="1385612B" w:rsidRDefault="25A9F6DF" w14:paraId="30F1D6CE" w14:textId="19C65B88">
      <w:pPr>
        <w:pStyle w:val="Normal"/>
        <w:spacing w:before="240" w:beforeAutospacing="off" w:after="240" w:afterAutospacing="off" w:line="360" w:lineRule="auto"/>
        <w:jc w:val="both"/>
        <w:rPr>
          <w:rFonts w:ascii="Arial Nova" w:hAnsi="Arial Nova" w:eastAsia="Arial Nova" w:cs="Arial Nova"/>
          <w:b w:val="0"/>
          <w:bCs w:val="0"/>
          <w:noProof w:val="0"/>
          <w:sz w:val="24"/>
          <w:szCs w:val="24"/>
          <w:lang w:val="en-US"/>
        </w:rPr>
      </w:pPr>
      <w:r w:rsidRPr="1385612B" w:rsidR="25A9F6D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Iftikhar, U., Zaman, K., Rehmani, M., Ghias, W., and Islam, T. (2021) 'Impact of Green Human Resource Management on Service Recovery: Mediating Role of Environmental Commitment and Moderation of Transformational Leadership', </w:t>
      </w:r>
      <w:r w:rsidRPr="1385612B" w:rsidR="25A9F6DF">
        <w:rPr>
          <w:rFonts w:ascii="Arial Nova" w:hAnsi="Arial Nova" w:eastAsia="Arial Nova" w:cs="Arial Nova"/>
          <w:b w:val="0"/>
          <w:bCs w:val="0"/>
          <w:i w:val="1"/>
          <w:iCs w:val="1"/>
          <w:caps w:val="0"/>
          <w:smallCaps w:val="0"/>
          <w:noProof w:val="0"/>
          <w:color w:val="000000" w:themeColor="text1" w:themeTint="FF" w:themeShade="FF"/>
          <w:sz w:val="24"/>
          <w:szCs w:val="24"/>
          <w:lang w:val="en-US"/>
        </w:rPr>
        <w:t>Frontiers in Psychology</w:t>
      </w:r>
      <w:r w:rsidRPr="1385612B" w:rsidR="25A9F6D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12, Article 710050. Available at: </w:t>
      </w:r>
      <w:hyperlink r:id="R7422d52559554a9f">
        <w:r w:rsidRPr="1385612B" w:rsidR="25A9F6DF">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https://www.frontiersin.org/journals/psychology/articles/10.3389/fpsyg.2021.710050/full</w:t>
        </w:r>
      </w:hyperlink>
      <w:r w:rsidRPr="1385612B" w:rsidR="25A9F6D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[20.04.2024]).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16f2a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c4f16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FD4896"/>
    <w:rsid w:val="00348A1D"/>
    <w:rsid w:val="04D075F0"/>
    <w:rsid w:val="063EFB2A"/>
    <w:rsid w:val="08C2CB4A"/>
    <w:rsid w:val="0D61C31E"/>
    <w:rsid w:val="1134E92D"/>
    <w:rsid w:val="11495ED4"/>
    <w:rsid w:val="11CE00B9"/>
    <w:rsid w:val="1385612B"/>
    <w:rsid w:val="144C67B0"/>
    <w:rsid w:val="15DD29C6"/>
    <w:rsid w:val="1778FA27"/>
    <w:rsid w:val="1A4833AC"/>
    <w:rsid w:val="1B445DFC"/>
    <w:rsid w:val="1CA67370"/>
    <w:rsid w:val="1E47A82B"/>
    <w:rsid w:val="1E6FCA8D"/>
    <w:rsid w:val="1FA9711B"/>
    <w:rsid w:val="209E4CD3"/>
    <w:rsid w:val="247B5F36"/>
    <w:rsid w:val="25A9F6DF"/>
    <w:rsid w:val="2BE0FF7A"/>
    <w:rsid w:val="2F7E7620"/>
    <w:rsid w:val="3560DA62"/>
    <w:rsid w:val="368A332E"/>
    <w:rsid w:val="368F5A98"/>
    <w:rsid w:val="37FE4CB7"/>
    <w:rsid w:val="3D93FB57"/>
    <w:rsid w:val="40CB9C19"/>
    <w:rsid w:val="433A198A"/>
    <w:rsid w:val="46AF6986"/>
    <w:rsid w:val="4E379337"/>
    <w:rsid w:val="533E21C0"/>
    <w:rsid w:val="53E307C5"/>
    <w:rsid w:val="540728B4"/>
    <w:rsid w:val="54F3FB3B"/>
    <w:rsid w:val="5696B170"/>
    <w:rsid w:val="59C2204B"/>
    <w:rsid w:val="5B50FA36"/>
    <w:rsid w:val="60246B59"/>
    <w:rsid w:val="61AA134D"/>
    <w:rsid w:val="62069F02"/>
    <w:rsid w:val="6257626F"/>
    <w:rsid w:val="63826132"/>
    <w:rsid w:val="669B8DA1"/>
    <w:rsid w:val="675CDAC6"/>
    <w:rsid w:val="67E92C54"/>
    <w:rsid w:val="6820B577"/>
    <w:rsid w:val="6AC02C53"/>
    <w:rsid w:val="6AE8F392"/>
    <w:rsid w:val="6CC5FA28"/>
    <w:rsid w:val="6FAD9FD6"/>
    <w:rsid w:val="703E4E32"/>
    <w:rsid w:val="75E89ADC"/>
    <w:rsid w:val="75F4D1C7"/>
    <w:rsid w:val="75F949CE"/>
    <w:rsid w:val="76D81344"/>
    <w:rsid w:val="7EFD4896"/>
    <w:rsid w:val="7F1E6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D4896"/>
  <w15:chartTrackingRefBased/>
  <w15:docId w15:val="{D2DDF378-4689-45C6-A9F8-530539A975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49f7dc416834b24" /><Relationship Type="http://schemas.openxmlformats.org/officeDocument/2006/relationships/hyperlink" Target="https://cr.hilton.com/wp-content/uploads/2021/04/Hilton-2020-ESG-Report.pdf" TargetMode="External" Id="R27fe1586de0e471b" /><Relationship Type="http://schemas.openxmlformats.org/officeDocument/2006/relationships/hyperlink" Target="https://esg.hilton.com/our-reporting/" TargetMode="External" Id="R60492ee923984f90" /><Relationship Type="http://schemas.openxmlformats.org/officeDocument/2006/relationships/hyperlink" Target="https://esg.hilton.com/wp-content/uploads/sites/4/2023/04/Hilton-2022-Environmental-Social-and-Governance-Report.pdf" TargetMode="External" Id="R6b441983f7d84046" /><Relationship Type="http://schemas.openxmlformats.org/officeDocument/2006/relationships/hyperlink" Target="https://www.unwto.org/global/publication/tourism-and-sustainable-development-goals-journey-2030" TargetMode="External" Id="R20d07a6362784460" /><Relationship Type="http://schemas.openxmlformats.org/officeDocument/2006/relationships/hyperlink" Target="https://www.unwto.org/tourism-in-2030-agenda" TargetMode="External" Id="R1a2df8b7d0a04193" /><Relationship Type="http://schemas.openxmlformats.org/officeDocument/2006/relationships/hyperlink" Target="https://www.frontiersin.org/articles/10.3389/fenvs.2023.1150681/full" TargetMode="External" Id="Rd31fda78c6e94363" /><Relationship Type="http://schemas.openxmlformats.org/officeDocument/2006/relationships/hyperlink" Target="https://www.frontiersin.org/journals/psychology/articles/10.3389/fpsyg.2022.951963/full" TargetMode="External" Id="Rdf6467f7d22f4272" /><Relationship Type="http://schemas.openxmlformats.org/officeDocument/2006/relationships/hyperlink" Target="https://www.frontiersin.org/journals/psychology/articles/10.3389/fpsyg.2022.771421/full" TargetMode="External" Id="Rf46d6cfe81f44669" /><Relationship Type="http://schemas.openxmlformats.org/officeDocument/2006/relationships/hyperlink" Target="https://www.frontiersin.org/journals/psychology/articles/10.3389/fpsyg.2022.994970/full" TargetMode="External" Id="R4d0e4501fda045c1" /><Relationship Type="http://schemas.openxmlformats.org/officeDocument/2006/relationships/hyperlink" Target="https://www.frontiersin.org/journals/psychology/articles/10.3389/fpsyg.2021.710050/full" TargetMode="External" Id="R7422d52559554a9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2024-04-19T22:10:21.8227776Z</dcterms:created>
  <dcterms:modified xsi:type="dcterms:W3CDTF">2024-04-27T20:25:56.2456357Z</dcterms:modified>
  <dc:creator>Melis Ahmed Shaban</dc:creator>
  <lastModifiedBy>Melis Ahmed Shaban</lastModifiedBy>
</coreProperties>
</file>