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C5B5E" w14:textId="77777777" w:rsidR="001D7464" w:rsidRDefault="001D7464">
      <w:pPr>
        <w:spacing w:after="404" w:line="268" w:lineRule="auto"/>
        <w:ind w:left="752" w:right="6" w:hanging="10"/>
        <w:jc w:val="center"/>
        <w:rPr>
          <w:b/>
          <w:bCs/>
        </w:rPr>
      </w:pPr>
    </w:p>
    <w:p w14:paraId="4E55174F" w14:textId="77777777" w:rsidR="001D7464" w:rsidRDefault="001D7464">
      <w:pPr>
        <w:spacing w:after="404" w:line="268" w:lineRule="auto"/>
        <w:ind w:left="752" w:right="6" w:hanging="10"/>
        <w:jc w:val="center"/>
        <w:rPr>
          <w:b/>
          <w:bCs/>
        </w:rPr>
      </w:pPr>
    </w:p>
    <w:p w14:paraId="7AC5A86E" w14:textId="77777777" w:rsidR="001D7464" w:rsidRDefault="001D7464">
      <w:pPr>
        <w:spacing w:after="404" w:line="268" w:lineRule="auto"/>
        <w:ind w:left="752" w:right="6" w:hanging="10"/>
        <w:jc w:val="center"/>
        <w:rPr>
          <w:b/>
          <w:bCs/>
        </w:rPr>
      </w:pPr>
    </w:p>
    <w:p w14:paraId="1D6C3B39" w14:textId="77777777" w:rsidR="00A95C03" w:rsidRDefault="00A95C03" w:rsidP="00A95C03">
      <w:pPr>
        <w:spacing w:after="451" w:line="268" w:lineRule="auto"/>
        <w:ind w:left="752" w:right="5" w:hanging="10"/>
        <w:jc w:val="center"/>
        <w:rPr>
          <w:b/>
          <w:bCs/>
        </w:rPr>
      </w:pPr>
      <w:r w:rsidRPr="2CB9DFF3">
        <w:rPr>
          <w:b/>
          <w:bCs/>
        </w:rPr>
        <w:t>LCHS4004 Introduction to public health, Component 1</w:t>
      </w:r>
    </w:p>
    <w:p w14:paraId="5CD68F5D" w14:textId="316C0CE3" w:rsidR="00F25087" w:rsidRDefault="4C490694">
      <w:pPr>
        <w:spacing w:after="404" w:line="268" w:lineRule="auto"/>
        <w:ind w:left="752" w:right="6" w:hanging="10"/>
        <w:jc w:val="center"/>
      </w:pPr>
      <w:r w:rsidRPr="2CB9DFF3">
        <w:rPr>
          <w:b/>
          <w:bCs/>
        </w:rPr>
        <w:t>Errol McCalla (2028568)</w:t>
      </w:r>
      <w:r w:rsidR="007B69DB" w:rsidRPr="2CB9DFF3">
        <w:rPr>
          <w:b/>
          <w:bCs/>
        </w:rPr>
        <w:t xml:space="preserve"> </w:t>
      </w:r>
    </w:p>
    <w:p w14:paraId="6F9E9FAB" w14:textId="7AE09857" w:rsidR="00F25087" w:rsidRDefault="25DC7225">
      <w:pPr>
        <w:spacing w:after="404" w:line="268" w:lineRule="auto"/>
        <w:ind w:left="752" w:right="1" w:hanging="10"/>
        <w:jc w:val="center"/>
      </w:pPr>
      <w:r w:rsidRPr="2CB9DFF3">
        <w:rPr>
          <w:b/>
          <w:bCs/>
        </w:rPr>
        <w:t xml:space="preserve">Dr </w:t>
      </w:r>
      <w:proofErr w:type="spellStart"/>
      <w:r w:rsidR="001D7464">
        <w:rPr>
          <w:b/>
          <w:bCs/>
        </w:rPr>
        <w:t>Aishat</w:t>
      </w:r>
      <w:proofErr w:type="spellEnd"/>
      <w:r w:rsidR="001D7464">
        <w:rPr>
          <w:b/>
          <w:bCs/>
        </w:rPr>
        <w:t xml:space="preserve"> </w:t>
      </w:r>
      <w:proofErr w:type="spellStart"/>
      <w:r w:rsidR="001D7464">
        <w:rPr>
          <w:b/>
          <w:bCs/>
        </w:rPr>
        <w:t>Bakre</w:t>
      </w:r>
      <w:proofErr w:type="spellEnd"/>
    </w:p>
    <w:p w14:paraId="493A5244" w14:textId="0922D992" w:rsidR="00F25087" w:rsidRDefault="03E65732">
      <w:pPr>
        <w:spacing w:after="404" w:line="268" w:lineRule="auto"/>
        <w:ind w:left="752" w:hanging="10"/>
        <w:jc w:val="center"/>
      </w:pPr>
      <w:r w:rsidRPr="2CB9DFF3">
        <w:rPr>
          <w:b/>
          <w:bCs/>
        </w:rPr>
        <w:t xml:space="preserve">11 </w:t>
      </w:r>
      <w:proofErr w:type="gramStart"/>
      <w:r w:rsidRPr="2CB9DFF3">
        <w:rPr>
          <w:b/>
          <w:bCs/>
        </w:rPr>
        <w:t>November,</w:t>
      </w:r>
      <w:proofErr w:type="gramEnd"/>
      <w:r w:rsidRPr="2CB9DFF3">
        <w:rPr>
          <w:b/>
          <w:bCs/>
        </w:rPr>
        <w:t xml:space="preserve"> 2022</w:t>
      </w:r>
    </w:p>
    <w:p w14:paraId="33604B0C" w14:textId="3CD20E98" w:rsidR="00F25087" w:rsidRDefault="6278FCFC" w:rsidP="2CB9DFF3">
      <w:pPr>
        <w:spacing w:after="404" w:line="268" w:lineRule="auto"/>
        <w:ind w:left="752" w:hanging="10"/>
        <w:jc w:val="center"/>
        <w:rPr>
          <w:b/>
          <w:bCs/>
        </w:rPr>
      </w:pPr>
      <w:r w:rsidRPr="2CB9DFF3">
        <w:rPr>
          <w:b/>
          <w:bCs/>
        </w:rPr>
        <w:t>Incidence of Disease in Communities</w:t>
      </w:r>
      <w:r w:rsidR="007B69DB" w:rsidRPr="2CB9DFF3">
        <w:rPr>
          <w:b/>
          <w:bCs/>
        </w:rPr>
        <w:t xml:space="preserve"> </w:t>
      </w:r>
    </w:p>
    <w:p w14:paraId="538306E8" w14:textId="77777777" w:rsidR="001D7464" w:rsidRDefault="001D7464" w:rsidP="2CB9DFF3">
      <w:pPr>
        <w:spacing w:after="410" w:line="259" w:lineRule="auto"/>
        <w:ind w:firstLine="0"/>
        <w:rPr>
          <w:b/>
          <w:bCs/>
          <w:color w:val="auto"/>
          <w:szCs w:val="24"/>
        </w:rPr>
      </w:pPr>
    </w:p>
    <w:p w14:paraId="54D1CAEA" w14:textId="77777777" w:rsidR="001D7464" w:rsidRDefault="001D7464" w:rsidP="2CB9DFF3">
      <w:pPr>
        <w:spacing w:after="410" w:line="259" w:lineRule="auto"/>
        <w:ind w:firstLine="0"/>
        <w:rPr>
          <w:b/>
          <w:bCs/>
          <w:color w:val="auto"/>
          <w:szCs w:val="24"/>
        </w:rPr>
      </w:pPr>
    </w:p>
    <w:p w14:paraId="4B0DDCC7" w14:textId="77777777" w:rsidR="001D7464" w:rsidRDefault="001D7464" w:rsidP="2CB9DFF3">
      <w:pPr>
        <w:spacing w:after="410" w:line="259" w:lineRule="auto"/>
        <w:ind w:firstLine="0"/>
        <w:rPr>
          <w:b/>
          <w:bCs/>
          <w:color w:val="auto"/>
          <w:szCs w:val="24"/>
        </w:rPr>
      </w:pPr>
    </w:p>
    <w:p w14:paraId="1C11E5E8" w14:textId="77777777" w:rsidR="001D7464" w:rsidRDefault="001D7464" w:rsidP="2CB9DFF3">
      <w:pPr>
        <w:spacing w:after="410" w:line="259" w:lineRule="auto"/>
        <w:ind w:firstLine="0"/>
        <w:rPr>
          <w:b/>
          <w:bCs/>
          <w:color w:val="auto"/>
          <w:szCs w:val="24"/>
        </w:rPr>
      </w:pPr>
    </w:p>
    <w:p w14:paraId="23665E2F" w14:textId="77777777" w:rsidR="001D7464" w:rsidRDefault="001D7464" w:rsidP="2CB9DFF3">
      <w:pPr>
        <w:spacing w:after="410" w:line="259" w:lineRule="auto"/>
        <w:ind w:firstLine="0"/>
        <w:rPr>
          <w:b/>
          <w:bCs/>
          <w:color w:val="auto"/>
          <w:szCs w:val="24"/>
        </w:rPr>
      </w:pPr>
    </w:p>
    <w:p w14:paraId="6286AD07" w14:textId="77777777" w:rsidR="001D7464" w:rsidRDefault="001D7464" w:rsidP="2CB9DFF3">
      <w:pPr>
        <w:spacing w:after="410" w:line="259" w:lineRule="auto"/>
        <w:ind w:firstLine="0"/>
        <w:rPr>
          <w:b/>
          <w:bCs/>
          <w:color w:val="auto"/>
          <w:szCs w:val="24"/>
        </w:rPr>
      </w:pPr>
    </w:p>
    <w:p w14:paraId="5EA882E8" w14:textId="77777777" w:rsidR="001D7464" w:rsidRDefault="001D7464" w:rsidP="2CB9DFF3">
      <w:pPr>
        <w:spacing w:after="410" w:line="259" w:lineRule="auto"/>
        <w:ind w:firstLine="0"/>
        <w:rPr>
          <w:b/>
          <w:bCs/>
          <w:color w:val="auto"/>
          <w:szCs w:val="24"/>
        </w:rPr>
      </w:pPr>
    </w:p>
    <w:p w14:paraId="46AC5CD4" w14:textId="77777777" w:rsidR="001D7464" w:rsidRDefault="001D7464" w:rsidP="2CB9DFF3">
      <w:pPr>
        <w:spacing w:after="410" w:line="259" w:lineRule="auto"/>
        <w:ind w:firstLine="0"/>
        <w:rPr>
          <w:b/>
          <w:bCs/>
          <w:color w:val="auto"/>
          <w:szCs w:val="24"/>
        </w:rPr>
      </w:pPr>
    </w:p>
    <w:p w14:paraId="7ACC9F98" w14:textId="77777777" w:rsidR="001D7464" w:rsidRDefault="001D7464" w:rsidP="2CB9DFF3">
      <w:pPr>
        <w:spacing w:after="410" w:line="259" w:lineRule="auto"/>
        <w:ind w:firstLine="0"/>
        <w:rPr>
          <w:b/>
          <w:bCs/>
          <w:color w:val="auto"/>
          <w:szCs w:val="24"/>
        </w:rPr>
      </w:pPr>
    </w:p>
    <w:p w14:paraId="61146130" w14:textId="77777777" w:rsidR="001D7464" w:rsidRDefault="001D7464" w:rsidP="2CB9DFF3">
      <w:pPr>
        <w:spacing w:after="410" w:line="259" w:lineRule="auto"/>
        <w:ind w:firstLine="0"/>
        <w:rPr>
          <w:b/>
          <w:bCs/>
          <w:color w:val="auto"/>
          <w:szCs w:val="24"/>
        </w:rPr>
      </w:pPr>
    </w:p>
    <w:p w14:paraId="0B9706E3" w14:textId="04DEE9EA" w:rsidR="00F25087" w:rsidRPr="002A1C7F" w:rsidRDefault="002A1C7F" w:rsidP="00407A8A">
      <w:pPr>
        <w:spacing w:after="410" w:line="259" w:lineRule="auto"/>
        <w:ind w:firstLine="0"/>
        <w:jc w:val="center"/>
        <w:rPr>
          <w:color w:val="auto"/>
          <w:szCs w:val="24"/>
        </w:rPr>
      </w:pPr>
      <w:r w:rsidRPr="002A1C7F">
        <w:rPr>
          <w:b/>
          <w:bCs/>
          <w:szCs w:val="24"/>
        </w:rPr>
        <w:lastRenderedPageBreak/>
        <w:t>Incidence of Disease in Communities</w:t>
      </w:r>
      <w:r w:rsidRPr="002A1C7F">
        <w:rPr>
          <w:b/>
          <w:bCs/>
          <w:color w:val="auto"/>
          <w:szCs w:val="24"/>
        </w:rPr>
        <w:t xml:space="preserve"> </w:t>
      </w:r>
    </w:p>
    <w:p w14:paraId="21FCA979" w14:textId="60AE0B69" w:rsidR="00F25087" w:rsidRPr="002A1C7F" w:rsidRDefault="209A4EFA" w:rsidP="00407A8A">
      <w:pPr>
        <w:spacing w:after="120" w:line="360" w:lineRule="auto"/>
        <w:ind w:firstLine="0"/>
        <w:rPr>
          <w:color w:val="202124"/>
          <w:szCs w:val="24"/>
          <w:shd w:val="clear" w:color="auto" w:fill="FFFFFF"/>
        </w:rPr>
      </w:pPr>
      <w:r w:rsidRPr="002A1C7F">
        <w:rPr>
          <w:color w:val="auto"/>
          <w:szCs w:val="24"/>
        </w:rPr>
        <w:t xml:space="preserve">In the group discussion on 17th </w:t>
      </w:r>
      <w:proofErr w:type="gramStart"/>
      <w:r w:rsidRPr="002A1C7F">
        <w:rPr>
          <w:color w:val="auto"/>
          <w:szCs w:val="24"/>
        </w:rPr>
        <w:t>October</w:t>
      </w:r>
      <w:r w:rsidR="00F10D2B" w:rsidRPr="002A1C7F">
        <w:rPr>
          <w:color w:val="auto"/>
          <w:szCs w:val="24"/>
        </w:rPr>
        <w:t>,</w:t>
      </w:r>
      <w:proofErr w:type="gramEnd"/>
      <w:r w:rsidRPr="002A1C7F">
        <w:rPr>
          <w:color w:val="auto"/>
          <w:szCs w:val="24"/>
        </w:rPr>
        <w:t xml:space="preserve"> 2022 we looked at </w:t>
      </w:r>
      <w:r w:rsidR="129F6CE9" w:rsidRPr="002A1C7F">
        <w:rPr>
          <w:color w:val="auto"/>
          <w:szCs w:val="24"/>
        </w:rPr>
        <w:t>t</w:t>
      </w:r>
      <w:r w:rsidRPr="002A1C7F">
        <w:rPr>
          <w:color w:val="auto"/>
          <w:szCs w:val="24"/>
        </w:rPr>
        <w:t xml:space="preserve">uberculosis and the means of how to control and detect the disease to prevent </w:t>
      </w:r>
      <w:r w:rsidR="00F10D2B" w:rsidRPr="002A1C7F">
        <w:rPr>
          <w:color w:val="auto"/>
          <w:szCs w:val="24"/>
        </w:rPr>
        <w:t>its</w:t>
      </w:r>
      <w:r w:rsidR="00407A8A" w:rsidRPr="002A1C7F">
        <w:rPr>
          <w:color w:val="auto"/>
          <w:szCs w:val="24"/>
        </w:rPr>
        <w:t xml:space="preserve"> </w:t>
      </w:r>
      <w:r w:rsidRPr="002A1C7F">
        <w:rPr>
          <w:color w:val="auto"/>
          <w:szCs w:val="24"/>
        </w:rPr>
        <w:t>spread of the disease.</w:t>
      </w:r>
      <w:r w:rsidR="00830D44" w:rsidRPr="002A1C7F">
        <w:rPr>
          <w:color w:val="auto"/>
          <w:szCs w:val="24"/>
        </w:rPr>
        <w:t xml:space="preserve"> Tuberculosis is an airborne infectious disease that has caused problems around the world for many years. </w:t>
      </w:r>
      <w:r w:rsidR="00830D44" w:rsidRPr="002A1C7F">
        <w:rPr>
          <w:color w:val="202124"/>
          <w:szCs w:val="24"/>
          <w:shd w:val="clear" w:color="auto" w:fill="FFFFFF"/>
        </w:rPr>
        <w:t>Tuberculosis (TB) is caused by a type of bacterium called Mycobacterium tuberculosis.</w:t>
      </w:r>
      <w:r w:rsidR="004A0150" w:rsidRPr="002A1C7F">
        <w:rPr>
          <w:color w:val="202124"/>
          <w:szCs w:val="24"/>
          <w:shd w:val="clear" w:color="auto" w:fill="FFFFFF"/>
        </w:rPr>
        <w:t xml:space="preserve"> </w:t>
      </w:r>
    </w:p>
    <w:p w14:paraId="764203C0" w14:textId="4AB168D9" w:rsidR="00830D44" w:rsidRPr="002A1C7F" w:rsidRDefault="00830D44" w:rsidP="00407A8A">
      <w:pPr>
        <w:spacing w:after="120" w:line="360" w:lineRule="auto"/>
        <w:ind w:firstLine="0"/>
        <w:rPr>
          <w:color w:val="202124"/>
          <w:szCs w:val="24"/>
          <w:shd w:val="clear" w:color="auto" w:fill="FFFFFF"/>
        </w:rPr>
      </w:pPr>
      <w:r w:rsidRPr="002A1C7F">
        <w:rPr>
          <w:color w:val="202124"/>
          <w:szCs w:val="24"/>
          <w:shd w:val="clear" w:color="auto" w:fill="FFFFFF"/>
        </w:rPr>
        <w:t xml:space="preserve">The chart below shows the infection methods </w:t>
      </w:r>
      <w:r w:rsidR="00F10D2B" w:rsidRPr="002A1C7F">
        <w:rPr>
          <w:color w:val="202124"/>
          <w:szCs w:val="24"/>
          <w:shd w:val="clear" w:color="auto" w:fill="FFFFFF"/>
        </w:rPr>
        <w:t xml:space="preserve">for </w:t>
      </w:r>
      <w:proofErr w:type="gramStart"/>
      <w:r w:rsidRPr="002A1C7F">
        <w:rPr>
          <w:color w:val="202124"/>
          <w:szCs w:val="24"/>
          <w:shd w:val="clear" w:color="auto" w:fill="FFFFFF"/>
        </w:rPr>
        <w:t>TB;</w:t>
      </w:r>
      <w:proofErr w:type="gramEnd"/>
    </w:p>
    <w:p w14:paraId="67DD2F48" w14:textId="590D0C9B" w:rsidR="00830D44" w:rsidRPr="002A1C7F" w:rsidRDefault="00830D44" w:rsidP="00407A8A">
      <w:pPr>
        <w:spacing w:after="120" w:line="360" w:lineRule="auto"/>
        <w:ind w:firstLine="0"/>
        <w:rPr>
          <w:szCs w:val="24"/>
        </w:rPr>
      </w:pPr>
      <w:r w:rsidRPr="002A1C7F">
        <w:rPr>
          <w:noProof/>
          <w:szCs w:val="24"/>
        </w:rPr>
        <mc:AlternateContent>
          <mc:Choice Requires="wps">
            <w:drawing>
              <wp:inline distT="0" distB="0" distL="0" distR="0" wp14:anchorId="22AFFE42" wp14:editId="57FDE729">
                <wp:extent cx="302260" cy="302260"/>
                <wp:effectExtent l="0" t="0" r="0" b="0"/>
                <wp:docPr id="1" name="Rectangle 1" descr="The overall picture of the common modes of infection caused by...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2B259673" id="Rectangle 1" o:spid="_x0000_s1026" alt="The overall picture of the common modes of infection caused by... |  Download Scientific Diagra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2A1C7F">
        <w:rPr>
          <w:szCs w:val="24"/>
        </w:rPr>
        <w:t xml:space="preserve"> </w:t>
      </w:r>
      <w:r w:rsidRPr="002A1C7F">
        <w:rPr>
          <w:noProof/>
          <w:szCs w:val="24"/>
        </w:rPr>
        <w:drawing>
          <wp:inline distT="0" distB="0" distL="0" distR="0" wp14:anchorId="03E7C8EE" wp14:editId="12ADF622">
            <wp:extent cx="5932805" cy="4457065"/>
            <wp:effectExtent l="0" t="0" r="0" b="63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2805" cy="4457065"/>
                    </a:xfrm>
                    <a:prstGeom prst="rect">
                      <a:avLst/>
                    </a:prstGeom>
                    <a:noFill/>
                    <a:ln>
                      <a:noFill/>
                    </a:ln>
                  </pic:spPr>
                </pic:pic>
              </a:graphicData>
            </a:graphic>
          </wp:inline>
        </w:drawing>
      </w:r>
    </w:p>
    <w:p w14:paraId="64A97850" w14:textId="4BEA4272" w:rsidR="00830D44" w:rsidRPr="002A1C7F" w:rsidRDefault="00830D44" w:rsidP="00407A8A">
      <w:pPr>
        <w:spacing w:after="120" w:line="360" w:lineRule="auto"/>
        <w:ind w:firstLine="0"/>
        <w:rPr>
          <w:szCs w:val="24"/>
        </w:rPr>
      </w:pPr>
    </w:p>
    <w:p w14:paraId="7503DAF0" w14:textId="320D1193" w:rsidR="00830D44" w:rsidRPr="002A1C7F" w:rsidRDefault="00830D44" w:rsidP="00407A8A">
      <w:pPr>
        <w:spacing w:after="120" w:line="360" w:lineRule="auto"/>
        <w:ind w:firstLine="0"/>
        <w:rPr>
          <w:color w:val="auto"/>
          <w:szCs w:val="24"/>
        </w:rPr>
      </w:pPr>
      <w:r w:rsidRPr="002A1C7F">
        <w:rPr>
          <w:szCs w:val="24"/>
        </w:rPr>
        <w:t xml:space="preserve">Source: </w:t>
      </w:r>
      <w:proofErr w:type="spellStart"/>
      <w:r w:rsidRPr="002A1C7F">
        <w:rPr>
          <w:color w:val="282828"/>
          <w:szCs w:val="24"/>
          <w:shd w:val="clear" w:color="auto" w:fill="F7F7F7"/>
        </w:rPr>
        <w:t>Abella</w:t>
      </w:r>
      <w:proofErr w:type="spellEnd"/>
      <w:r w:rsidRPr="002A1C7F">
        <w:rPr>
          <w:color w:val="282828"/>
          <w:szCs w:val="24"/>
          <w:shd w:val="clear" w:color="auto" w:fill="F7F7F7"/>
        </w:rPr>
        <w:t xml:space="preserve">, V., </w:t>
      </w:r>
      <w:proofErr w:type="spellStart"/>
      <w:r w:rsidRPr="002A1C7F">
        <w:rPr>
          <w:color w:val="282828"/>
          <w:szCs w:val="24"/>
          <w:shd w:val="clear" w:color="auto" w:fill="F7F7F7"/>
        </w:rPr>
        <w:t>Scotece</w:t>
      </w:r>
      <w:proofErr w:type="spellEnd"/>
      <w:r w:rsidRPr="002A1C7F">
        <w:rPr>
          <w:color w:val="282828"/>
          <w:szCs w:val="24"/>
          <w:shd w:val="clear" w:color="auto" w:fill="F7F7F7"/>
        </w:rPr>
        <w:t>, M., Conde, J., Pino, J., Gonzalez-Gay, M. A., Gomez-</w:t>
      </w:r>
      <w:proofErr w:type="spellStart"/>
      <w:r w:rsidRPr="002A1C7F">
        <w:rPr>
          <w:color w:val="282828"/>
          <w:szCs w:val="24"/>
          <w:shd w:val="clear" w:color="auto" w:fill="F7F7F7"/>
        </w:rPr>
        <w:t>Reino</w:t>
      </w:r>
      <w:proofErr w:type="spellEnd"/>
      <w:r w:rsidRPr="002A1C7F">
        <w:rPr>
          <w:color w:val="282828"/>
          <w:szCs w:val="24"/>
          <w:shd w:val="clear" w:color="auto" w:fill="F7F7F7"/>
        </w:rPr>
        <w:t xml:space="preserve">, J. J., et al. (2017).  </w:t>
      </w:r>
    </w:p>
    <w:p w14:paraId="102BE2CE" w14:textId="12255DBE" w:rsidR="00F25087" w:rsidRPr="002A1C7F" w:rsidRDefault="00F10D2B" w:rsidP="00407A8A">
      <w:pPr>
        <w:spacing w:after="120" w:line="360" w:lineRule="auto"/>
        <w:ind w:firstLine="0"/>
        <w:rPr>
          <w:color w:val="auto"/>
          <w:szCs w:val="24"/>
        </w:rPr>
      </w:pPr>
      <w:r w:rsidRPr="002A1C7F">
        <w:rPr>
          <w:color w:val="auto"/>
          <w:szCs w:val="24"/>
        </w:rPr>
        <w:lastRenderedPageBreak/>
        <w:t xml:space="preserve">Signs </w:t>
      </w:r>
      <w:r w:rsidR="004A0150" w:rsidRPr="002A1C7F">
        <w:rPr>
          <w:color w:val="auto"/>
          <w:szCs w:val="24"/>
        </w:rPr>
        <w:t>o</w:t>
      </w:r>
      <w:r w:rsidRPr="002A1C7F">
        <w:rPr>
          <w:color w:val="auto"/>
          <w:szCs w:val="24"/>
        </w:rPr>
        <w:t>f</w:t>
      </w:r>
      <w:r w:rsidR="004A0150" w:rsidRPr="002A1C7F">
        <w:rPr>
          <w:color w:val="auto"/>
          <w:szCs w:val="24"/>
        </w:rPr>
        <w:t xml:space="preserve"> TB include coughing for a long period, coughing blood or mucus, </w:t>
      </w:r>
      <w:r w:rsidR="00B743DD" w:rsidRPr="002A1C7F">
        <w:rPr>
          <w:color w:val="auto"/>
          <w:szCs w:val="24"/>
        </w:rPr>
        <w:t>and c</w:t>
      </w:r>
      <w:r w:rsidR="004A0150" w:rsidRPr="002A1C7F">
        <w:rPr>
          <w:color w:val="auto"/>
          <w:szCs w:val="24"/>
        </w:rPr>
        <w:t>hest pains (</w:t>
      </w:r>
      <w:proofErr w:type="spellStart"/>
      <w:r w:rsidR="004A0150" w:rsidRPr="002A1C7F">
        <w:rPr>
          <w:color w:val="auto"/>
          <w:szCs w:val="24"/>
        </w:rPr>
        <w:t>Abella</w:t>
      </w:r>
      <w:proofErr w:type="spellEnd"/>
      <w:r w:rsidR="004A0150" w:rsidRPr="002A1C7F">
        <w:rPr>
          <w:color w:val="auto"/>
          <w:szCs w:val="24"/>
        </w:rPr>
        <w:t xml:space="preserve"> et al, 2017). </w:t>
      </w:r>
      <w:r w:rsidR="209A4EFA" w:rsidRPr="002A1C7F">
        <w:rPr>
          <w:color w:val="auto"/>
          <w:szCs w:val="24"/>
        </w:rPr>
        <w:t>The following report outlines strategies used in the incidence of tuberculosis and how to investigate, confirm and describe the disease as it was detected</w:t>
      </w:r>
      <w:r w:rsidR="00B743DD" w:rsidRPr="002A1C7F">
        <w:rPr>
          <w:color w:val="auto"/>
          <w:szCs w:val="24"/>
        </w:rPr>
        <w:t>,</w:t>
      </w:r>
      <w:r w:rsidR="209A4EFA" w:rsidRPr="002A1C7F">
        <w:rPr>
          <w:color w:val="auto"/>
          <w:szCs w:val="24"/>
        </w:rPr>
        <w:t xml:space="preserve"> determine the cause</w:t>
      </w:r>
      <w:r w:rsidR="00995697" w:rsidRPr="002A1C7F">
        <w:rPr>
          <w:color w:val="auto"/>
          <w:szCs w:val="24"/>
        </w:rPr>
        <w:t>,</w:t>
      </w:r>
      <w:r w:rsidR="209A4EFA" w:rsidRPr="002A1C7F">
        <w:rPr>
          <w:color w:val="auto"/>
          <w:szCs w:val="24"/>
        </w:rPr>
        <w:t xml:space="preserve"> and implement vaccines to control it. </w:t>
      </w:r>
    </w:p>
    <w:p w14:paraId="3E647B1F" w14:textId="00EF2050" w:rsidR="51D8CF08" w:rsidRPr="002A1C7F" w:rsidRDefault="51D8CF08" w:rsidP="00407A8A">
      <w:pPr>
        <w:spacing w:after="120" w:line="360" w:lineRule="auto"/>
        <w:ind w:firstLine="0"/>
        <w:rPr>
          <w:szCs w:val="24"/>
        </w:rPr>
      </w:pPr>
      <w:r w:rsidRPr="002A1C7F">
        <w:rPr>
          <w:szCs w:val="24"/>
        </w:rPr>
        <w:t>Disease measurement is crucial to qualify a disease as an outbreak or not. Therefore, infectious disease measurement enables outbreak detection to generate alerts whenever observed data reaches a certain threshold or baseline</w:t>
      </w:r>
      <w:r w:rsidR="00933E97" w:rsidRPr="002A1C7F">
        <w:rPr>
          <w:szCs w:val="24"/>
        </w:rPr>
        <w:t xml:space="preserve"> (</w:t>
      </w:r>
      <w:r w:rsidR="00803C0C" w:rsidRPr="002A1C7F">
        <w:rPr>
          <w:color w:val="auto"/>
          <w:szCs w:val="24"/>
        </w:rPr>
        <w:t>Gordon et al, 2018</w:t>
      </w:r>
      <w:r w:rsidR="00933E97" w:rsidRPr="002A1C7F">
        <w:rPr>
          <w:szCs w:val="24"/>
        </w:rPr>
        <w:t>)</w:t>
      </w:r>
      <w:r w:rsidRPr="002A1C7F">
        <w:rPr>
          <w:szCs w:val="24"/>
        </w:rPr>
        <w:t>. There are four basic methods used for</w:t>
      </w:r>
      <w:r w:rsidR="00933E97" w:rsidRPr="002A1C7F">
        <w:rPr>
          <w:szCs w:val="24"/>
        </w:rPr>
        <w:t xml:space="preserve"> </w:t>
      </w:r>
      <w:r w:rsidRPr="002A1C7F">
        <w:rPr>
          <w:szCs w:val="24"/>
        </w:rPr>
        <w:t xml:space="preserve">infectious disease outbreak detection (Mand1, Reis and </w:t>
      </w:r>
      <w:proofErr w:type="spellStart"/>
      <w:r w:rsidRPr="002A1C7F">
        <w:rPr>
          <w:szCs w:val="24"/>
        </w:rPr>
        <w:t>Cassa</w:t>
      </w:r>
      <w:proofErr w:type="spellEnd"/>
      <w:r w:rsidRPr="002A1C7F">
        <w:rPr>
          <w:szCs w:val="24"/>
        </w:rPr>
        <w:t>, 2004):</w:t>
      </w:r>
    </w:p>
    <w:p w14:paraId="4D79759C" w14:textId="4F925931" w:rsidR="51D8CF08" w:rsidRPr="002A1C7F" w:rsidRDefault="51D8CF08" w:rsidP="00407A8A">
      <w:pPr>
        <w:pStyle w:val="ListParagraph"/>
        <w:numPr>
          <w:ilvl w:val="0"/>
          <w:numId w:val="1"/>
        </w:numPr>
        <w:spacing w:after="120" w:line="360" w:lineRule="auto"/>
        <w:contextualSpacing w:val="0"/>
        <w:rPr>
          <w:szCs w:val="24"/>
        </w:rPr>
      </w:pPr>
      <w:r w:rsidRPr="002A1C7F">
        <w:rPr>
          <w:szCs w:val="24"/>
        </w:rPr>
        <w:t>The syndrome grouping stage - data is acquired from approved sources and is used to assign each patient with a specific syndrome group like a gastrointestinal infection.</w:t>
      </w:r>
    </w:p>
    <w:p w14:paraId="7191343D" w14:textId="223C932A" w:rsidR="51D8CF08" w:rsidRPr="002A1C7F" w:rsidRDefault="51D8CF08" w:rsidP="00407A8A">
      <w:pPr>
        <w:pStyle w:val="ListParagraph"/>
        <w:numPr>
          <w:ilvl w:val="0"/>
          <w:numId w:val="1"/>
        </w:numPr>
        <w:spacing w:after="120" w:line="360" w:lineRule="auto"/>
        <w:contextualSpacing w:val="0"/>
        <w:rPr>
          <w:szCs w:val="24"/>
        </w:rPr>
      </w:pPr>
      <w:r w:rsidRPr="002A1C7F">
        <w:rPr>
          <w:szCs w:val="24"/>
        </w:rPr>
        <w:t xml:space="preserve">The </w:t>
      </w:r>
      <w:r w:rsidR="00B51030" w:rsidRPr="002A1C7F">
        <w:rPr>
          <w:szCs w:val="24"/>
        </w:rPr>
        <w:t>modelling s</w:t>
      </w:r>
      <w:r w:rsidRPr="002A1C7F">
        <w:rPr>
          <w:szCs w:val="24"/>
        </w:rPr>
        <w:t>ta</w:t>
      </w:r>
      <w:r w:rsidR="00B51030" w:rsidRPr="002A1C7F">
        <w:rPr>
          <w:szCs w:val="24"/>
        </w:rPr>
        <w:t>g</w:t>
      </w:r>
      <w:r w:rsidRPr="002A1C7F">
        <w:rPr>
          <w:szCs w:val="24"/>
        </w:rPr>
        <w:t xml:space="preserve">e – historic data for patients are </w:t>
      </w:r>
      <w:proofErr w:type="spellStart"/>
      <w:r w:rsidRPr="002A1C7F">
        <w:rPr>
          <w:szCs w:val="24"/>
        </w:rPr>
        <w:t>analy</w:t>
      </w:r>
      <w:r w:rsidR="00896DB1" w:rsidRPr="002A1C7F">
        <w:rPr>
          <w:szCs w:val="24"/>
        </w:rPr>
        <w:t>s</w:t>
      </w:r>
      <w:r w:rsidRPr="002A1C7F">
        <w:rPr>
          <w:szCs w:val="24"/>
        </w:rPr>
        <w:t>ed</w:t>
      </w:r>
      <w:proofErr w:type="spellEnd"/>
      <w:r w:rsidRPr="002A1C7F">
        <w:rPr>
          <w:szCs w:val="24"/>
        </w:rPr>
        <w:t xml:space="preserve"> to establish</w:t>
      </w:r>
      <w:r w:rsidRPr="002A1C7F">
        <w:rPr>
          <w:szCs w:val="24"/>
        </w:rPr>
        <w:br/>
        <w:t xml:space="preserve"> models from observed temporal and spatial patient distributions.</w:t>
      </w:r>
    </w:p>
    <w:p w14:paraId="5DEC5851" w14:textId="43D954F4" w:rsidR="51D8CF08" w:rsidRPr="002A1C7F" w:rsidRDefault="51D8CF08" w:rsidP="00407A8A">
      <w:pPr>
        <w:pStyle w:val="ListParagraph"/>
        <w:numPr>
          <w:ilvl w:val="0"/>
          <w:numId w:val="1"/>
        </w:numPr>
        <w:spacing w:after="120" w:line="360" w:lineRule="auto"/>
        <w:contextualSpacing w:val="0"/>
        <w:rPr>
          <w:szCs w:val="24"/>
        </w:rPr>
      </w:pPr>
      <w:r w:rsidRPr="002A1C7F">
        <w:rPr>
          <w:szCs w:val="24"/>
        </w:rPr>
        <w:t>The detection stage – the expected values are compared with observed</w:t>
      </w:r>
      <w:r w:rsidRPr="002A1C7F">
        <w:rPr>
          <w:szCs w:val="24"/>
        </w:rPr>
        <w:br/>
        <w:t xml:space="preserve"> values to determine whether the adverse health event is occurring.</w:t>
      </w:r>
    </w:p>
    <w:p w14:paraId="3285DFD7" w14:textId="6D1F8270" w:rsidR="51D8CF08" w:rsidRPr="002A1C7F" w:rsidRDefault="51D8CF08" w:rsidP="00407A8A">
      <w:pPr>
        <w:pStyle w:val="ListParagraph"/>
        <w:numPr>
          <w:ilvl w:val="0"/>
          <w:numId w:val="1"/>
        </w:numPr>
        <w:spacing w:after="120" w:line="360" w:lineRule="auto"/>
        <w:contextualSpacing w:val="0"/>
        <w:rPr>
          <w:szCs w:val="24"/>
        </w:rPr>
      </w:pPr>
      <w:r w:rsidRPr="002A1C7F">
        <w:rPr>
          <w:szCs w:val="24"/>
        </w:rPr>
        <w:t>The alert stage – thresholds are set to evaluate whether the case warrants</w:t>
      </w:r>
      <w:r w:rsidRPr="002A1C7F">
        <w:rPr>
          <w:szCs w:val="24"/>
        </w:rPr>
        <w:br/>
        <w:t xml:space="preserve"> notifying public health authorities.</w:t>
      </w:r>
    </w:p>
    <w:p w14:paraId="64A1B436" w14:textId="6D2763B2" w:rsidR="51D8CF08" w:rsidRPr="002A1C7F" w:rsidRDefault="51D8CF08" w:rsidP="00407A8A">
      <w:pPr>
        <w:spacing w:after="120" w:line="360" w:lineRule="auto"/>
        <w:ind w:firstLine="0"/>
        <w:rPr>
          <w:szCs w:val="24"/>
        </w:rPr>
      </w:pPr>
      <w:r w:rsidRPr="002A1C7F">
        <w:rPr>
          <w:szCs w:val="24"/>
        </w:rPr>
        <w:t xml:space="preserve"> Historic data from a given region may be used to accomplish the first two stages.</w:t>
      </w:r>
      <w:r w:rsidRPr="002A1C7F">
        <w:rPr>
          <w:szCs w:val="24"/>
        </w:rPr>
        <w:br/>
        <w:t xml:space="preserve"> When determining whether it</w:t>
      </w:r>
      <w:r w:rsidR="00D44932" w:rsidRPr="002A1C7F">
        <w:rPr>
          <w:szCs w:val="24"/>
        </w:rPr>
        <w:t xml:space="preserve"> i</w:t>
      </w:r>
      <w:r w:rsidRPr="002A1C7F">
        <w:rPr>
          <w:szCs w:val="24"/>
        </w:rPr>
        <w:t>s an outbreak or not, two variables need to be considered.</w:t>
      </w:r>
      <w:r w:rsidRPr="002A1C7F">
        <w:rPr>
          <w:szCs w:val="24"/>
        </w:rPr>
        <w:br/>
        <w:t xml:space="preserve"> The incidence rate and prevalence rate. When the incidence rate is compared to the prevalence</w:t>
      </w:r>
      <w:r w:rsidRPr="002A1C7F">
        <w:rPr>
          <w:szCs w:val="24"/>
        </w:rPr>
        <w:br/>
        <w:t xml:space="preserve"> rate and the resultant figure denotes a higher incidence than prevalence at a given place and time,</w:t>
      </w:r>
      <w:r w:rsidR="525D012A" w:rsidRPr="002A1C7F">
        <w:rPr>
          <w:szCs w:val="24"/>
        </w:rPr>
        <w:t xml:space="preserve"> </w:t>
      </w:r>
      <w:r w:rsidRPr="002A1C7F">
        <w:rPr>
          <w:szCs w:val="24"/>
        </w:rPr>
        <w:t xml:space="preserve">an outbreak may be occurring (Mand1, Reis and </w:t>
      </w:r>
      <w:proofErr w:type="spellStart"/>
      <w:r w:rsidRPr="002A1C7F">
        <w:rPr>
          <w:szCs w:val="24"/>
        </w:rPr>
        <w:t>Cassa</w:t>
      </w:r>
      <w:proofErr w:type="spellEnd"/>
      <w:r w:rsidRPr="002A1C7F">
        <w:rPr>
          <w:szCs w:val="24"/>
        </w:rPr>
        <w:t>, 2004)</w:t>
      </w:r>
      <w:r w:rsidR="3DF86E69" w:rsidRPr="002A1C7F">
        <w:rPr>
          <w:szCs w:val="24"/>
        </w:rPr>
        <w:t>.</w:t>
      </w:r>
    </w:p>
    <w:p w14:paraId="39929617" w14:textId="76C071A6" w:rsidR="51D8CF08" w:rsidRPr="002A1C7F" w:rsidRDefault="51D8CF08" w:rsidP="00407A8A">
      <w:pPr>
        <w:spacing w:after="120" w:line="360" w:lineRule="auto"/>
        <w:ind w:firstLine="0"/>
        <w:rPr>
          <w:szCs w:val="24"/>
        </w:rPr>
      </w:pPr>
      <w:r w:rsidRPr="002A1C7F">
        <w:rPr>
          <w:szCs w:val="24"/>
        </w:rPr>
        <w:t>Infectious diseases are best monitored using disease surveillance mechanisms</w:t>
      </w:r>
      <w:r w:rsidR="00896DB1" w:rsidRPr="002A1C7F">
        <w:rPr>
          <w:szCs w:val="24"/>
        </w:rPr>
        <w:t xml:space="preserve"> (</w:t>
      </w:r>
      <w:proofErr w:type="spellStart"/>
      <w:r w:rsidR="00803C0C" w:rsidRPr="002A1C7F">
        <w:rPr>
          <w:color w:val="222222"/>
          <w:szCs w:val="24"/>
          <w:shd w:val="clear" w:color="auto" w:fill="FFFFFF"/>
        </w:rPr>
        <w:t>Agrebi</w:t>
      </w:r>
      <w:proofErr w:type="spellEnd"/>
      <w:r w:rsidR="00803C0C" w:rsidRPr="002A1C7F">
        <w:rPr>
          <w:color w:val="222222"/>
          <w:szCs w:val="24"/>
          <w:shd w:val="clear" w:color="auto" w:fill="FFFFFF"/>
        </w:rPr>
        <w:t>, and Larbi, 2020.</w:t>
      </w:r>
      <w:r w:rsidR="00896DB1" w:rsidRPr="002A1C7F">
        <w:rPr>
          <w:szCs w:val="24"/>
        </w:rPr>
        <w:t>)</w:t>
      </w:r>
      <w:r w:rsidRPr="002A1C7F">
        <w:rPr>
          <w:szCs w:val="24"/>
        </w:rPr>
        <w:t>. The goal of disease surveillance is to monitor trends, identify outbreaks, and describe current burden</w:t>
      </w:r>
      <w:r w:rsidR="75AF4449" w:rsidRPr="002A1C7F">
        <w:rPr>
          <w:szCs w:val="24"/>
        </w:rPr>
        <w:t xml:space="preserve"> </w:t>
      </w:r>
      <w:r w:rsidRPr="002A1C7F">
        <w:rPr>
          <w:szCs w:val="24"/>
        </w:rPr>
        <w:t>and epidemiology of a disease</w:t>
      </w:r>
      <w:r w:rsidR="00896DB1" w:rsidRPr="002A1C7F">
        <w:rPr>
          <w:szCs w:val="24"/>
        </w:rPr>
        <w:t xml:space="preserve"> (</w:t>
      </w:r>
      <w:r w:rsidR="00803C0C" w:rsidRPr="002A1C7F">
        <w:rPr>
          <w:color w:val="auto"/>
          <w:szCs w:val="24"/>
        </w:rPr>
        <w:t>Gordon et al, 2018</w:t>
      </w:r>
      <w:r w:rsidR="00896DB1" w:rsidRPr="002A1C7F">
        <w:rPr>
          <w:color w:val="FF0000"/>
          <w:szCs w:val="24"/>
        </w:rPr>
        <w:t>)</w:t>
      </w:r>
      <w:r w:rsidRPr="002A1C7F">
        <w:rPr>
          <w:szCs w:val="24"/>
        </w:rPr>
        <w:t xml:space="preserve">. </w:t>
      </w:r>
      <w:r w:rsidR="00580850" w:rsidRPr="002A1C7F">
        <w:rPr>
          <w:szCs w:val="24"/>
        </w:rPr>
        <w:t>The c</w:t>
      </w:r>
      <w:r w:rsidRPr="002A1C7F">
        <w:rPr>
          <w:szCs w:val="24"/>
        </w:rPr>
        <w:t>ase definition is the first approach used in disease monitoring and it helps make sure that cases are counted the same way everywhere</w:t>
      </w:r>
      <w:r w:rsidR="00896DB1" w:rsidRPr="002A1C7F">
        <w:rPr>
          <w:szCs w:val="24"/>
        </w:rPr>
        <w:t xml:space="preserve"> (</w:t>
      </w:r>
      <w:bookmarkStart w:id="0" w:name="_Hlk119134904"/>
      <w:proofErr w:type="spellStart"/>
      <w:r w:rsidR="00803C0C" w:rsidRPr="002A1C7F">
        <w:rPr>
          <w:color w:val="222222"/>
          <w:szCs w:val="24"/>
          <w:shd w:val="clear" w:color="auto" w:fill="FFFFFF"/>
        </w:rPr>
        <w:t>Nicastri</w:t>
      </w:r>
      <w:proofErr w:type="spellEnd"/>
      <w:r w:rsidR="00803C0C" w:rsidRPr="002A1C7F">
        <w:rPr>
          <w:color w:val="222222"/>
          <w:szCs w:val="24"/>
          <w:shd w:val="clear" w:color="auto" w:fill="FFFFFF"/>
        </w:rPr>
        <w:t>, et al 2020</w:t>
      </w:r>
      <w:r w:rsidR="00896DB1" w:rsidRPr="002A1C7F">
        <w:rPr>
          <w:szCs w:val="24"/>
        </w:rPr>
        <w:t>)</w:t>
      </w:r>
      <w:r w:rsidRPr="002A1C7F">
        <w:rPr>
          <w:szCs w:val="24"/>
        </w:rPr>
        <w:t xml:space="preserve">. </w:t>
      </w:r>
      <w:bookmarkEnd w:id="0"/>
      <w:r w:rsidRPr="002A1C7F">
        <w:rPr>
          <w:szCs w:val="24"/>
        </w:rPr>
        <w:t xml:space="preserve">Case definitions are based on the symptoms of the disease. For instance, in Tuberculosis, we can define the case by observing a prolonged cough lasting more than three weeks with usual phlegm, which may be bloody, weight loss, night </w:t>
      </w:r>
      <w:r w:rsidRPr="002A1C7F">
        <w:rPr>
          <w:szCs w:val="24"/>
        </w:rPr>
        <w:lastRenderedPageBreak/>
        <w:t>sweats, tiredness, loss of appetite, fatigue and neck swellings</w:t>
      </w:r>
      <w:r w:rsidR="00896DB1" w:rsidRPr="002A1C7F">
        <w:rPr>
          <w:szCs w:val="24"/>
        </w:rPr>
        <w:t xml:space="preserve"> (</w:t>
      </w:r>
      <w:proofErr w:type="spellStart"/>
      <w:r w:rsidR="00803C0C" w:rsidRPr="002A1C7F">
        <w:rPr>
          <w:color w:val="222222"/>
          <w:szCs w:val="24"/>
          <w:shd w:val="clear" w:color="auto" w:fill="FFFFFF"/>
        </w:rPr>
        <w:t>Kanchar</w:t>
      </w:r>
      <w:proofErr w:type="spellEnd"/>
      <w:r w:rsidR="00803C0C" w:rsidRPr="002A1C7F">
        <w:rPr>
          <w:color w:val="222222"/>
          <w:szCs w:val="24"/>
          <w:shd w:val="clear" w:color="auto" w:fill="FFFFFF"/>
        </w:rPr>
        <w:t xml:space="preserve"> and Swaminathan, 2019</w:t>
      </w:r>
      <w:r w:rsidR="00896DB1" w:rsidRPr="002A1C7F">
        <w:rPr>
          <w:szCs w:val="24"/>
        </w:rPr>
        <w:t>)</w:t>
      </w:r>
      <w:r w:rsidRPr="002A1C7F">
        <w:rPr>
          <w:szCs w:val="24"/>
        </w:rPr>
        <w:t xml:space="preserve">. </w:t>
      </w:r>
      <w:r w:rsidR="00580850" w:rsidRPr="002A1C7F">
        <w:rPr>
          <w:szCs w:val="24"/>
        </w:rPr>
        <w:t>The c</w:t>
      </w:r>
      <w:r w:rsidRPr="002A1C7F">
        <w:rPr>
          <w:szCs w:val="24"/>
        </w:rPr>
        <w:t xml:space="preserve">ase definition is followed by information collection by conducting public health surveillance. Surveillance helps to calculate disease incidences, prevalence, </w:t>
      </w:r>
      <w:proofErr w:type="gramStart"/>
      <w:r w:rsidR="000117AC" w:rsidRPr="002A1C7F">
        <w:rPr>
          <w:szCs w:val="24"/>
        </w:rPr>
        <w:t>h</w:t>
      </w:r>
      <w:r w:rsidRPr="002A1C7F">
        <w:rPr>
          <w:szCs w:val="24"/>
        </w:rPr>
        <w:t>ospitalizations</w:t>
      </w:r>
      <w:proofErr w:type="gramEnd"/>
      <w:r w:rsidRPr="002A1C7F">
        <w:rPr>
          <w:szCs w:val="24"/>
        </w:rPr>
        <w:t xml:space="preserve"> and deaths</w:t>
      </w:r>
      <w:r w:rsidR="00896DB1" w:rsidRPr="002A1C7F">
        <w:rPr>
          <w:szCs w:val="24"/>
        </w:rPr>
        <w:t xml:space="preserve"> (</w:t>
      </w:r>
      <w:r w:rsidR="00803C0C" w:rsidRPr="002A1C7F">
        <w:rPr>
          <w:szCs w:val="24"/>
        </w:rPr>
        <w:t xml:space="preserve">Mand1, Reis and </w:t>
      </w:r>
      <w:proofErr w:type="spellStart"/>
      <w:r w:rsidR="00803C0C" w:rsidRPr="002A1C7F">
        <w:rPr>
          <w:szCs w:val="24"/>
        </w:rPr>
        <w:t>Cassa</w:t>
      </w:r>
      <w:proofErr w:type="spellEnd"/>
      <w:r w:rsidR="00803C0C" w:rsidRPr="002A1C7F">
        <w:rPr>
          <w:szCs w:val="24"/>
        </w:rPr>
        <w:t xml:space="preserve"> 2004</w:t>
      </w:r>
      <w:r w:rsidR="00896DB1" w:rsidRPr="002A1C7F">
        <w:rPr>
          <w:szCs w:val="24"/>
        </w:rPr>
        <w:t>)</w:t>
      </w:r>
      <w:r w:rsidRPr="002A1C7F">
        <w:rPr>
          <w:szCs w:val="24"/>
        </w:rPr>
        <w:t>.</w:t>
      </w:r>
    </w:p>
    <w:p w14:paraId="7B36ED5A" w14:textId="63AFD37E" w:rsidR="51D8CF08" w:rsidRPr="002A1C7F" w:rsidRDefault="51D8CF08" w:rsidP="00407A8A">
      <w:pPr>
        <w:spacing w:after="120" w:line="360" w:lineRule="auto"/>
        <w:ind w:firstLine="0"/>
        <w:rPr>
          <w:szCs w:val="24"/>
        </w:rPr>
      </w:pPr>
      <w:r w:rsidRPr="002A1C7F">
        <w:rPr>
          <w:szCs w:val="24"/>
        </w:rPr>
        <w:t xml:space="preserve"> The next step is case reports. When data is collected, it is analyzed and then converted</w:t>
      </w:r>
      <w:r w:rsidRPr="002A1C7F">
        <w:rPr>
          <w:szCs w:val="24"/>
        </w:rPr>
        <w:br/>
        <w:t xml:space="preserve"> into a form that can be visualized. Epidemiological data may be visualized by</w:t>
      </w:r>
      <w:r w:rsidR="00580850" w:rsidRPr="002A1C7F">
        <w:rPr>
          <w:szCs w:val="24"/>
        </w:rPr>
        <w:t xml:space="preserve"> an</w:t>
      </w:r>
      <w:r w:rsidRPr="002A1C7F">
        <w:rPr>
          <w:szCs w:val="24"/>
        </w:rPr>
        <w:t xml:space="preserve"> epi curve that</w:t>
      </w:r>
      <w:r w:rsidRPr="002A1C7F">
        <w:rPr>
          <w:szCs w:val="24"/>
        </w:rPr>
        <w:br/>
        <w:t xml:space="preserve"> shows what has happened in terms of </w:t>
      </w:r>
      <w:r w:rsidR="00580850" w:rsidRPr="002A1C7F">
        <w:rPr>
          <w:szCs w:val="24"/>
        </w:rPr>
        <w:t xml:space="preserve">the </w:t>
      </w:r>
      <w:r w:rsidRPr="002A1C7F">
        <w:rPr>
          <w:szCs w:val="24"/>
        </w:rPr>
        <w:t>number of cases, hospitalizations, and deaths</w:t>
      </w:r>
      <w:r w:rsidR="009E5A70" w:rsidRPr="002A1C7F">
        <w:rPr>
          <w:szCs w:val="24"/>
        </w:rPr>
        <w:t xml:space="preserve"> (</w:t>
      </w:r>
      <w:proofErr w:type="spellStart"/>
      <w:r w:rsidR="00803C0C" w:rsidRPr="002A1C7F">
        <w:rPr>
          <w:color w:val="222222"/>
          <w:szCs w:val="24"/>
          <w:shd w:val="clear" w:color="auto" w:fill="FFFFFF"/>
        </w:rPr>
        <w:t>Nicastri</w:t>
      </w:r>
      <w:proofErr w:type="spellEnd"/>
      <w:r w:rsidR="00803C0C" w:rsidRPr="002A1C7F">
        <w:rPr>
          <w:color w:val="222222"/>
          <w:szCs w:val="24"/>
          <w:shd w:val="clear" w:color="auto" w:fill="FFFFFF"/>
        </w:rPr>
        <w:t xml:space="preserve">, et al 2020). </w:t>
      </w:r>
      <w:r w:rsidRPr="002A1C7F">
        <w:rPr>
          <w:szCs w:val="24"/>
        </w:rPr>
        <w:t xml:space="preserve">Contact tracing may be the last step in disease monitoring. Health professionals talk to patients over time to follow a chain of infection and recovery rates. Data from contact tracing is </w:t>
      </w:r>
      <w:proofErr w:type="spellStart"/>
      <w:r w:rsidRPr="002A1C7F">
        <w:rPr>
          <w:szCs w:val="24"/>
        </w:rPr>
        <w:t>summari</w:t>
      </w:r>
      <w:r w:rsidR="00580850" w:rsidRPr="002A1C7F">
        <w:rPr>
          <w:szCs w:val="24"/>
        </w:rPr>
        <w:t>s</w:t>
      </w:r>
      <w:r w:rsidRPr="002A1C7F">
        <w:rPr>
          <w:szCs w:val="24"/>
        </w:rPr>
        <w:t>ed</w:t>
      </w:r>
      <w:proofErr w:type="spellEnd"/>
      <w:r w:rsidRPr="002A1C7F">
        <w:rPr>
          <w:szCs w:val="24"/>
        </w:rPr>
        <w:t xml:space="preserve"> in </w:t>
      </w:r>
      <w:r w:rsidR="00580850" w:rsidRPr="002A1C7F">
        <w:rPr>
          <w:szCs w:val="24"/>
        </w:rPr>
        <w:t>on</w:t>
      </w:r>
      <w:r w:rsidRPr="002A1C7F">
        <w:rPr>
          <w:szCs w:val="24"/>
        </w:rPr>
        <w:t>line</w:t>
      </w:r>
      <w:r w:rsidR="2BCD0F81" w:rsidRPr="002A1C7F">
        <w:rPr>
          <w:szCs w:val="24"/>
        </w:rPr>
        <w:t xml:space="preserve"> </w:t>
      </w:r>
      <w:r w:rsidRPr="002A1C7F">
        <w:rPr>
          <w:szCs w:val="24"/>
        </w:rPr>
        <w:t>lists (CDC, 2020)</w:t>
      </w:r>
      <w:r w:rsidR="009E5A70" w:rsidRPr="002A1C7F">
        <w:rPr>
          <w:szCs w:val="24"/>
        </w:rPr>
        <w:t>.</w:t>
      </w:r>
    </w:p>
    <w:p w14:paraId="3513CEA4" w14:textId="6499D2DD" w:rsidR="51D8CF08" w:rsidRPr="002A1C7F" w:rsidRDefault="51D8CF08" w:rsidP="00407A8A">
      <w:pPr>
        <w:spacing w:after="120" w:line="360" w:lineRule="auto"/>
        <w:ind w:firstLine="0"/>
        <w:rPr>
          <w:color w:val="auto"/>
          <w:szCs w:val="24"/>
        </w:rPr>
      </w:pPr>
      <w:r w:rsidRPr="002A1C7F">
        <w:rPr>
          <w:szCs w:val="24"/>
        </w:rPr>
        <w:t>Infection control is crucial in reducing the transmission of infections from one person to</w:t>
      </w:r>
      <w:r w:rsidRPr="002A1C7F">
        <w:rPr>
          <w:szCs w:val="24"/>
        </w:rPr>
        <w:br/>
        <w:t xml:space="preserve">another. In healthcare, infection control entails </w:t>
      </w:r>
      <w:proofErr w:type="gramStart"/>
      <w:r w:rsidRPr="002A1C7F">
        <w:rPr>
          <w:szCs w:val="24"/>
        </w:rPr>
        <w:t>a number of</w:t>
      </w:r>
      <w:proofErr w:type="gramEnd"/>
      <w:r w:rsidRPr="002A1C7F">
        <w:rPr>
          <w:szCs w:val="24"/>
        </w:rPr>
        <w:t xml:space="preserve"> measures based on how the disease</w:t>
      </w:r>
      <w:r w:rsidRPr="002A1C7F">
        <w:rPr>
          <w:szCs w:val="24"/>
        </w:rPr>
        <w:br/>
        <w:t>is spread</w:t>
      </w:r>
      <w:r w:rsidR="001E0E0B" w:rsidRPr="002A1C7F">
        <w:rPr>
          <w:szCs w:val="24"/>
        </w:rPr>
        <w:t xml:space="preserve"> (Guardian, 2022)</w:t>
      </w:r>
      <w:r w:rsidRPr="002A1C7F">
        <w:rPr>
          <w:szCs w:val="24"/>
        </w:rPr>
        <w:t>. However, some of the ways that are used to control infections include hand washing;</w:t>
      </w:r>
      <w:r w:rsidR="00580850" w:rsidRPr="002A1C7F">
        <w:rPr>
          <w:szCs w:val="24"/>
        </w:rPr>
        <w:t xml:space="preserve"> </w:t>
      </w:r>
      <w:r w:rsidRPr="002A1C7F">
        <w:rPr>
          <w:szCs w:val="24"/>
        </w:rPr>
        <w:t>infection control standard, droplet, contact, and airborne precautions like wearing masks;</w:t>
      </w:r>
      <w:r w:rsidR="00580850" w:rsidRPr="002A1C7F">
        <w:rPr>
          <w:szCs w:val="24"/>
        </w:rPr>
        <w:t xml:space="preserve"> </w:t>
      </w:r>
      <w:r w:rsidRPr="002A1C7F">
        <w:rPr>
          <w:szCs w:val="24"/>
        </w:rPr>
        <w:t>quarantine of contacts, control of vectors of infection, prophylaxis of exposed individuals and</w:t>
      </w:r>
      <w:r w:rsidR="00580850" w:rsidRPr="002A1C7F">
        <w:rPr>
          <w:szCs w:val="24"/>
        </w:rPr>
        <w:t xml:space="preserve"> </w:t>
      </w:r>
      <w:r w:rsidRPr="002A1C7F">
        <w:rPr>
          <w:szCs w:val="24"/>
        </w:rPr>
        <w:t>decontamination (‘</w:t>
      </w:r>
      <w:r w:rsidR="001E0E0B" w:rsidRPr="002A1C7F">
        <w:rPr>
          <w:szCs w:val="24"/>
        </w:rPr>
        <w:t>Population Control 2020</w:t>
      </w:r>
      <w:r w:rsidRPr="002A1C7F">
        <w:rPr>
          <w:szCs w:val="24"/>
        </w:rPr>
        <w:t>). For the case of TB, the risk of an outbreak can be prevented by good ventilation, using natural light in the room as UV light kills off the bacteria, good hygiene like covering mouth and nose when coughing or sneezing, and ensuring that every child is vaccinated</w:t>
      </w:r>
      <w:r w:rsidR="00D451F8" w:rsidRPr="002A1C7F">
        <w:rPr>
          <w:szCs w:val="24"/>
        </w:rPr>
        <w:t xml:space="preserve"> (by </w:t>
      </w:r>
      <w:r w:rsidR="00D451F8" w:rsidRPr="002A1C7F">
        <w:rPr>
          <w:color w:val="333333"/>
          <w:szCs w:val="24"/>
          <w:shd w:val="clear" w:color="auto" w:fill="FFFFFF"/>
        </w:rPr>
        <w:t xml:space="preserve">The BCG </w:t>
      </w:r>
      <w:proofErr w:type="spellStart"/>
      <w:r w:rsidR="00D451F8" w:rsidRPr="002A1C7F">
        <w:rPr>
          <w:color w:val="333333"/>
          <w:szCs w:val="24"/>
          <w:shd w:val="clear" w:color="auto" w:fill="FFFFFF"/>
        </w:rPr>
        <w:t>Bacille</w:t>
      </w:r>
      <w:proofErr w:type="spellEnd"/>
      <w:r w:rsidR="00D451F8" w:rsidRPr="002A1C7F">
        <w:rPr>
          <w:color w:val="333333"/>
          <w:szCs w:val="24"/>
          <w:shd w:val="clear" w:color="auto" w:fill="FFFFFF"/>
        </w:rPr>
        <w:t xml:space="preserve"> Calmette-</w:t>
      </w:r>
      <w:proofErr w:type="spellStart"/>
      <w:r w:rsidR="00D451F8" w:rsidRPr="002A1C7F">
        <w:rPr>
          <w:color w:val="333333"/>
          <w:szCs w:val="24"/>
          <w:shd w:val="clear" w:color="auto" w:fill="FFFFFF"/>
        </w:rPr>
        <w:t>Guérin</w:t>
      </w:r>
      <w:proofErr w:type="spellEnd"/>
      <w:r w:rsidR="00D451F8" w:rsidRPr="002A1C7F">
        <w:rPr>
          <w:color w:val="333333"/>
          <w:szCs w:val="24"/>
          <w:shd w:val="clear" w:color="auto" w:fill="FFFFFF"/>
        </w:rPr>
        <w:t>)</w:t>
      </w:r>
      <w:r w:rsidRPr="002A1C7F">
        <w:rPr>
          <w:szCs w:val="24"/>
        </w:rPr>
        <w:t xml:space="preserve"> at birth</w:t>
      </w:r>
      <w:r w:rsidR="004F7AE5" w:rsidRPr="002A1C7F">
        <w:rPr>
          <w:szCs w:val="24"/>
        </w:rPr>
        <w:t xml:space="preserve"> (</w:t>
      </w:r>
      <w:r w:rsidR="00803C0C" w:rsidRPr="002A1C7F">
        <w:rPr>
          <w:color w:val="auto"/>
          <w:szCs w:val="24"/>
        </w:rPr>
        <w:t>Lee et al, 2020</w:t>
      </w:r>
      <w:r w:rsidR="004F7AE5" w:rsidRPr="002A1C7F">
        <w:rPr>
          <w:color w:val="auto"/>
          <w:szCs w:val="24"/>
        </w:rPr>
        <w:t>)</w:t>
      </w:r>
      <w:r w:rsidRPr="002A1C7F">
        <w:rPr>
          <w:color w:val="auto"/>
          <w:szCs w:val="24"/>
        </w:rPr>
        <w:t>.</w:t>
      </w:r>
    </w:p>
    <w:p w14:paraId="49A2AC66" w14:textId="5DE309F0" w:rsidR="00F25087" w:rsidRPr="002A1C7F" w:rsidRDefault="007B69DB" w:rsidP="00407A8A">
      <w:pPr>
        <w:spacing w:after="120" w:line="360" w:lineRule="auto"/>
        <w:ind w:firstLine="0"/>
        <w:rPr>
          <w:color w:val="auto"/>
          <w:szCs w:val="24"/>
        </w:rPr>
      </w:pPr>
      <w:r w:rsidRPr="002A1C7F">
        <w:rPr>
          <w:color w:val="auto"/>
          <w:szCs w:val="24"/>
        </w:rPr>
        <w:t xml:space="preserve">The UK has various strategies and policies to maintain public health. Some of these strategies include public health programs </w:t>
      </w:r>
      <w:r w:rsidR="00580850" w:rsidRPr="002A1C7F">
        <w:rPr>
          <w:color w:val="auto"/>
          <w:szCs w:val="24"/>
        </w:rPr>
        <w:t>such as</w:t>
      </w:r>
      <w:r w:rsidRPr="002A1C7F">
        <w:rPr>
          <w:color w:val="auto"/>
          <w:szCs w:val="24"/>
        </w:rPr>
        <w:t xml:space="preserve"> European Union public health policy that has three strands: improving information for health development, reacting to threats to health, and </w:t>
      </w:r>
      <w:r w:rsidR="00477A98" w:rsidRPr="002A1C7F">
        <w:rPr>
          <w:color w:val="auto"/>
          <w:szCs w:val="24"/>
        </w:rPr>
        <w:t>tackling</w:t>
      </w:r>
      <w:r w:rsidRPr="002A1C7F">
        <w:rPr>
          <w:color w:val="auto"/>
          <w:szCs w:val="24"/>
        </w:rPr>
        <w:t xml:space="preserve"> health determinants through disease prevention and health promotion</w:t>
      </w:r>
      <w:r w:rsidR="00713A16" w:rsidRPr="002A1C7F">
        <w:rPr>
          <w:color w:val="auto"/>
          <w:szCs w:val="24"/>
        </w:rPr>
        <w:t xml:space="preserve"> (</w:t>
      </w:r>
      <w:proofErr w:type="spellStart"/>
      <w:r w:rsidR="00803C0C" w:rsidRPr="002A1C7F">
        <w:rPr>
          <w:color w:val="auto"/>
          <w:szCs w:val="24"/>
          <w:shd w:val="clear" w:color="auto" w:fill="FFFFFF"/>
        </w:rPr>
        <w:t>Kanchar</w:t>
      </w:r>
      <w:proofErr w:type="spellEnd"/>
      <w:r w:rsidR="00803C0C" w:rsidRPr="002A1C7F">
        <w:rPr>
          <w:color w:val="auto"/>
          <w:szCs w:val="24"/>
          <w:shd w:val="clear" w:color="auto" w:fill="FFFFFF"/>
        </w:rPr>
        <w:t xml:space="preserve"> and Swaminathan, 2019</w:t>
      </w:r>
      <w:r w:rsidR="00713A16" w:rsidRPr="002A1C7F">
        <w:rPr>
          <w:color w:val="auto"/>
          <w:szCs w:val="24"/>
        </w:rPr>
        <w:t>)</w:t>
      </w:r>
      <w:r w:rsidRPr="002A1C7F">
        <w:rPr>
          <w:color w:val="auto"/>
          <w:szCs w:val="24"/>
        </w:rPr>
        <w:t xml:space="preserve">. Moreover, legal frameworks for </w:t>
      </w:r>
      <w:r w:rsidR="00477A98" w:rsidRPr="002A1C7F">
        <w:rPr>
          <w:color w:val="auto"/>
          <w:szCs w:val="24"/>
        </w:rPr>
        <w:t xml:space="preserve">the </w:t>
      </w:r>
      <w:r w:rsidRPr="002A1C7F">
        <w:rPr>
          <w:color w:val="auto"/>
          <w:szCs w:val="24"/>
        </w:rPr>
        <w:t xml:space="preserve">detection and control of communicable diseases in the UK and EU member states include restrictions on </w:t>
      </w:r>
      <w:r w:rsidR="00477A98" w:rsidRPr="002A1C7F">
        <w:rPr>
          <w:color w:val="auto"/>
          <w:szCs w:val="24"/>
        </w:rPr>
        <w:t xml:space="preserve">the </w:t>
      </w:r>
      <w:r w:rsidRPr="002A1C7F">
        <w:rPr>
          <w:color w:val="auto"/>
          <w:szCs w:val="24"/>
        </w:rPr>
        <w:t xml:space="preserve">movement of goods and people, </w:t>
      </w:r>
      <w:r w:rsidR="00477A98" w:rsidRPr="002A1C7F">
        <w:rPr>
          <w:color w:val="auto"/>
          <w:szCs w:val="24"/>
        </w:rPr>
        <w:t xml:space="preserve">and </w:t>
      </w:r>
      <w:r w:rsidRPr="002A1C7F">
        <w:rPr>
          <w:color w:val="auto"/>
          <w:szCs w:val="24"/>
        </w:rPr>
        <w:t>European surveillance and response system (‘</w:t>
      </w:r>
      <w:r w:rsidR="00803C0C" w:rsidRPr="002A1C7F">
        <w:rPr>
          <w:color w:val="auto"/>
          <w:szCs w:val="24"/>
        </w:rPr>
        <w:t>Gordon et al, 2018</w:t>
      </w:r>
      <w:r w:rsidRPr="002A1C7F">
        <w:rPr>
          <w:color w:val="auto"/>
          <w:szCs w:val="24"/>
        </w:rPr>
        <w:t xml:space="preserve">). </w:t>
      </w:r>
    </w:p>
    <w:p w14:paraId="099D31D0" w14:textId="3EF91436" w:rsidR="00F25087" w:rsidRPr="002A1C7F" w:rsidRDefault="007B69DB" w:rsidP="00407A8A">
      <w:pPr>
        <w:spacing w:after="120" w:line="360" w:lineRule="auto"/>
        <w:ind w:firstLine="0"/>
        <w:rPr>
          <w:szCs w:val="24"/>
        </w:rPr>
      </w:pPr>
      <w:r w:rsidRPr="002A1C7F">
        <w:rPr>
          <w:szCs w:val="24"/>
        </w:rPr>
        <w:t xml:space="preserve">According to </w:t>
      </w:r>
      <w:r w:rsidR="00477A98" w:rsidRPr="002A1C7F">
        <w:rPr>
          <w:szCs w:val="24"/>
        </w:rPr>
        <w:t xml:space="preserve">a </w:t>
      </w:r>
      <w:r w:rsidRPr="002A1C7F">
        <w:rPr>
          <w:szCs w:val="24"/>
        </w:rPr>
        <w:t>public health annual report (2021), public health has been able to strengthen</w:t>
      </w:r>
      <w:r w:rsidR="00D451F8" w:rsidRPr="002A1C7F">
        <w:rPr>
          <w:szCs w:val="24"/>
        </w:rPr>
        <w:t xml:space="preserve"> </w:t>
      </w:r>
      <w:r w:rsidRPr="002A1C7F">
        <w:rPr>
          <w:szCs w:val="24"/>
        </w:rPr>
        <w:t>partnerships through shared purpose both within and across organizations in local places. This</w:t>
      </w:r>
      <w:r w:rsidR="00713A16" w:rsidRPr="002A1C7F">
        <w:rPr>
          <w:szCs w:val="24"/>
        </w:rPr>
        <w:t xml:space="preserve"> </w:t>
      </w:r>
      <w:r w:rsidRPr="002A1C7F">
        <w:rPr>
          <w:szCs w:val="24"/>
        </w:rPr>
        <w:lastRenderedPageBreak/>
        <w:t xml:space="preserve">has resulted </w:t>
      </w:r>
      <w:r w:rsidR="00477A98" w:rsidRPr="002A1C7F">
        <w:rPr>
          <w:szCs w:val="24"/>
        </w:rPr>
        <w:t>in</w:t>
      </w:r>
      <w:r w:rsidRPr="002A1C7F">
        <w:rPr>
          <w:szCs w:val="24"/>
        </w:rPr>
        <w:t xml:space="preserve"> barriers being broken and enhancing of understanding each other’s work and inculcation of a feeling of health being everyone’s responsibility. For instance, </w:t>
      </w:r>
      <w:r w:rsidR="00477A98" w:rsidRPr="002A1C7F">
        <w:rPr>
          <w:szCs w:val="24"/>
        </w:rPr>
        <w:t xml:space="preserve">the </w:t>
      </w:r>
      <w:r w:rsidRPr="002A1C7F">
        <w:rPr>
          <w:szCs w:val="24"/>
        </w:rPr>
        <w:t xml:space="preserve">primary care network structure (PCN) has </w:t>
      </w:r>
      <w:r w:rsidR="00477A98" w:rsidRPr="002A1C7F">
        <w:rPr>
          <w:szCs w:val="24"/>
        </w:rPr>
        <w:t>proven</w:t>
      </w:r>
      <w:r w:rsidRPr="002A1C7F">
        <w:rPr>
          <w:szCs w:val="24"/>
        </w:rPr>
        <w:t xml:space="preserve"> potential in promoting health and </w:t>
      </w:r>
      <w:r w:rsidR="00477A98" w:rsidRPr="002A1C7F">
        <w:rPr>
          <w:szCs w:val="24"/>
        </w:rPr>
        <w:t>well-being</w:t>
      </w:r>
      <w:r w:rsidRPr="002A1C7F">
        <w:rPr>
          <w:szCs w:val="24"/>
        </w:rPr>
        <w:t xml:space="preserve"> in the community</w:t>
      </w:r>
      <w:r w:rsidR="00830BD9" w:rsidRPr="002A1C7F">
        <w:rPr>
          <w:szCs w:val="24"/>
        </w:rPr>
        <w:t xml:space="preserve"> (</w:t>
      </w:r>
      <w:proofErr w:type="spellStart"/>
      <w:r w:rsidR="00803C0C" w:rsidRPr="002A1C7F">
        <w:rPr>
          <w:color w:val="222222"/>
          <w:szCs w:val="24"/>
          <w:shd w:val="clear" w:color="auto" w:fill="FFFFFF"/>
        </w:rPr>
        <w:t>Kanchar</w:t>
      </w:r>
      <w:proofErr w:type="spellEnd"/>
      <w:r w:rsidR="00803C0C" w:rsidRPr="002A1C7F">
        <w:rPr>
          <w:color w:val="222222"/>
          <w:szCs w:val="24"/>
          <w:shd w:val="clear" w:color="auto" w:fill="FFFFFF"/>
        </w:rPr>
        <w:t xml:space="preserve"> and Swaminathan, 2019</w:t>
      </w:r>
      <w:r w:rsidR="00830BD9" w:rsidRPr="002A1C7F">
        <w:rPr>
          <w:szCs w:val="24"/>
        </w:rPr>
        <w:t>)</w:t>
      </w:r>
      <w:r w:rsidRPr="002A1C7F">
        <w:rPr>
          <w:szCs w:val="24"/>
        </w:rPr>
        <w:t xml:space="preserve">. This is depicted by the contributions of the communities where individuals come to volunteer. Moreover, there has been massive involvement of local </w:t>
      </w:r>
      <w:r w:rsidR="00477A98" w:rsidRPr="002A1C7F">
        <w:rPr>
          <w:szCs w:val="24"/>
        </w:rPr>
        <w:t xml:space="preserve">communities </w:t>
      </w:r>
      <w:r w:rsidRPr="002A1C7F">
        <w:rPr>
          <w:szCs w:val="24"/>
        </w:rPr>
        <w:t xml:space="preserve">in national initiatives. The report recognizes that the progression of Covid 19 led to local organizations at all levels to get into stride and show the value of effective national strategy and local implementation. This can be seen through vaccine rollout and faster testing rates. The report concludes that. Partners, </w:t>
      </w:r>
      <w:proofErr w:type="gramStart"/>
      <w:r w:rsidRPr="002A1C7F">
        <w:rPr>
          <w:szCs w:val="24"/>
        </w:rPr>
        <w:t>agencies</w:t>
      </w:r>
      <w:proofErr w:type="gramEnd"/>
      <w:r w:rsidRPr="002A1C7F">
        <w:rPr>
          <w:szCs w:val="24"/>
        </w:rPr>
        <w:t xml:space="preserve"> and the wider society that have worked with public health on COVID-19 have a clear understanding of their pivotal role (</w:t>
      </w:r>
      <w:r w:rsidR="001E0E0B" w:rsidRPr="002A1C7F">
        <w:rPr>
          <w:szCs w:val="24"/>
        </w:rPr>
        <w:t>CDC 2020</w:t>
      </w:r>
      <w:r w:rsidRPr="002A1C7F">
        <w:rPr>
          <w:szCs w:val="24"/>
        </w:rPr>
        <w:t xml:space="preserve">). </w:t>
      </w:r>
    </w:p>
    <w:p w14:paraId="2C7CDCD6" w14:textId="61756E4A" w:rsidR="00407A8A" w:rsidRPr="002A1C7F" w:rsidRDefault="007B69DB" w:rsidP="00407A8A">
      <w:pPr>
        <w:spacing w:after="120" w:line="360" w:lineRule="auto"/>
        <w:ind w:firstLine="0"/>
        <w:rPr>
          <w:szCs w:val="24"/>
        </w:rPr>
      </w:pPr>
      <w:r w:rsidRPr="002A1C7F">
        <w:rPr>
          <w:szCs w:val="24"/>
        </w:rPr>
        <w:t xml:space="preserve">The first step </w:t>
      </w:r>
      <w:r w:rsidR="00477A98" w:rsidRPr="002A1C7F">
        <w:rPr>
          <w:szCs w:val="24"/>
        </w:rPr>
        <w:t>in a</w:t>
      </w:r>
      <w:r w:rsidR="00477A98" w:rsidRPr="002A1C7F">
        <w:rPr>
          <w:szCs w:val="24"/>
        </w:rPr>
        <w:t xml:space="preserve"> case </w:t>
      </w:r>
      <w:r w:rsidR="00477A98" w:rsidRPr="002A1C7F">
        <w:rPr>
          <w:szCs w:val="24"/>
        </w:rPr>
        <w:t xml:space="preserve">that </w:t>
      </w:r>
      <w:r w:rsidR="00477A98" w:rsidRPr="002A1C7F">
        <w:rPr>
          <w:szCs w:val="24"/>
        </w:rPr>
        <w:t xml:space="preserve">is suspected to be TB </w:t>
      </w:r>
      <w:r w:rsidRPr="002A1C7F">
        <w:rPr>
          <w:szCs w:val="24"/>
        </w:rPr>
        <w:t xml:space="preserve">is to perform various tests followed by treatment. Early detection and application of preventive therapy </w:t>
      </w:r>
      <w:r w:rsidR="00477A98" w:rsidRPr="002A1C7F">
        <w:rPr>
          <w:szCs w:val="24"/>
        </w:rPr>
        <w:t>for</w:t>
      </w:r>
      <w:r w:rsidRPr="002A1C7F">
        <w:rPr>
          <w:szCs w:val="24"/>
        </w:rPr>
        <w:t xml:space="preserve"> persons with TB are effective in the control and prevention of tuberculosis. Persons at increased risk of tuberculosis, and to who</w:t>
      </w:r>
      <w:r w:rsidR="00477A98" w:rsidRPr="002A1C7F">
        <w:rPr>
          <w:szCs w:val="24"/>
        </w:rPr>
        <w:t>m</w:t>
      </w:r>
      <w:r w:rsidRPr="002A1C7F">
        <w:rPr>
          <w:szCs w:val="24"/>
        </w:rPr>
        <w:t xml:space="preserve"> the TB consequences may</w:t>
      </w:r>
      <w:r w:rsidR="00477A98" w:rsidRPr="002A1C7F">
        <w:rPr>
          <w:szCs w:val="24"/>
        </w:rPr>
        <w:t xml:space="preserve"> </w:t>
      </w:r>
      <w:r w:rsidRPr="002A1C7F">
        <w:rPr>
          <w:szCs w:val="24"/>
        </w:rPr>
        <w:t>be severe, that is, the three adults whom they share a room with, should be screened for tuberculosis infection to identify those to whom preve</w:t>
      </w:r>
      <w:r w:rsidRPr="002A1C7F">
        <w:rPr>
          <w:color w:val="auto"/>
          <w:szCs w:val="24"/>
        </w:rPr>
        <w:t>nt</w:t>
      </w:r>
      <w:r w:rsidR="00385F89" w:rsidRPr="002A1C7F">
        <w:rPr>
          <w:color w:val="auto"/>
          <w:szCs w:val="24"/>
        </w:rPr>
        <w:t>ion</w:t>
      </w:r>
      <w:r w:rsidRPr="002A1C7F">
        <w:rPr>
          <w:color w:val="auto"/>
          <w:szCs w:val="24"/>
        </w:rPr>
        <w:t xml:space="preserve"> treat</w:t>
      </w:r>
      <w:r w:rsidR="00385F89" w:rsidRPr="002A1C7F">
        <w:rPr>
          <w:color w:val="auto"/>
          <w:szCs w:val="24"/>
        </w:rPr>
        <w:t>ment</w:t>
      </w:r>
      <w:r w:rsidRPr="002A1C7F">
        <w:rPr>
          <w:color w:val="auto"/>
          <w:szCs w:val="24"/>
        </w:rPr>
        <w:t xml:space="preserve"> </w:t>
      </w:r>
      <w:r w:rsidRPr="002A1C7F">
        <w:rPr>
          <w:szCs w:val="24"/>
        </w:rPr>
        <w:t>can be adm</w:t>
      </w:r>
      <w:r w:rsidR="002E3122" w:rsidRPr="002A1C7F">
        <w:rPr>
          <w:szCs w:val="24"/>
        </w:rPr>
        <w:t>i</w:t>
      </w:r>
      <w:r w:rsidRPr="002A1C7F">
        <w:rPr>
          <w:szCs w:val="24"/>
        </w:rPr>
        <w:t xml:space="preserve">nistered. This is done concurrently with </w:t>
      </w:r>
      <w:r w:rsidR="00477A98" w:rsidRPr="002A1C7F">
        <w:rPr>
          <w:szCs w:val="24"/>
        </w:rPr>
        <w:t xml:space="preserve">the </w:t>
      </w:r>
      <w:r w:rsidRPr="002A1C7F">
        <w:rPr>
          <w:szCs w:val="24"/>
        </w:rPr>
        <w:t xml:space="preserve">isolation of cases to avoid further transmission to </w:t>
      </w:r>
      <w:r w:rsidR="00477A98" w:rsidRPr="002A1C7F">
        <w:rPr>
          <w:szCs w:val="24"/>
        </w:rPr>
        <w:t>healthy</w:t>
      </w:r>
      <w:r w:rsidRPr="002A1C7F">
        <w:rPr>
          <w:szCs w:val="24"/>
        </w:rPr>
        <w:t xml:space="preserve"> individuals (</w:t>
      </w:r>
      <w:r w:rsidR="001E0E0B" w:rsidRPr="002A1C7F">
        <w:rPr>
          <w:szCs w:val="24"/>
        </w:rPr>
        <w:t>CDC 2020).</w:t>
      </w:r>
      <w:r w:rsidRPr="002A1C7F">
        <w:rPr>
          <w:szCs w:val="24"/>
        </w:rPr>
        <w:t xml:space="preserve"> </w:t>
      </w:r>
    </w:p>
    <w:p w14:paraId="3DDAA052" w14:textId="77777777" w:rsidR="00407A8A" w:rsidRDefault="00407A8A">
      <w:pPr>
        <w:spacing w:after="160" w:line="259" w:lineRule="auto"/>
        <w:ind w:firstLine="0"/>
        <w:rPr>
          <w:b/>
          <w:bCs/>
        </w:rPr>
      </w:pPr>
      <w:r>
        <w:rPr>
          <w:b/>
          <w:bCs/>
        </w:rPr>
        <w:br w:type="page"/>
      </w:r>
    </w:p>
    <w:p w14:paraId="22E27243" w14:textId="6ACFB834" w:rsidR="00F25087" w:rsidRDefault="007B69DB" w:rsidP="00407A8A">
      <w:pPr>
        <w:spacing w:after="120" w:line="360" w:lineRule="auto"/>
        <w:ind w:firstLine="0"/>
        <w:rPr>
          <w:b/>
          <w:bCs/>
        </w:rPr>
      </w:pPr>
      <w:r w:rsidRPr="2CB9DFF3">
        <w:rPr>
          <w:b/>
          <w:bCs/>
        </w:rPr>
        <w:lastRenderedPageBreak/>
        <w:t xml:space="preserve">References  </w:t>
      </w:r>
    </w:p>
    <w:p w14:paraId="456A2D06" w14:textId="2F8AC71E" w:rsidR="00830D44" w:rsidRPr="00407A8A" w:rsidRDefault="00830D44" w:rsidP="00407A8A">
      <w:pPr>
        <w:spacing w:after="120" w:line="360" w:lineRule="auto"/>
        <w:ind w:left="720" w:hanging="720"/>
        <w:rPr>
          <w:szCs w:val="24"/>
        </w:rPr>
      </w:pPr>
      <w:proofErr w:type="spellStart"/>
      <w:r w:rsidRPr="00407A8A">
        <w:rPr>
          <w:color w:val="282828"/>
          <w:szCs w:val="24"/>
          <w:shd w:val="clear" w:color="auto" w:fill="F7F7F7"/>
        </w:rPr>
        <w:t>Abella</w:t>
      </w:r>
      <w:proofErr w:type="spellEnd"/>
      <w:r w:rsidRPr="00407A8A">
        <w:rPr>
          <w:color w:val="282828"/>
          <w:szCs w:val="24"/>
          <w:shd w:val="clear" w:color="auto" w:fill="F7F7F7"/>
        </w:rPr>
        <w:t xml:space="preserve">, V., </w:t>
      </w:r>
      <w:proofErr w:type="spellStart"/>
      <w:r w:rsidRPr="00407A8A">
        <w:rPr>
          <w:color w:val="282828"/>
          <w:szCs w:val="24"/>
          <w:shd w:val="clear" w:color="auto" w:fill="F7F7F7"/>
        </w:rPr>
        <w:t>Scotece</w:t>
      </w:r>
      <w:proofErr w:type="spellEnd"/>
      <w:r w:rsidRPr="00407A8A">
        <w:rPr>
          <w:color w:val="282828"/>
          <w:szCs w:val="24"/>
          <w:shd w:val="clear" w:color="auto" w:fill="F7F7F7"/>
        </w:rPr>
        <w:t>, M., Conde, J., Pino, J., Gonzalez-Gay, M. A., Gomez-</w:t>
      </w:r>
      <w:proofErr w:type="spellStart"/>
      <w:r w:rsidRPr="00407A8A">
        <w:rPr>
          <w:color w:val="282828"/>
          <w:szCs w:val="24"/>
          <w:shd w:val="clear" w:color="auto" w:fill="F7F7F7"/>
        </w:rPr>
        <w:t>Reino</w:t>
      </w:r>
      <w:proofErr w:type="spellEnd"/>
      <w:r w:rsidRPr="00407A8A">
        <w:rPr>
          <w:color w:val="282828"/>
          <w:szCs w:val="24"/>
          <w:shd w:val="clear" w:color="auto" w:fill="F7F7F7"/>
        </w:rPr>
        <w:t xml:space="preserve">, J. J., et al. (2017). Leptin in the interplay of inflammation, </w:t>
      </w:r>
      <w:proofErr w:type="gramStart"/>
      <w:r w:rsidRPr="00407A8A">
        <w:rPr>
          <w:color w:val="282828"/>
          <w:szCs w:val="24"/>
          <w:shd w:val="clear" w:color="auto" w:fill="F7F7F7"/>
        </w:rPr>
        <w:t>metabolism</w:t>
      </w:r>
      <w:proofErr w:type="gramEnd"/>
      <w:r w:rsidRPr="00407A8A">
        <w:rPr>
          <w:color w:val="282828"/>
          <w:szCs w:val="24"/>
          <w:shd w:val="clear" w:color="auto" w:fill="F7F7F7"/>
        </w:rPr>
        <w:t xml:space="preserve"> and immune system disorders. </w:t>
      </w:r>
      <w:r w:rsidRPr="00407A8A">
        <w:rPr>
          <w:i/>
          <w:iCs/>
          <w:color w:val="282828"/>
          <w:szCs w:val="24"/>
          <w:shd w:val="clear" w:color="auto" w:fill="F7F7F7"/>
        </w:rPr>
        <w:t xml:space="preserve">Nat. Rev. </w:t>
      </w:r>
      <w:proofErr w:type="spellStart"/>
      <w:r w:rsidRPr="00407A8A">
        <w:rPr>
          <w:i/>
          <w:iCs/>
          <w:color w:val="282828"/>
          <w:szCs w:val="24"/>
          <w:shd w:val="clear" w:color="auto" w:fill="F7F7F7"/>
        </w:rPr>
        <w:t>Rheumatol</w:t>
      </w:r>
      <w:proofErr w:type="spellEnd"/>
      <w:r w:rsidRPr="00407A8A">
        <w:rPr>
          <w:i/>
          <w:iCs/>
          <w:color w:val="282828"/>
          <w:szCs w:val="24"/>
          <w:shd w:val="clear" w:color="auto" w:fill="F7F7F7"/>
        </w:rPr>
        <w:t>.</w:t>
      </w:r>
      <w:r w:rsidRPr="00407A8A">
        <w:rPr>
          <w:color w:val="282828"/>
          <w:szCs w:val="24"/>
          <w:shd w:val="clear" w:color="auto" w:fill="F7F7F7"/>
        </w:rPr>
        <w:t xml:space="preserve"> 13, 100–109. </w:t>
      </w:r>
      <w:r w:rsidR="007F37B5">
        <w:rPr>
          <w:color w:val="282828"/>
          <w:szCs w:val="24"/>
          <w:shd w:val="clear" w:color="auto" w:fill="F7F7F7"/>
        </w:rPr>
        <w:t>DOI</w:t>
      </w:r>
      <w:r w:rsidRPr="00407A8A">
        <w:rPr>
          <w:color w:val="282828"/>
          <w:szCs w:val="24"/>
          <w:shd w:val="clear" w:color="auto" w:fill="F7F7F7"/>
        </w:rPr>
        <w:t>: 10.1038/nrrheum.2016.209</w:t>
      </w:r>
    </w:p>
    <w:p w14:paraId="146569C2" w14:textId="65DAF7E3" w:rsidR="00F25087" w:rsidRPr="00803C0C" w:rsidRDefault="007B69DB" w:rsidP="00407A8A">
      <w:pPr>
        <w:spacing w:after="120" w:line="360" w:lineRule="auto"/>
        <w:ind w:left="720" w:hanging="720"/>
        <w:rPr>
          <w:szCs w:val="24"/>
        </w:rPr>
      </w:pPr>
      <w:r w:rsidRPr="00803C0C">
        <w:rPr>
          <w:szCs w:val="24"/>
        </w:rPr>
        <w:t xml:space="preserve">CDC (2020) </w:t>
      </w:r>
      <w:r w:rsidRPr="00803C0C">
        <w:rPr>
          <w:i/>
          <w:szCs w:val="24"/>
        </w:rPr>
        <w:t>Coronavirus Disease 2019 (COVID-19)</w:t>
      </w:r>
      <w:r w:rsidRPr="00803C0C">
        <w:rPr>
          <w:szCs w:val="24"/>
        </w:rPr>
        <w:t xml:space="preserve">, </w:t>
      </w:r>
      <w:r w:rsidRPr="00803C0C">
        <w:rPr>
          <w:i/>
          <w:szCs w:val="24"/>
        </w:rPr>
        <w:t>Centers for Disease Control and Prevention</w:t>
      </w:r>
      <w:r w:rsidRPr="00803C0C">
        <w:rPr>
          <w:szCs w:val="24"/>
        </w:rPr>
        <w:t xml:space="preserve">. Available at: https://www.cdc.gov/coronavirus/2019-ncov/science/aboutepidemiology/monitoring-and-tracking.html (Accessed: 30 October 2022). ‘E94886_ch05.pdf’ (no date). Available at: https://www.euro.who.int/__data/assets/pdf_file/0003/138162/E94886_ch05.pdf (Accessed: 30 October 2022). </w:t>
      </w:r>
    </w:p>
    <w:p w14:paraId="1196F825" w14:textId="77777777" w:rsidR="00F25087" w:rsidRPr="00803C0C" w:rsidRDefault="007B69DB" w:rsidP="00407A8A">
      <w:pPr>
        <w:spacing w:after="120" w:line="360" w:lineRule="auto"/>
        <w:ind w:left="720" w:hanging="720"/>
        <w:jc w:val="right"/>
        <w:rPr>
          <w:szCs w:val="24"/>
        </w:rPr>
      </w:pPr>
      <w:r w:rsidRPr="00803C0C">
        <w:rPr>
          <w:i/>
          <w:szCs w:val="24"/>
        </w:rPr>
        <w:t xml:space="preserve">Guidelines for Preventing the Transmission of Tuberculosis in Health-Care Settings, with </w:t>
      </w:r>
    </w:p>
    <w:p w14:paraId="713DF735" w14:textId="3A11B160" w:rsidR="00F25087" w:rsidRPr="00803C0C" w:rsidRDefault="007B69DB" w:rsidP="00407A8A">
      <w:pPr>
        <w:spacing w:after="120" w:line="360" w:lineRule="auto"/>
        <w:ind w:left="720" w:hanging="720"/>
        <w:rPr>
          <w:szCs w:val="24"/>
        </w:rPr>
      </w:pPr>
      <w:r w:rsidRPr="00803C0C">
        <w:rPr>
          <w:szCs w:val="24"/>
        </w:rPr>
        <w:t>‘</w:t>
      </w:r>
      <w:r w:rsidR="001E0E0B">
        <w:rPr>
          <w:szCs w:val="24"/>
        </w:rPr>
        <w:t xml:space="preserve">Population Control </w:t>
      </w:r>
      <w:r w:rsidRPr="00803C0C">
        <w:rPr>
          <w:szCs w:val="24"/>
        </w:rPr>
        <w:t>(</w:t>
      </w:r>
      <w:r w:rsidR="001E0E0B">
        <w:rPr>
          <w:szCs w:val="24"/>
        </w:rPr>
        <w:t>2020</w:t>
      </w:r>
      <w:r w:rsidRPr="00803C0C">
        <w:rPr>
          <w:szCs w:val="24"/>
        </w:rPr>
        <w:t xml:space="preserve">) </w:t>
      </w:r>
      <w:r w:rsidRPr="00803C0C">
        <w:rPr>
          <w:i/>
          <w:szCs w:val="24"/>
        </w:rPr>
        <w:t>Disease Prevention and Control, San Francisco Department of Public Health</w:t>
      </w:r>
      <w:r w:rsidRPr="00803C0C">
        <w:rPr>
          <w:szCs w:val="24"/>
        </w:rPr>
        <w:t xml:space="preserve">. Available at: https://www.sfcdcp.org/communicable-disease/infection-controlpractices/ (Accessed: 30 October 2022). </w:t>
      </w:r>
    </w:p>
    <w:p w14:paraId="2B9AFC61" w14:textId="77777777" w:rsidR="001E0E0B" w:rsidRDefault="00803C0C" w:rsidP="00407A8A">
      <w:pPr>
        <w:spacing w:after="120" w:line="360" w:lineRule="auto"/>
        <w:ind w:left="720" w:hanging="720"/>
        <w:rPr>
          <w:color w:val="222222"/>
          <w:szCs w:val="24"/>
          <w:shd w:val="clear" w:color="auto" w:fill="FFFFFF"/>
        </w:rPr>
      </w:pPr>
      <w:r w:rsidRPr="00803C0C">
        <w:rPr>
          <w:color w:val="222222"/>
          <w:szCs w:val="24"/>
          <w:shd w:val="clear" w:color="auto" w:fill="FFFFFF"/>
        </w:rPr>
        <w:t xml:space="preserve">Gordon, J.H., LaMonte, M.J., Genco, R.J., Zhao, J., </w:t>
      </w:r>
      <w:proofErr w:type="spellStart"/>
      <w:r w:rsidRPr="00803C0C">
        <w:rPr>
          <w:color w:val="222222"/>
          <w:szCs w:val="24"/>
          <w:shd w:val="clear" w:color="auto" w:fill="FFFFFF"/>
        </w:rPr>
        <w:t>Cimato</w:t>
      </w:r>
      <w:proofErr w:type="spellEnd"/>
      <w:r w:rsidRPr="00803C0C">
        <w:rPr>
          <w:color w:val="222222"/>
          <w:szCs w:val="24"/>
          <w:shd w:val="clear" w:color="auto" w:fill="FFFFFF"/>
        </w:rPr>
        <w:t xml:space="preserve">, T.R., Hovey, K.M. and </w:t>
      </w:r>
      <w:proofErr w:type="spellStart"/>
      <w:r w:rsidRPr="00803C0C">
        <w:rPr>
          <w:color w:val="222222"/>
          <w:szCs w:val="24"/>
          <w:shd w:val="clear" w:color="auto" w:fill="FFFFFF"/>
        </w:rPr>
        <w:t>Wactawski</w:t>
      </w:r>
      <w:proofErr w:type="spellEnd"/>
      <w:r w:rsidRPr="00803C0C">
        <w:rPr>
          <w:color w:val="222222"/>
          <w:szCs w:val="24"/>
          <w:shd w:val="clear" w:color="auto" w:fill="FFFFFF"/>
        </w:rPr>
        <w:t>‐Wende, J., 2018. Association of clinical measures of periodontal disease with blood pressure and hypertension among postmenopausal women. </w:t>
      </w:r>
      <w:r w:rsidRPr="00803C0C">
        <w:rPr>
          <w:i/>
          <w:iCs/>
          <w:color w:val="222222"/>
          <w:szCs w:val="24"/>
          <w:shd w:val="clear" w:color="auto" w:fill="FFFFFF"/>
        </w:rPr>
        <w:t>Journal of periodontology</w:t>
      </w:r>
      <w:r w:rsidRPr="00803C0C">
        <w:rPr>
          <w:color w:val="222222"/>
          <w:szCs w:val="24"/>
          <w:shd w:val="clear" w:color="auto" w:fill="FFFFFF"/>
        </w:rPr>
        <w:t>, </w:t>
      </w:r>
      <w:r w:rsidRPr="00803C0C">
        <w:rPr>
          <w:i/>
          <w:iCs/>
          <w:color w:val="222222"/>
          <w:szCs w:val="24"/>
          <w:shd w:val="clear" w:color="auto" w:fill="FFFFFF"/>
        </w:rPr>
        <w:t>89</w:t>
      </w:r>
      <w:r w:rsidRPr="00803C0C">
        <w:rPr>
          <w:color w:val="222222"/>
          <w:szCs w:val="24"/>
          <w:shd w:val="clear" w:color="auto" w:fill="FFFFFF"/>
        </w:rPr>
        <w:t>(10), pp.1193-1202.</w:t>
      </w:r>
    </w:p>
    <w:p w14:paraId="7B72EB31" w14:textId="2C75506C" w:rsidR="001E0E0B" w:rsidRPr="00407A8A" w:rsidRDefault="001E0E0B" w:rsidP="00407A8A">
      <w:pPr>
        <w:spacing w:after="120" w:line="360" w:lineRule="auto"/>
        <w:ind w:left="720" w:hanging="720"/>
        <w:rPr>
          <w:color w:val="auto"/>
          <w:sz w:val="22"/>
          <w:shd w:val="clear" w:color="auto" w:fill="FFFFFF"/>
        </w:rPr>
      </w:pPr>
      <w:r w:rsidRPr="001E0E0B">
        <w:rPr>
          <w:color w:val="222222"/>
          <w:sz w:val="22"/>
          <w:shd w:val="clear" w:color="auto" w:fill="FFFFFF"/>
        </w:rPr>
        <w:t xml:space="preserve">Guardian (2022) [Online] </w:t>
      </w:r>
      <w:r w:rsidRPr="001E0E0B">
        <w:rPr>
          <w:rFonts w:ascii="Georgia" w:hAnsi="Georgia"/>
          <w:color w:val="121212"/>
          <w:sz w:val="22"/>
        </w:rPr>
        <w:t xml:space="preserve">UK vulnerable to major animal disease outbreaks, report finds. </w:t>
      </w:r>
      <w:r w:rsidRPr="001E0E0B">
        <w:rPr>
          <w:color w:val="222222"/>
          <w:sz w:val="22"/>
          <w:shd w:val="clear" w:color="auto" w:fill="FFFFFF"/>
        </w:rPr>
        <w:t xml:space="preserve">Available </w:t>
      </w:r>
      <w:r w:rsidRPr="00407A8A">
        <w:rPr>
          <w:color w:val="auto"/>
          <w:sz w:val="22"/>
          <w:shd w:val="clear" w:color="auto" w:fill="FFFFFF"/>
        </w:rPr>
        <w:t>from &lt;</w:t>
      </w:r>
      <w:r w:rsidRPr="00407A8A">
        <w:rPr>
          <w:color w:val="auto"/>
          <w:sz w:val="22"/>
        </w:rPr>
        <w:t xml:space="preserve"> </w:t>
      </w:r>
      <w:hyperlink r:id="rId8" w:history="1">
        <w:r w:rsidRPr="00407A8A">
          <w:rPr>
            <w:rStyle w:val="Hyperlink"/>
            <w:color w:val="auto"/>
            <w:sz w:val="22"/>
            <w:u w:val="none"/>
          </w:rPr>
          <w:t>UK vulnerable to major animal disease outbreaks, report finds | Science | The Guardian</w:t>
        </w:r>
      </w:hyperlink>
      <w:r w:rsidRPr="00407A8A">
        <w:rPr>
          <w:color w:val="auto"/>
          <w:sz w:val="22"/>
        </w:rPr>
        <w:t>&gt; Accessed on 11</w:t>
      </w:r>
      <w:r w:rsidRPr="00407A8A">
        <w:rPr>
          <w:color w:val="auto"/>
          <w:sz w:val="22"/>
          <w:vertAlign w:val="superscript"/>
        </w:rPr>
        <w:t>th</w:t>
      </w:r>
      <w:r w:rsidRPr="00407A8A">
        <w:rPr>
          <w:color w:val="auto"/>
          <w:sz w:val="22"/>
        </w:rPr>
        <w:t xml:space="preserve"> Nov, 2022.</w:t>
      </w:r>
    </w:p>
    <w:p w14:paraId="1EDDF2BD" w14:textId="77777777" w:rsidR="001E0E0B" w:rsidRDefault="00803C0C" w:rsidP="00407A8A">
      <w:pPr>
        <w:spacing w:after="120" w:line="360" w:lineRule="auto"/>
        <w:ind w:left="720" w:hanging="720"/>
        <w:rPr>
          <w:szCs w:val="24"/>
        </w:rPr>
      </w:pPr>
      <w:proofErr w:type="spellStart"/>
      <w:r w:rsidRPr="00803C0C">
        <w:rPr>
          <w:color w:val="222222"/>
          <w:szCs w:val="24"/>
          <w:shd w:val="clear" w:color="auto" w:fill="FFFFFF"/>
        </w:rPr>
        <w:t>Agrebi</w:t>
      </w:r>
      <w:proofErr w:type="spellEnd"/>
      <w:r w:rsidRPr="00803C0C">
        <w:rPr>
          <w:color w:val="222222"/>
          <w:szCs w:val="24"/>
          <w:shd w:val="clear" w:color="auto" w:fill="FFFFFF"/>
        </w:rPr>
        <w:t>, S. and Larbi, A., 2020. Use of artificial intelligence in infectious diseases. In </w:t>
      </w:r>
      <w:r w:rsidRPr="00803C0C">
        <w:rPr>
          <w:i/>
          <w:iCs/>
          <w:color w:val="222222"/>
          <w:szCs w:val="24"/>
          <w:shd w:val="clear" w:color="auto" w:fill="FFFFFF"/>
        </w:rPr>
        <w:t>Artificial intelligence in precision health</w:t>
      </w:r>
      <w:r w:rsidRPr="00803C0C">
        <w:rPr>
          <w:color w:val="222222"/>
          <w:szCs w:val="24"/>
          <w:shd w:val="clear" w:color="auto" w:fill="FFFFFF"/>
        </w:rPr>
        <w:t> (pp. 415-438). Academic Press.</w:t>
      </w:r>
    </w:p>
    <w:p w14:paraId="66C4A880" w14:textId="37E987F2" w:rsidR="00F25087" w:rsidRPr="00803C0C" w:rsidRDefault="007B69DB" w:rsidP="00407A8A">
      <w:pPr>
        <w:spacing w:after="120" w:line="360" w:lineRule="auto"/>
        <w:ind w:left="720" w:hanging="720"/>
        <w:rPr>
          <w:szCs w:val="24"/>
        </w:rPr>
      </w:pPr>
      <w:r w:rsidRPr="00803C0C">
        <w:rPr>
          <w:szCs w:val="24"/>
        </w:rPr>
        <w:t xml:space="preserve">Mand1, K., Reis and </w:t>
      </w:r>
      <w:proofErr w:type="spellStart"/>
      <w:r w:rsidRPr="00803C0C">
        <w:rPr>
          <w:szCs w:val="24"/>
        </w:rPr>
        <w:t>Cassa</w:t>
      </w:r>
      <w:proofErr w:type="spellEnd"/>
      <w:r w:rsidRPr="00803C0C">
        <w:rPr>
          <w:szCs w:val="24"/>
        </w:rPr>
        <w:t xml:space="preserve"> (2004) </w:t>
      </w:r>
      <w:r w:rsidRPr="00803C0C">
        <w:rPr>
          <w:i/>
          <w:szCs w:val="24"/>
        </w:rPr>
        <w:t xml:space="preserve">Measuring Outbreak-Detection Performance </w:t>
      </w:r>
      <w:proofErr w:type="gramStart"/>
      <w:r w:rsidRPr="00803C0C">
        <w:rPr>
          <w:i/>
          <w:szCs w:val="24"/>
        </w:rPr>
        <w:t>By</w:t>
      </w:r>
      <w:proofErr w:type="gramEnd"/>
      <w:r w:rsidRPr="00803C0C">
        <w:rPr>
          <w:i/>
          <w:szCs w:val="24"/>
        </w:rPr>
        <w:t xml:space="preserve"> Using Controlled Feature Set Simulations</w:t>
      </w:r>
      <w:r w:rsidRPr="00803C0C">
        <w:rPr>
          <w:szCs w:val="24"/>
        </w:rPr>
        <w:t xml:space="preserve">. Available at: https://www.cdc.gov/mmwr/preview/mmwrhtml/su5301a26.htm (Accessed: 30 October 2022). </w:t>
      </w:r>
    </w:p>
    <w:p w14:paraId="21813535" w14:textId="76201922" w:rsidR="00F25087" w:rsidRPr="00803C0C" w:rsidRDefault="007B69DB" w:rsidP="00407A8A">
      <w:pPr>
        <w:spacing w:after="120" w:line="360" w:lineRule="auto"/>
        <w:ind w:left="720" w:hanging="720"/>
        <w:rPr>
          <w:szCs w:val="24"/>
        </w:rPr>
      </w:pPr>
      <w:r w:rsidRPr="00803C0C">
        <w:rPr>
          <w:i/>
          <w:szCs w:val="24"/>
        </w:rPr>
        <w:lastRenderedPageBreak/>
        <w:t>Public health annual report 2021: rising to the challenges of COVID-19 | Local Government Association</w:t>
      </w:r>
      <w:r w:rsidRPr="00803C0C">
        <w:rPr>
          <w:szCs w:val="24"/>
        </w:rPr>
        <w:t xml:space="preserve"> (no date). Available at: https://www.local.gov.uk/publications/publichealth-annual-report-2021-rising-challenges-covid-19 (Accessed: 30 October 2022). </w:t>
      </w:r>
    </w:p>
    <w:p w14:paraId="487131F9" w14:textId="23F30101" w:rsidR="00803C0C" w:rsidRPr="00803C0C" w:rsidRDefault="00803C0C" w:rsidP="00407A8A">
      <w:pPr>
        <w:spacing w:after="120" w:line="360" w:lineRule="auto"/>
        <w:ind w:left="720" w:hanging="720"/>
        <w:rPr>
          <w:szCs w:val="24"/>
        </w:rPr>
      </w:pPr>
      <w:proofErr w:type="spellStart"/>
      <w:r w:rsidRPr="00803C0C">
        <w:rPr>
          <w:color w:val="222222"/>
          <w:szCs w:val="24"/>
          <w:shd w:val="clear" w:color="auto" w:fill="FFFFFF"/>
        </w:rPr>
        <w:t>Nicastri</w:t>
      </w:r>
      <w:proofErr w:type="spellEnd"/>
      <w:r w:rsidRPr="00803C0C">
        <w:rPr>
          <w:color w:val="222222"/>
          <w:szCs w:val="24"/>
          <w:shd w:val="clear" w:color="auto" w:fill="FFFFFF"/>
        </w:rPr>
        <w:t xml:space="preserve">, E., </w:t>
      </w:r>
      <w:proofErr w:type="spellStart"/>
      <w:r w:rsidRPr="00803C0C">
        <w:rPr>
          <w:color w:val="222222"/>
          <w:szCs w:val="24"/>
          <w:shd w:val="clear" w:color="auto" w:fill="FFFFFF"/>
        </w:rPr>
        <w:t>Petrosillo</w:t>
      </w:r>
      <w:proofErr w:type="spellEnd"/>
      <w:r w:rsidRPr="00803C0C">
        <w:rPr>
          <w:color w:val="222222"/>
          <w:szCs w:val="24"/>
          <w:shd w:val="clear" w:color="auto" w:fill="FFFFFF"/>
        </w:rPr>
        <w:t xml:space="preserve">, N., Bartoli, T.A., Lepore, L., Mondi, A., Palmieri, F., </w:t>
      </w:r>
      <w:proofErr w:type="spellStart"/>
      <w:r w:rsidRPr="00803C0C">
        <w:rPr>
          <w:color w:val="222222"/>
          <w:szCs w:val="24"/>
          <w:shd w:val="clear" w:color="auto" w:fill="FFFFFF"/>
        </w:rPr>
        <w:t>D’Offizi</w:t>
      </w:r>
      <w:proofErr w:type="spellEnd"/>
      <w:r w:rsidRPr="00803C0C">
        <w:rPr>
          <w:color w:val="222222"/>
          <w:szCs w:val="24"/>
          <w:shd w:val="clear" w:color="auto" w:fill="FFFFFF"/>
        </w:rPr>
        <w:t xml:space="preserve">, G., </w:t>
      </w:r>
      <w:proofErr w:type="spellStart"/>
      <w:r w:rsidRPr="00803C0C">
        <w:rPr>
          <w:color w:val="222222"/>
          <w:szCs w:val="24"/>
          <w:shd w:val="clear" w:color="auto" w:fill="FFFFFF"/>
        </w:rPr>
        <w:t>Marchioni</w:t>
      </w:r>
      <w:proofErr w:type="spellEnd"/>
      <w:r w:rsidRPr="00803C0C">
        <w:rPr>
          <w:color w:val="222222"/>
          <w:szCs w:val="24"/>
          <w:shd w:val="clear" w:color="auto" w:fill="FFFFFF"/>
        </w:rPr>
        <w:t xml:space="preserve">, L., </w:t>
      </w:r>
      <w:proofErr w:type="spellStart"/>
      <w:r w:rsidRPr="00803C0C">
        <w:rPr>
          <w:color w:val="222222"/>
          <w:szCs w:val="24"/>
          <w:shd w:val="clear" w:color="auto" w:fill="FFFFFF"/>
        </w:rPr>
        <w:t>Murachelli</w:t>
      </w:r>
      <w:proofErr w:type="spellEnd"/>
      <w:r w:rsidRPr="00803C0C">
        <w:rPr>
          <w:color w:val="222222"/>
          <w:szCs w:val="24"/>
          <w:shd w:val="clear" w:color="auto" w:fill="FFFFFF"/>
        </w:rPr>
        <w:t xml:space="preserve">, S., Ippolito, G. and </w:t>
      </w:r>
      <w:proofErr w:type="spellStart"/>
      <w:r w:rsidRPr="00803C0C">
        <w:rPr>
          <w:color w:val="222222"/>
          <w:szCs w:val="24"/>
          <w:shd w:val="clear" w:color="auto" w:fill="FFFFFF"/>
        </w:rPr>
        <w:t>Antinori</w:t>
      </w:r>
      <w:proofErr w:type="spellEnd"/>
      <w:r w:rsidRPr="00803C0C">
        <w:rPr>
          <w:color w:val="222222"/>
          <w:szCs w:val="24"/>
          <w:shd w:val="clear" w:color="auto" w:fill="FFFFFF"/>
        </w:rPr>
        <w:t xml:space="preserve">, A., 2020. National </w:t>
      </w:r>
      <w:r w:rsidR="007F37B5">
        <w:rPr>
          <w:color w:val="222222"/>
          <w:szCs w:val="24"/>
          <w:shd w:val="clear" w:color="auto" w:fill="FFFFFF"/>
        </w:rPr>
        <w:t>Institute</w:t>
      </w:r>
      <w:r w:rsidRPr="00803C0C">
        <w:rPr>
          <w:color w:val="222222"/>
          <w:szCs w:val="24"/>
          <w:shd w:val="clear" w:color="auto" w:fill="FFFFFF"/>
        </w:rPr>
        <w:t xml:space="preserve"> for the infectious diseases “L. Spallanzani”, IRCCS. Recommendations for COVID-19 clinical management. </w:t>
      </w:r>
      <w:r w:rsidRPr="00803C0C">
        <w:rPr>
          <w:i/>
          <w:iCs/>
          <w:color w:val="222222"/>
          <w:szCs w:val="24"/>
          <w:shd w:val="clear" w:color="auto" w:fill="FFFFFF"/>
        </w:rPr>
        <w:t>Infectious disease reports</w:t>
      </w:r>
      <w:r w:rsidRPr="00803C0C">
        <w:rPr>
          <w:color w:val="222222"/>
          <w:szCs w:val="24"/>
          <w:shd w:val="clear" w:color="auto" w:fill="FFFFFF"/>
        </w:rPr>
        <w:t>, </w:t>
      </w:r>
      <w:r w:rsidRPr="00803C0C">
        <w:rPr>
          <w:i/>
          <w:iCs/>
          <w:color w:val="222222"/>
          <w:szCs w:val="24"/>
          <w:shd w:val="clear" w:color="auto" w:fill="FFFFFF"/>
        </w:rPr>
        <w:t>12</w:t>
      </w:r>
      <w:r w:rsidRPr="00803C0C">
        <w:rPr>
          <w:color w:val="222222"/>
          <w:szCs w:val="24"/>
          <w:shd w:val="clear" w:color="auto" w:fill="FFFFFF"/>
        </w:rPr>
        <w:t>(1), p.8543.</w:t>
      </w:r>
    </w:p>
    <w:p w14:paraId="1723CBFC" w14:textId="32393208" w:rsidR="00803C0C" w:rsidRPr="00803C0C" w:rsidRDefault="00803C0C" w:rsidP="00407A8A">
      <w:pPr>
        <w:spacing w:after="120" w:line="360" w:lineRule="auto"/>
        <w:ind w:left="720" w:hanging="720"/>
        <w:rPr>
          <w:szCs w:val="24"/>
        </w:rPr>
      </w:pPr>
      <w:proofErr w:type="spellStart"/>
      <w:r w:rsidRPr="00803C0C">
        <w:rPr>
          <w:color w:val="222222"/>
          <w:szCs w:val="24"/>
          <w:shd w:val="clear" w:color="auto" w:fill="FFFFFF"/>
        </w:rPr>
        <w:t>Kanchar</w:t>
      </w:r>
      <w:proofErr w:type="spellEnd"/>
      <w:r w:rsidRPr="00803C0C">
        <w:rPr>
          <w:color w:val="222222"/>
          <w:szCs w:val="24"/>
          <w:shd w:val="clear" w:color="auto" w:fill="FFFFFF"/>
        </w:rPr>
        <w:t>, A. and Swaminathan, S., 2019. Tuberculosis control: WHO perspective and guidelines. </w:t>
      </w:r>
      <w:r w:rsidRPr="00803C0C">
        <w:rPr>
          <w:i/>
          <w:iCs/>
          <w:color w:val="222222"/>
          <w:szCs w:val="24"/>
          <w:shd w:val="clear" w:color="auto" w:fill="FFFFFF"/>
        </w:rPr>
        <w:t>The Indian Journal of Pediatrics</w:t>
      </w:r>
      <w:r w:rsidRPr="00803C0C">
        <w:rPr>
          <w:color w:val="222222"/>
          <w:szCs w:val="24"/>
          <w:shd w:val="clear" w:color="auto" w:fill="FFFFFF"/>
        </w:rPr>
        <w:t>, </w:t>
      </w:r>
      <w:r w:rsidRPr="00803C0C">
        <w:rPr>
          <w:i/>
          <w:iCs/>
          <w:color w:val="222222"/>
          <w:szCs w:val="24"/>
          <w:shd w:val="clear" w:color="auto" w:fill="FFFFFF"/>
        </w:rPr>
        <w:t>86</w:t>
      </w:r>
      <w:r w:rsidRPr="00803C0C">
        <w:rPr>
          <w:color w:val="222222"/>
          <w:szCs w:val="24"/>
          <w:shd w:val="clear" w:color="auto" w:fill="FFFFFF"/>
        </w:rPr>
        <w:t>(8), pp.703-706.</w:t>
      </w:r>
    </w:p>
    <w:p w14:paraId="74E2EBA5" w14:textId="5211FD00" w:rsidR="00F25087" w:rsidRPr="00803C0C" w:rsidRDefault="007B69DB" w:rsidP="00407A8A">
      <w:pPr>
        <w:spacing w:after="120" w:line="360" w:lineRule="auto"/>
        <w:ind w:left="720" w:hanging="720"/>
        <w:rPr>
          <w:szCs w:val="24"/>
        </w:rPr>
      </w:pPr>
      <w:r w:rsidRPr="00803C0C">
        <w:rPr>
          <w:szCs w:val="24"/>
        </w:rPr>
        <w:t xml:space="preserve"> </w:t>
      </w:r>
      <w:r w:rsidR="00803C0C" w:rsidRPr="00803C0C">
        <w:rPr>
          <w:color w:val="222222"/>
          <w:szCs w:val="24"/>
          <w:shd w:val="clear" w:color="auto" w:fill="FFFFFF"/>
        </w:rPr>
        <w:t xml:space="preserve">Lee, Y., Raviglione, M.C. and </w:t>
      </w:r>
      <w:proofErr w:type="spellStart"/>
      <w:r w:rsidR="00803C0C" w:rsidRPr="00803C0C">
        <w:rPr>
          <w:color w:val="222222"/>
          <w:szCs w:val="24"/>
          <w:shd w:val="clear" w:color="auto" w:fill="FFFFFF"/>
        </w:rPr>
        <w:t>Flahault</w:t>
      </w:r>
      <w:proofErr w:type="spellEnd"/>
      <w:r w:rsidR="00803C0C" w:rsidRPr="00803C0C">
        <w:rPr>
          <w:color w:val="222222"/>
          <w:szCs w:val="24"/>
          <w:shd w:val="clear" w:color="auto" w:fill="FFFFFF"/>
        </w:rPr>
        <w:t>, A., 2020. Use of digital technology to enhance tuberculosis control: scoping review. </w:t>
      </w:r>
      <w:r w:rsidR="00803C0C" w:rsidRPr="00803C0C">
        <w:rPr>
          <w:i/>
          <w:iCs/>
          <w:color w:val="222222"/>
          <w:szCs w:val="24"/>
          <w:shd w:val="clear" w:color="auto" w:fill="FFFFFF"/>
        </w:rPr>
        <w:t>Journal of medical Internet research</w:t>
      </w:r>
      <w:r w:rsidR="00803C0C" w:rsidRPr="00803C0C">
        <w:rPr>
          <w:color w:val="222222"/>
          <w:szCs w:val="24"/>
          <w:shd w:val="clear" w:color="auto" w:fill="FFFFFF"/>
        </w:rPr>
        <w:t>, </w:t>
      </w:r>
      <w:r w:rsidR="00803C0C" w:rsidRPr="00803C0C">
        <w:rPr>
          <w:i/>
          <w:iCs/>
          <w:color w:val="222222"/>
          <w:szCs w:val="24"/>
          <w:shd w:val="clear" w:color="auto" w:fill="FFFFFF"/>
        </w:rPr>
        <w:t>22</w:t>
      </w:r>
      <w:r w:rsidR="00803C0C" w:rsidRPr="00803C0C">
        <w:rPr>
          <w:color w:val="222222"/>
          <w:szCs w:val="24"/>
          <w:shd w:val="clear" w:color="auto" w:fill="FFFFFF"/>
        </w:rPr>
        <w:t>(2), p.e15727.</w:t>
      </w:r>
    </w:p>
    <w:sectPr w:rsidR="00F25087" w:rsidRPr="00803C0C">
      <w:pgSz w:w="12240" w:h="15840"/>
      <w:pgMar w:top="1452" w:right="1456" w:bottom="1799"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BC56F" w14:textId="77777777" w:rsidR="0064024A" w:rsidRDefault="0064024A" w:rsidP="00FA64E5">
      <w:pPr>
        <w:spacing w:after="0" w:line="240" w:lineRule="auto"/>
      </w:pPr>
      <w:r>
        <w:separator/>
      </w:r>
    </w:p>
  </w:endnote>
  <w:endnote w:type="continuationSeparator" w:id="0">
    <w:p w14:paraId="3D793E8A" w14:textId="77777777" w:rsidR="0064024A" w:rsidRDefault="0064024A" w:rsidP="00FA6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56FC9" w14:textId="77777777" w:rsidR="0064024A" w:rsidRDefault="0064024A" w:rsidP="00FA64E5">
      <w:pPr>
        <w:spacing w:after="0" w:line="240" w:lineRule="auto"/>
      </w:pPr>
      <w:r>
        <w:separator/>
      </w:r>
    </w:p>
  </w:footnote>
  <w:footnote w:type="continuationSeparator" w:id="0">
    <w:p w14:paraId="32AB25B1" w14:textId="77777777" w:rsidR="0064024A" w:rsidRDefault="0064024A" w:rsidP="00FA6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6EC8"/>
    <w:multiLevelType w:val="hybridMultilevel"/>
    <w:tmpl w:val="FFFFFFFF"/>
    <w:lvl w:ilvl="0" w:tplc="68340442">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203B64">
      <w:start w:val="1"/>
      <w:numFmt w:val="lowerLetter"/>
      <w:lvlText w:val="%2"/>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744784">
      <w:start w:val="1"/>
      <w:numFmt w:val="lowerRoman"/>
      <w:lvlText w:val="%3"/>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C8BB24">
      <w:start w:val="1"/>
      <w:numFmt w:val="decimal"/>
      <w:lvlText w:val="%4"/>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C0786C">
      <w:start w:val="1"/>
      <w:numFmt w:val="lowerLetter"/>
      <w:lvlText w:val="%5"/>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4C3F4">
      <w:start w:val="1"/>
      <w:numFmt w:val="lowerRoman"/>
      <w:lvlText w:val="%6"/>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788568">
      <w:start w:val="1"/>
      <w:numFmt w:val="decimal"/>
      <w:lvlText w:val="%7"/>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CE7144">
      <w:start w:val="1"/>
      <w:numFmt w:val="lowerLetter"/>
      <w:lvlText w:val="%8"/>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8A7A4">
      <w:start w:val="1"/>
      <w:numFmt w:val="lowerRoman"/>
      <w:lvlText w:val="%9"/>
      <w:lvlJc w:val="left"/>
      <w:pPr>
        <w:ind w:left="7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F7F997D"/>
    <w:multiLevelType w:val="hybridMultilevel"/>
    <w:tmpl w:val="95347460"/>
    <w:lvl w:ilvl="0" w:tplc="2A6E098C">
      <w:start w:val="1"/>
      <w:numFmt w:val="decimal"/>
      <w:lvlText w:val="%1)"/>
      <w:lvlJc w:val="left"/>
      <w:pPr>
        <w:ind w:left="720" w:hanging="360"/>
      </w:pPr>
    </w:lvl>
    <w:lvl w:ilvl="1" w:tplc="8DC08882">
      <w:start w:val="1"/>
      <w:numFmt w:val="lowerLetter"/>
      <w:lvlText w:val="%2."/>
      <w:lvlJc w:val="left"/>
      <w:pPr>
        <w:ind w:left="1440" w:hanging="360"/>
      </w:pPr>
    </w:lvl>
    <w:lvl w:ilvl="2" w:tplc="7566401E">
      <w:start w:val="1"/>
      <w:numFmt w:val="lowerRoman"/>
      <w:lvlText w:val="%3."/>
      <w:lvlJc w:val="right"/>
      <w:pPr>
        <w:ind w:left="2160" w:hanging="180"/>
      </w:pPr>
    </w:lvl>
    <w:lvl w:ilvl="3" w:tplc="509CE650">
      <w:start w:val="1"/>
      <w:numFmt w:val="decimal"/>
      <w:lvlText w:val="%4."/>
      <w:lvlJc w:val="left"/>
      <w:pPr>
        <w:ind w:left="2880" w:hanging="360"/>
      </w:pPr>
    </w:lvl>
    <w:lvl w:ilvl="4" w:tplc="4A481C70">
      <w:start w:val="1"/>
      <w:numFmt w:val="lowerLetter"/>
      <w:lvlText w:val="%5."/>
      <w:lvlJc w:val="left"/>
      <w:pPr>
        <w:ind w:left="3600" w:hanging="360"/>
      </w:pPr>
    </w:lvl>
    <w:lvl w:ilvl="5" w:tplc="6330C6A2">
      <w:start w:val="1"/>
      <w:numFmt w:val="lowerRoman"/>
      <w:lvlText w:val="%6."/>
      <w:lvlJc w:val="right"/>
      <w:pPr>
        <w:ind w:left="4320" w:hanging="180"/>
      </w:pPr>
    </w:lvl>
    <w:lvl w:ilvl="6" w:tplc="D91C9B1C">
      <w:start w:val="1"/>
      <w:numFmt w:val="decimal"/>
      <w:lvlText w:val="%7."/>
      <w:lvlJc w:val="left"/>
      <w:pPr>
        <w:ind w:left="5040" w:hanging="360"/>
      </w:pPr>
    </w:lvl>
    <w:lvl w:ilvl="7" w:tplc="F7F0468C">
      <w:start w:val="1"/>
      <w:numFmt w:val="lowerLetter"/>
      <w:lvlText w:val="%8."/>
      <w:lvlJc w:val="left"/>
      <w:pPr>
        <w:ind w:left="5760" w:hanging="360"/>
      </w:pPr>
    </w:lvl>
    <w:lvl w:ilvl="8" w:tplc="E63E5B72">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1N7Y0NDMwNDMyt7BU0lEKTi0uzszPAykwqgUA1tvmVCwAAAA="/>
  </w:docVars>
  <w:rsids>
    <w:rsidRoot w:val="00F25087"/>
    <w:rsid w:val="000117AC"/>
    <w:rsid w:val="00106E50"/>
    <w:rsid w:val="001D7464"/>
    <w:rsid w:val="001E0E0B"/>
    <w:rsid w:val="001E61FD"/>
    <w:rsid w:val="00241FE6"/>
    <w:rsid w:val="002A1C7F"/>
    <w:rsid w:val="002E3122"/>
    <w:rsid w:val="003341E2"/>
    <w:rsid w:val="00385F89"/>
    <w:rsid w:val="00407A8A"/>
    <w:rsid w:val="00477A98"/>
    <w:rsid w:val="004970BC"/>
    <w:rsid w:val="004A0150"/>
    <w:rsid w:val="004F7AE5"/>
    <w:rsid w:val="00580850"/>
    <w:rsid w:val="0064024A"/>
    <w:rsid w:val="0065180A"/>
    <w:rsid w:val="00713A16"/>
    <w:rsid w:val="007B69DB"/>
    <w:rsid w:val="007F37B5"/>
    <w:rsid w:val="00803C0C"/>
    <w:rsid w:val="00830BD9"/>
    <w:rsid w:val="00830D44"/>
    <w:rsid w:val="00896DB1"/>
    <w:rsid w:val="008A67AF"/>
    <w:rsid w:val="008F42F8"/>
    <w:rsid w:val="00933E97"/>
    <w:rsid w:val="00995697"/>
    <w:rsid w:val="009E5A70"/>
    <w:rsid w:val="00A30F5A"/>
    <w:rsid w:val="00A95C03"/>
    <w:rsid w:val="00B51030"/>
    <w:rsid w:val="00B743DD"/>
    <w:rsid w:val="00BA363E"/>
    <w:rsid w:val="00C31AC5"/>
    <w:rsid w:val="00CF32FC"/>
    <w:rsid w:val="00D44932"/>
    <w:rsid w:val="00D451F8"/>
    <w:rsid w:val="00D801C4"/>
    <w:rsid w:val="00F10D2B"/>
    <w:rsid w:val="00F25087"/>
    <w:rsid w:val="00F41B2F"/>
    <w:rsid w:val="00FA64E5"/>
    <w:rsid w:val="03E65732"/>
    <w:rsid w:val="11965931"/>
    <w:rsid w:val="129F6CE9"/>
    <w:rsid w:val="18059AB5"/>
    <w:rsid w:val="1881D12B"/>
    <w:rsid w:val="198842B9"/>
    <w:rsid w:val="1B24131A"/>
    <w:rsid w:val="1FF7843D"/>
    <w:rsid w:val="202385A0"/>
    <w:rsid w:val="209A4EFA"/>
    <w:rsid w:val="2193549E"/>
    <w:rsid w:val="22B04380"/>
    <w:rsid w:val="235B2662"/>
    <w:rsid w:val="23C67D9F"/>
    <w:rsid w:val="25DC7225"/>
    <w:rsid w:val="2916D9E4"/>
    <w:rsid w:val="29C7307F"/>
    <w:rsid w:val="2BCD0F81"/>
    <w:rsid w:val="2CB9DFF3"/>
    <w:rsid w:val="2DB0A1DB"/>
    <w:rsid w:val="33D788D4"/>
    <w:rsid w:val="39E87936"/>
    <w:rsid w:val="3ABB2646"/>
    <w:rsid w:val="3DF86E69"/>
    <w:rsid w:val="3E1768C0"/>
    <w:rsid w:val="3FE3F33E"/>
    <w:rsid w:val="424F331A"/>
    <w:rsid w:val="4C490694"/>
    <w:rsid w:val="4ED899E8"/>
    <w:rsid w:val="4FBBD1C6"/>
    <w:rsid w:val="51D8CF08"/>
    <w:rsid w:val="525D012A"/>
    <w:rsid w:val="579E9241"/>
    <w:rsid w:val="57D2E08F"/>
    <w:rsid w:val="5D39C4F4"/>
    <w:rsid w:val="60546452"/>
    <w:rsid w:val="6278FCFC"/>
    <w:rsid w:val="6D7BEA21"/>
    <w:rsid w:val="6E8A3637"/>
    <w:rsid w:val="757FF1D8"/>
    <w:rsid w:val="75AF4449"/>
    <w:rsid w:val="77D165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5A923"/>
  <w15:docId w15:val="{70E9DCD8-58E5-C34F-AB41-2B900E71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480" w:lineRule="auto"/>
      <w:ind w:firstLine="711"/>
    </w:pPr>
    <w:rPr>
      <w:rFonts w:ascii="Times New Roman" w:eastAsia="Times New Roman" w:hAnsi="Times New Roman" w:cs="Times New Roman"/>
      <w:color w:val="000000"/>
      <w:sz w:val="24"/>
      <w:lang w:val="en-US" w:bidi="en-US"/>
    </w:rPr>
  </w:style>
  <w:style w:type="paragraph" w:styleId="Heading1">
    <w:name w:val="heading 1"/>
    <w:basedOn w:val="Normal"/>
    <w:link w:val="Heading1Char"/>
    <w:uiPriority w:val="9"/>
    <w:qFormat/>
    <w:rsid w:val="001E0E0B"/>
    <w:pPr>
      <w:spacing w:before="100" w:beforeAutospacing="1" w:after="100" w:afterAutospacing="1" w:line="240" w:lineRule="auto"/>
      <w:ind w:firstLine="0"/>
      <w:outlineLvl w:val="0"/>
    </w:pPr>
    <w:rPr>
      <w:b/>
      <w:bCs/>
      <w:color w:val="auto"/>
      <w:kern w:val="36"/>
      <w:sz w:val="48"/>
      <w:szCs w:val="48"/>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FA64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64E5"/>
    <w:rPr>
      <w:rFonts w:ascii="Times New Roman" w:eastAsia="Times New Roman" w:hAnsi="Times New Roman" w:cs="Times New Roman"/>
      <w:color w:val="000000"/>
      <w:sz w:val="24"/>
      <w:lang w:val="en-US" w:bidi="en-US"/>
    </w:rPr>
  </w:style>
  <w:style w:type="paragraph" w:styleId="Footer">
    <w:name w:val="footer"/>
    <w:basedOn w:val="Normal"/>
    <w:link w:val="FooterChar"/>
    <w:uiPriority w:val="99"/>
    <w:unhideWhenUsed/>
    <w:rsid w:val="00FA6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4E5"/>
    <w:rPr>
      <w:rFonts w:ascii="Times New Roman" w:eastAsia="Times New Roman" w:hAnsi="Times New Roman" w:cs="Times New Roman"/>
      <w:color w:val="000000"/>
      <w:sz w:val="24"/>
      <w:lang w:val="en-US" w:bidi="en-US"/>
    </w:rPr>
  </w:style>
  <w:style w:type="character" w:styleId="CommentReference">
    <w:name w:val="annotation reference"/>
    <w:basedOn w:val="DefaultParagraphFont"/>
    <w:uiPriority w:val="99"/>
    <w:semiHidden/>
    <w:unhideWhenUsed/>
    <w:rsid w:val="00C31AC5"/>
    <w:rPr>
      <w:sz w:val="16"/>
      <w:szCs w:val="16"/>
    </w:rPr>
  </w:style>
  <w:style w:type="paragraph" w:styleId="CommentText">
    <w:name w:val="annotation text"/>
    <w:basedOn w:val="Normal"/>
    <w:link w:val="CommentTextChar"/>
    <w:uiPriority w:val="99"/>
    <w:unhideWhenUsed/>
    <w:rsid w:val="00C31AC5"/>
    <w:pPr>
      <w:spacing w:line="240" w:lineRule="auto"/>
    </w:pPr>
    <w:rPr>
      <w:sz w:val="20"/>
      <w:szCs w:val="20"/>
    </w:rPr>
  </w:style>
  <w:style w:type="character" w:customStyle="1" w:styleId="CommentTextChar">
    <w:name w:val="Comment Text Char"/>
    <w:basedOn w:val="DefaultParagraphFont"/>
    <w:link w:val="CommentText"/>
    <w:uiPriority w:val="99"/>
    <w:rsid w:val="00C31AC5"/>
    <w:rPr>
      <w:rFonts w:ascii="Times New Roman" w:eastAsia="Times New Roman" w:hAnsi="Times New Roman" w:cs="Times New Roman"/>
      <w:color w:val="000000"/>
      <w:sz w:val="20"/>
      <w:szCs w:val="20"/>
      <w:lang w:val="en-US" w:bidi="en-US"/>
    </w:rPr>
  </w:style>
  <w:style w:type="paragraph" w:styleId="CommentSubject">
    <w:name w:val="annotation subject"/>
    <w:basedOn w:val="CommentText"/>
    <w:next w:val="CommentText"/>
    <w:link w:val="CommentSubjectChar"/>
    <w:uiPriority w:val="99"/>
    <w:semiHidden/>
    <w:unhideWhenUsed/>
    <w:rsid w:val="00C31AC5"/>
    <w:rPr>
      <w:b/>
      <w:bCs/>
    </w:rPr>
  </w:style>
  <w:style w:type="character" w:customStyle="1" w:styleId="CommentSubjectChar">
    <w:name w:val="Comment Subject Char"/>
    <w:basedOn w:val="CommentTextChar"/>
    <w:link w:val="CommentSubject"/>
    <w:uiPriority w:val="99"/>
    <w:semiHidden/>
    <w:rsid w:val="00C31AC5"/>
    <w:rPr>
      <w:rFonts w:ascii="Times New Roman" w:eastAsia="Times New Roman" w:hAnsi="Times New Roman" w:cs="Times New Roman"/>
      <w:b/>
      <w:bCs/>
      <w:color w:val="000000"/>
      <w:sz w:val="20"/>
      <w:szCs w:val="20"/>
      <w:lang w:val="en-US" w:bidi="en-US"/>
    </w:rPr>
  </w:style>
  <w:style w:type="character" w:styleId="Hyperlink">
    <w:name w:val="Hyperlink"/>
    <w:basedOn w:val="DefaultParagraphFont"/>
    <w:uiPriority w:val="99"/>
    <w:semiHidden/>
    <w:unhideWhenUsed/>
    <w:rsid w:val="001E0E0B"/>
    <w:rPr>
      <w:color w:val="0000FF"/>
      <w:u w:val="single"/>
    </w:rPr>
  </w:style>
  <w:style w:type="character" w:customStyle="1" w:styleId="Heading1Char">
    <w:name w:val="Heading 1 Char"/>
    <w:basedOn w:val="DefaultParagraphFont"/>
    <w:link w:val="Heading1"/>
    <w:uiPriority w:val="9"/>
    <w:rsid w:val="001E0E0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47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cience/2022/nov/16/uk-vulnerable-to-major-animal-disease-outbreaks-report-find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1491</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Mccalla Mccalla</dc:creator>
  <cp:keywords/>
  <dc:description/>
  <cp:lastModifiedBy>Errol Mccalla (2028568)</cp:lastModifiedBy>
  <cp:revision>11</cp:revision>
  <dcterms:created xsi:type="dcterms:W3CDTF">2022-11-17T13:49:00Z</dcterms:created>
  <dcterms:modified xsi:type="dcterms:W3CDTF">2022-11-17T14:32:00Z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b66cfc0d4ec771ed6647c368005395efface3f724f873a3eafec6ac38c10a7df</vt:lpwstr>
  </property>
</Properties>
</file>