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p w14:paraId="1B226E75" w14:textId="77777777" w:rsidR="003F1566" w:rsidRPr="00F927A1" w:rsidRDefault="003F1566" w:rsidP="003F1566">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3F1566" w:rsidRPr="005D3F07" w14:paraId="654580F7" w14:textId="77777777" w:rsidTr="003928D9">
        <w:tc>
          <w:tcPr>
            <w:tcW w:w="10910" w:type="dxa"/>
          </w:tcPr>
          <w:p w14:paraId="12F43AAD" w14:textId="77777777" w:rsidR="003F1566" w:rsidRDefault="003F1566" w:rsidP="003928D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Pr="00A14948">
              <w:rPr>
                <w:rFonts w:ascii="Times New Roman" w:hAnsi="Times New Roman" w:cs="Times New Roman"/>
                <w:bCs/>
                <w:color w:val="auto"/>
                <w:sz w:val="48"/>
              </w:rPr>
              <w:t>Esyllt Jones</w:t>
            </w:r>
            <w:r>
              <w:rPr>
                <w:rFonts w:ascii="Times New Roman" w:hAnsi="Times New Roman" w:cs="Times New Roman"/>
                <w:b/>
                <w:color w:val="auto"/>
                <w:sz w:val="48"/>
              </w:rPr>
              <w:t xml:space="preserve"> </w:t>
            </w:r>
          </w:p>
          <w:p w14:paraId="3E7BACDB" w14:textId="77777777" w:rsidR="003F1566" w:rsidRDefault="003F1566" w:rsidP="003928D9">
            <w:pPr>
              <w:overflowPunct/>
              <w:autoSpaceDE/>
              <w:autoSpaceDN/>
              <w:adjustRightInd/>
              <w:ind w:right="-957"/>
              <w:textAlignment w:val="auto"/>
              <w:rPr>
                <w:rFonts w:ascii="Times New Roman" w:hAnsi="Times New Roman" w:cs="Times New Roman"/>
                <w:b/>
                <w:color w:val="auto"/>
                <w:sz w:val="48"/>
              </w:rPr>
            </w:pPr>
          </w:p>
          <w:p w14:paraId="29A31544" w14:textId="77777777" w:rsidR="003F1566" w:rsidRPr="00A14948" w:rsidRDefault="003F1566" w:rsidP="003928D9">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 xml:space="preserve">Email address: </w:t>
            </w:r>
            <w:hyperlink r:id="rId11" w:history="1">
              <w:r w:rsidRPr="00A14948">
                <w:rPr>
                  <w:rStyle w:val="Hyperlink"/>
                  <w:rFonts w:ascii="Times New Roman" w:hAnsi="Times New Roman" w:cs="Times New Roman"/>
                  <w:bCs/>
                  <w:sz w:val="48"/>
                </w:rPr>
                <w:t>2420863@student.uwtsd.ac.uk</w:t>
              </w:r>
            </w:hyperlink>
          </w:p>
          <w:p w14:paraId="7073A505" w14:textId="77777777" w:rsidR="003F1566" w:rsidRDefault="003F1566" w:rsidP="003928D9">
            <w:pPr>
              <w:overflowPunct/>
              <w:autoSpaceDE/>
              <w:autoSpaceDN/>
              <w:adjustRightInd/>
              <w:ind w:right="-957"/>
              <w:textAlignment w:val="auto"/>
              <w:rPr>
                <w:rFonts w:ascii="Times New Roman" w:hAnsi="Times New Roman" w:cs="Times New Roman"/>
                <w:b/>
                <w:color w:val="auto"/>
                <w:sz w:val="48"/>
              </w:rPr>
            </w:pPr>
          </w:p>
          <w:p w14:paraId="1F8EB06C" w14:textId="77777777" w:rsidR="003F1566" w:rsidRPr="005D3F07" w:rsidRDefault="003F1566" w:rsidP="003928D9">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r w:rsidRPr="00A14948">
              <w:rPr>
                <w:rFonts w:ascii="Times New Roman" w:hAnsi="Times New Roman" w:cs="Times New Roman"/>
                <w:bCs/>
                <w:color w:val="auto"/>
                <w:sz w:val="48"/>
              </w:rPr>
              <w:t>2420863</w:t>
            </w:r>
          </w:p>
          <w:p w14:paraId="4012DF99" w14:textId="77777777" w:rsidR="003F1566" w:rsidRPr="005D3F07" w:rsidRDefault="003F1566" w:rsidP="003928D9">
            <w:pPr>
              <w:overflowPunct/>
              <w:autoSpaceDE/>
              <w:autoSpaceDN/>
              <w:adjustRightInd/>
              <w:ind w:right="-957"/>
              <w:textAlignment w:val="auto"/>
              <w:rPr>
                <w:rFonts w:ascii="Times New Roman" w:hAnsi="Times New Roman" w:cs="Times New Roman"/>
                <w:b/>
                <w:color w:val="auto"/>
                <w:sz w:val="48"/>
              </w:rPr>
            </w:pPr>
          </w:p>
          <w:p w14:paraId="2F18CB8C" w14:textId="77777777" w:rsidR="003F1566" w:rsidRPr="005D3F07" w:rsidRDefault="003F1566" w:rsidP="003928D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Pr="00A14948">
              <w:rPr>
                <w:rFonts w:ascii="Times New Roman" w:hAnsi="Times New Roman" w:cs="Times New Roman"/>
                <w:bCs/>
                <w:color w:val="auto"/>
                <w:sz w:val="48"/>
              </w:rPr>
              <w:t>21 onwards</w:t>
            </w:r>
          </w:p>
        </w:tc>
      </w:tr>
    </w:tbl>
    <w:p w14:paraId="36716C08" w14:textId="77777777" w:rsidR="003F1566" w:rsidRPr="00F927A1" w:rsidRDefault="003F1566" w:rsidP="003F156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84A42C0" w14:textId="77777777" w:rsidR="003F1566" w:rsidRPr="00F927A1" w:rsidRDefault="003F1566" w:rsidP="003F1566">
      <w:pPr>
        <w:overflowPunct/>
        <w:autoSpaceDE/>
        <w:autoSpaceDN/>
        <w:adjustRightInd/>
        <w:textAlignment w:val="auto"/>
        <w:rPr>
          <w:rFonts w:ascii="Times New Roman" w:hAnsi="Times New Roman" w:cs="Times New Roman"/>
          <w:color w:val="auto"/>
          <w:sz w:val="24"/>
        </w:rPr>
      </w:pPr>
    </w:p>
    <w:p w14:paraId="025CB5FE" w14:textId="48463BE5" w:rsidR="00E559CE" w:rsidRPr="0021693C" w:rsidRDefault="00E83F91" w:rsidP="0021693C">
      <w:pPr>
        <w:overflowPunct/>
        <w:autoSpaceDE/>
        <w:autoSpaceDN/>
        <w:adjustRightInd/>
        <w:ind w:right="-957"/>
        <w:textAlignment w:val="auto"/>
        <w:rPr>
          <w:rFonts w:ascii="Times New Roman" w:hAnsi="Times New Roman" w:cs="Times New Roman"/>
          <w:b/>
          <w:color w:val="auto"/>
          <w:sz w:val="48"/>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0DC4D2FD" w14:textId="77777777" w:rsidR="00AA2842" w:rsidRDefault="00AA2842" w:rsidP="00FF7EBB">
            <w:pPr>
              <w:jc w:val="both"/>
              <w:rPr>
                <w:sz w:val="24"/>
                <w:szCs w:val="24"/>
              </w:rPr>
            </w:pPr>
          </w:p>
          <w:p w14:paraId="48A53B87" w14:textId="050635F4" w:rsidR="00424CAF" w:rsidRPr="00DA21A2" w:rsidRDefault="00424CAF" w:rsidP="00F1688E">
            <w:pPr>
              <w:jc w:val="both"/>
              <w:rPr>
                <w:color w:val="auto"/>
                <w:sz w:val="24"/>
                <w:szCs w:val="24"/>
              </w:rPr>
            </w:pPr>
            <w:r w:rsidRPr="00DA21A2">
              <w:rPr>
                <w:color w:val="auto"/>
                <w:sz w:val="24"/>
                <w:szCs w:val="24"/>
              </w:rPr>
              <w:t>The Wales Safeguarding Procedures (2019) define safeguarding as preventing and protecting children from abuse, neglect and harm, whilst ensuring others can recognise signs of risk. The Social Services and Well-being (Wales) Act 2014 (SSBWA) defines a child at risk</w:t>
            </w:r>
            <w:r w:rsidR="00F259B2" w:rsidRPr="00DA21A2">
              <w:rPr>
                <w:color w:val="auto"/>
                <w:sz w:val="24"/>
                <w:szCs w:val="24"/>
              </w:rPr>
              <w:t xml:space="preserve"> under Section 130(4)</w:t>
            </w:r>
            <w:r w:rsidRPr="00DA21A2">
              <w:rPr>
                <w:color w:val="auto"/>
                <w:sz w:val="24"/>
                <w:szCs w:val="24"/>
              </w:rPr>
              <w:t xml:space="preserve"> as “(a) experiencing or is at risk of abuse, neglect or other kinds of harm, and (b) has needs for care and support (whether or not the authority is meeting any of those needs).”</w:t>
            </w:r>
          </w:p>
          <w:p w14:paraId="6DE865B6" w14:textId="77777777" w:rsidR="00424CAF" w:rsidRPr="00DA21A2" w:rsidRDefault="00424CAF" w:rsidP="00F1688E">
            <w:pPr>
              <w:jc w:val="both"/>
              <w:rPr>
                <w:color w:val="auto"/>
                <w:sz w:val="24"/>
                <w:szCs w:val="24"/>
              </w:rPr>
            </w:pPr>
          </w:p>
          <w:p w14:paraId="05E97E0B" w14:textId="77777777" w:rsidR="00424CAF" w:rsidRPr="00DA21A2" w:rsidRDefault="00424CAF" w:rsidP="00F1688E">
            <w:pPr>
              <w:jc w:val="both"/>
              <w:rPr>
                <w:color w:val="auto"/>
                <w:sz w:val="24"/>
                <w:szCs w:val="24"/>
              </w:rPr>
            </w:pPr>
            <w:r w:rsidRPr="00DA21A2">
              <w:rPr>
                <w:color w:val="auto"/>
                <w:sz w:val="24"/>
                <w:szCs w:val="24"/>
              </w:rPr>
              <w:t>Social workers must identify factors that may place a child at risk and recognise indicators that harm, abuse or neglect may be occurring. The Wales Safeguarding Procedures describe potential abuse, neglect and harm. For example, physical abuse may include burns, punching or biting, with indicators including unexplained injuries or marks.</w:t>
            </w:r>
          </w:p>
          <w:p w14:paraId="2A49AC01" w14:textId="77777777" w:rsidR="00424CAF" w:rsidRPr="00DA21A2" w:rsidRDefault="00424CAF" w:rsidP="00F1688E">
            <w:pPr>
              <w:jc w:val="both"/>
              <w:rPr>
                <w:color w:val="auto"/>
                <w:sz w:val="24"/>
                <w:szCs w:val="24"/>
              </w:rPr>
            </w:pPr>
          </w:p>
          <w:p w14:paraId="699510DC" w14:textId="77777777" w:rsidR="00424CAF" w:rsidRDefault="00424CAF" w:rsidP="00F1688E">
            <w:pPr>
              <w:jc w:val="both"/>
              <w:rPr>
                <w:color w:val="auto"/>
                <w:sz w:val="24"/>
                <w:szCs w:val="24"/>
              </w:rPr>
            </w:pPr>
            <w:r w:rsidRPr="00DA21A2">
              <w:rPr>
                <w:color w:val="auto"/>
                <w:sz w:val="24"/>
                <w:szCs w:val="24"/>
              </w:rPr>
              <w:t>As a social worker, if I suspect a child is at risk, I have a duty under Section 130 of the SSWBA to report this to the local authority. The Wales Safeguarding Procedures outline how concerns should be reported, recorded and progressed.</w:t>
            </w:r>
          </w:p>
          <w:p w14:paraId="69079093" w14:textId="77777777" w:rsidR="00DA21A2" w:rsidRDefault="00DA21A2" w:rsidP="00F1688E">
            <w:pPr>
              <w:jc w:val="both"/>
              <w:rPr>
                <w:color w:val="auto"/>
                <w:sz w:val="24"/>
                <w:szCs w:val="24"/>
              </w:rPr>
            </w:pPr>
          </w:p>
          <w:p w14:paraId="42D175C4" w14:textId="77777777" w:rsidR="00F1688E" w:rsidRPr="00F1688E" w:rsidRDefault="00DA21A2" w:rsidP="00F1688E">
            <w:pPr>
              <w:jc w:val="both"/>
              <w:rPr>
                <w:color w:val="auto"/>
                <w:sz w:val="24"/>
                <w:szCs w:val="24"/>
              </w:rPr>
            </w:pPr>
            <w:r>
              <w:rPr>
                <w:color w:val="auto"/>
                <w:sz w:val="24"/>
                <w:szCs w:val="24"/>
              </w:rPr>
              <w:t xml:space="preserve">At a regional level, Regional Safeguarding Boards coordinate and oversee multi-agency safeguarding arrangements between social services and partner agencies. At an organisational level, local authorities implement national legislation and Wales Safeguarding Procedures through their own arrangements </w:t>
            </w:r>
            <w:r w:rsidR="00884696">
              <w:rPr>
                <w:color w:val="auto"/>
                <w:sz w:val="24"/>
                <w:szCs w:val="24"/>
              </w:rPr>
              <w:t xml:space="preserve">for reporting, recording, information sharing, management oversight and escalation. For example, my </w:t>
            </w:r>
            <w:r w:rsidR="00B11B6A">
              <w:rPr>
                <w:color w:val="auto"/>
                <w:sz w:val="24"/>
                <w:szCs w:val="24"/>
              </w:rPr>
              <w:t xml:space="preserve">organisation </w:t>
            </w:r>
            <w:r w:rsidR="007237F2">
              <w:rPr>
                <w:color w:val="auto"/>
                <w:sz w:val="24"/>
                <w:szCs w:val="24"/>
              </w:rPr>
              <w:t xml:space="preserve">requires </w:t>
            </w:r>
            <w:r w:rsidR="00B11B6A">
              <w:rPr>
                <w:color w:val="auto"/>
                <w:sz w:val="24"/>
                <w:szCs w:val="24"/>
              </w:rPr>
              <w:t>child protection visits</w:t>
            </w:r>
            <w:r w:rsidR="007D7D26">
              <w:rPr>
                <w:color w:val="auto"/>
                <w:sz w:val="24"/>
                <w:szCs w:val="24"/>
              </w:rPr>
              <w:t xml:space="preserve"> every 5 working days, but the Welsh </w:t>
            </w:r>
            <w:r w:rsidR="00E94650">
              <w:rPr>
                <w:color w:val="auto"/>
                <w:sz w:val="24"/>
                <w:szCs w:val="24"/>
              </w:rPr>
              <w:t>Safeguarding Procedures states</w:t>
            </w:r>
            <w:r w:rsidR="007D7D26">
              <w:rPr>
                <w:color w:val="auto"/>
                <w:sz w:val="24"/>
                <w:szCs w:val="24"/>
              </w:rPr>
              <w:t xml:space="preserve"> 10 working days.</w:t>
            </w:r>
            <w:r w:rsidR="007F083D">
              <w:rPr>
                <w:color w:val="auto"/>
                <w:sz w:val="24"/>
                <w:szCs w:val="24"/>
              </w:rPr>
              <w:t xml:space="preserve"> </w:t>
            </w:r>
            <w:r w:rsidR="00F1688E" w:rsidRPr="00F1688E">
              <w:rPr>
                <w:color w:val="auto"/>
                <w:sz w:val="24"/>
                <w:szCs w:val="24"/>
              </w:rPr>
              <w:t>This demonstrates how national, regional and organisational arrangements are interconnected, while local procedures may introduce additional requirements to guide practice.</w:t>
            </w:r>
          </w:p>
          <w:p w14:paraId="4E1898D1" w14:textId="789FC700" w:rsidR="00424CAF" w:rsidRPr="00DA21A2" w:rsidRDefault="00424CAF" w:rsidP="00F1688E">
            <w:pPr>
              <w:jc w:val="both"/>
              <w:rPr>
                <w:color w:val="auto"/>
                <w:sz w:val="24"/>
                <w:szCs w:val="24"/>
              </w:rPr>
            </w:pPr>
          </w:p>
          <w:p w14:paraId="2CCAEF33" w14:textId="77777777" w:rsidR="00424CAF" w:rsidRPr="00DA21A2" w:rsidRDefault="00424CAF" w:rsidP="00F1688E">
            <w:pPr>
              <w:jc w:val="both"/>
              <w:rPr>
                <w:color w:val="auto"/>
                <w:sz w:val="24"/>
                <w:szCs w:val="24"/>
              </w:rPr>
            </w:pPr>
            <w:r w:rsidRPr="00DA21A2">
              <w:rPr>
                <w:color w:val="auto"/>
                <w:sz w:val="24"/>
                <w:szCs w:val="24"/>
              </w:rPr>
              <w:t xml:space="preserve">When a report has been received by the local authority’s safeguarding team, they have a duty under Section 128 of the SSWBA to make enquiries where there is reasonable cause to suspect that a child is at risk. The Wales Safeguarding Procedures emphasise the importance </w:t>
            </w:r>
            <w:r w:rsidRPr="00DA21A2">
              <w:rPr>
                <w:color w:val="auto"/>
                <w:sz w:val="24"/>
                <w:szCs w:val="24"/>
              </w:rPr>
              <w:lastRenderedPageBreak/>
              <w:t>of a child-centred approach, including involving the child and family where appropriate. This reflects Article 12 of the United Nations Convention on the Rights of the Child, which emphasises a child’s right to express their views (United Nations, 1989).</w:t>
            </w:r>
          </w:p>
          <w:p w14:paraId="6D3E43EC" w14:textId="77777777" w:rsidR="00424CAF" w:rsidRPr="00DA21A2" w:rsidRDefault="00424CAF" w:rsidP="00F1688E">
            <w:pPr>
              <w:jc w:val="both"/>
              <w:rPr>
                <w:color w:val="auto"/>
                <w:sz w:val="24"/>
                <w:szCs w:val="24"/>
              </w:rPr>
            </w:pPr>
          </w:p>
          <w:p w14:paraId="0047496E" w14:textId="77777777" w:rsidR="00424CAF" w:rsidRPr="00DA21A2" w:rsidRDefault="00424CAF" w:rsidP="00F1688E">
            <w:pPr>
              <w:jc w:val="both"/>
              <w:rPr>
                <w:color w:val="auto"/>
                <w:sz w:val="24"/>
                <w:szCs w:val="24"/>
              </w:rPr>
            </w:pPr>
            <w:r w:rsidRPr="00DA21A2">
              <w:rPr>
                <w:color w:val="auto"/>
                <w:sz w:val="24"/>
                <w:szCs w:val="24"/>
              </w:rPr>
              <w:t>It is usually the role of a social worker to gather information, work collaboratively with relevant parties and assess risk to determine what action should follow. From the date a report is received, the local authority has one working day to make a decision regarding next actions (Wales Safeguarding Procedures, 2019).</w:t>
            </w:r>
          </w:p>
          <w:p w14:paraId="5EE266DF" w14:textId="77777777" w:rsidR="00424CAF" w:rsidRPr="00DA21A2" w:rsidRDefault="00424CAF" w:rsidP="00F1688E">
            <w:pPr>
              <w:jc w:val="both"/>
              <w:rPr>
                <w:color w:val="auto"/>
                <w:sz w:val="24"/>
                <w:szCs w:val="24"/>
              </w:rPr>
            </w:pPr>
          </w:p>
          <w:p w14:paraId="49D8A287" w14:textId="77777777" w:rsidR="00424CAF" w:rsidRPr="00DA21A2" w:rsidRDefault="00424CAF" w:rsidP="00F1688E">
            <w:pPr>
              <w:jc w:val="both"/>
              <w:rPr>
                <w:color w:val="auto"/>
                <w:sz w:val="24"/>
                <w:szCs w:val="24"/>
              </w:rPr>
            </w:pPr>
            <w:r w:rsidRPr="00DA21A2">
              <w:rPr>
                <w:color w:val="auto"/>
                <w:sz w:val="24"/>
                <w:szCs w:val="24"/>
              </w:rPr>
              <w:t>Following enquiries, a decision should be made as to whether no further action is required, whether a child requires an assessment of care and support needs, whether urgent protective action is necessary, or whether there is reasonable cause to suspect significant harm, as defined under the Children Act 1989. Where significant harm is suspected, a strategy discussion and consideration of a Section 47 enquiry are required.</w:t>
            </w:r>
          </w:p>
          <w:p w14:paraId="19D65357" w14:textId="77777777" w:rsidR="00424CAF" w:rsidRPr="00DA21A2" w:rsidRDefault="00424CAF" w:rsidP="00F1688E">
            <w:pPr>
              <w:jc w:val="both"/>
              <w:rPr>
                <w:color w:val="auto"/>
                <w:sz w:val="24"/>
                <w:szCs w:val="24"/>
              </w:rPr>
            </w:pPr>
          </w:p>
          <w:p w14:paraId="16DFFD46" w14:textId="77777777" w:rsidR="00424CAF" w:rsidRPr="00DA21A2" w:rsidRDefault="00424CAF" w:rsidP="00F1688E">
            <w:pPr>
              <w:jc w:val="both"/>
              <w:rPr>
                <w:color w:val="auto"/>
                <w:sz w:val="24"/>
                <w:szCs w:val="24"/>
              </w:rPr>
            </w:pPr>
            <w:r w:rsidRPr="00DA21A2">
              <w:rPr>
                <w:color w:val="auto"/>
                <w:sz w:val="24"/>
                <w:szCs w:val="24"/>
              </w:rPr>
              <w:t>If the significant harm threshold is met, a Section 47 enquiry gathers and analyses information from the child, family and relevant professionals to determine the risks and whether child protection intervention, including a child protection conference, is required.</w:t>
            </w:r>
          </w:p>
          <w:p w14:paraId="3B6F787A" w14:textId="77777777" w:rsidR="00424CAF" w:rsidRPr="00DA21A2" w:rsidRDefault="00424CAF" w:rsidP="00F1688E">
            <w:pPr>
              <w:jc w:val="both"/>
              <w:rPr>
                <w:color w:val="auto"/>
                <w:sz w:val="24"/>
                <w:szCs w:val="24"/>
              </w:rPr>
            </w:pPr>
          </w:p>
          <w:p w14:paraId="2A041B55" w14:textId="77777777" w:rsidR="00424CAF" w:rsidRPr="00DA21A2" w:rsidRDefault="00424CAF" w:rsidP="00F1688E">
            <w:pPr>
              <w:jc w:val="both"/>
              <w:rPr>
                <w:color w:val="auto"/>
                <w:sz w:val="24"/>
                <w:szCs w:val="24"/>
              </w:rPr>
            </w:pPr>
            <w:r w:rsidRPr="00DA21A2">
              <w:rPr>
                <w:color w:val="auto"/>
                <w:sz w:val="24"/>
                <w:szCs w:val="24"/>
              </w:rPr>
              <w:t>Throughout the process, the child’s wishes, feelings and preferred outcomes should be established, alongside the views of their family where appropriate. This supports child-centred and proportionate intervention, although the child’s safety and welfare remain central to decision-making.</w:t>
            </w:r>
          </w:p>
          <w:p w14:paraId="4CD84D34" w14:textId="77777777" w:rsidR="00AA2842" w:rsidRPr="00DA21A2" w:rsidRDefault="00AA2842" w:rsidP="00FF7EBB">
            <w:pPr>
              <w:jc w:val="both"/>
              <w:rPr>
                <w:color w:val="auto"/>
                <w:sz w:val="24"/>
                <w:szCs w:val="24"/>
              </w:rPr>
            </w:pPr>
          </w:p>
          <w:p w14:paraId="206514B9" w14:textId="77777777" w:rsidR="00FC0334" w:rsidRDefault="00FC0334" w:rsidP="00FF7EBB">
            <w:pPr>
              <w:jc w:val="both"/>
              <w:rPr>
                <w:sz w:val="24"/>
                <w:szCs w:val="24"/>
              </w:rPr>
            </w:pPr>
          </w:p>
          <w:p w14:paraId="60D8C669" w14:textId="1608DE8B" w:rsidR="00FC0334" w:rsidRDefault="00455D6A" w:rsidP="00FF7EBB">
            <w:pPr>
              <w:jc w:val="both"/>
              <w:rPr>
                <w:sz w:val="24"/>
                <w:szCs w:val="24"/>
              </w:rPr>
            </w:pPr>
            <w:r>
              <w:rPr>
                <w:sz w:val="24"/>
                <w:szCs w:val="24"/>
              </w:rPr>
              <w:t xml:space="preserve">Wordcount: </w:t>
            </w:r>
            <w:r w:rsidR="007D7D26">
              <w:rPr>
                <w:sz w:val="24"/>
                <w:szCs w:val="24"/>
              </w:rPr>
              <w:t>5</w:t>
            </w:r>
            <w:r w:rsidR="00F1688E">
              <w:rPr>
                <w:sz w:val="24"/>
                <w:szCs w:val="24"/>
              </w:rPr>
              <w:t>30</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2AC22831" w14:textId="27344413" w:rsidR="006C5D1E" w:rsidRDefault="006C5D1E" w:rsidP="006C5D1E">
            <w:pPr>
              <w:jc w:val="both"/>
              <w:rPr>
                <w:sz w:val="24"/>
                <w:szCs w:val="24"/>
              </w:rPr>
            </w:pPr>
            <w:r w:rsidRPr="006C5D1E">
              <w:rPr>
                <w:sz w:val="24"/>
                <w:szCs w:val="24"/>
              </w:rPr>
              <w:t xml:space="preserve">I have previously worked in children’s services and, through this experience, </w:t>
            </w:r>
            <w:r w:rsidR="00677115">
              <w:rPr>
                <w:sz w:val="24"/>
                <w:szCs w:val="24"/>
              </w:rPr>
              <w:t xml:space="preserve">I </w:t>
            </w:r>
            <w:r w:rsidRPr="006C5D1E">
              <w:rPr>
                <w:sz w:val="24"/>
                <w:szCs w:val="24"/>
              </w:rPr>
              <w:t>was already aware of many of the differences between safeguarding adults and children in Wales. However, completing this task reinforced my understanding of how differently the two frameworks operate in practice.</w:t>
            </w:r>
          </w:p>
          <w:p w14:paraId="3E53623A" w14:textId="77777777" w:rsidR="006C5D1E" w:rsidRPr="006C5D1E" w:rsidRDefault="006C5D1E" w:rsidP="006C5D1E">
            <w:pPr>
              <w:jc w:val="both"/>
              <w:rPr>
                <w:sz w:val="24"/>
                <w:szCs w:val="24"/>
              </w:rPr>
            </w:pPr>
          </w:p>
          <w:p w14:paraId="758CA1A9" w14:textId="77777777" w:rsidR="006C5D1E" w:rsidRDefault="006C5D1E" w:rsidP="006C5D1E">
            <w:pPr>
              <w:jc w:val="both"/>
              <w:rPr>
                <w:sz w:val="24"/>
                <w:szCs w:val="24"/>
              </w:rPr>
            </w:pPr>
            <w:r w:rsidRPr="006C5D1E">
              <w:rPr>
                <w:sz w:val="24"/>
                <w:szCs w:val="24"/>
              </w:rPr>
              <w:t xml:space="preserve">The difference that stands out most to me is the clarity of the safeguarding framework. In my view, children’s safeguarding is supported by a more structured and clearly defined process. The Social Services and Well-being (Wales) Act 2014, the Children Act 1989 and the Wales Safeguarding Procedures provide clear definitions of a child at risk, abuse, neglect and significant harm, alongside detailed guidance on reporting concerns, making enquiries, strategy discussions, Section 47 enquiries and child protection processes. I also feel that the </w:t>
            </w:r>
            <w:r w:rsidRPr="006C5D1E">
              <w:rPr>
                <w:sz w:val="24"/>
                <w:szCs w:val="24"/>
              </w:rPr>
              <w:lastRenderedPageBreak/>
              <w:t>threshold for intervention within children’s safeguarding is clearer. The concepts of a child at risk and significant harm are supported by extensive legislation, policy and procedural guidance, helping social workers understand when statutory intervention may be required and what actions should follow.</w:t>
            </w:r>
          </w:p>
          <w:p w14:paraId="400EDECD" w14:textId="77777777" w:rsidR="006C5D1E" w:rsidRPr="006C5D1E" w:rsidRDefault="006C5D1E" w:rsidP="006C5D1E">
            <w:pPr>
              <w:jc w:val="both"/>
              <w:rPr>
                <w:sz w:val="24"/>
                <w:szCs w:val="24"/>
              </w:rPr>
            </w:pPr>
          </w:p>
          <w:p w14:paraId="2F22C3A3" w14:textId="65276567" w:rsidR="006C5D1E" w:rsidRDefault="006C5D1E" w:rsidP="006C5D1E">
            <w:pPr>
              <w:jc w:val="both"/>
              <w:rPr>
                <w:sz w:val="24"/>
                <w:szCs w:val="24"/>
              </w:rPr>
            </w:pPr>
            <w:r w:rsidRPr="006C5D1E">
              <w:rPr>
                <w:sz w:val="24"/>
                <w:szCs w:val="24"/>
              </w:rPr>
              <w:t>In comparison, I have often found adult safeguarding to be less straightforward. Whilst there is a clear legislative framework</w:t>
            </w:r>
            <w:r w:rsidR="007D7B0A">
              <w:rPr>
                <w:sz w:val="24"/>
                <w:szCs w:val="24"/>
              </w:rPr>
              <w:t xml:space="preserve"> within the SSWBA and Wales Safeguarding Procedures</w:t>
            </w:r>
            <w:r w:rsidRPr="006C5D1E">
              <w:rPr>
                <w:sz w:val="24"/>
                <w:szCs w:val="24"/>
              </w:rPr>
              <w:t>, adult safeguarding relies more heavily on professional judgement due to the need to balance protection, autonomy, consent and self-determination. The threshold for intervention can feel less defined, as safeguarding decisions are influenced not only by the level of risk but also by an individual’s wishes, desired outcomes and mental capacity. As a result, adult safeguarding can feel more nuanced and less procedural than children’s safeguarding.</w:t>
            </w:r>
          </w:p>
          <w:p w14:paraId="5947E571" w14:textId="77777777" w:rsidR="006C5D1E" w:rsidRPr="006C5D1E" w:rsidRDefault="006C5D1E" w:rsidP="006C5D1E">
            <w:pPr>
              <w:jc w:val="both"/>
              <w:rPr>
                <w:sz w:val="24"/>
                <w:szCs w:val="24"/>
              </w:rPr>
            </w:pPr>
          </w:p>
          <w:p w14:paraId="63B805C6" w14:textId="21756D2E" w:rsidR="006C5D1E" w:rsidRDefault="006C5D1E" w:rsidP="006C5D1E">
            <w:pPr>
              <w:jc w:val="both"/>
              <w:rPr>
                <w:sz w:val="24"/>
                <w:szCs w:val="24"/>
              </w:rPr>
            </w:pPr>
            <w:r w:rsidRPr="006C5D1E">
              <w:rPr>
                <w:sz w:val="24"/>
                <w:szCs w:val="24"/>
              </w:rPr>
              <w:t>One of the most challenging aspects of adult safeguarding for me is working with individuals who have mental capacity yet choose to remain in situations that professionals consider harmful or risky. Whilst safeguarding concerns may remain significant, social workers must respect an individual’s right to make decisions which others may consider unwise</w:t>
            </w:r>
            <w:r w:rsidR="00F205D7">
              <w:rPr>
                <w:sz w:val="24"/>
                <w:szCs w:val="24"/>
              </w:rPr>
              <w:t>, in line with the Mental Capacity Act 2005</w:t>
            </w:r>
            <w:r w:rsidRPr="006C5D1E">
              <w:rPr>
                <w:sz w:val="24"/>
                <w:szCs w:val="24"/>
              </w:rPr>
              <w:t xml:space="preserve">. I have often found this more difficult than children’s safeguarding, as it can feel uncomfortable to step back from a situation where risks remain present. In contrast, although children’s safeguarding recognises the importance of listening to children’s wishes and feelings, including concepts such as Gillick competence, the child’s welfare remains paramount. Therefore, social workers have greater scope to intervene where risks are identified and </w:t>
            </w:r>
            <w:r w:rsidR="00FC0EF9">
              <w:rPr>
                <w:sz w:val="24"/>
                <w:szCs w:val="24"/>
              </w:rPr>
              <w:t xml:space="preserve">to </w:t>
            </w:r>
            <w:r w:rsidRPr="006C5D1E">
              <w:rPr>
                <w:sz w:val="24"/>
                <w:szCs w:val="24"/>
              </w:rPr>
              <w:t>continue protective action until risks have been reduced to an acceptable level.</w:t>
            </w:r>
          </w:p>
          <w:p w14:paraId="68B5F730" w14:textId="77777777" w:rsidR="006C5D1E" w:rsidRPr="006C5D1E" w:rsidRDefault="006C5D1E" w:rsidP="006C5D1E">
            <w:pPr>
              <w:jc w:val="both"/>
              <w:rPr>
                <w:sz w:val="24"/>
                <w:szCs w:val="24"/>
              </w:rPr>
            </w:pPr>
          </w:p>
          <w:p w14:paraId="25C27AA9" w14:textId="728287BB" w:rsidR="006C5D1E" w:rsidRPr="006C5D1E" w:rsidRDefault="006C5D1E" w:rsidP="006C5D1E">
            <w:pPr>
              <w:jc w:val="both"/>
              <w:rPr>
                <w:sz w:val="24"/>
                <w:szCs w:val="24"/>
              </w:rPr>
            </w:pPr>
            <w:r w:rsidRPr="006C5D1E">
              <w:rPr>
                <w:sz w:val="24"/>
                <w:szCs w:val="24"/>
              </w:rPr>
              <w:t>Reflecting on both frameworks has reinforced my understanding that, whilst adult and children’s safeguarding share principles such as multi-</w:t>
            </w:r>
            <w:r w:rsidR="00FC0EF9">
              <w:rPr>
                <w:sz w:val="24"/>
                <w:szCs w:val="24"/>
              </w:rPr>
              <w:t>disciplinary</w:t>
            </w:r>
            <w:r w:rsidRPr="006C5D1E">
              <w:rPr>
                <w:sz w:val="24"/>
                <w:szCs w:val="24"/>
              </w:rPr>
              <w:t xml:space="preserve"> working, information sharing and professional curiosity, they differ significantly in how they balance protection with individual rights and freedoms.</w:t>
            </w: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4AA77020" w:rsidR="00FC0334" w:rsidRDefault="007D7B0A" w:rsidP="00FC0334">
            <w:pPr>
              <w:jc w:val="both"/>
              <w:rPr>
                <w:sz w:val="24"/>
                <w:szCs w:val="24"/>
              </w:rPr>
            </w:pPr>
            <w:r>
              <w:rPr>
                <w:sz w:val="24"/>
                <w:szCs w:val="24"/>
              </w:rPr>
              <w:t>Wordcount: 43</w:t>
            </w:r>
            <w:r w:rsidR="00FC0EF9">
              <w:rPr>
                <w:sz w:val="24"/>
                <w:szCs w:val="24"/>
              </w:rPr>
              <w:t>3</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7D848" w14:textId="77777777" w:rsidR="006F0457" w:rsidRDefault="006F0457">
      <w:r>
        <w:separator/>
      </w:r>
    </w:p>
  </w:endnote>
  <w:endnote w:type="continuationSeparator" w:id="0">
    <w:p w14:paraId="4AC86A81" w14:textId="77777777" w:rsidR="006F0457" w:rsidRDefault="006F04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630AC" w14:textId="77777777" w:rsidR="006F0457" w:rsidRDefault="006F0457">
      <w:r>
        <w:separator/>
      </w:r>
    </w:p>
  </w:footnote>
  <w:footnote w:type="continuationSeparator" w:id="0">
    <w:p w14:paraId="7AFEEE88" w14:textId="77777777" w:rsidR="006F0457" w:rsidRDefault="006F04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942"/>
    <w:rsid w:val="00020EEC"/>
    <w:rsid w:val="00023FC6"/>
    <w:rsid w:val="0002440E"/>
    <w:rsid w:val="0002759A"/>
    <w:rsid w:val="00027B1F"/>
    <w:rsid w:val="0003088B"/>
    <w:rsid w:val="000325D9"/>
    <w:rsid w:val="00033418"/>
    <w:rsid w:val="000372B2"/>
    <w:rsid w:val="0004079F"/>
    <w:rsid w:val="00043543"/>
    <w:rsid w:val="000453D4"/>
    <w:rsid w:val="00045B87"/>
    <w:rsid w:val="00045C07"/>
    <w:rsid w:val="00045C40"/>
    <w:rsid w:val="00046861"/>
    <w:rsid w:val="0005128D"/>
    <w:rsid w:val="00054A07"/>
    <w:rsid w:val="00055D43"/>
    <w:rsid w:val="00056FAC"/>
    <w:rsid w:val="00057751"/>
    <w:rsid w:val="00062314"/>
    <w:rsid w:val="00062E39"/>
    <w:rsid w:val="00064063"/>
    <w:rsid w:val="0006468E"/>
    <w:rsid w:val="0006581A"/>
    <w:rsid w:val="00074461"/>
    <w:rsid w:val="00075651"/>
    <w:rsid w:val="000766EC"/>
    <w:rsid w:val="00080E58"/>
    <w:rsid w:val="00083D99"/>
    <w:rsid w:val="00084DA6"/>
    <w:rsid w:val="00085699"/>
    <w:rsid w:val="000871AB"/>
    <w:rsid w:val="00090160"/>
    <w:rsid w:val="00091F52"/>
    <w:rsid w:val="00092970"/>
    <w:rsid w:val="00093720"/>
    <w:rsid w:val="000938E6"/>
    <w:rsid w:val="00093B3C"/>
    <w:rsid w:val="0009488C"/>
    <w:rsid w:val="00095567"/>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5A6"/>
    <w:rsid w:val="00132812"/>
    <w:rsid w:val="001345A1"/>
    <w:rsid w:val="001347F8"/>
    <w:rsid w:val="001359EE"/>
    <w:rsid w:val="00137BB5"/>
    <w:rsid w:val="00137E05"/>
    <w:rsid w:val="001447F6"/>
    <w:rsid w:val="00147DE3"/>
    <w:rsid w:val="00150794"/>
    <w:rsid w:val="00151DA6"/>
    <w:rsid w:val="001608C4"/>
    <w:rsid w:val="00164832"/>
    <w:rsid w:val="00171418"/>
    <w:rsid w:val="00176752"/>
    <w:rsid w:val="001772BF"/>
    <w:rsid w:val="001772DE"/>
    <w:rsid w:val="00180C20"/>
    <w:rsid w:val="0019496C"/>
    <w:rsid w:val="001961CF"/>
    <w:rsid w:val="001A067B"/>
    <w:rsid w:val="001A59BB"/>
    <w:rsid w:val="001A607E"/>
    <w:rsid w:val="001A6A51"/>
    <w:rsid w:val="001A79C4"/>
    <w:rsid w:val="001B331A"/>
    <w:rsid w:val="001B4D3E"/>
    <w:rsid w:val="001B6170"/>
    <w:rsid w:val="001C0237"/>
    <w:rsid w:val="001C0E74"/>
    <w:rsid w:val="001C1095"/>
    <w:rsid w:val="001C4DB8"/>
    <w:rsid w:val="001C50B8"/>
    <w:rsid w:val="001D229F"/>
    <w:rsid w:val="001E2EB6"/>
    <w:rsid w:val="001E489C"/>
    <w:rsid w:val="001F35CF"/>
    <w:rsid w:val="001F4552"/>
    <w:rsid w:val="002019EB"/>
    <w:rsid w:val="00204B58"/>
    <w:rsid w:val="00205051"/>
    <w:rsid w:val="00211F65"/>
    <w:rsid w:val="00214047"/>
    <w:rsid w:val="00216563"/>
    <w:rsid w:val="0021693C"/>
    <w:rsid w:val="0021792F"/>
    <w:rsid w:val="00220D06"/>
    <w:rsid w:val="002246A0"/>
    <w:rsid w:val="00230439"/>
    <w:rsid w:val="00232A09"/>
    <w:rsid w:val="00235176"/>
    <w:rsid w:val="00236061"/>
    <w:rsid w:val="0024100E"/>
    <w:rsid w:val="00241C1B"/>
    <w:rsid w:val="0024288B"/>
    <w:rsid w:val="00243DB0"/>
    <w:rsid w:val="00247265"/>
    <w:rsid w:val="002547F2"/>
    <w:rsid w:val="00254A07"/>
    <w:rsid w:val="00260663"/>
    <w:rsid w:val="002657E9"/>
    <w:rsid w:val="0026665E"/>
    <w:rsid w:val="0027147E"/>
    <w:rsid w:val="00272777"/>
    <w:rsid w:val="002761F4"/>
    <w:rsid w:val="002775E1"/>
    <w:rsid w:val="00277979"/>
    <w:rsid w:val="00291ADD"/>
    <w:rsid w:val="002920DF"/>
    <w:rsid w:val="00292E3D"/>
    <w:rsid w:val="00292F3D"/>
    <w:rsid w:val="00295CA1"/>
    <w:rsid w:val="002A0E51"/>
    <w:rsid w:val="002A1A44"/>
    <w:rsid w:val="002A291A"/>
    <w:rsid w:val="002A2C54"/>
    <w:rsid w:val="002A4E2E"/>
    <w:rsid w:val="002A5604"/>
    <w:rsid w:val="002B15BE"/>
    <w:rsid w:val="002B15E6"/>
    <w:rsid w:val="002B1701"/>
    <w:rsid w:val="002B23C3"/>
    <w:rsid w:val="002B443A"/>
    <w:rsid w:val="002B5B35"/>
    <w:rsid w:val="002B7AEE"/>
    <w:rsid w:val="002C2536"/>
    <w:rsid w:val="002C256A"/>
    <w:rsid w:val="002C3031"/>
    <w:rsid w:val="002C4233"/>
    <w:rsid w:val="002C44F6"/>
    <w:rsid w:val="002C496D"/>
    <w:rsid w:val="002D05EB"/>
    <w:rsid w:val="002D11A8"/>
    <w:rsid w:val="002D200E"/>
    <w:rsid w:val="002D2B6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3042"/>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981"/>
    <w:rsid w:val="003A46C0"/>
    <w:rsid w:val="003A600E"/>
    <w:rsid w:val="003A6513"/>
    <w:rsid w:val="003A7631"/>
    <w:rsid w:val="003B16C7"/>
    <w:rsid w:val="003B3115"/>
    <w:rsid w:val="003C19F1"/>
    <w:rsid w:val="003C3C67"/>
    <w:rsid w:val="003C4186"/>
    <w:rsid w:val="003C6185"/>
    <w:rsid w:val="003D0D2D"/>
    <w:rsid w:val="003D0F9E"/>
    <w:rsid w:val="003D1885"/>
    <w:rsid w:val="003D1BC0"/>
    <w:rsid w:val="003D20F1"/>
    <w:rsid w:val="003D4710"/>
    <w:rsid w:val="003E16D7"/>
    <w:rsid w:val="003E197E"/>
    <w:rsid w:val="003E4B70"/>
    <w:rsid w:val="003E54CF"/>
    <w:rsid w:val="003E5FBA"/>
    <w:rsid w:val="003F0918"/>
    <w:rsid w:val="003F1233"/>
    <w:rsid w:val="003F1566"/>
    <w:rsid w:val="003F67A4"/>
    <w:rsid w:val="00400786"/>
    <w:rsid w:val="00401FDA"/>
    <w:rsid w:val="004046F0"/>
    <w:rsid w:val="0040668F"/>
    <w:rsid w:val="00411EF7"/>
    <w:rsid w:val="00412677"/>
    <w:rsid w:val="00417C65"/>
    <w:rsid w:val="00424CAF"/>
    <w:rsid w:val="00425160"/>
    <w:rsid w:val="00430DE3"/>
    <w:rsid w:val="004348AE"/>
    <w:rsid w:val="004376C0"/>
    <w:rsid w:val="00440022"/>
    <w:rsid w:val="0044223A"/>
    <w:rsid w:val="00450B67"/>
    <w:rsid w:val="00451851"/>
    <w:rsid w:val="0045189A"/>
    <w:rsid w:val="00453343"/>
    <w:rsid w:val="004538C3"/>
    <w:rsid w:val="00455D6A"/>
    <w:rsid w:val="004608B9"/>
    <w:rsid w:val="00463B55"/>
    <w:rsid w:val="00465947"/>
    <w:rsid w:val="004667B1"/>
    <w:rsid w:val="00467F66"/>
    <w:rsid w:val="00470461"/>
    <w:rsid w:val="00470BB1"/>
    <w:rsid w:val="00473153"/>
    <w:rsid w:val="0047350F"/>
    <w:rsid w:val="004743AF"/>
    <w:rsid w:val="00482C17"/>
    <w:rsid w:val="00484CE3"/>
    <w:rsid w:val="004911B4"/>
    <w:rsid w:val="00491860"/>
    <w:rsid w:val="0049196A"/>
    <w:rsid w:val="004923DA"/>
    <w:rsid w:val="00492EEB"/>
    <w:rsid w:val="00493434"/>
    <w:rsid w:val="0049374F"/>
    <w:rsid w:val="004968E2"/>
    <w:rsid w:val="004A2A49"/>
    <w:rsid w:val="004A5A64"/>
    <w:rsid w:val="004A7240"/>
    <w:rsid w:val="004B03F5"/>
    <w:rsid w:val="004B1F2B"/>
    <w:rsid w:val="004B5553"/>
    <w:rsid w:val="004B600B"/>
    <w:rsid w:val="004B6822"/>
    <w:rsid w:val="004B69F6"/>
    <w:rsid w:val="004C2D3A"/>
    <w:rsid w:val="004C7CE3"/>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145"/>
    <w:rsid w:val="0051026F"/>
    <w:rsid w:val="005113D4"/>
    <w:rsid w:val="00511AA2"/>
    <w:rsid w:val="0051287D"/>
    <w:rsid w:val="00513C7D"/>
    <w:rsid w:val="00521123"/>
    <w:rsid w:val="00521221"/>
    <w:rsid w:val="0052250B"/>
    <w:rsid w:val="005305C6"/>
    <w:rsid w:val="00534013"/>
    <w:rsid w:val="00540EEC"/>
    <w:rsid w:val="005414F4"/>
    <w:rsid w:val="00546187"/>
    <w:rsid w:val="00547B11"/>
    <w:rsid w:val="00557D77"/>
    <w:rsid w:val="00561FBF"/>
    <w:rsid w:val="00562EAA"/>
    <w:rsid w:val="00563B58"/>
    <w:rsid w:val="005640C4"/>
    <w:rsid w:val="0056684C"/>
    <w:rsid w:val="00574A0C"/>
    <w:rsid w:val="00574C9E"/>
    <w:rsid w:val="0057780F"/>
    <w:rsid w:val="00581E0A"/>
    <w:rsid w:val="00586D89"/>
    <w:rsid w:val="005877C8"/>
    <w:rsid w:val="00587923"/>
    <w:rsid w:val="00594F9F"/>
    <w:rsid w:val="005A1B4C"/>
    <w:rsid w:val="005A545C"/>
    <w:rsid w:val="005B271A"/>
    <w:rsid w:val="005B3A2D"/>
    <w:rsid w:val="005C1567"/>
    <w:rsid w:val="005C28D3"/>
    <w:rsid w:val="005C6237"/>
    <w:rsid w:val="005C6CE5"/>
    <w:rsid w:val="005D3F07"/>
    <w:rsid w:val="005D4A1E"/>
    <w:rsid w:val="005D4F72"/>
    <w:rsid w:val="005D70AD"/>
    <w:rsid w:val="005E13EA"/>
    <w:rsid w:val="005E17F1"/>
    <w:rsid w:val="005F64AA"/>
    <w:rsid w:val="005F7851"/>
    <w:rsid w:val="00606E27"/>
    <w:rsid w:val="006108C9"/>
    <w:rsid w:val="00613D86"/>
    <w:rsid w:val="00614DF7"/>
    <w:rsid w:val="006179BB"/>
    <w:rsid w:val="0062158D"/>
    <w:rsid w:val="006223FD"/>
    <w:rsid w:val="006252DC"/>
    <w:rsid w:val="006326D1"/>
    <w:rsid w:val="00632E0A"/>
    <w:rsid w:val="00633165"/>
    <w:rsid w:val="006447DE"/>
    <w:rsid w:val="00644889"/>
    <w:rsid w:val="0065276E"/>
    <w:rsid w:val="00654329"/>
    <w:rsid w:val="00654CEC"/>
    <w:rsid w:val="00655507"/>
    <w:rsid w:val="006579FD"/>
    <w:rsid w:val="006635E3"/>
    <w:rsid w:val="0066611A"/>
    <w:rsid w:val="006669F3"/>
    <w:rsid w:val="006712A7"/>
    <w:rsid w:val="006717CF"/>
    <w:rsid w:val="00672CED"/>
    <w:rsid w:val="00674FC2"/>
    <w:rsid w:val="00676E35"/>
    <w:rsid w:val="00677115"/>
    <w:rsid w:val="00677E42"/>
    <w:rsid w:val="00682334"/>
    <w:rsid w:val="00684732"/>
    <w:rsid w:val="00684B16"/>
    <w:rsid w:val="00687016"/>
    <w:rsid w:val="006872A0"/>
    <w:rsid w:val="0069625A"/>
    <w:rsid w:val="00696A88"/>
    <w:rsid w:val="00696F65"/>
    <w:rsid w:val="00697572"/>
    <w:rsid w:val="006A0C18"/>
    <w:rsid w:val="006A6F70"/>
    <w:rsid w:val="006B4496"/>
    <w:rsid w:val="006B5E67"/>
    <w:rsid w:val="006B6612"/>
    <w:rsid w:val="006C2EB5"/>
    <w:rsid w:val="006C5D1E"/>
    <w:rsid w:val="006D18A3"/>
    <w:rsid w:val="006D1DAD"/>
    <w:rsid w:val="006D57DE"/>
    <w:rsid w:val="006D5970"/>
    <w:rsid w:val="006E481E"/>
    <w:rsid w:val="006E795F"/>
    <w:rsid w:val="006F0457"/>
    <w:rsid w:val="006F0862"/>
    <w:rsid w:val="006F1438"/>
    <w:rsid w:val="006F2A9E"/>
    <w:rsid w:val="006F3EEB"/>
    <w:rsid w:val="006F5ED3"/>
    <w:rsid w:val="00700249"/>
    <w:rsid w:val="00703DDA"/>
    <w:rsid w:val="007069CD"/>
    <w:rsid w:val="00706BB5"/>
    <w:rsid w:val="007105A3"/>
    <w:rsid w:val="0071231A"/>
    <w:rsid w:val="00712E90"/>
    <w:rsid w:val="00713B7E"/>
    <w:rsid w:val="007237F2"/>
    <w:rsid w:val="0072678F"/>
    <w:rsid w:val="007276E5"/>
    <w:rsid w:val="00727C4C"/>
    <w:rsid w:val="00734809"/>
    <w:rsid w:val="007353C8"/>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5E8"/>
    <w:rsid w:val="007C6A87"/>
    <w:rsid w:val="007D0A07"/>
    <w:rsid w:val="007D0F11"/>
    <w:rsid w:val="007D133D"/>
    <w:rsid w:val="007D3EB4"/>
    <w:rsid w:val="007D3F16"/>
    <w:rsid w:val="007D7B0A"/>
    <w:rsid w:val="007D7D26"/>
    <w:rsid w:val="007E4E9D"/>
    <w:rsid w:val="007F083D"/>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638"/>
    <w:rsid w:val="0085230E"/>
    <w:rsid w:val="008550A1"/>
    <w:rsid w:val="00861038"/>
    <w:rsid w:val="008621A2"/>
    <w:rsid w:val="00865B58"/>
    <w:rsid w:val="00866B50"/>
    <w:rsid w:val="00867A63"/>
    <w:rsid w:val="008708F1"/>
    <w:rsid w:val="00871960"/>
    <w:rsid w:val="0087369F"/>
    <w:rsid w:val="00875E8E"/>
    <w:rsid w:val="00880539"/>
    <w:rsid w:val="00884696"/>
    <w:rsid w:val="008859E8"/>
    <w:rsid w:val="0088737B"/>
    <w:rsid w:val="00891078"/>
    <w:rsid w:val="00892716"/>
    <w:rsid w:val="00893067"/>
    <w:rsid w:val="00893379"/>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5D23"/>
    <w:rsid w:val="009079BD"/>
    <w:rsid w:val="00912BD9"/>
    <w:rsid w:val="0091332A"/>
    <w:rsid w:val="00916FB2"/>
    <w:rsid w:val="00917781"/>
    <w:rsid w:val="00920E5B"/>
    <w:rsid w:val="00926436"/>
    <w:rsid w:val="00926885"/>
    <w:rsid w:val="00926C53"/>
    <w:rsid w:val="0093018C"/>
    <w:rsid w:val="0094495F"/>
    <w:rsid w:val="009544C0"/>
    <w:rsid w:val="00954FA4"/>
    <w:rsid w:val="00956AE9"/>
    <w:rsid w:val="00960DB1"/>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0568"/>
    <w:rsid w:val="00A22441"/>
    <w:rsid w:val="00A23F3B"/>
    <w:rsid w:val="00A24406"/>
    <w:rsid w:val="00A25F64"/>
    <w:rsid w:val="00A275F6"/>
    <w:rsid w:val="00A303B9"/>
    <w:rsid w:val="00A37416"/>
    <w:rsid w:val="00A40ED6"/>
    <w:rsid w:val="00A47621"/>
    <w:rsid w:val="00A479CD"/>
    <w:rsid w:val="00A50CFC"/>
    <w:rsid w:val="00A52145"/>
    <w:rsid w:val="00A54D67"/>
    <w:rsid w:val="00A55A3F"/>
    <w:rsid w:val="00A5656A"/>
    <w:rsid w:val="00A56734"/>
    <w:rsid w:val="00A60103"/>
    <w:rsid w:val="00A652F6"/>
    <w:rsid w:val="00A65861"/>
    <w:rsid w:val="00A732EA"/>
    <w:rsid w:val="00A7489E"/>
    <w:rsid w:val="00A8015F"/>
    <w:rsid w:val="00A82EEC"/>
    <w:rsid w:val="00A8381E"/>
    <w:rsid w:val="00A85039"/>
    <w:rsid w:val="00A906AA"/>
    <w:rsid w:val="00A94C5E"/>
    <w:rsid w:val="00AA252C"/>
    <w:rsid w:val="00AA2842"/>
    <w:rsid w:val="00AA666E"/>
    <w:rsid w:val="00AA7960"/>
    <w:rsid w:val="00AB5518"/>
    <w:rsid w:val="00AC3A0E"/>
    <w:rsid w:val="00AC4A04"/>
    <w:rsid w:val="00AC5679"/>
    <w:rsid w:val="00AC7F44"/>
    <w:rsid w:val="00AD336F"/>
    <w:rsid w:val="00AE1092"/>
    <w:rsid w:val="00AE134C"/>
    <w:rsid w:val="00AE1868"/>
    <w:rsid w:val="00AE2564"/>
    <w:rsid w:val="00AE301F"/>
    <w:rsid w:val="00AE3302"/>
    <w:rsid w:val="00AE5BA6"/>
    <w:rsid w:val="00AE6231"/>
    <w:rsid w:val="00AE7077"/>
    <w:rsid w:val="00AF61C2"/>
    <w:rsid w:val="00AF6CC6"/>
    <w:rsid w:val="00B01067"/>
    <w:rsid w:val="00B0296A"/>
    <w:rsid w:val="00B07E79"/>
    <w:rsid w:val="00B11B6A"/>
    <w:rsid w:val="00B12295"/>
    <w:rsid w:val="00B137BE"/>
    <w:rsid w:val="00B15998"/>
    <w:rsid w:val="00B17FA0"/>
    <w:rsid w:val="00B2292C"/>
    <w:rsid w:val="00B22C3C"/>
    <w:rsid w:val="00B24344"/>
    <w:rsid w:val="00B25905"/>
    <w:rsid w:val="00B26769"/>
    <w:rsid w:val="00B2754B"/>
    <w:rsid w:val="00B31C91"/>
    <w:rsid w:val="00B3747F"/>
    <w:rsid w:val="00B42E76"/>
    <w:rsid w:val="00B43194"/>
    <w:rsid w:val="00B436BF"/>
    <w:rsid w:val="00B47734"/>
    <w:rsid w:val="00B50FBA"/>
    <w:rsid w:val="00B558EB"/>
    <w:rsid w:val="00B577D3"/>
    <w:rsid w:val="00B60466"/>
    <w:rsid w:val="00B6548F"/>
    <w:rsid w:val="00B65500"/>
    <w:rsid w:val="00B71A32"/>
    <w:rsid w:val="00B7502A"/>
    <w:rsid w:val="00B77305"/>
    <w:rsid w:val="00B774BD"/>
    <w:rsid w:val="00B82CC2"/>
    <w:rsid w:val="00B84A89"/>
    <w:rsid w:val="00B9256C"/>
    <w:rsid w:val="00B92BEF"/>
    <w:rsid w:val="00B94443"/>
    <w:rsid w:val="00B945A7"/>
    <w:rsid w:val="00B9689A"/>
    <w:rsid w:val="00B97056"/>
    <w:rsid w:val="00BA531E"/>
    <w:rsid w:val="00BA728B"/>
    <w:rsid w:val="00BB06CB"/>
    <w:rsid w:val="00BB261F"/>
    <w:rsid w:val="00BB2887"/>
    <w:rsid w:val="00BB3B56"/>
    <w:rsid w:val="00BB5089"/>
    <w:rsid w:val="00BB5EAA"/>
    <w:rsid w:val="00BB5F11"/>
    <w:rsid w:val="00BB6638"/>
    <w:rsid w:val="00BB7FD2"/>
    <w:rsid w:val="00BC04FA"/>
    <w:rsid w:val="00BC1982"/>
    <w:rsid w:val="00BC1C22"/>
    <w:rsid w:val="00BC460B"/>
    <w:rsid w:val="00BC4ED3"/>
    <w:rsid w:val="00BC5725"/>
    <w:rsid w:val="00BD30B1"/>
    <w:rsid w:val="00BD5E1E"/>
    <w:rsid w:val="00BE0F7B"/>
    <w:rsid w:val="00BE10C2"/>
    <w:rsid w:val="00BF0D6C"/>
    <w:rsid w:val="00C01D14"/>
    <w:rsid w:val="00C01D97"/>
    <w:rsid w:val="00C025B4"/>
    <w:rsid w:val="00C029EC"/>
    <w:rsid w:val="00C03030"/>
    <w:rsid w:val="00C161FD"/>
    <w:rsid w:val="00C17C9F"/>
    <w:rsid w:val="00C23F17"/>
    <w:rsid w:val="00C246F2"/>
    <w:rsid w:val="00C26D0D"/>
    <w:rsid w:val="00C27C95"/>
    <w:rsid w:val="00C300D2"/>
    <w:rsid w:val="00C303DD"/>
    <w:rsid w:val="00C3270F"/>
    <w:rsid w:val="00C3278B"/>
    <w:rsid w:val="00C33375"/>
    <w:rsid w:val="00C34C23"/>
    <w:rsid w:val="00C368FA"/>
    <w:rsid w:val="00C42005"/>
    <w:rsid w:val="00C4664D"/>
    <w:rsid w:val="00C472AA"/>
    <w:rsid w:val="00C50A05"/>
    <w:rsid w:val="00C53554"/>
    <w:rsid w:val="00C54AED"/>
    <w:rsid w:val="00C54D0D"/>
    <w:rsid w:val="00C555FC"/>
    <w:rsid w:val="00C55E9B"/>
    <w:rsid w:val="00C56D09"/>
    <w:rsid w:val="00C57447"/>
    <w:rsid w:val="00C57D24"/>
    <w:rsid w:val="00C604D6"/>
    <w:rsid w:val="00C63CAB"/>
    <w:rsid w:val="00C63D00"/>
    <w:rsid w:val="00C6441B"/>
    <w:rsid w:val="00C65921"/>
    <w:rsid w:val="00C7108B"/>
    <w:rsid w:val="00C71B1A"/>
    <w:rsid w:val="00C73152"/>
    <w:rsid w:val="00C75883"/>
    <w:rsid w:val="00C77FA5"/>
    <w:rsid w:val="00C8089F"/>
    <w:rsid w:val="00C835FE"/>
    <w:rsid w:val="00C836CC"/>
    <w:rsid w:val="00C852D6"/>
    <w:rsid w:val="00C87469"/>
    <w:rsid w:val="00C87A74"/>
    <w:rsid w:val="00C92C71"/>
    <w:rsid w:val="00C93F8F"/>
    <w:rsid w:val="00CA0894"/>
    <w:rsid w:val="00CA3593"/>
    <w:rsid w:val="00CA374F"/>
    <w:rsid w:val="00CA5726"/>
    <w:rsid w:val="00CA7E6A"/>
    <w:rsid w:val="00CB258E"/>
    <w:rsid w:val="00CB3C8F"/>
    <w:rsid w:val="00CC02F1"/>
    <w:rsid w:val="00CC1122"/>
    <w:rsid w:val="00CC11A6"/>
    <w:rsid w:val="00CC135E"/>
    <w:rsid w:val="00CC49CB"/>
    <w:rsid w:val="00CC7226"/>
    <w:rsid w:val="00CD0735"/>
    <w:rsid w:val="00CD33D1"/>
    <w:rsid w:val="00CD45E3"/>
    <w:rsid w:val="00CD4771"/>
    <w:rsid w:val="00CD5089"/>
    <w:rsid w:val="00CD5D3F"/>
    <w:rsid w:val="00CD7E1F"/>
    <w:rsid w:val="00CE4BC4"/>
    <w:rsid w:val="00CE7DA2"/>
    <w:rsid w:val="00CF0225"/>
    <w:rsid w:val="00CF2D3E"/>
    <w:rsid w:val="00CF2F8A"/>
    <w:rsid w:val="00CF3DB3"/>
    <w:rsid w:val="00D0274B"/>
    <w:rsid w:val="00D0503D"/>
    <w:rsid w:val="00D052BC"/>
    <w:rsid w:val="00D07026"/>
    <w:rsid w:val="00D146AE"/>
    <w:rsid w:val="00D22C8F"/>
    <w:rsid w:val="00D3203C"/>
    <w:rsid w:val="00D32184"/>
    <w:rsid w:val="00D33491"/>
    <w:rsid w:val="00D3442D"/>
    <w:rsid w:val="00D36F00"/>
    <w:rsid w:val="00D437E4"/>
    <w:rsid w:val="00D44B67"/>
    <w:rsid w:val="00D44F8E"/>
    <w:rsid w:val="00D51FD5"/>
    <w:rsid w:val="00D55DE0"/>
    <w:rsid w:val="00D607EF"/>
    <w:rsid w:val="00D60F88"/>
    <w:rsid w:val="00D646BD"/>
    <w:rsid w:val="00D65558"/>
    <w:rsid w:val="00D71201"/>
    <w:rsid w:val="00D720C7"/>
    <w:rsid w:val="00D7393E"/>
    <w:rsid w:val="00D84841"/>
    <w:rsid w:val="00D86B05"/>
    <w:rsid w:val="00D876E6"/>
    <w:rsid w:val="00D90958"/>
    <w:rsid w:val="00D94CD2"/>
    <w:rsid w:val="00DA1025"/>
    <w:rsid w:val="00DA21A2"/>
    <w:rsid w:val="00DA22EC"/>
    <w:rsid w:val="00DA5682"/>
    <w:rsid w:val="00DA5860"/>
    <w:rsid w:val="00DA5C0C"/>
    <w:rsid w:val="00DB2767"/>
    <w:rsid w:val="00DC1B10"/>
    <w:rsid w:val="00DC2924"/>
    <w:rsid w:val="00DC4729"/>
    <w:rsid w:val="00DD1B64"/>
    <w:rsid w:val="00DD31C5"/>
    <w:rsid w:val="00DD5020"/>
    <w:rsid w:val="00DD63BE"/>
    <w:rsid w:val="00DE0C62"/>
    <w:rsid w:val="00DE4296"/>
    <w:rsid w:val="00DF2469"/>
    <w:rsid w:val="00DF74B0"/>
    <w:rsid w:val="00DF75DF"/>
    <w:rsid w:val="00DF7899"/>
    <w:rsid w:val="00E0524C"/>
    <w:rsid w:val="00E06450"/>
    <w:rsid w:val="00E15751"/>
    <w:rsid w:val="00E17160"/>
    <w:rsid w:val="00E17D41"/>
    <w:rsid w:val="00E231D1"/>
    <w:rsid w:val="00E3288D"/>
    <w:rsid w:val="00E35112"/>
    <w:rsid w:val="00E35BEC"/>
    <w:rsid w:val="00E37E89"/>
    <w:rsid w:val="00E41A6A"/>
    <w:rsid w:val="00E50821"/>
    <w:rsid w:val="00E51F91"/>
    <w:rsid w:val="00E5498A"/>
    <w:rsid w:val="00E559CE"/>
    <w:rsid w:val="00E60F42"/>
    <w:rsid w:val="00E62AE8"/>
    <w:rsid w:val="00E66AA7"/>
    <w:rsid w:val="00E6746C"/>
    <w:rsid w:val="00E7086E"/>
    <w:rsid w:val="00E71248"/>
    <w:rsid w:val="00E73C41"/>
    <w:rsid w:val="00E75911"/>
    <w:rsid w:val="00E7598F"/>
    <w:rsid w:val="00E76884"/>
    <w:rsid w:val="00E76F60"/>
    <w:rsid w:val="00E812B5"/>
    <w:rsid w:val="00E83D90"/>
    <w:rsid w:val="00E83F91"/>
    <w:rsid w:val="00E86299"/>
    <w:rsid w:val="00E90C26"/>
    <w:rsid w:val="00E9107A"/>
    <w:rsid w:val="00E91F62"/>
    <w:rsid w:val="00E929FD"/>
    <w:rsid w:val="00E93240"/>
    <w:rsid w:val="00E94650"/>
    <w:rsid w:val="00E9479B"/>
    <w:rsid w:val="00E94850"/>
    <w:rsid w:val="00E94E22"/>
    <w:rsid w:val="00E95F08"/>
    <w:rsid w:val="00E97171"/>
    <w:rsid w:val="00EA4D48"/>
    <w:rsid w:val="00EA7ADF"/>
    <w:rsid w:val="00EB2173"/>
    <w:rsid w:val="00EB62E6"/>
    <w:rsid w:val="00EB695F"/>
    <w:rsid w:val="00EB6E4D"/>
    <w:rsid w:val="00EB7A08"/>
    <w:rsid w:val="00EC3A85"/>
    <w:rsid w:val="00EC4B89"/>
    <w:rsid w:val="00EC5000"/>
    <w:rsid w:val="00EC53C5"/>
    <w:rsid w:val="00EC59A5"/>
    <w:rsid w:val="00EC6E15"/>
    <w:rsid w:val="00EC7A5E"/>
    <w:rsid w:val="00ED1B30"/>
    <w:rsid w:val="00ED5123"/>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88E"/>
    <w:rsid w:val="00F205D7"/>
    <w:rsid w:val="00F205EB"/>
    <w:rsid w:val="00F22AC5"/>
    <w:rsid w:val="00F254D1"/>
    <w:rsid w:val="00F259B2"/>
    <w:rsid w:val="00F32B82"/>
    <w:rsid w:val="00F34C86"/>
    <w:rsid w:val="00F4043E"/>
    <w:rsid w:val="00F41795"/>
    <w:rsid w:val="00F41BBC"/>
    <w:rsid w:val="00F444F0"/>
    <w:rsid w:val="00F446FF"/>
    <w:rsid w:val="00F45521"/>
    <w:rsid w:val="00F50847"/>
    <w:rsid w:val="00F53F27"/>
    <w:rsid w:val="00F546D1"/>
    <w:rsid w:val="00F60281"/>
    <w:rsid w:val="00F66272"/>
    <w:rsid w:val="00F67608"/>
    <w:rsid w:val="00F709C0"/>
    <w:rsid w:val="00F81FEC"/>
    <w:rsid w:val="00F825B9"/>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0EF9"/>
    <w:rsid w:val="00FC1310"/>
    <w:rsid w:val="00FC2FF3"/>
    <w:rsid w:val="00FC3263"/>
    <w:rsid w:val="00FC51F9"/>
    <w:rsid w:val="00FC5B40"/>
    <w:rsid w:val="00FC5FF8"/>
    <w:rsid w:val="00FD271B"/>
    <w:rsid w:val="00FD3D7C"/>
    <w:rsid w:val="00FD4F8F"/>
    <w:rsid w:val="00FE0C16"/>
    <w:rsid w:val="00FE14B1"/>
    <w:rsid w:val="00FE2B4B"/>
    <w:rsid w:val="00FE4D97"/>
    <w:rsid w:val="00FE5F90"/>
    <w:rsid w:val="00FF0070"/>
    <w:rsid w:val="00FF07C3"/>
    <w:rsid w:val="00FF283D"/>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20863@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4</Pages>
  <Words>1190</Words>
  <Characters>6813</Characters>
  <Application>Microsoft Office Word</Application>
  <DocSecurity>0</DocSecurity>
  <Lines>154</Lines>
  <Paragraphs>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Esyllt Jones</cp:lastModifiedBy>
  <cp:revision>26</cp:revision>
  <cp:lastPrinted>2020-02-11T19:20:00Z</cp:lastPrinted>
  <dcterms:created xsi:type="dcterms:W3CDTF">2026-09-25T07:22:00Z</dcterms:created>
  <dcterms:modified xsi:type="dcterms:W3CDTF">2026-10-05T19:32:00Z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