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49ed1975d7a7474a"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A9C7B45" wp14:paraId="3F6A07BB" wp14:textId="2BE821B4">
      <w:pPr>
        <w:rPr>
          <w:rFonts w:ascii="Aptos" w:hAnsi="Aptos"/>
          <w:b w:val="0"/>
          <w:bCs w:val="0"/>
          <w:i w:val="0"/>
          <w:iCs w:val="0"/>
          <w:strike w:val="0"/>
          <w:dstrike w:val="0"/>
          <w:noProof w:val="0"/>
          <w:color w:val="000000" w:themeColor="text1" w:themeTint="FF" w:themeShade="FF"/>
          <w:sz w:val="24"/>
          <w:szCs w:val="24"/>
          <w:u w:val="none"/>
          <w:lang w:val="en-GB"/>
        </w:rPr>
      </w:pPr>
      <w:r w:rsidRPr="0A9C7B45" w:rsidR="47B91FFF">
        <w:rPr>
          <w:rFonts w:ascii="Aptos" w:hAnsi="Aptos"/>
          <w:b w:val="0"/>
          <w:bCs w:val="0"/>
          <w:i w:val="0"/>
          <w:iCs w:val="0"/>
          <w:strike w:val="0"/>
          <w:dstrike w:val="0"/>
          <w:noProof w:val="0"/>
          <w:color w:val="000000" w:themeColor="text1" w:themeTint="FF" w:themeShade="FF"/>
          <w:sz w:val="24"/>
          <w:szCs w:val="24"/>
          <w:u w:val="none"/>
          <w:lang w:val="en-GB"/>
        </w:rPr>
        <w:t xml:space="preserve">The plan-view drawing of the Knossos Tripod Hearth Tomb provides a detailed and methodical representation of the tomb’s layout and contents. Reflecting the archaeological emphasis on scientific documentation during the early </w:t>
      </w:r>
      <w:r w:rsidRPr="0A9C7B45" w:rsidR="403F3653">
        <w:rPr>
          <w:rFonts w:ascii="Aptos" w:hAnsi="Aptos"/>
          <w:b w:val="0"/>
          <w:bCs w:val="0"/>
          <w:i w:val="0"/>
          <w:iCs w:val="0"/>
          <w:strike w:val="0"/>
          <w:dstrike w:val="0"/>
          <w:noProof w:val="0"/>
          <w:color w:val="000000" w:themeColor="text1" w:themeTint="FF" w:themeShade="FF"/>
          <w:sz w:val="24"/>
          <w:szCs w:val="24"/>
          <w:u w:val="none"/>
          <w:lang w:val="en-GB"/>
        </w:rPr>
        <w:t>twentieth century</w:t>
      </w:r>
      <w:r w:rsidRPr="0A9C7B45" w:rsidR="47B91FFF">
        <w:rPr>
          <w:rFonts w:ascii="Aptos" w:hAnsi="Aptos"/>
          <w:b w:val="0"/>
          <w:bCs w:val="0"/>
          <w:i w:val="0"/>
          <w:iCs w:val="0"/>
          <w:strike w:val="0"/>
          <w:dstrike w:val="0"/>
          <w:noProof w:val="0"/>
          <w:color w:val="000000" w:themeColor="text1" w:themeTint="FF" w:themeShade="FF"/>
          <w:sz w:val="24"/>
          <w:szCs w:val="24"/>
          <w:u w:val="none"/>
          <w:lang w:val="en-GB"/>
        </w:rPr>
        <w:t>, the drawing prioritises technical precision, labelling, and a focus on the spatial arrangement of objects within the tomb. This analysis will explore how the drawing communicates essential aspects of Cretan burial customs during the Late Bronze Age - such as the organisation of grave goods and the symbolic significance of the tomb’s structural features.</w:t>
      </w:r>
    </w:p>
    <w:p xmlns:wp14="http://schemas.microsoft.com/office/word/2010/wordml" w:rsidP="1C96B1B0" wp14:paraId="00278364" wp14:textId="4AEB1B63">
      <w:pPr>
        <w:rPr>
          <w:rFonts w:ascii="Aptos" w:hAnsi="Aptos"/>
          <w:b w:val="0"/>
          <w:bCs w:val="0"/>
          <w:i w:val="0"/>
          <w:iCs w:val="0"/>
          <w:strike w:val="0"/>
          <w:dstrike w:val="0"/>
          <w:noProof w:val="0"/>
          <w:color w:val="000000" w:themeColor="text1" w:themeTint="FF" w:themeShade="FF"/>
          <w:sz w:val="24"/>
          <w:szCs w:val="24"/>
          <w:u w:val="none"/>
          <w:lang w:val="en-GB"/>
        </w:rPr>
      </w:pP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 title of the drawing - ‘Tomb of the Tripod Hearth’ - and the detailed depiction of the prominent tripod hearth with plaster and charcoal is </w:t>
      </w:r>
      <w:r w:rsidRPr="1C96B1B0" w:rsidR="4F2A7D7B">
        <w:rPr>
          <w:rFonts w:ascii="Aptos" w:hAnsi="Aptos"/>
          <w:b w:val="0"/>
          <w:bCs w:val="0"/>
          <w:i w:val="0"/>
          <w:iCs w:val="0"/>
          <w:strike w:val="0"/>
          <w:dstrike w:val="0"/>
          <w:noProof w:val="0"/>
          <w:color w:val="000000" w:themeColor="text1" w:themeTint="FF" w:themeShade="FF"/>
          <w:sz w:val="24"/>
          <w:szCs w:val="24"/>
          <w:u w:val="none"/>
          <w:lang w:val="en-GB"/>
        </w:rPr>
        <w:t xml:space="preserve">especially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useful for drawing out interpretations around the key elements of Cretan ritual practices. In many ancient traditions, fire symboli</w:t>
      </w:r>
      <w:r w:rsidRPr="1C96B1B0" w:rsidR="4E61C824">
        <w:rPr>
          <w:rFonts w:ascii="Aptos" w:hAnsi="Aptos"/>
          <w:b w:val="0"/>
          <w:bCs w:val="0"/>
          <w:i w:val="0"/>
          <w:iCs w:val="0"/>
          <w:strike w:val="0"/>
          <w:dstrike w:val="0"/>
          <w:noProof w:val="0"/>
          <w:color w:val="000000" w:themeColor="text1" w:themeTint="FF" w:themeShade="FF"/>
          <w:sz w:val="24"/>
          <w:szCs w:val="24"/>
          <w:u w:val="none"/>
          <w:lang w:val="en-GB"/>
        </w:rPr>
        <w:t xml:space="preserve">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ed transition and purification, serving as a medium between the living and the dead. The presence of charcoal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indicates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past ritual burning, which may have been associated with transformation and the journey of the soul. Koehl (2006</w:t>
      </w:r>
      <w:r w:rsidRPr="1C96B1B0">
        <w:rPr>
          <w:rStyle w:val="FootnoteReference"/>
          <w:rFonts w:ascii="Aptos" w:hAnsi="Aptos"/>
          <w:b w:val="0"/>
          <w:bCs w:val="0"/>
          <w:i w:val="0"/>
          <w:iCs w:val="0"/>
          <w:strike w:val="0"/>
          <w:dstrike w:val="0"/>
          <w:noProof w:val="0"/>
          <w:color w:val="000000" w:themeColor="text1" w:themeTint="FF" w:themeShade="FF"/>
          <w:sz w:val="24"/>
          <w:szCs w:val="24"/>
          <w:u w:val="none"/>
          <w:lang w:val="en-GB"/>
        </w:rPr>
        <w:footnoteReference w:id="32386"/>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emphasizes that Bronze Age burials often incorporated rites of passage, marking the deceased’s transition between worlds. Similarly, both </w:t>
      </w:r>
      <w:r w:rsidRPr="1C96B1B0" w:rsidR="68CE2CDD">
        <w:rPr>
          <w:rFonts w:ascii="Aptos" w:hAnsi="Aptos"/>
          <w:b w:val="0"/>
          <w:bCs w:val="0"/>
          <w:i w:val="0"/>
          <w:iCs w:val="0"/>
          <w:strike w:val="0"/>
          <w:dstrike w:val="0"/>
          <w:noProof w:val="0"/>
          <w:color w:val="000000" w:themeColor="text1" w:themeTint="FF" w:themeShade="FF"/>
          <w:sz w:val="24"/>
          <w:szCs w:val="24"/>
          <w:u w:val="none"/>
          <w:lang w:val="en-GB"/>
        </w:rPr>
        <w:t>Koehl</w:t>
      </w:r>
      <w:r w:rsidRPr="1C96B1B0" w:rsidR="68CE2CDD">
        <w:rPr>
          <w:rStyle w:val="FootnoteReference"/>
          <w:rFonts w:ascii="Aptos" w:hAnsi="Aptos"/>
          <w:b w:val="0"/>
          <w:bCs w:val="0"/>
          <w:i w:val="0"/>
          <w:iCs w:val="0"/>
          <w:strike w:val="0"/>
          <w:dstrike w:val="0"/>
          <w:noProof w:val="0"/>
          <w:color w:val="000000" w:themeColor="text1" w:themeTint="FF" w:themeShade="FF"/>
          <w:sz w:val="24"/>
          <w:szCs w:val="24"/>
          <w:u w:val="none"/>
          <w:lang w:val="en-GB"/>
        </w:rPr>
        <w:t>1</w:t>
      </w:r>
      <w:r w:rsidRPr="1C96B1B0" w:rsidR="68CE2CDD">
        <w:rPr>
          <w:rFonts w:ascii="Aptos" w:hAnsi="Aptos"/>
          <w:b w:val="0"/>
          <w:bCs w:val="0"/>
          <w:i w:val="0"/>
          <w:iCs w:val="0"/>
          <w:strike w:val="0"/>
          <w:dstrike w:val="0"/>
          <w:noProof w:val="0"/>
          <w:color w:val="000000" w:themeColor="text1" w:themeTint="FF" w:themeShade="FF"/>
          <w:sz w:val="24"/>
          <w:szCs w:val="24"/>
          <w:u w:val="none"/>
          <w:lang w:val="en-GB"/>
        </w:rPr>
        <w:t xml:space="preser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and Alexandridou (2016</w:t>
      </w:r>
      <w:r w:rsidRPr="1C96B1B0">
        <w:rPr>
          <w:rStyle w:val="FootnoteReference"/>
          <w:rFonts w:ascii="Aptos" w:hAnsi="Aptos"/>
          <w:b w:val="0"/>
          <w:bCs w:val="0"/>
          <w:i w:val="0"/>
          <w:iCs w:val="0"/>
          <w:strike w:val="0"/>
          <w:dstrike w:val="0"/>
          <w:noProof w:val="0"/>
          <w:color w:val="000000" w:themeColor="text1" w:themeTint="FF" w:themeShade="FF"/>
          <w:sz w:val="24"/>
          <w:szCs w:val="24"/>
          <w:u w:val="none"/>
          <w:lang w:val="en-GB"/>
        </w:rPr>
        <w:footnoteReference w:id="11792"/>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identify</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purification rituals as key components of </w:t>
      </w:r>
      <w:r w:rsidRPr="1C96B1B0" w:rsidR="040EF032">
        <w:rPr>
          <w:rFonts w:ascii="Aptos" w:hAnsi="Aptos"/>
          <w:b w:val="0"/>
          <w:bCs w:val="0"/>
          <w:i w:val="0"/>
          <w:iCs w:val="0"/>
          <w:strike w:val="0"/>
          <w:dstrike w:val="0"/>
          <w:noProof w:val="0"/>
          <w:color w:val="000000" w:themeColor="text1" w:themeTint="FF" w:themeShade="FF"/>
          <w:sz w:val="24"/>
          <w:szCs w:val="24"/>
          <w:u w:val="none"/>
          <w:lang w:val="en-GB"/>
        </w:rPr>
        <w:t xml:space="preserve">Bronze Age</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funerary practices, with the tripod hearth </w:t>
      </w:r>
      <w:bookmarkStart w:name="_Int_KdfH3We0" w:id="215387292"/>
      <w:r w:rsidRPr="1C96B1B0" w:rsidR="47B91FFF">
        <w:rPr>
          <w:rFonts w:ascii="Aptos" w:hAnsi="Aptos"/>
          <w:b w:val="0"/>
          <w:bCs w:val="0"/>
          <w:i w:val="0"/>
          <w:iCs w:val="0"/>
          <w:strike w:val="0"/>
          <w:dstrike w:val="0"/>
          <w:noProof w:val="0"/>
          <w:color w:val="000000" w:themeColor="text1" w:themeTint="FF" w:themeShade="FF"/>
          <w:sz w:val="24"/>
          <w:szCs w:val="24"/>
          <w:u w:val="none"/>
          <w:lang w:val="en-GB"/>
        </w:rPr>
        <w:t>likely serving</w:t>
      </w:r>
      <w:bookmarkEnd w:id="215387292"/>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as a means of cleansing the body and burial space, reinforcing the symbolic journey of the deceased. Notably, the combination of a cist grave with a domestic-style hearth is characteristic of a distinct Cretan approach, where Minoan traditions intersected with emerging Mycenaean influences. This fusion highlights the complex interplay between local customs and external cultural forces, reinforcing the diversity within </w:t>
      </w:r>
      <w:r w:rsidRPr="1C96B1B0" w:rsidR="11EA48AA">
        <w:rPr>
          <w:rFonts w:ascii="Aptos" w:hAnsi="Aptos"/>
          <w:b w:val="0"/>
          <w:bCs w:val="0"/>
          <w:i w:val="0"/>
          <w:iCs w:val="0"/>
          <w:strike w:val="0"/>
          <w:dstrike w:val="0"/>
          <w:noProof w:val="0"/>
          <w:color w:val="000000" w:themeColor="text1" w:themeTint="FF" w:themeShade="FF"/>
          <w:sz w:val="24"/>
          <w:szCs w:val="24"/>
          <w:u w:val="none"/>
          <w:lang w:val="en-GB"/>
        </w:rPr>
        <w:t xml:space="preserve">Cretan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burial practices.</w:t>
      </w:r>
    </w:p>
    <w:p xmlns:wp14="http://schemas.microsoft.com/office/word/2010/wordml" w:rsidP="1C96B1B0" wp14:paraId="40EDE345" wp14:textId="6061FF99">
      <w:pPr>
        <w:pStyle w:val="Normal"/>
        <w:suppressLineNumbers w:val="0"/>
        <w:spacing w:before="0" w:beforeAutospacing="off" w:after="160" w:afterAutospacing="off" w:line="279" w:lineRule="auto"/>
        <w:ind w:left="0" w:right="0"/>
        <w:jc w:val="left"/>
        <w:rPr>
          <w:rFonts w:ascii="Aptos" w:hAnsi="Aptos"/>
          <w:b w:val="0"/>
          <w:bCs w:val="0"/>
          <w:i w:val="0"/>
          <w:iCs w:val="0"/>
          <w:strike w:val="0"/>
          <w:dstrike w:val="0"/>
          <w:noProof w:val="0"/>
          <w:color w:val="000000" w:themeColor="text1" w:themeTint="FF" w:themeShade="FF"/>
          <w:sz w:val="24"/>
          <w:szCs w:val="24"/>
          <w:u w:val="none"/>
          <w:lang w:val="en-GB"/>
        </w:rPr>
      </w:pP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 attention to objective detailing in the image is particularly useful in conveying the role of status in tomb presentation and funerary rituals within Late Bronze Age Crete. In the northeast corner of the burial site, the drawing depicts a cist grave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containing</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decayed bones </w:t>
      </w:r>
      <w:r w:rsidRPr="1C96B1B0" w:rsidR="09F7297D">
        <w:rPr>
          <w:rFonts w:ascii="Aptos" w:hAnsi="Aptos"/>
          <w:b w:val="0"/>
          <w:bCs w:val="0"/>
          <w:i w:val="0"/>
          <w:iCs w:val="0"/>
          <w:strike w:val="0"/>
          <w:dstrike w:val="0"/>
          <w:noProof w:val="0"/>
          <w:color w:val="000000" w:themeColor="text1" w:themeTint="FF" w:themeShade="FF"/>
          <w:sz w:val="24"/>
          <w:szCs w:val="24"/>
          <w:u w:val="none"/>
          <w:lang w:val="en-GB"/>
        </w:rPr>
        <w:t xml:space="preserve">which suggests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a deliberate effort to provide the deceased with a secure and dedicated resting place. This method of burial may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indicate</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a belief in the importance of preserving the body, potentially reflecting notions of an afterlife or spiritual continuity. The presence of a cist grave also aligns with broader regional variations in Mycenaean funerary practices, as discussed by Alexandridou</w:t>
      </w:r>
      <w:r w:rsidRPr="1C96B1B0" w:rsidR="6AB2C934">
        <w:rPr>
          <w:rStyle w:val="FootnoteReference"/>
          <w:rFonts w:ascii="Aptos" w:hAnsi="Aptos"/>
          <w:b w:val="0"/>
          <w:bCs w:val="0"/>
          <w:i w:val="0"/>
          <w:iCs w:val="0"/>
          <w:strike w:val="0"/>
          <w:dstrike w:val="0"/>
          <w:noProof w:val="0"/>
          <w:color w:val="000000" w:themeColor="text1" w:themeTint="FF" w:themeShade="FF"/>
          <w:sz w:val="24"/>
          <w:szCs w:val="24"/>
          <w:u w:val="none"/>
          <w:lang w:val="en-GB"/>
        </w:rPr>
        <w:t>2</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The actual positioning of the body could further </w:t>
      </w:r>
      <w:r w:rsidRPr="1C96B1B0" w:rsidR="23B70588">
        <w:rPr>
          <w:rFonts w:ascii="Aptos" w:hAnsi="Aptos"/>
          <w:b w:val="0"/>
          <w:bCs w:val="0"/>
          <w:i w:val="0"/>
          <w:iCs w:val="0"/>
          <w:strike w:val="0"/>
          <w:dstrike w:val="0"/>
          <w:noProof w:val="0"/>
          <w:color w:val="000000" w:themeColor="text1" w:themeTint="FF" w:themeShade="FF"/>
          <w:sz w:val="24"/>
          <w:szCs w:val="24"/>
          <w:u w:val="none"/>
          <w:lang w:val="en-GB"/>
        </w:rPr>
        <w:t xml:space="preserve">signify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 individual's status or societal role - notably, the ivory casket suggests that the deceased held significant wealth or social standing due to the high value material. This deliberate inclusion reflects a belief in equipping the individual for the afterlife, reinforcing the idea that status and identity extended beyond death. </w:t>
      </w:r>
      <w:r>
        <w:br/>
      </w:r>
    </w:p>
    <w:p xmlns:wp14="http://schemas.microsoft.com/office/word/2010/wordml" w:rsidP="1C96B1B0" wp14:paraId="6CD7E5E2" wp14:textId="4EED4B68">
      <w:pPr>
        <w:pStyle w:val="Normal"/>
        <w:suppressLineNumbers w:val="0"/>
        <w:bidi w:val="0"/>
        <w:spacing w:before="0" w:beforeAutospacing="off" w:after="160" w:afterAutospacing="off" w:line="279" w:lineRule="auto"/>
        <w:ind w:left="0" w:right="0"/>
        <w:jc w:val="left"/>
        <w:rPr>
          <w:rFonts w:ascii="Aptos" w:hAnsi="Aptos"/>
          <w:b w:val="0"/>
          <w:bCs w:val="0"/>
          <w:i w:val="0"/>
          <w:iCs w:val="0"/>
          <w:strike w:val="0"/>
          <w:dstrike w:val="0"/>
          <w:noProof w:val="0"/>
          <w:color w:val="000000" w:themeColor="text1" w:themeTint="FF" w:themeShade="FF"/>
          <w:sz w:val="24"/>
          <w:szCs w:val="24"/>
          <w:u w:val="none"/>
          <w:lang w:val="en-GB"/>
        </w:rPr>
      </w:pP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 clustered arrangement of pottery and vessels on the western side of the burial suggests their role in funerary rites, potentially as containers for </w:t>
      </w:r>
      <w:r w:rsidRPr="1C96B1B0" w:rsidR="47507718">
        <w:rPr>
          <w:rFonts w:ascii="Aptos" w:hAnsi="Aptos"/>
          <w:b w:val="0"/>
          <w:bCs w:val="0"/>
          <w:i w:val="0"/>
          <w:iCs w:val="0"/>
          <w:strike w:val="0"/>
          <w:dstrike w:val="0"/>
          <w:noProof w:val="0"/>
          <w:color w:val="000000" w:themeColor="text1" w:themeTint="FF" w:themeShade="FF"/>
          <w:sz w:val="24"/>
          <w:szCs w:val="24"/>
          <w:u w:val="none"/>
          <w:lang w:val="en-GB"/>
        </w:rPr>
        <w:t>libations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or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offerings intended for the deceased. The diversity of vessel types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indicates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a complex ritual system, </w:t>
      </w:r>
      <w:r w:rsidRPr="1C96B1B0" w:rsidR="18DE6BE6">
        <w:rPr>
          <w:rFonts w:ascii="Aptos" w:hAnsi="Aptos"/>
          <w:b w:val="0"/>
          <w:bCs w:val="0"/>
          <w:i w:val="0"/>
          <w:iCs w:val="0"/>
          <w:strike w:val="0"/>
          <w:dstrike w:val="0"/>
          <w:noProof w:val="0"/>
          <w:color w:val="000000" w:themeColor="text1" w:themeTint="FF" w:themeShade="FF"/>
          <w:sz w:val="24"/>
          <w:szCs w:val="24"/>
          <w:u w:val="none"/>
          <w:lang w:val="en-GB"/>
        </w:rPr>
        <w:t>involving</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multiple stages or symbolic gestures. </w:t>
      </w:r>
      <w:r w:rsidRPr="1C96B1B0" w:rsidR="25C6127C">
        <w:rPr>
          <w:rFonts w:ascii="Aptos" w:hAnsi="Aptos"/>
          <w:b w:val="0"/>
          <w:bCs w:val="0"/>
          <w:i w:val="0"/>
          <w:iCs w:val="0"/>
          <w:strike w:val="0"/>
          <w:dstrike w:val="0"/>
          <w:noProof w:val="0"/>
          <w:color w:val="000000" w:themeColor="text1" w:themeTint="FF" w:themeShade="FF"/>
          <w:sz w:val="24"/>
          <w:szCs w:val="24"/>
          <w:u w:val="none"/>
          <w:lang w:val="en-GB"/>
        </w:rPr>
        <w:t>Alexandridou</w:t>
      </w:r>
      <w:r w:rsidRPr="1C96B1B0" w:rsidR="25C6127C">
        <w:rPr>
          <w:rStyle w:val="FootnoteReference"/>
          <w:rFonts w:ascii="Aptos" w:hAnsi="Aptos"/>
          <w:b w:val="0"/>
          <w:bCs w:val="0"/>
          <w:i w:val="0"/>
          <w:iCs w:val="0"/>
          <w:strike w:val="0"/>
          <w:dstrike w:val="0"/>
          <w:noProof w:val="0"/>
          <w:color w:val="000000" w:themeColor="text1" w:themeTint="FF" w:themeShade="FF"/>
          <w:sz w:val="24"/>
          <w:szCs w:val="24"/>
          <w:u w:val="none"/>
          <w:lang w:val="en-GB"/>
        </w:rPr>
        <w:t>2</w:t>
      </w:r>
      <w:r w:rsidRPr="1C96B1B0" w:rsidR="25C6127C">
        <w:rPr>
          <w:rFonts w:ascii="Aptos" w:hAnsi="Aptos"/>
          <w:b w:val="0"/>
          <w:bCs w:val="0"/>
          <w:i w:val="0"/>
          <w:iCs w:val="0"/>
          <w:strike w:val="0"/>
          <w:dstrike w:val="0"/>
          <w:noProof w:val="0"/>
          <w:color w:val="000000" w:themeColor="text1" w:themeTint="FF" w:themeShade="FF"/>
          <w:sz w:val="24"/>
          <w:szCs w:val="24"/>
          <w:u w:val="none"/>
          <w:lang w:val="en-GB"/>
        </w:rPr>
        <w:t xml:space="preser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identifies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such concentrations of pottery as evidence of feasting or libation rituals, which were common practices in Mycenaean funerary traditions. These ceremonies not only </w:t>
      </w:r>
      <w:r w:rsidRPr="1C96B1B0" w:rsidR="3C10DF9D">
        <w:rPr>
          <w:rFonts w:ascii="Aptos" w:hAnsi="Aptos"/>
          <w:b w:val="0"/>
          <w:bCs w:val="0"/>
          <w:i w:val="0"/>
          <w:iCs w:val="0"/>
          <w:strike w:val="0"/>
          <w:dstrike w:val="0"/>
          <w:noProof w:val="0"/>
          <w:color w:val="000000" w:themeColor="text1" w:themeTint="FF" w:themeShade="FF"/>
          <w:sz w:val="24"/>
          <w:szCs w:val="24"/>
          <w:u w:val="none"/>
          <w:lang w:val="en-GB"/>
        </w:rPr>
        <w:t>honoured</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the dead but also reinforced social ties and status within the community,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demonstrating</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the ongoing significance of the deceased in the social and ritual spheres. As </w:t>
      </w:r>
      <w:r w:rsidRPr="1C96B1B0" w:rsidR="3DAF5A21">
        <w:rPr>
          <w:rFonts w:ascii="Aptos" w:hAnsi="Aptos"/>
          <w:b w:val="0"/>
          <w:bCs w:val="0"/>
          <w:i w:val="0"/>
          <w:iCs w:val="0"/>
          <w:strike w:val="0"/>
          <w:dstrike w:val="0"/>
          <w:noProof w:val="0"/>
          <w:color w:val="000000" w:themeColor="text1" w:themeTint="FF" w:themeShade="FF"/>
          <w:sz w:val="24"/>
          <w:szCs w:val="24"/>
          <w:u w:val="none"/>
          <w:lang w:val="en-GB"/>
        </w:rPr>
        <w:t>Alexandridou</w:t>
      </w:r>
      <w:r w:rsidRPr="1C96B1B0" w:rsidR="3DAF5A21">
        <w:rPr>
          <w:rStyle w:val="FootnoteReference"/>
          <w:rFonts w:ascii="Aptos" w:hAnsi="Aptos"/>
          <w:b w:val="0"/>
          <w:bCs w:val="0"/>
          <w:i w:val="0"/>
          <w:iCs w:val="0"/>
          <w:strike w:val="0"/>
          <w:dstrike w:val="0"/>
          <w:noProof w:val="0"/>
          <w:color w:val="000000" w:themeColor="text1" w:themeTint="FF" w:themeShade="FF"/>
          <w:sz w:val="24"/>
          <w:szCs w:val="24"/>
          <w:u w:val="none"/>
          <w:lang w:val="en-GB"/>
        </w:rPr>
        <w:t>2</w:t>
      </w:r>
      <w:r w:rsidRPr="1C96B1B0" w:rsidR="3DAF5A21">
        <w:rPr>
          <w:rFonts w:ascii="Aptos" w:hAnsi="Aptos"/>
          <w:b w:val="0"/>
          <w:bCs w:val="0"/>
          <w:i w:val="0"/>
          <w:iCs w:val="0"/>
          <w:strike w:val="0"/>
          <w:dstrike w:val="0"/>
          <w:noProof w:val="0"/>
          <w:color w:val="000000" w:themeColor="text1" w:themeTint="FF" w:themeShade="FF"/>
          <w:sz w:val="24"/>
          <w:szCs w:val="24"/>
          <w:u w:val="none"/>
          <w:lang w:val="en-GB"/>
        </w:rPr>
        <w:t xml:space="preser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argues, grave goods were carefully selected to convey the deceased’s social identity, emphasising the role of funerary practices in expressing hierarchical distinctions within </w:t>
      </w:r>
      <w:r w:rsidRPr="1C96B1B0" w:rsidR="412EE8BD">
        <w:rPr>
          <w:rFonts w:ascii="Aptos" w:hAnsi="Aptos"/>
          <w:b w:val="0"/>
          <w:bCs w:val="0"/>
          <w:i w:val="0"/>
          <w:iCs w:val="0"/>
          <w:strike w:val="0"/>
          <w:dstrike w:val="0"/>
          <w:noProof w:val="0"/>
          <w:color w:val="000000" w:themeColor="text1" w:themeTint="FF" w:themeShade="FF"/>
          <w:sz w:val="24"/>
          <w:szCs w:val="24"/>
          <w:u w:val="none"/>
          <w:lang w:val="en-GB"/>
        </w:rPr>
        <w:t xml:space="preserve">Cretan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culture. </w:t>
      </w:r>
      <w:r>
        <w:br/>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 concept of the deceased’s elevated social status is further suggested through the inclusion of mirrors and weapons among the grave goods. Mirrors, often associated with reflection, vanity, or spiritual preparation, may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indicate</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beliefs in self-awareness in the afterlife</w:t>
      </w:r>
      <w:r w:rsidRPr="1C96B1B0" w:rsidR="4F235B1F">
        <w:rPr>
          <w:rFonts w:ascii="Aptos" w:hAnsi="Aptos"/>
          <w:b w:val="0"/>
          <w:bCs w:val="0"/>
          <w:i w:val="0"/>
          <w:iCs w:val="0"/>
          <w:strike w:val="0"/>
          <w:dstrike w:val="0"/>
          <w:noProof w:val="0"/>
          <w:color w:val="000000" w:themeColor="text1" w:themeTint="FF" w:themeShade="FF"/>
          <w:sz w:val="24"/>
          <w:szCs w:val="24"/>
          <w:u w:val="none"/>
          <w:lang w:val="en-GB"/>
        </w:rPr>
        <w:t xml:space="preser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while weapons could signify protection or the deceased’s role as a warrior. Koehl</w:t>
      </w:r>
      <w:r w:rsidRPr="1C96B1B0" w:rsidR="729590A4">
        <w:rPr>
          <w:rStyle w:val="FootnoteReference"/>
          <w:rFonts w:ascii="Aptos" w:hAnsi="Aptos"/>
          <w:b w:val="0"/>
          <w:bCs w:val="0"/>
          <w:i w:val="0"/>
          <w:iCs w:val="0"/>
          <w:strike w:val="0"/>
          <w:dstrike w:val="0"/>
          <w:noProof w:val="0"/>
          <w:color w:val="000000" w:themeColor="text1" w:themeTint="FF" w:themeShade="FF"/>
          <w:sz w:val="24"/>
          <w:szCs w:val="24"/>
          <w:u w:val="none"/>
          <w:lang w:val="en-GB"/>
        </w:rPr>
        <w:t>1</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highlights how certain grave goods reinforced gendered social roles, with mirrors and ornamental items typically linked to women</w:t>
      </w:r>
      <w:r w:rsidRPr="1C96B1B0" w:rsidR="6BD752B1">
        <w:rPr>
          <w:rFonts w:ascii="Aptos" w:hAnsi="Aptos"/>
          <w:b w:val="0"/>
          <w:bCs w:val="0"/>
          <w:i w:val="0"/>
          <w:iCs w:val="0"/>
          <w:strike w:val="0"/>
          <w:dstrike w:val="0"/>
          <w:noProof w:val="0"/>
          <w:color w:val="000000" w:themeColor="text1" w:themeTint="FF" w:themeShade="FF"/>
          <w:sz w:val="24"/>
          <w:szCs w:val="24"/>
          <w:u w:val="none"/>
          <w:lang w:val="en-GB"/>
        </w:rPr>
        <w:t xml:space="preserve">, and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weapons to men. However, the combination of these objects in a single burial may suggest a merging of symbolic roles, potentially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indicating</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an individual of special social or ritual status, such as a leader or a figure with political </w:t>
      </w:r>
      <w:r w:rsidRPr="1C96B1B0" w:rsidR="1FA2BCAA">
        <w:rPr>
          <w:rFonts w:ascii="Aptos" w:hAnsi="Aptos"/>
          <w:b w:val="0"/>
          <w:bCs w:val="0"/>
          <w:i w:val="0"/>
          <w:iCs w:val="0"/>
          <w:strike w:val="0"/>
          <w:dstrike w:val="0"/>
          <w:noProof w:val="0"/>
          <w:color w:val="000000" w:themeColor="text1" w:themeTint="FF" w:themeShade="FF"/>
          <w:sz w:val="24"/>
          <w:szCs w:val="24"/>
          <w:u w:val="none"/>
          <w:lang w:val="en-GB"/>
        </w:rPr>
        <w:t xml:space="preserve">or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spiritual authority. The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numerous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grave goods suggest a complex interplay of symbolism and social identity </w:t>
      </w:r>
      <w:r w:rsidRPr="1C96B1B0" w:rsidR="6EEEEB5C">
        <w:rPr>
          <w:rFonts w:ascii="Aptos" w:hAnsi="Aptos"/>
          <w:b w:val="0"/>
          <w:bCs w:val="0"/>
          <w:i w:val="0"/>
          <w:iCs w:val="0"/>
          <w:strike w:val="0"/>
          <w:dstrike w:val="0"/>
          <w:noProof w:val="0"/>
          <w:color w:val="000000" w:themeColor="text1" w:themeTint="FF" w:themeShade="FF"/>
          <w:sz w:val="24"/>
          <w:szCs w:val="24"/>
          <w:u w:val="none"/>
          <w:lang w:val="en-GB"/>
        </w:rPr>
        <w:t xml:space="preserve">was present in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Cretan funerary beliefs.</w:t>
      </w:r>
    </w:p>
    <w:p xmlns:wp14="http://schemas.microsoft.com/office/word/2010/wordml" w:rsidP="1C96B1B0" wp14:paraId="61867C76" wp14:textId="4EB38689">
      <w:pPr>
        <w:pStyle w:val="Normal"/>
        <w:suppressLineNumbers w:val="0"/>
        <w:bidi w:val="0"/>
        <w:spacing w:before="0" w:beforeAutospacing="off" w:after="160" w:afterAutospacing="off" w:line="279" w:lineRule="auto"/>
        <w:ind w:left="0" w:right="0"/>
        <w:jc w:val="left"/>
        <w:rPr>
          <w:rFonts w:ascii="Aptos" w:hAnsi="Aptos"/>
          <w:b w:val="0"/>
          <w:bCs w:val="0"/>
          <w:i w:val="0"/>
          <w:iCs w:val="0"/>
          <w:strike w:val="0"/>
          <w:dstrike w:val="0"/>
          <w:noProof w:val="0"/>
          <w:color w:val="000000" w:themeColor="text1" w:themeTint="FF" w:themeShade="FF"/>
          <w:sz w:val="24"/>
          <w:szCs w:val="24"/>
          <w:u w:val="none"/>
          <w:lang w:val="en-GB"/>
        </w:rPr>
      </w:pP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 drawing is an invaluable source of information,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demonstrating</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technical precision and a methodical approach to archaeological documentation that reflects twentieth-century emphasis on scientific recording. It features detailed labelling and measured dimensions (3.70m x 2.80m</w:t>
      </w:r>
      <w:r w:rsidRPr="1C96B1B0">
        <w:rPr>
          <w:rStyle w:val="FootnoteReference"/>
          <w:rFonts w:ascii="Aptos" w:hAnsi="Aptos"/>
          <w:b w:val="0"/>
          <w:bCs w:val="0"/>
          <w:i w:val="0"/>
          <w:iCs w:val="0"/>
          <w:strike w:val="0"/>
          <w:dstrike w:val="0"/>
          <w:noProof w:val="0"/>
          <w:color w:val="000000" w:themeColor="text1" w:themeTint="FF" w:themeShade="FF"/>
          <w:sz w:val="24"/>
          <w:szCs w:val="24"/>
          <w:u w:val="none"/>
          <w:lang w:val="en-GB"/>
        </w:rPr>
        <w:footnoteReference w:id="26771"/>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which allows for clear identification of artifacts.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 plan-view layout effectively maps objects in relation to structural features, reinforcing the importance of spatial relationships in contextual analysis.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Unlike artistic reconstructions, this functional and objective rendering prioritises factual representation, ensuring that finds are documented in</w:t>
      </w:r>
      <w:r w:rsidRPr="1C96B1B0" w:rsidR="334FBC40">
        <w:rPr>
          <w:rFonts w:ascii="Aptos" w:hAnsi="Aptos"/>
          <w:b w:val="0"/>
          <w:bCs w:val="0"/>
          <w:i w:val="0"/>
          <w:iCs w:val="0"/>
          <w:strike w:val="0"/>
          <w:dstrike w:val="0"/>
          <w:noProof w:val="0"/>
          <w:color w:val="000000" w:themeColor="text1" w:themeTint="FF" w:themeShade="FF"/>
          <w:sz w:val="24"/>
          <w:szCs w:val="24"/>
          <w:u w:val="none"/>
          <w:lang w:val="en-GB"/>
        </w:rPr>
        <w:t xml:space="preserve">-</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situ. The detailed depiction of artifact typology, with distinct representations of vessels and other grave goods, highlights the era’s focus on material culture as a key to understanding past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societies. The</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plan-view perspective of the image further aids in communicating </w:t>
      </w:r>
      <w:r w:rsidRPr="1C96B1B0" w:rsidR="3054380F">
        <w:rPr>
          <w:rFonts w:ascii="Aptos" w:hAnsi="Aptos"/>
          <w:b w:val="0"/>
          <w:bCs w:val="0"/>
          <w:i w:val="0"/>
          <w:iCs w:val="0"/>
          <w:strike w:val="0"/>
          <w:dstrike w:val="0"/>
          <w:noProof w:val="0"/>
          <w:color w:val="000000" w:themeColor="text1" w:themeTint="FF" w:themeShade="FF"/>
          <w:sz w:val="24"/>
          <w:szCs w:val="24"/>
          <w:u w:val="none"/>
          <w:lang w:val="en-GB"/>
        </w:rPr>
        <w:t xml:space="preserve">Cretan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funerary rituals and burial practices by depicting the spa</w:t>
      </w:r>
      <w:r w:rsidRPr="1C96B1B0" w:rsidR="5782395B">
        <w:rPr>
          <w:rFonts w:ascii="Aptos" w:hAnsi="Aptos"/>
          <w:b w:val="0"/>
          <w:bCs w:val="0"/>
          <w:i w:val="0"/>
          <w:iCs w:val="0"/>
          <w:strike w:val="0"/>
          <w:dstrike w:val="0"/>
          <w:noProof w:val="0"/>
          <w:color w:val="000000" w:themeColor="text1" w:themeTint="FF" w:themeShade="FF"/>
          <w:sz w:val="24"/>
          <w:szCs w:val="24"/>
          <w:u w:val="none"/>
          <w:lang w:val="en-GB"/>
        </w:rPr>
        <w:t xml:space="preserve">ces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between elements like the cist burial, ritual objects, and tripod hearth. The inclusion of functional descriptive labels such as “Cist cut in Floor with decayed Bones</w:t>
      </w:r>
      <w:r w:rsidRPr="1C96B1B0" w:rsidR="2DD639E2">
        <w:rPr>
          <w:rStyle w:val="FootnoteReference"/>
          <w:rFonts w:ascii="Aptos" w:hAnsi="Aptos"/>
          <w:b w:val="0"/>
          <w:bCs w:val="0"/>
          <w:i w:val="0"/>
          <w:iCs w:val="0"/>
          <w:strike w:val="0"/>
          <w:dstrike w:val="0"/>
          <w:noProof w:val="0"/>
          <w:color w:val="000000" w:themeColor="text1" w:themeTint="FF" w:themeShade="FF"/>
          <w:sz w:val="24"/>
          <w:szCs w:val="24"/>
          <w:u w:val="none"/>
          <w:lang w:val="en-GB"/>
        </w:rPr>
        <w:t>3</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provide crucial contextual information that help to clarify burial methods. </w:t>
      </w:r>
    </w:p>
    <w:p xmlns:wp14="http://schemas.microsoft.com/office/word/2010/wordml" w:rsidP="1C96B1B0" wp14:paraId="0C269478" wp14:textId="4FD756F3">
      <w:pPr>
        <w:rPr>
          <w:rFonts w:ascii="Aptos" w:hAnsi="Aptos"/>
          <w:b w:val="0"/>
          <w:bCs w:val="0"/>
          <w:i w:val="0"/>
          <w:iCs w:val="0"/>
          <w:strike w:val="0"/>
          <w:dstrike w:val="0"/>
          <w:noProof w:val="0"/>
          <w:color w:val="000000" w:themeColor="text1" w:themeTint="FF" w:themeShade="FF"/>
          <w:sz w:val="24"/>
          <w:szCs w:val="24"/>
          <w:u w:val="none"/>
          <w:lang w:val="en-GB"/>
        </w:rPr>
      </w:pPr>
      <w:r w:rsidRPr="1C96B1B0" w:rsidR="47B91FFF">
        <w:rPr>
          <w:rFonts w:ascii="Aptos" w:hAnsi="Aptos"/>
          <w:b w:val="0"/>
          <w:bCs w:val="0"/>
          <w:i w:val="0"/>
          <w:iCs w:val="0"/>
          <w:strike w:val="0"/>
          <w:dstrike w:val="0"/>
          <w:noProof w:val="0"/>
          <w:color w:val="000000" w:themeColor="text1" w:themeTint="FF" w:themeShade="FF"/>
          <w:sz w:val="24"/>
          <w:szCs w:val="24"/>
          <w:u w:val="none"/>
          <w:lang w:val="en-GB"/>
        </w:rPr>
        <w:t>While the image effectively captures the physical layout of the burial, it has limitations in conveying the dynamic aspects of funerary rituals and their emotional significance. The drawing provides a static snapshot rather than illustrating any ritual sequence, leaving questions about the actions involved</w:t>
      </w:r>
      <w:r w:rsidRPr="1C96B1B0" w:rsidR="10F5646B">
        <w:rPr>
          <w:rFonts w:ascii="Aptos" w:hAnsi="Aptos"/>
          <w:b w:val="0"/>
          <w:bCs w:val="0"/>
          <w:i w:val="0"/>
          <w:iCs w:val="0"/>
          <w:strike w:val="0"/>
          <w:dstrike w:val="0"/>
          <w:noProof w:val="0"/>
          <w:color w:val="000000" w:themeColor="text1" w:themeTint="FF" w:themeShade="FF"/>
          <w:sz w:val="24"/>
          <w:szCs w:val="24"/>
          <w:u w:val="none"/>
          <w:lang w:val="en-GB"/>
        </w:rPr>
        <w:t xml:space="preserve"> -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such as whether the position of the mirror was meant to reflect light onto the body</w:t>
      </w:r>
      <w:r w:rsidRPr="1C96B1B0" w:rsidR="5C54274B">
        <w:rPr>
          <w:rFonts w:ascii="Aptos" w:hAnsi="Aptos"/>
          <w:b w:val="0"/>
          <w:bCs w:val="0"/>
          <w:i w:val="0"/>
          <w:iCs w:val="0"/>
          <w:strike w:val="0"/>
          <w:dstrike w:val="0"/>
          <w:noProof w:val="0"/>
          <w:color w:val="000000" w:themeColor="text1" w:themeTint="FF" w:themeShade="FF"/>
          <w:sz w:val="24"/>
          <w:szCs w:val="24"/>
          <w:u w:val="none"/>
          <w:lang w:val="en-GB"/>
        </w:rPr>
        <w:t>, o</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r if vessels were intended for libations or feasting. Additionally, the technical precision of the drawing does not offer visual cues to express the emotional weight or symbolic meaning of the objects. Without interpretative notes or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artistic reconstructions, viewers unfamiliar with Late Bronze Age Cretan culture may find it difficult to grasp the deeper significance of the items. Furthermore, the plan-view layout, while clear, lacks a cross-section, which limits the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perception</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of how objects were placed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relative</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to </w:t>
      </w:r>
      <w:r w:rsidRPr="1C96B1B0" w:rsidR="553B0FEA">
        <w:rPr>
          <w:rFonts w:ascii="Aptos" w:hAnsi="Aptos"/>
          <w:b w:val="0"/>
          <w:bCs w:val="0"/>
          <w:i w:val="0"/>
          <w:iCs w:val="0"/>
          <w:strike w:val="0"/>
          <w:dstrike w:val="0"/>
          <w:noProof w:val="0"/>
          <w:color w:val="000000" w:themeColor="text1" w:themeTint="FF" w:themeShade="FF"/>
          <w:sz w:val="24"/>
          <w:szCs w:val="24"/>
          <w:u w:val="none"/>
          <w:lang w:val="en-GB"/>
        </w:rPr>
        <w:t xml:space="preserve">one another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and the burial structure, reducing the depth of understanding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regarding</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spatial dynamics. However, despite being stylistically simple, this image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remains</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an effective visual resource for understanding the symbolic and social significance of Cretan funerary traditions. </w:t>
      </w:r>
    </w:p>
    <w:p xmlns:wp14="http://schemas.microsoft.com/office/word/2010/wordml" w:rsidP="1C96B1B0" wp14:paraId="372A678F" wp14:textId="7A0FF485">
      <w:pPr>
        <w:rPr>
          <w:rFonts w:ascii="Aptos" w:hAnsi="Aptos"/>
          <w:b w:val="0"/>
          <w:bCs w:val="0"/>
          <w:i w:val="0"/>
          <w:iCs w:val="0"/>
          <w:strike w:val="0"/>
          <w:dstrike w:val="0"/>
          <w:noProof w:val="0"/>
          <w:color w:val="000000" w:themeColor="text1" w:themeTint="FF" w:themeShade="FF"/>
          <w:sz w:val="24"/>
          <w:szCs w:val="24"/>
          <w:u w:val="none"/>
          <w:lang w:val="en-GB"/>
        </w:rPr>
      </w:pPr>
      <w:r w:rsidRPr="1C96B1B0" w:rsidR="47B91FFF">
        <w:rPr>
          <w:rFonts w:ascii="Aptos" w:hAnsi="Aptos"/>
          <w:b w:val="0"/>
          <w:bCs w:val="0"/>
          <w:i w:val="0"/>
          <w:iCs w:val="0"/>
          <w:strike w:val="0"/>
          <w:dstrike w:val="0"/>
          <w:noProof w:val="0"/>
          <w:color w:val="000000" w:themeColor="text1" w:themeTint="FF" w:themeShade="FF"/>
          <w:sz w:val="24"/>
          <w:szCs w:val="24"/>
          <w:u w:val="none"/>
          <w:lang w:val="en-GB"/>
        </w:rPr>
        <w:t>The Tripod Hearth Tomb image offers an insightful visual record of Late Bronze Age</w:t>
      </w:r>
      <w:r w:rsidRPr="1C96B1B0" w:rsidR="0116134E">
        <w:rPr>
          <w:rFonts w:ascii="Aptos" w:hAnsi="Aptos"/>
          <w:b w:val="0"/>
          <w:bCs w:val="0"/>
          <w:i w:val="0"/>
          <w:iCs w:val="0"/>
          <w:strike w:val="0"/>
          <w:dstrike w:val="0"/>
          <w:noProof w:val="0"/>
          <w:color w:val="000000" w:themeColor="text1" w:themeTint="FF" w:themeShade="FF"/>
          <w:sz w:val="24"/>
          <w:szCs w:val="24"/>
          <w:u w:val="none"/>
          <w:lang w:val="en-GB"/>
        </w:rPr>
        <w:t xml:space="preserve"> Cretan</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 funerary practices. By combining </w:t>
      </w:r>
      <w:r w:rsidRPr="1C96B1B0" w:rsidR="4339BCA2">
        <w:rPr>
          <w:rFonts w:ascii="Aptos" w:hAnsi="Aptos"/>
          <w:b w:val="0"/>
          <w:bCs w:val="0"/>
          <w:i w:val="0"/>
          <w:iCs w:val="0"/>
          <w:strike w:val="0"/>
          <w:dstrike w:val="0"/>
          <w:noProof w:val="0"/>
          <w:color w:val="000000" w:themeColor="text1" w:themeTint="FF" w:themeShade="FF"/>
          <w:sz w:val="24"/>
          <w:szCs w:val="24"/>
          <w:u w:val="none"/>
          <w:lang w:val="en-GB"/>
        </w:rPr>
        <w:t>Koehl’s</w:t>
      </w:r>
      <w:r w:rsidRPr="1C96B1B0" w:rsidR="4339BCA2">
        <w:rPr>
          <w:rStyle w:val="FootnoteReference"/>
          <w:rFonts w:ascii="Aptos" w:hAnsi="Aptos"/>
          <w:b w:val="0"/>
          <w:bCs w:val="0"/>
          <w:i w:val="0"/>
          <w:iCs w:val="0"/>
          <w:strike w:val="0"/>
          <w:dstrike w:val="0"/>
          <w:noProof w:val="0"/>
          <w:color w:val="000000" w:themeColor="text1" w:themeTint="FF" w:themeShade="FF"/>
          <w:sz w:val="24"/>
          <w:szCs w:val="24"/>
          <w:u w:val="none"/>
          <w:lang w:val="en-GB"/>
        </w:rPr>
        <w:t>1</w:t>
      </w:r>
      <w:r w:rsidRPr="1C96B1B0" w:rsidR="4339BCA2">
        <w:rPr>
          <w:rFonts w:ascii="Aptos" w:hAnsi="Aptos"/>
          <w:b w:val="0"/>
          <w:bCs w:val="0"/>
          <w:i w:val="0"/>
          <w:iCs w:val="0"/>
          <w:strike w:val="0"/>
          <w:dstrike w:val="0"/>
          <w:noProof w:val="0"/>
          <w:color w:val="000000" w:themeColor="text1" w:themeTint="FF" w:themeShade="FF"/>
          <w:sz w:val="24"/>
          <w:szCs w:val="24"/>
          <w:u w:val="none"/>
          <w:lang w:val="en-GB"/>
        </w:rPr>
        <w:t xml:space="preser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theories on rites of passage with </w:t>
      </w:r>
      <w:r w:rsidRPr="1C96B1B0" w:rsidR="69D7AFCA">
        <w:rPr>
          <w:rFonts w:ascii="Aptos" w:hAnsi="Aptos"/>
          <w:b w:val="0"/>
          <w:bCs w:val="0"/>
          <w:i w:val="0"/>
          <w:iCs w:val="0"/>
          <w:strike w:val="0"/>
          <w:dstrike w:val="0"/>
          <w:noProof w:val="0"/>
          <w:color w:val="000000" w:themeColor="text1" w:themeTint="FF" w:themeShade="FF"/>
          <w:sz w:val="24"/>
          <w:szCs w:val="24"/>
          <w:u w:val="none"/>
          <w:lang w:val="en-GB"/>
        </w:rPr>
        <w:t>Alexandridou’s</w:t>
      </w:r>
      <w:r w:rsidRPr="1C96B1B0" w:rsidR="69D7AFCA">
        <w:rPr>
          <w:rStyle w:val="FootnoteReference"/>
          <w:rFonts w:ascii="Aptos" w:hAnsi="Aptos"/>
          <w:b w:val="0"/>
          <w:bCs w:val="0"/>
          <w:i w:val="0"/>
          <w:iCs w:val="0"/>
          <w:strike w:val="0"/>
          <w:dstrike w:val="0"/>
          <w:noProof w:val="0"/>
          <w:color w:val="000000" w:themeColor="text1" w:themeTint="FF" w:themeShade="FF"/>
          <w:sz w:val="24"/>
          <w:szCs w:val="24"/>
          <w:u w:val="none"/>
          <w:lang w:val="en-GB"/>
        </w:rPr>
        <w:t>2</w:t>
      </w:r>
      <w:r w:rsidRPr="1C96B1B0" w:rsidR="69D7AFCA">
        <w:rPr>
          <w:rFonts w:ascii="Aptos" w:hAnsi="Aptos"/>
          <w:b w:val="0"/>
          <w:bCs w:val="0"/>
          <w:i w:val="0"/>
          <w:iCs w:val="0"/>
          <w:strike w:val="0"/>
          <w:dstrike w:val="0"/>
          <w:noProof w:val="0"/>
          <w:color w:val="000000" w:themeColor="text1" w:themeTint="FF" w:themeShade="FF"/>
          <w:sz w:val="24"/>
          <w:szCs w:val="24"/>
          <w:u w:val="none"/>
          <w:lang w:val="en-GB"/>
        </w:rPr>
        <w:t xml:space="preserve">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discussion of funerary variability, the tomb can be interpreted as both a reflection of individual identity and </w:t>
      </w:r>
      <w:r w:rsidRPr="1C96B1B0" w:rsidR="1F3A3822">
        <w:rPr>
          <w:rFonts w:ascii="Aptos" w:hAnsi="Aptos"/>
          <w:b w:val="0"/>
          <w:bCs w:val="0"/>
          <w:i w:val="0"/>
          <w:iCs w:val="0"/>
          <w:strike w:val="0"/>
          <w:dstrike w:val="0"/>
          <w:noProof w:val="0"/>
          <w:color w:val="000000" w:themeColor="text1" w:themeTint="FF" w:themeShade="FF"/>
          <w:sz w:val="24"/>
          <w:szCs w:val="24"/>
          <w:u w:val="none"/>
          <w:lang w:val="en-GB"/>
        </w:rPr>
        <w:t>social structure</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The deliberate use of symbolic objects, structured spatial arrangement, and fire-based ri</w:t>
      </w:r>
      <w:r w:rsidRPr="1C96B1B0" w:rsidR="4BA19CFB">
        <w:rPr>
          <w:rFonts w:ascii="Aptos" w:hAnsi="Aptos"/>
          <w:b w:val="0"/>
          <w:bCs w:val="0"/>
          <w:i w:val="0"/>
          <w:iCs w:val="0"/>
          <w:strike w:val="0"/>
          <w:dstrike w:val="0"/>
          <w:noProof w:val="0"/>
          <w:color w:val="000000" w:themeColor="text1" w:themeTint="FF" w:themeShade="FF"/>
          <w:sz w:val="24"/>
          <w:szCs w:val="24"/>
          <w:u w:val="none"/>
          <w:lang w:val="en-GB"/>
        </w:rPr>
        <w:t xml:space="preserve">tuals </w:t>
      </w:r>
      <w:r w:rsidRPr="1C96B1B0" w:rsidR="47B91FFF">
        <w:rPr>
          <w:rFonts w:ascii="Aptos" w:hAnsi="Aptos"/>
          <w:b w:val="0"/>
          <w:bCs w:val="0"/>
          <w:i w:val="0"/>
          <w:iCs w:val="0"/>
          <w:strike w:val="0"/>
          <w:dstrike w:val="0"/>
          <w:noProof w:val="0"/>
          <w:color w:val="000000" w:themeColor="text1" w:themeTint="FF" w:themeShade="FF"/>
          <w:sz w:val="24"/>
          <w:szCs w:val="24"/>
          <w:u w:val="none"/>
          <w:lang w:val="en-GB"/>
        </w:rPr>
        <w:t xml:space="preserve">highlights the dynamic interplay between belief, status, and cultural change in the Late Bronze Age Aegean. By examining both the stylistic design of the drawing and the objective information it conveys, we gain valuable insight into both the material culture of the period and the complex social beliefs that shaped Cretan funerary practices. </w:t>
      </w:r>
    </w:p>
    <w:p xmlns:wp14="http://schemas.microsoft.com/office/word/2010/wordml" w:rsidP="0A9C7B45" wp14:paraId="419F29C2" wp14:textId="48D98FCE">
      <w:pPr>
        <w:rPr>
          <w:rFonts w:ascii="Aptos" w:hAnsi="Aptos"/>
          <w:sz w:val="24"/>
          <w:szCs w:val="24"/>
        </w:rPr>
      </w:pPr>
    </w:p>
    <w:p xmlns:wp14="http://schemas.microsoft.com/office/word/2010/wordml" w:rsidP="0A9C7B45" wp14:paraId="7A98071C" wp14:textId="65970A99">
      <w:pPr>
        <w:pStyle w:val="Normal"/>
        <w:rPr>
          <w:rFonts w:ascii="Aptos" w:hAnsi="Aptos"/>
          <w:b w:val="0"/>
          <w:bCs w:val="0"/>
          <w:i w:val="0"/>
          <w:iCs w:val="0"/>
          <w:strike w:val="0"/>
          <w:dstrike w:val="0"/>
          <w:noProof w:val="0"/>
          <w:color w:val="000000" w:themeColor="text1" w:themeTint="FF" w:themeShade="FF"/>
          <w:sz w:val="24"/>
          <w:szCs w:val="24"/>
          <w:u w:val="none"/>
          <w:lang w:val="en-GB"/>
        </w:rPr>
      </w:pPr>
      <w:r w:rsidRPr="0A9C7B45" w:rsidR="0A9C7B45">
        <w:rPr>
          <w:rFonts w:ascii="Aptos" w:hAnsi="Aptos"/>
          <w:b w:val="0"/>
          <w:bCs w:val="0"/>
          <w:i w:val="0"/>
          <w:iCs w:val="0"/>
          <w:strike w:val="0"/>
          <w:dstrike w:val="0"/>
          <w:noProof w:val="0"/>
          <w:color w:val="000000" w:themeColor="text1" w:themeTint="FF" w:themeShade="FF"/>
          <w:sz w:val="24"/>
          <w:szCs w:val="24"/>
          <w:u w:val="none"/>
          <w:lang w:val="en-GB"/>
        </w:rPr>
        <w:t xml:space="preserve">1. </w:t>
      </w:r>
      <w:r w:rsidRPr="0A9C7B45" w:rsidR="47B91FFF">
        <w:rPr>
          <w:rFonts w:ascii="Aptos" w:hAnsi="Aptos"/>
          <w:b w:val="0"/>
          <w:bCs w:val="0"/>
          <w:i w:val="0"/>
          <w:iCs w:val="0"/>
          <w:strike w:val="0"/>
          <w:dstrike w:val="0"/>
          <w:noProof w:val="0"/>
          <w:color w:val="000000" w:themeColor="text1" w:themeTint="FF" w:themeShade="FF"/>
          <w:sz w:val="24"/>
          <w:szCs w:val="24"/>
          <w:u w:val="none"/>
          <w:lang w:val="en-GB"/>
        </w:rPr>
        <w:t xml:space="preserve">Koehl, R. B. (2006). </w:t>
      </w:r>
      <w:r w:rsidRPr="0A9C7B45" w:rsidR="47B91FFF">
        <w:rPr>
          <w:rFonts w:ascii="Aptos" w:hAnsi="Aptos"/>
          <w:b w:val="0"/>
          <w:bCs w:val="0"/>
          <w:i w:val="1"/>
          <w:iCs w:val="1"/>
          <w:strike w:val="0"/>
          <w:dstrike w:val="0"/>
          <w:noProof w:val="0"/>
          <w:color w:val="000000" w:themeColor="text1" w:themeTint="FF" w:themeShade="FF"/>
          <w:sz w:val="24"/>
          <w:szCs w:val="24"/>
          <w:u w:val="none"/>
          <w:lang w:val="en-GB"/>
        </w:rPr>
        <w:t>Aegean Bronze Age Rites of Passage: Symbolism in Burial Practice.</w:t>
      </w:r>
      <w:r w:rsidRPr="0A9C7B45" w:rsidR="47B91FFF">
        <w:rPr>
          <w:rFonts w:ascii="Aptos" w:hAnsi="Aptos"/>
          <w:b w:val="0"/>
          <w:bCs w:val="0"/>
          <w:i w:val="0"/>
          <w:iCs w:val="0"/>
          <w:strike w:val="0"/>
          <w:dstrike w:val="0"/>
          <w:noProof w:val="0"/>
          <w:color w:val="000000" w:themeColor="text1" w:themeTint="FF" w:themeShade="FF"/>
          <w:sz w:val="24"/>
          <w:szCs w:val="24"/>
          <w:u w:val="none"/>
          <w:lang w:val="en-GB"/>
        </w:rPr>
        <w:t xml:space="preserve"> </w:t>
      </w:r>
      <w:r w:rsidRPr="0A9C7B45" w:rsidR="6FC97C84">
        <w:rPr>
          <w:rFonts w:ascii="Aptos" w:hAnsi="Aptos"/>
          <w:b w:val="0"/>
          <w:bCs w:val="0"/>
          <w:i w:val="0"/>
          <w:iCs w:val="0"/>
          <w:strike w:val="0"/>
          <w:dstrike w:val="0"/>
          <w:noProof w:val="0"/>
          <w:color w:val="000000" w:themeColor="text1" w:themeTint="FF" w:themeShade="FF"/>
          <w:sz w:val="24"/>
          <w:szCs w:val="24"/>
          <w:u w:val="none"/>
          <w:lang w:val="en-GB"/>
        </w:rPr>
        <w:t>World Archaeology, 28(3), 421-441.</w:t>
      </w:r>
    </w:p>
    <w:p xmlns:wp14="http://schemas.microsoft.com/office/word/2010/wordml" w:rsidP="0A9C7B45" wp14:paraId="5B0A46A9" wp14:textId="447CC4F0">
      <w:pPr>
        <w:pStyle w:val="Normal"/>
        <w:rPr>
          <w:rFonts w:ascii="Aptos" w:hAnsi="Aptos"/>
          <w:b w:val="0"/>
          <w:bCs w:val="0"/>
          <w:i w:val="0"/>
          <w:iCs w:val="0"/>
          <w:strike w:val="0"/>
          <w:dstrike w:val="0"/>
          <w:noProof w:val="0"/>
          <w:color w:val="000000" w:themeColor="text1" w:themeTint="FF" w:themeShade="FF"/>
          <w:sz w:val="24"/>
          <w:szCs w:val="24"/>
          <w:u w:val="none"/>
          <w:lang w:val="en-GB"/>
        </w:rPr>
      </w:pPr>
      <w:r w:rsidRPr="0A9C7B45" w:rsidR="6274AC52">
        <w:rPr>
          <w:rFonts w:ascii="Aptos" w:hAnsi="Aptos"/>
          <w:b w:val="0"/>
          <w:bCs w:val="0"/>
          <w:i w:val="0"/>
          <w:iCs w:val="0"/>
          <w:strike w:val="0"/>
          <w:dstrike w:val="0"/>
          <w:noProof w:val="0"/>
          <w:color w:val="000000" w:themeColor="text1" w:themeTint="FF" w:themeShade="FF"/>
          <w:sz w:val="24"/>
          <w:szCs w:val="24"/>
          <w:u w:val="none"/>
          <w:lang w:val="en-GB"/>
        </w:rPr>
        <w:t xml:space="preserve">2. </w:t>
      </w:r>
      <w:r w:rsidRPr="0A9C7B45" w:rsidR="47B91FFF">
        <w:rPr>
          <w:rFonts w:ascii="Aptos" w:hAnsi="Aptos"/>
          <w:b w:val="0"/>
          <w:bCs w:val="0"/>
          <w:i w:val="0"/>
          <w:iCs w:val="0"/>
          <w:strike w:val="0"/>
          <w:dstrike w:val="0"/>
          <w:noProof w:val="0"/>
          <w:color w:val="000000" w:themeColor="text1" w:themeTint="FF" w:themeShade="FF"/>
          <w:sz w:val="24"/>
          <w:szCs w:val="24"/>
          <w:u w:val="none"/>
          <w:lang w:val="en-GB"/>
        </w:rPr>
        <w:t xml:space="preserve">Alexandridou, A. (2016). </w:t>
      </w:r>
      <w:r w:rsidRPr="0A9C7B45" w:rsidR="47B91FFF">
        <w:rPr>
          <w:rFonts w:ascii="Aptos" w:hAnsi="Aptos"/>
          <w:b w:val="0"/>
          <w:bCs w:val="0"/>
          <w:i w:val="1"/>
          <w:iCs w:val="1"/>
          <w:strike w:val="0"/>
          <w:dstrike w:val="0"/>
          <w:noProof w:val="0"/>
          <w:color w:val="000000" w:themeColor="text1" w:themeTint="FF" w:themeShade="FF"/>
          <w:sz w:val="24"/>
          <w:szCs w:val="24"/>
          <w:u w:val="none"/>
          <w:lang w:val="en-GB"/>
        </w:rPr>
        <w:t>Funerary Variability in Late Eighth-Century B.C.E. Attica (Late Geometric II)</w:t>
      </w:r>
      <w:r w:rsidRPr="0A9C7B45" w:rsidR="47B91FFF">
        <w:rPr>
          <w:rFonts w:ascii="Aptos" w:hAnsi="Aptos"/>
          <w:b w:val="0"/>
          <w:bCs w:val="0"/>
          <w:i w:val="0"/>
          <w:iCs w:val="0"/>
          <w:strike w:val="0"/>
          <w:dstrike w:val="0"/>
          <w:noProof w:val="0"/>
          <w:color w:val="000000" w:themeColor="text1" w:themeTint="FF" w:themeShade="FF"/>
          <w:sz w:val="24"/>
          <w:szCs w:val="24"/>
          <w:u w:val="none"/>
          <w:lang w:val="en-GB"/>
        </w:rPr>
        <w:t xml:space="preserve">. </w:t>
      </w:r>
      <w:r w:rsidRPr="0A9C7B45" w:rsidR="218D7546">
        <w:rPr>
          <w:rFonts w:ascii="Aptos" w:hAnsi="Aptos"/>
          <w:b w:val="0"/>
          <w:bCs w:val="0"/>
          <w:i w:val="0"/>
          <w:iCs w:val="0"/>
          <w:strike w:val="0"/>
          <w:dstrike w:val="0"/>
          <w:noProof w:val="0"/>
          <w:color w:val="000000" w:themeColor="text1" w:themeTint="FF" w:themeShade="FF"/>
          <w:sz w:val="24"/>
          <w:szCs w:val="24"/>
          <w:u w:val="none"/>
          <w:lang w:val="en-GB"/>
        </w:rPr>
        <w:t>American Journal of Archaeology, 120(3), 333-360.</w:t>
      </w:r>
    </w:p>
    <w:p xmlns:wp14="http://schemas.microsoft.com/office/word/2010/wordml" w:rsidP="0A9C7B45" wp14:paraId="3162F9A4" wp14:textId="213F684F">
      <w:pPr>
        <w:pStyle w:val="Normal"/>
        <w:rPr>
          <w:rFonts w:ascii="Aptos" w:hAnsi="Aptos"/>
          <w:b w:val="0"/>
          <w:bCs w:val="0"/>
          <w:i w:val="0"/>
          <w:iCs w:val="0"/>
          <w:strike w:val="0"/>
          <w:dstrike w:val="0"/>
          <w:noProof w:val="0"/>
          <w:color w:val="000000" w:themeColor="text1" w:themeTint="FF" w:themeShade="FF"/>
          <w:sz w:val="24"/>
          <w:szCs w:val="24"/>
          <w:u w:val="none"/>
          <w:lang w:val="en-GB"/>
        </w:rPr>
      </w:pPr>
      <w:r w:rsidRPr="0A9C7B45" w:rsidR="17D7933E">
        <w:rPr>
          <w:rFonts w:ascii="Aptos" w:hAnsi="Aptos"/>
          <w:b w:val="0"/>
          <w:bCs w:val="0"/>
          <w:i w:val="0"/>
          <w:iCs w:val="0"/>
          <w:strike w:val="0"/>
          <w:dstrike w:val="0"/>
          <w:noProof w:val="0"/>
          <w:color w:val="000000" w:themeColor="text1" w:themeTint="FF" w:themeShade="FF"/>
          <w:sz w:val="24"/>
          <w:szCs w:val="24"/>
          <w:u w:val="none"/>
          <w:lang w:val="en-GB"/>
        </w:rPr>
        <w:t xml:space="preserve">3. Evans, A. (1906). </w:t>
      </w:r>
      <w:r w:rsidRPr="0A9C7B45" w:rsidR="17D7933E">
        <w:rPr>
          <w:rFonts w:ascii="Aptos" w:hAnsi="Aptos"/>
          <w:b w:val="0"/>
          <w:bCs w:val="0"/>
          <w:i w:val="1"/>
          <w:iCs w:val="1"/>
          <w:strike w:val="0"/>
          <w:dstrike w:val="0"/>
          <w:noProof w:val="0"/>
          <w:color w:val="000000" w:themeColor="text1" w:themeTint="FF" w:themeShade="FF"/>
          <w:sz w:val="24"/>
          <w:szCs w:val="24"/>
          <w:u w:val="none"/>
          <w:lang w:val="en-GB"/>
        </w:rPr>
        <w:t>The Prehistoric Tombs of Knossos, I. and I</w:t>
      </w:r>
      <w:r w:rsidRPr="0A9C7B45" w:rsidR="17D7933E">
        <w:rPr>
          <w:rFonts w:ascii="Aptos" w:hAnsi="Aptos"/>
          <w:b w:val="0"/>
          <w:bCs w:val="0"/>
          <w:i w:val="1"/>
          <w:iCs w:val="1"/>
          <w:strike w:val="0"/>
          <w:dstrike w:val="0"/>
          <w:noProof w:val="0"/>
          <w:color w:val="000000" w:themeColor="text1" w:themeTint="FF" w:themeShade="FF"/>
          <w:sz w:val="24"/>
          <w:szCs w:val="24"/>
          <w:u w:val="none"/>
          <w:lang w:val="en-GB"/>
        </w:rPr>
        <w:t>I</w:t>
      </w:r>
      <w:r w:rsidRPr="0A9C7B45" w:rsidR="17D7933E">
        <w:rPr>
          <w:rFonts w:ascii="Aptos" w:hAnsi="Aptos"/>
          <w:b w:val="0"/>
          <w:bCs w:val="0"/>
          <w:i w:val="0"/>
          <w:iCs w:val="0"/>
          <w:strike w:val="0"/>
          <w:dstrike w:val="0"/>
          <w:noProof w:val="0"/>
          <w:color w:val="000000" w:themeColor="text1" w:themeTint="FF" w:themeShade="FF"/>
          <w:sz w:val="24"/>
          <w:szCs w:val="24"/>
          <w:u w:val="none"/>
          <w:lang w:val="en-GB"/>
        </w:rPr>
        <w:t xml:space="preserve">. London: B. Quaritch. </w:t>
      </w:r>
    </w:p>
    <w:p xmlns:wp14="http://schemas.microsoft.com/office/word/2010/wordml" w:rsidP="0A9C7B45" wp14:paraId="695E581C" wp14:textId="53945C65">
      <w:pPr>
        <w:rPr>
          <w:rFonts w:ascii="Aptos" w:hAnsi="Aptos"/>
          <w:sz w:val="24"/>
          <w:szCs w:val="24"/>
        </w:rPr>
      </w:pPr>
    </w:p>
    <w:p xmlns:wp14="http://schemas.microsoft.com/office/word/2010/wordml" wp14:paraId="2C078E63" wp14:textId="6199CC5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0A9C7B45" w:rsidRDefault="0A9C7B45" w14:paraId="1F085F9C" w14:textId="79655C21">
      <w:pPr>
        <w:spacing w:after="0" w:line="240" w:lineRule="auto"/>
      </w:pPr>
      <w:r>
        <w:separator/>
      </w:r>
    </w:p>
  </w:footnote>
  <w:footnote w:type="continuationSeparator" w:id="0">
    <w:p w:rsidR="0A9C7B45" w:rsidRDefault="0A9C7B45" w14:paraId="0AD1F41B" w14:textId="5FD8EF28">
      <w:pPr>
        <w:spacing w:after="0" w:line="240" w:lineRule="auto"/>
      </w:pPr>
      <w:r>
        <w:continuationSeparator/>
      </w:r>
    </w:p>
  </w:footnote>
  <w:footnote w:id="32386">
    <w:p w:rsidR="0A9C7B45" w:rsidP="0A9C7B45" w:rsidRDefault="0A9C7B45" w14:paraId="0D3FBF69" w14:textId="7A2C7243">
      <w:pPr>
        <w:pStyle w:val="FootnoteText"/>
        <w:bidi w:val="0"/>
        <w:rPr>
          <w:rFonts w:ascii="Aptos" w:hAnsi="Aptos"/>
          <w:b w:val="0"/>
          <w:bCs w:val="0"/>
          <w:i w:val="0"/>
          <w:iCs w:val="0"/>
          <w:strike w:val="0"/>
          <w:dstrike w:val="0"/>
          <w:noProof w:val="0"/>
          <w:color w:val="000000" w:themeColor="text1" w:themeTint="FF" w:themeShade="FF"/>
          <w:sz w:val="24"/>
          <w:szCs w:val="24"/>
          <w:u w:val="none"/>
          <w:lang w:val="en-GB"/>
        </w:rPr>
      </w:pPr>
      <w:r w:rsidRPr="0A9C7B45">
        <w:rPr>
          <w:rStyle w:val="FootnoteReference"/>
        </w:rPr>
        <w:footnoteRef/>
      </w:r>
      <w:r w:rsidR="0A9C7B45">
        <w:rPr/>
        <w:t xml:space="preserve"> </w:t>
      </w:r>
      <w:r w:rsidRPr="0A9C7B45" w:rsidR="0A9C7B45">
        <w:rPr>
          <w:rFonts w:ascii="Aptos" w:hAnsi="Aptos"/>
          <w:b w:val="0"/>
          <w:bCs w:val="0"/>
          <w:i w:val="0"/>
          <w:iCs w:val="0"/>
          <w:strike w:val="0"/>
          <w:dstrike w:val="0"/>
          <w:noProof w:val="0"/>
          <w:color w:val="000000" w:themeColor="text1" w:themeTint="FF" w:themeShade="FF"/>
          <w:sz w:val="24"/>
          <w:szCs w:val="24"/>
          <w:u w:val="none"/>
          <w:lang w:val="en-GB"/>
        </w:rPr>
        <w:t>Koehl, R. B. (2006). Aegean Bronze Age Rites of Passage: Symbolism in Burial Practice.</w:t>
      </w:r>
    </w:p>
  </w:footnote>
  <w:footnote w:id="11792">
    <w:p w:rsidR="0A9C7B45" w:rsidP="0A9C7B45" w:rsidRDefault="0A9C7B45" w14:paraId="4154EE3D" w14:textId="7F92336D">
      <w:pPr>
        <w:pStyle w:val="FootnoteText"/>
        <w:bidi w:val="0"/>
        <w:rPr>
          <w:rFonts w:ascii="Aptos" w:hAnsi="Aptos"/>
          <w:b w:val="0"/>
          <w:bCs w:val="0"/>
          <w:i w:val="0"/>
          <w:iCs w:val="0"/>
          <w:strike w:val="0"/>
          <w:dstrike w:val="0"/>
          <w:noProof w:val="0"/>
          <w:color w:val="000000" w:themeColor="text1" w:themeTint="FF" w:themeShade="FF"/>
          <w:sz w:val="24"/>
          <w:szCs w:val="24"/>
          <w:u w:val="none"/>
          <w:lang w:val="en-GB"/>
        </w:rPr>
      </w:pPr>
      <w:r w:rsidRPr="0A9C7B45">
        <w:rPr>
          <w:rStyle w:val="FootnoteReference"/>
        </w:rPr>
        <w:footnoteRef/>
      </w:r>
      <w:r w:rsidR="0A9C7B45">
        <w:rPr/>
        <w:t xml:space="preserve"> </w:t>
      </w:r>
      <w:r w:rsidRPr="0A9C7B45" w:rsidR="0A9C7B45">
        <w:rPr>
          <w:rFonts w:ascii="Aptos" w:hAnsi="Aptos"/>
          <w:b w:val="0"/>
          <w:bCs w:val="0"/>
          <w:i w:val="0"/>
          <w:iCs w:val="0"/>
          <w:strike w:val="0"/>
          <w:dstrike w:val="0"/>
          <w:noProof w:val="0"/>
          <w:color w:val="000000" w:themeColor="text1" w:themeTint="FF" w:themeShade="FF"/>
          <w:sz w:val="24"/>
          <w:szCs w:val="24"/>
          <w:u w:val="none"/>
          <w:lang w:val="en-GB"/>
        </w:rPr>
        <w:t xml:space="preserve">Alexandridou, A. (2016). Funerary Variability in Late Eighth-Century B.C.E. Attica (Late Geometric II). </w:t>
      </w:r>
    </w:p>
  </w:footnote>
  <w:footnote w:id="26771">
    <w:p w:rsidR="1C96B1B0" w:rsidP="1C96B1B0" w:rsidRDefault="1C96B1B0" w14:paraId="720A5A34" w14:textId="12F7C523">
      <w:pPr>
        <w:pStyle w:val="FootnoteText"/>
        <w:bidi w:val="0"/>
        <w:rPr>
          <w:rFonts w:ascii="Aptos" w:hAnsi="Aptos"/>
          <w:b w:val="0"/>
          <w:bCs w:val="0"/>
          <w:i w:val="0"/>
          <w:iCs w:val="0"/>
          <w:strike w:val="0"/>
          <w:dstrike w:val="0"/>
          <w:noProof w:val="0"/>
          <w:color w:val="000000" w:themeColor="text1" w:themeTint="FF" w:themeShade="FF"/>
          <w:sz w:val="24"/>
          <w:szCs w:val="24"/>
          <w:u w:val="none"/>
          <w:lang w:val="en-GB"/>
        </w:rPr>
      </w:pPr>
      <w:r w:rsidRPr="1C96B1B0">
        <w:rPr>
          <w:rStyle w:val="FootnoteReference"/>
        </w:rPr>
        <w:footnoteRef/>
      </w:r>
      <w:r w:rsidR="1C96B1B0">
        <w:rPr/>
        <w:t xml:space="preserve"> </w:t>
      </w:r>
      <w:r w:rsidRPr="1C96B1B0" w:rsidR="1C96B1B0">
        <w:rPr>
          <w:rFonts w:ascii="Aptos" w:hAnsi="Aptos"/>
          <w:b w:val="0"/>
          <w:bCs w:val="0"/>
          <w:i w:val="0"/>
          <w:iCs w:val="0"/>
          <w:strike w:val="0"/>
          <w:dstrike w:val="0"/>
          <w:noProof w:val="0"/>
          <w:color w:val="000000" w:themeColor="text1" w:themeTint="FF" w:themeShade="FF"/>
          <w:sz w:val="24"/>
          <w:szCs w:val="24"/>
          <w:u w:val="none"/>
          <w:lang w:val="en-GB"/>
        </w:rPr>
        <w:t>Evans, A. (1906). The Prehistoric Tombs of Knossos, I. and II.</w:t>
      </w:r>
    </w:p>
  </w:footnote>
</w:footnotes>
</file>

<file path=word/intelligence2.xml><?xml version="1.0" encoding="utf-8"?>
<int2:intelligence xmlns:int2="http://schemas.microsoft.com/office/intelligence/2020/intelligence">
  <int2:observations>
    <int2:bookmark int2:bookmarkName="_Int_KdfH3We0" int2:invalidationBookmarkName="" int2:hashCode="crpyY4IeXky3c7" int2:id="UvemdBZ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cb3f8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D52B5"/>
    <w:rsid w:val="00021C19"/>
    <w:rsid w:val="0116134E"/>
    <w:rsid w:val="0144A34B"/>
    <w:rsid w:val="0144A34B"/>
    <w:rsid w:val="040EF032"/>
    <w:rsid w:val="09F7297D"/>
    <w:rsid w:val="0A9C7B45"/>
    <w:rsid w:val="10F5646B"/>
    <w:rsid w:val="11EA48AA"/>
    <w:rsid w:val="17D7933E"/>
    <w:rsid w:val="18DE6BE6"/>
    <w:rsid w:val="1B6AE69E"/>
    <w:rsid w:val="1B7FEE98"/>
    <w:rsid w:val="1C96B1B0"/>
    <w:rsid w:val="1F3A3822"/>
    <w:rsid w:val="1FA2BCAA"/>
    <w:rsid w:val="218D7546"/>
    <w:rsid w:val="21CC13A7"/>
    <w:rsid w:val="23B70588"/>
    <w:rsid w:val="25C6127C"/>
    <w:rsid w:val="281964AA"/>
    <w:rsid w:val="29D35201"/>
    <w:rsid w:val="2A27531F"/>
    <w:rsid w:val="2A27531F"/>
    <w:rsid w:val="2DD639E2"/>
    <w:rsid w:val="3054380F"/>
    <w:rsid w:val="334FBC40"/>
    <w:rsid w:val="351AC920"/>
    <w:rsid w:val="3B51A98B"/>
    <w:rsid w:val="3C10DF9D"/>
    <w:rsid w:val="3DAF5A21"/>
    <w:rsid w:val="3F653AF2"/>
    <w:rsid w:val="403F3653"/>
    <w:rsid w:val="412EE8BD"/>
    <w:rsid w:val="4339BCA2"/>
    <w:rsid w:val="43F388C0"/>
    <w:rsid w:val="44B46A6A"/>
    <w:rsid w:val="44E94E72"/>
    <w:rsid w:val="47017AC8"/>
    <w:rsid w:val="47507718"/>
    <w:rsid w:val="47B91FFF"/>
    <w:rsid w:val="4B1473CE"/>
    <w:rsid w:val="4B67CE94"/>
    <w:rsid w:val="4BA19CFB"/>
    <w:rsid w:val="4E61C824"/>
    <w:rsid w:val="4E948788"/>
    <w:rsid w:val="4F235B1F"/>
    <w:rsid w:val="4F2A7D7B"/>
    <w:rsid w:val="553B0FEA"/>
    <w:rsid w:val="5575BB5F"/>
    <w:rsid w:val="566F6D16"/>
    <w:rsid w:val="5782395B"/>
    <w:rsid w:val="5C50B60C"/>
    <w:rsid w:val="5C54274B"/>
    <w:rsid w:val="5E769511"/>
    <w:rsid w:val="6213EFCF"/>
    <w:rsid w:val="625A7A6C"/>
    <w:rsid w:val="6274AC52"/>
    <w:rsid w:val="66661E5F"/>
    <w:rsid w:val="689C69DC"/>
    <w:rsid w:val="68CE2CDD"/>
    <w:rsid w:val="68D21470"/>
    <w:rsid w:val="694D52B5"/>
    <w:rsid w:val="69B3D9C7"/>
    <w:rsid w:val="69C5B7C1"/>
    <w:rsid w:val="69D7AFCA"/>
    <w:rsid w:val="6AB2C934"/>
    <w:rsid w:val="6BD752B1"/>
    <w:rsid w:val="6DF0CF27"/>
    <w:rsid w:val="6EEEEB5C"/>
    <w:rsid w:val="6EFF6F64"/>
    <w:rsid w:val="6FC97C84"/>
    <w:rsid w:val="71B3CC66"/>
    <w:rsid w:val="7295476F"/>
    <w:rsid w:val="7295476F"/>
    <w:rsid w:val="729590A4"/>
    <w:rsid w:val="72F906F4"/>
    <w:rsid w:val="74E7E80A"/>
    <w:rsid w:val="7E2949A1"/>
    <w:rsid w:val="7EC3AB1C"/>
    <w:rsid w:val="7FD4EB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BD042"/>
  <w15:chartTrackingRefBased/>
  <w15:docId w15:val="{C946D428-763B-429F-9D58-EF88E5B51F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A9C7B4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A9C7B4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A9C7B4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A9C7B4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A9C7B4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A9C7B4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A9C7B4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A9C7B4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A9C7B4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A9C7B4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A9C7B4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A9C7B4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A9C7B4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A9C7B4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0A9C7B45"/>
    <w:rPr>
      <w:sz w:val="20"/>
      <w:szCs w:val="20"/>
    </w:rPr>
    <w:pPr>
      <w:spacing w:after="0" w:line="240" w:lineRule="auto"/>
    </w:pPr>
  </w:style>
  <w:style w:type="paragraph" w:styleId="ListParagraph">
    <w:uiPriority w:val="34"/>
    <w:name w:val="List Paragraph"/>
    <w:basedOn w:val="Normal"/>
    <w:qFormat/>
    <w:rsid w:val="0A9C7B45"/>
    <w:pPr>
      <w:spacing/>
      <w:ind w:left="720"/>
      <w:contextualSpacing/>
    </w:pPr>
  </w:style>
  <w:style w:type="character" w:styleId="FootnoteReference">
    <w:uiPriority w:val="99"/>
    <w:name w:val="footnote reference"/>
    <w:basedOn w:val="DefaultParagraphFont"/>
    <w:semiHidden/>
    <w:unhideWhenUsed/>
    <w:rsid w:val="0A9C7B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7e04c70d3acd499b" /><Relationship Type="http://schemas.openxmlformats.org/officeDocument/2006/relationships/numbering" Target="numbering.xml" Id="R6d8e0bea79674a1f" /><Relationship Type="http://schemas.microsoft.com/office/2020/10/relationships/intelligence" Target="intelligence2.xml" Id="Rfb03cb772aba45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40e41b2b362e4b72"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40e41b2b362e4b72"/>
  </wetp:taskpane>
</wetp:taskpanes>
</file>

<file path=word/webextensions/webextension.xml><?xml version="1.0" encoding="utf-8"?>
<we:webextension xmlns:we="http://schemas.microsoft.com/office/webextensions/webextension/2010/11" id="fbac7145-b709-4cf4-afac-47805e19194a">
  <we:reference id="8c1c3d44-57e9-40d7-86e4-4adf61fea1dd" version="2.1.0.2" store="excatalog" storeType="excatalog"/>
  <we:alternateReferences>
    <we:reference id="WA104380122" version="2.1.0.2" store="en-us" storeType="omex"/>
  </we:alternateReferences>
  <we:properties>
    <we:property name="rw.officeVersion" value="&quot;1.3&quot;"/>
    <we:property name="currentFolder" value="{&quot;depth&quot;:0,&quot;id&quot;:&quot;all&quot;,&quot;name&quot;:&quot;All references&quot;,&quot;parentId&quot;:null,&quot;position&quot;:-2,&quot;isShared&quot;:false}"/>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2025-03-22T18:53:57.7440968Z</dcterms:created>
  <dcterms:modified xsi:type="dcterms:W3CDTF">2025-03-22T20:14:16.5101295Z</dcterms:modified>
  <dc:creator>Caitlin Clyne (2304935)</dc:creator>
  <lastModifiedBy>Caitlin Clyne (2304935)</lastModifiedBy>
</coreProperties>
</file>