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7.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media/image8.jpeg" ContentType="image/jpeg"/>
  <Override PartName="/word/media/image9.jpeg" ContentType="image/jpeg"/>
  <Override PartName="/word/header2.xml" ContentType="application/vnd.openxmlformats-officedocument.wordprocessingml.header+xml"/>
  <Override PartName="/word/footnotes.xml" ContentType="application/vnd.openxmlformats-officedocument.wordprocessingml.footnotes+xml"/>
  <Override PartName="/word/header1.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Web"/>
        <w:spacing w:before="0" w:after="0"/>
        <w:ind w:start="-180" w:end="-334"/>
        <w:rPr/>
      </w:pPr>
      <w:r>
        <w:rPr/>
        <w:drawing>
          <wp:inline distT="0" distB="0" distL="0" distR="0">
            <wp:extent cx="1907540" cy="635635"/>
            <wp:effectExtent l="0" t="0" r="0" b="0"/>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1907540" cy="635635"/>
                    </a:xfrm>
                    <a:prstGeom prst="rect">
                      <a:avLst/>
                    </a:prstGeom>
                    <a:noFill/>
                    <a:ln w="19050">
                      <a:solidFill>
                        <a:srgbClr val="000000"/>
                      </a:solidFill>
                    </a:ln>
                  </pic:spPr>
                </pic:pic>
              </a:graphicData>
            </a:graphic>
          </wp:inline>
        </w:drawing>
      </w:r>
    </w:p>
    <w:p>
      <w:pPr>
        <w:pStyle w:val="NormalWeb"/>
        <w:spacing w:before="0" w:after="0"/>
        <w:ind w:start="-180" w:end="-334"/>
        <w:rPr/>
      </w:pPr>
      <w:r>
        <w:rPr/>
      </w:r>
    </w:p>
    <w:p>
      <w:pPr>
        <w:pStyle w:val="NormalWeb"/>
        <w:spacing w:before="0" w:after="0"/>
        <w:ind w:start="-180" w:end="-334"/>
        <w:rPr/>
      </w:pPr>
      <w:r>
        <w:rPr/>
      </w:r>
    </w:p>
    <w:p>
      <w:pPr>
        <w:pStyle w:val="NormalWeb"/>
        <w:spacing w:before="0" w:after="0"/>
        <w:ind w:start="-180" w:end="-334"/>
        <w:jc w:val="center"/>
        <w:rPr/>
      </w:pPr>
      <w:r>
        <w:rPr>
          <w:rFonts w:cs="Arial" w:ascii="Arial" w:hAnsi="Arial"/>
          <w:b/>
          <w:sz w:val="28"/>
          <w:szCs w:val="28"/>
          <w:lang w:val="cy-GB"/>
        </w:rPr>
        <w:t xml:space="preserve">Postgraduate/Distance Learning </w:t>
      </w:r>
    </w:p>
    <w:p>
      <w:pPr>
        <w:pStyle w:val="NormalWeb"/>
        <w:spacing w:before="0" w:after="0"/>
        <w:ind w:start="-180" w:end="-334"/>
        <w:jc w:val="center"/>
        <w:rPr>
          <w:rFonts w:ascii="Arial" w:hAnsi="Arial" w:cs="Arial"/>
          <w:b/>
          <w:sz w:val="28"/>
          <w:szCs w:val="28"/>
        </w:rPr>
      </w:pPr>
      <w:r>
        <w:rPr>
          <w:rFonts w:cs="Arial" w:ascii="Arial" w:hAnsi="Arial"/>
          <w:b/>
          <w:sz w:val="28"/>
          <w:szCs w:val="28"/>
          <w:lang w:val="cy-GB"/>
        </w:rPr>
        <w:t>Assignment coversheet &amp; feedback form</w:t>
      </w:r>
    </w:p>
    <w:p>
      <w:pPr>
        <w:pStyle w:val="Normal"/>
        <w:bidi w:val="0"/>
        <w:jc w:val="start"/>
        <w:rPr>
          <w:rFonts w:ascii="Arial" w:hAnsi="Arial" w:cs="Arial"/>
          <w:b/>
          <w:sz w:val="28"/>
          <w:szCs w:val="28"/>
          <w:lang w:val="cy-GB"/>
        </w:rPr>
      </w:pPr>
      <w:r>
        <w:rPr>
          <w:rFonts w:cs="Arial" w:ascii="Arial" w:hAnsi="Arial"/>
          <w:b/>
          <w:sz w:val="28"/>
          <w:szCs w:val="28"/>
          <w:lang w:val="cy-GB"/>
        </w:rPr>
      </w:r>
    </w:p>
    <w:p>
      <w:pPr>
        <w:pStyle w:val="Heading3"/>
        <w:numPr>
          <w:ilvl w:val="2"/>
          <w:numId w:val="1"/>
        </w:numPr>
        <w:bidi w:val="0"/>
        <w:ind w:hanging="0" w:start="0"/>
        <w:jc w:val="center"/>
        <w:rPr>
          <w:lang w:val="cy-GB"/>
        </w:rPr>
      </w:pPr>
      <w:r>
        <w:rPr>
          <w:lang w:val="cy-GB"/>
        </w:rPr>
        <w:t>THIS SHEET MUST BE THE FIRST PAGE OF THE ASSIGNMENT YOU ARE SUBMITTING  (DO NOT SEND AS A SEPARATE FILE)</w:t>
      </w:r>
    </w:p>
    <w:p>
      <w:pPr>
        <w:pStyle w:val="Heading3"/>
        <w:numPr>
          <w:ilvl w:val="2"/>
          <w:numId w:val="1"/>
        </w:numPr>
        <w:bidi w:val="0"/>
        <w:ind w:hanging="0" w:start="0"/>
        <w:jc w:val="center"/>
        <w:rPr>
          <w:rFonts w:ascii="Trebuchet MS" w:hAnsi="Trebuchet MS" w:cs="Trebuchet MS"/>
        </w:rPr>
      </w:pPr>
      <w:r>
        <w:rPr>
          <w:rFonts w:cs="Trebuchet MS" w:ascii="Trebuchet MS" w:hAnsi="Trebuchet MS"/>
        </w:rPr>
      </w:r>
    </w:p>
    <w:tbl>
      <w:tblPr>
        <w:tblW w:w="8856" w:type="dxa"/>
        <w:jc w:val="start"/>
        <w:tblInd w:w="0" w:type="dxa"/>
        <w:tblLayout w:type="fixed"/>
        <w:tblCellMar>
          <w:top w:w="0" w:type="dxa"/>
          <w:start w:w="108" w:type="dxa"/>
          <w:bottom w:w="0" w:type="dxa"/>
          <w:end w:w="108" w:type="dxa"/>
        </w:tblCellMar>
      </w:tblPr>
      <w:tblGrid>
        <w:gridCol w:w="4788"/>
        <w:gridCol w:w="421"/>
        <w:gridCol w:w="1556"/>
        <w:gridCol w:w="287"/>
        <w:gridCol w:w="1804"/>
      </w:tblGrid>
      <w:tr>
        <w:trPr>
          <w:trHeight w:val="614"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b/>
                <w:sz w:val="22"/>
                <w:szCs w:val="22"/>
              </w:rPr>
              <w:t>For completion by the student</w:t>
            </w:r>
            <w:r>
              <w:rPr>
                <w:rFonts w:cs="Arial" w:ascii="Arial" w:hAnsi="Arial"/>
                <w:sz w:val="22"/>
                <w:szCs w:val="22"/>
              </w:rPr>
              <w:t>:</w:t>
            </w:r>
          </w:p>
        </w:tc>
      </w:tr>
      <w:tr>
        <w:trPr>
          <w:trHeight w:val="71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Student Name:</w:t>
            </w:r>
          </w:p>
          <w:p>
            <w:pPr>
              <w:pStyle w:val="NormalWeb"/>
              <w:spacing w:before="0" w:after="0"/>
              <w:ind w:end="34"/>
              <w:rPr>
                <w:rFonts w:ascii="Arial" w:hAnsi="Arial" w:cs="Arial"/>
                <w:sz w:val="22"/>
                <w:szCs w:val="22"/>
              </w:rPr>
            </w:pPr>
            <w:r>
              <w:rPr>
                <w:rFonts w:cs="Arial" w:ascii="Arial" w:hAnsi="Arial"/>
                <w:sz w:val="22"/>
                <w:szCs w:val="22"/>
              </w:rPr>
              <w:t>Doris Maat</w:t>
            </w:r>
          </w:p>
        </w:tc>
      </w:tr>
      <w:tr>
        <w:trPr>
          <w:trHeight w:val="849" w:hRule="atLeast"/>
        </w:trPr>
        <w:tc>
          <w:tcPr>
            <w:tcW w:w="4788" w:type="dxa"/>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Module code: HPCA7015</w:t>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t>Module title: Foundations in Cultural Astronomy and Astrology</w:t>
            </w:r>
          </w:p>
          <w:p>
            <w:pPr>
              <w:pStyle w:val="NormalWeb"/>
              <w:spacing w:before="0" w:after="0"/>
              <w:ind w:end="34"/>
              <w:rPr>
                <w:rFonts w:ascii="Arial" w:hAnsi="Arial" w:cs="Arial"/>
                <w:sz w:val="22"/>
                <w:szCs w:val="22"/>
              </w:rPr>
            </w:pPr>
            <w:r>
              <w:rPr>
                <w:rFonts w:cs="Arial" w:ascii="Arial" w:hAnsi="Arial"/>
                <w:sz w:val="22"/>
                <w:szCs w:val="22"/>
              </w:rPr>
            </w:r>
          </w:p>
        </w:tc>
        <w:tc>
          <w:tcPr>
            <w:tcW w:w="2264" w:type="dxa"/>
            <w:gridSpan w:val="3"/>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Student ID number:</w:t>
            </w:r>
          </w:p>
          <w:p>
            <w:pPr>
              <w:pStyle w:val="NormalWeb"/>
              <w:spacing w:before="0" w:after="0"/>
              <w:ind w:end="34"/>
              <w:rPr>
                <w:rFonts w:ascii="Arial" w:hAnsi="Arial" w:cs="Arial"/>
                <w:sz w:val="22"/>
                <w:szCs w:val="22"/>
              </w:rPr>
            </w:pPr>
            <w:r>
              <w:rPr>
                <w:rFonts w:cs="Arial" w:ascii="Arial" w:hAnsi="Arial"/>
                <w:sz w:val="22"/>
                <w:szCs w:val="22"/>
              </w:rPr>
              <w:t>2322109</w:t>
            </w:r>
          </w:p>
        </w:tc>
        <w:tc>
          <w:tcPr>
            <w:tcW w:w="1804" w:type="dxa"/>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Educational support needs:</w:t>
            </w:r>
          </w:p>
          <w:p>
            <w:pPr>
              <w:pStyle w:val="NormalWeb"/>
              <w:spacing w:before="0" w:after="0"/>
              <w:ind w:end="34"/>
              <w:rPr>
                <w:rFonts w:ascii="Arial" w:hAnsi="Arial" w:cs="Arial"/>
                <w:sz w:val="22"/>
                <w:szCs w:val="22"/>
              </w:rPr>
            </w:pPr>
            <w:r>
              <w:rPr>
                <w:rFonts w:cs="Arial" w:ascii="Arial" w:hAnsi="Arial"/>
                <w:sz w:val="22"/>
                <w:szCs w:val="22"/>
              </w:rPr>
              <w:t>Yes/No</w:t>
            </w:r>
          </w:p>
        </w:tc>
      </w:tr>
      <w:tr>
        <w:trPr>
          <w:trHeight w:val="1139"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pacing w:before="0" w:after="0"/>
              <w:ind w:end="34"/>
              <w:rPr>
                <w:rFonts w:ascii="Arial" w:hAnsi="Arial" w:cs="Arial"/>
                <w:sz w:val="22"/>
                <w:szCs w:val="22"/>
              </w:rPr>
            </w:pPr>
            <w:r>
              <w:rPr>
                <w:rFonts w:cs="Arial" w:ascii="Arial" w:hAnsi="Arial"/>
                <w:sz w:val="22"/>
                <w:szCs w:val="22"/>
              </w:rPr>
              <w:t>Module tutor: Nick Campion, Bernadette Brady, Darrelyn Gunzburg</w:t>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r>
          </w:p>
          <w:p>
            <w:pPr>
              <w:pStyle w:val="NormalWeb"/>
              <w:spacing w:before="0" w:after="0"/>
              <w:ind w:end="34"/>
              <w:rPr>
                <w:rFonts w:ascii="Arial" w:hAnsi="Arial" w:cs="Arial"/>
                <w:sz w:val="22"/>
                <w:szCs w:val="22"/>
              </w:rPr>
            </w:pPr>
            <w:r>
              <w:rPr>
                <w:rFonts w:cs="Arial" w:ascii="Arial" w:hAnsi="Arial"/>
                <w:sz w:val="22"/>
                <w:szCs w:val="22"/>
              </w:rPr>
              <w:t>Assignment due date: 28 November 2024</w:t>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If your module has multiple submissions please indicate which piece of work this is.</w:t>
            </w:r>
          </w:p>
          <w:p>
            <w:pPr>
              <w:pStyle w:val="Normal"/>
              <w:bidi w:val="0"/>
              <w:jc w:val="start"/>
              <w:rPr>
                <w:rFonts w:ascii="Arial" w:hAnsi="Arial" w:cs="Arial"/>
                <w:sz w:val="22"/>
                <w:szCs w:val="22"/>
              </w:rPr>
            </w:pPr>
            <w:r>
              <w:rPr>
                <w:rFonts w:cs="Arial" w:ascii="Arial" w:hAnsi="Arial"/>
                <w:sz w:val="22"/>
                <w:szCs w:val="22"/>
              </w:rPr>
            </w:r>
          </w:p>
          <w:p>
            <w:pPr>
              <w:pStyle w:val="Normal"/>
              <w:bidi w:val="0"/>
              <w:jc w:val="start"/>
              <w:rPr>
                <w:rFonts w:ascii="Arial" w:hAnsi="Arial" w:cs="Arial"/>
                <w:sz w:val="22"/>
                <w:szCs w:val="22"/>
              </w:rPr>
            </w:pPr>
            <w:r>
              <w:rPr>
                <w:rFonts w:cs="Arial" w:ascii="Arial" w:hAnsi="Arial"/>
                <w:sz w:val="22"/>
                <w:szCs w:val="22"/>
              </w:rPr>
              <w:t>1</w:t>
            </w:r>
            <w:r>
              <w:rPr>
                <w:rFonts w:cs="Arial" w:ascii="Arial" w:hAnsi="Arial"/>
                <w:sz w:val="22"/>
                <w:szCs w:val="22"/>
                <w:vertAlign w:val="superscript"/>
              </w:rPr>
              <w:t xml:space="preserve">st </w:t>
            </w:r>
            <w:r>
              <w:fldChar w:fldCharType="begin">
                <w:ffData>
                  <w:name w:val="Check13"/>
                  <w:enabled/>
                  <w:calcOnExit w:val="0"/>
                  <w:checkBox>
                    <w:sizeAuto/>
                  </w:checkBox>
                </w:ffData>
              </w:fldChar>
            </w:r>
            <w:r>
              <w:rPr>
                <w:vertAlign w:val="superscript"/>
                <w:sz w:val="22"/>
                <w:szCs w:val="22"/>
                <w:rFonts w:cs="Arial" w:ascii="Arial" w:hAnsi="Arial"/>
              </w:rPr>
              <w:instrText xml:space="preserve"> FORMCHECKBOX </w:instrText>
            </w:r>
            <w:r>
              <w:rPr>
                <w:vertAlign w:val="superscript"/>
                <w:sz w:val="22"/>
                <w:szCs w:val="22"/>
                <w:rFonts w:cs="Arial" w:ascii="Arial" w:hAnsi="Arial"/>
              </w:rPr>
              <w:fldChar w:fldCharType="separate"/>
            </w:r>
            <w:bookmarkStart w:id="0" w:name="Check13"/>
            <w:bookmarkStart w:id="1" w:name="Check13"/>
            <w:bookmarkEnd w:id="1"/>
            <w:r>
              <w:rPr>
                <w:rFonts w:cs="Arial" w:ascii="Arial" w:hAnsi="Arial"/>
                <w:sz w:val="22"/>
                <w:szCs w:val="22"/>
                <w:vertAlign w:val="superscript"/>
              </w:rPr>
            </w:r>
            <w:r>
              <w:rPr>
                <w:vertAlign w:val="superscript"/>
                <w:sz w:val="22"/>
                <w:szCs w:val="22"/>
                <w:rFonts w:cs="Arial" w:ascii="Arial" w:hAnsi="Arial"/>
              </w:rPr>
              <w:fldChar w:fldCharType="end"/>
            </w:r>
            <w:bookmarkStart w:id="2" w:name="Check13_Copy_1"/>
            <w:bookmarkStart w:id="3" w:name="Check13_Copy_1"/>
            <w:bookmarkEnd w:id="2"/>
            <w:bookmarkEnd w:id="3"/>
            <w:r>
              <w:rPr>
                <w:rFonts w:cs="Arial" w:ascii="Arial" w:hAnsi="Arial"/>
                <w:sz w:val="22"/>
                <w:szCs w:val="22"/>
              </w:rPr>
              <w:t xml:space="preserve">    2</w:t>
            </w:r>
            <w:r>
              <w:rPr>
                <w:rFonts w:cs="Arial" w:ascii="Arial" w:hAnsi="Arial"/>
                <w:sz w:val="22"/>
                <w:szCs w:val="22"/>
                <w:vertAlign w:val="superscript"/>
              </w:rPr>
              <w:t>nd</w:t>
            </w:r>
            <w:r>
              <w:rPr>
                <w:rFonts w:cs="Arial" w:ascii="Arial" w:hAnsi="Arial"/>
                <w:sz w:val="22"/>
                <w:szCs w:val="22"/>
              </w:rPr>
              <w:t xml:space="preserve">  </w:t>
            </w:r>
            <w:r>
              <w:fldChar w:fldCharType="begin">
                <w:ffData>
                  <w:name w:val="Check14"/>
                  <w:enabled/>
                  <w:calcOnExit w:val="0"/>
                  <w:checkBox>
                    <w:sizeAuto/>
                    <w:checked/>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4" w:name="Check14"/>
            <w:bookmarkStart w:id="5" w:name="Check14"/>
            <w:bookmarkEnd w:id="5"/>
            <w:r>
              <w:rPr>
                <w:rFonts w:cs="Arial" w:ascii="Arial" w:hAnsi="Arial"/>
                <w:sz w:val="22"/>
                <w:szCs w:val="22"/>
              </w:rPr>
            </w:r>
            <w:r>
              <w:rPr>
                <w:sz w:val="22"/>
                <w:szCs w:val="22"/>
                <w:rFonts w:cs="Arial" w:ascii="Arial" w:hAnsi="Arial"/>
              </w:rPr>
              <w:fldChar w:fldCharType="end"/>
            </w:r>
            <w:bookmarkStart w:id="6" w:name="Check14_Copy_1"/>
            <w:bookmarkStart w:id="7" w:name="Check14_Copy_1"/>
            <w:bookmarkEnd w:id="6"/>
            <w:bookmarkEnd w:id="7"/>
            <w:r>
              <w:rPr>
                <w:rFonts w:cs="Arial" w:ascii="Arial" w:hAnsi="Arial"/>
                <w:sz w:val="22"/>
                <w:szCs w:val="22"/>
              </w:rPr>
              <w:t xml:space="preserve">     3</w:t>
            </w:r>
            <w:r>
              <w:rPr>
                <w:rFonts w:cs="Arial" w:ascii="Arial" w:hAnsi="Arial"/>
                <w:sz w:val="22"/>
                <w:szCs w:val="22"/>
                <w:vertAlign w:val="superscript"/>
              </w:rPr>
              <w:t>rd</w:t>
            </w:r>
            <w:r>
              <w:rPr>
                <w:rFonts w:cs="Arial" w:ascii="Arial" w:hAnsi="Arial"/>
                <w:sz w:val="22"/>
                <w:szCs w:val="22"/>
              </w:rPr>
              <w:t xml:space="preserve">  </w:t>
            </w:r>
            <w:r>
              <w:fldChar w:fldCharType="begin">
                <w:ffData>
                  <w:name w:val="Check15"/>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8" w:name="Check15"/>
            <w:bookmarkStart w:id="9" w:name="Check15"/>
            <w:bookmarkEnd w:id="9"/>
            <w:r>
              <w:rPr>
                <w:rFonts w:cs="Arial" w:ascii="Arial" w:hAnsi="Arial"/>
                <w:sz w:val="22"/>
                <w:szCs w:val="22"/>
              </w:rPr>
            </w:r>
            <w:r>
              <w:rPr>
                <w:sz w:val="22"/>
                <w:szCs w:val="22"/>
                <w:rFonts w:cs="Arial" w:ascii="Arial" w:hAnsi="Arial"/>
              </w:rPr>
              <w:fldChar w:fldCharType="end"/>
            </w:r>
            <w:bookmarkStart w:id="10" w:name="Check15_Copy_1"/>
            <w:bookmarkStart w:id="11" w:name="Check15_Copy_1"/>
            <w:bookmarkEnd w:id="10"/>
            <w:bookmarkEnd w:id="11"/>
            <w:r>
              <w:rPr>
                <w:rFonts w:cs="Arial" w:ascii="Arial" w:hAnsi="Arial"/>
                <w:sz w:val="22"/>
                <w:szCs w:val="22"/>
              </w:rPr>
              <w:t xml:space="preserve">      4</w:t>
            </w:r>
            <w:r>
              <w:rPr>
                <w:rFonts w:cs="Arial" w:ascii="Arial" w:hAnsi="Arial"/>
                <w:sz w:val="22"/>
                <w:szCs w:val="22"/>
                <w:vertAlign w:val="superscript"/>
              </w:rPr>
              <w:t>th</w:t>
            </w:r>
            <w:r>
              <w:rPr>
                <w:rFonts w:cs="Arial" w:ascii="Arial" w:hAnsi="Arial"/>
                <w:sz w:val="22"/>
                <w:szCs w:val="22"/>
              </w:rPr>
              <w:t xml:space="preserve"> </w:t>
            </w:r>
            <w:r>
              <w:fldChar w:fldCharType="begin">
                <w:ffData>
                  <w:name w:val="Check16"/>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2" w:name="Check16"/>
            <w:bookmarkStart w:id="13" w:name="Check16"/>
            <w:bookmarkEnd w:id="13"/>
            <w:r>
              <w:rPr>
                <w:rFonts w:cs="Arial" w:ascii="Arial" w:hAnsi="Arial"/>
                <w:sz w:val="22"/>
                <w:szCs w:val="22"/>
              </w:rPr>
            </w:r>
            <w:r>
              <w:rPr>
                <w:sz w:val="22"/>
                <w:szCs w:val="22"/>
                <w:rFonts w:cs="Arial" w:ascii="Arial" w:hAnsi="Arial"/>
              </w:rPr>
              <w:fldChar w:fldCharType="end"/>
            </w:r>
            <w:bookmarkStart w:id="14" w:name="Check16_Copy_1"/>
            <w:bookmarkStart w:id="15" w:name="Check16_Copy_1"/>
            <w:bookmarkEnd w:id="14"/>
            <w:bookmarkEnd w:id="15"/>
            <w:r>
              <w:rPr>
                <w:rFonts w:cs="Arial" w:ascii="Arial" w:hAnsi="Arial"/>
                <w:sz w:val="22"/>
                <w:szCs w:val="22"/>
              </w:rPr>
              <w:t xml:space="preserve">      5</w:t>
            </w:r>
            <w:r>
              <w:rPr>
                <w:rFonts w:cs="Arial" w:ascii="Arial" w:hAnsi="Arial"/>
                <w:sz w:val="22"/>
                <w:szCs w:val="22"/>
                <w:vertAlign w:val="superscript"/>
              </w:rPr>
              <w:t>th</w:t>
            </w:r>
            <w:r>
              <w:rPr>
                <w:rFonts w:cs="Arial" w:ascii="Arial" w:hAnsi="Arial"/>
                <w:sz w:val="22"/>
                <w:szCs w:val="22"/>
              </w:rPr>
              <w:t xml:space="preserve"> </w:t>
            </w:r>
            <w:r>
              <w:fldChar w:fldCharType="begin">
                <w:ffData>
                  <w:name w:val="Check17"/>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16" w:name="Check17"/>
            <w:bookmarkStart w:id="17" w:name="Check17"/>
            <w:bookmarkEnd w:id="17"/>
            <w:r>
              <w:rPr>
                <w:rFonts w:cs="Arial" w:ascii="Arial" w:hAnsi="Arial"/>
                <w:sz w:val="22"/>
                <w:szCs w:val="22"/>
              </w:rPr>
            </w:r>
            <w:r>
              <w:rPr>
                <w:sz w:val="22"/>
                <w:szCs w:val="22"/>
                <w:rFonts w:cs="Arial" w:ascii="Arial" w:hAnsi="Arial"/>
              </w:rPr>
              <w:fldChar w:fldCharType="end"/>
            </w:r>
            <w:bookmarkStart w:id="18" w:name="Check17_Copy_1"/>
            <w:bookmarkStart w:id="19" w:name="Check17_Copy_1"/>
            <w:bookmarkEnd w:id="18"/>
            <w:bookmarkEnd w:id="19"/>
            <w:r>
              <w:rPr>
                <w:rFonts w:cs="Arial" w:ascii="Arial" w:hAnsi="Arial"/>
                <w:sz w:val="22"/>
                <w:szCs w:val="22"/>
              </w:rPr>
              <w:t xml:space="preserve">      6</w:t>
            </w:r>
            <w:r>
              <w:rPr>
                <w:rFonts w:cs="Arial" w:ascii="Arial" w:hAnsi="Arial"/>
                <w:sz w:val="22"/>
                <w:szCs w:val="22"/>
                <w:vertAlign w:val="superscript"/>
              </w:rPr>
              <w:t>th</w:t>
            </w:r>
            <w:r>
              <w:rPr>
                <w:rFonts w:cs="Arial" w:ascii="Arial" w:hAnsi="Arial"/>
                <w:sz w:val="22"/>
                <w:szCs w:val="22"/>
              </w:rPr>
              <w:t xml:space="preserve"> </w:t>
            </w:r>
            <w:r>
              <w:fldChar w:fldCharType="begin">
                <w:ffData>
                  <w:name w:val="Check18"/>
                  <w:enabled/>
                  <w:calcOnExit w:val="0"/>
                  <w:checkBox>
                    <w:sizeAuto/>
                  </w:checkBox>
                </w:ffData>
              </w:fldChar>
            </w:r>
            <w:r>
              <w:rPr>
                <w:sz w:val="22"/>
                <w:szCs w:val="22"/>
                <w:rFonts w:cs="Arial" w:ascii="Arial" w:hAnsi="Arial"/>
              </w:rPr>
              <w:instrText xml:space="preserve"> FORMCHECKBOX </w:instrText>
            </w:r>
            <w:r>
              <w:rPr>
                <w:sz w:val="22"/>
                <w:szCs w:val="22"/>
                <w:rFonts w:cs="Arial" w:ascii="Arial" w:hAnsi="Arial"/>
              </w:rPr>
              <w:fldChar w:fldCharType="separate"/>
            </w:r>
            <w:bookmarkStart w:id="20" w:name="Check18"/>
            <w:bookmarkStart w:id="21" w:name="Check18"/>
            <w:bookmarkEnd w:id="21"/>
            <w:r/>
            <w:r>
              <w:rPr>
                <w:sz w:val="22"/>
                <w:szCs w:val="22"/>
                <w:rFonts w:cs="Arial" w:ascii="Arial" w:hAnsi="Arial"/>
              </w:rPr>
              <w:fldChar w:fldCharType="end"/>
            </w:r>
            <w:r>
              <w:rPr>
                <w:rFonts w:cs="Arial" w:ascii="Arial" w:hAnsi="Arial"/>
                <w:sz w:val="22"/>
                <w:szCs w:val="22"/>
              </w:rPr>
            </w:r>
          </w:p>
        </w:tc>
      </w:tr>
      <w:tr>
        <w:trPr>
          <w:trHeight w:val="978" w:hRule="atLeast"/>
        </w:trPr>
        <w:tc>
          <w:tcPr>
            <w:tcW w:w="8856" w:type="dxa"/>
            <w:gridSpan w:val="5"/>
            <w:tcBorders>
              <w:top w:val="single" w:sz="4" w:space="0" w:color="000000"/>
              <w:start w:val="single" w:sz="4" w:space="0" w:color="000000"/>
              <w:bottom w:val="single" w:sz="4" w:space="0" w:color="000000"/>
              <w:end w:val="single" w:sz="4" w:space="0" w:color="000000"/>
            </w:tcBorders>
            <w:shd w:fill="D9D9D9" w:val="clear"/>
          </w:tcPr>
          <w:p>
            <w:pPr>
              <w:pStyle w:val="NormalWeb"/>
              <w:spacing w:before="0" w:after="0"/>
              <w:ind w:end="34"/>
              <w:rPr>
                <w:rFonts w:ascii="Arial" w:hAnsi="Arial" w:cs="Arial"/>
                <w:sz w:val="22"/>
                <w:szCs w:val="22"/>
              </w:rPr>
            </w:pPr>
            <w:r>
              <w:rPr>
                <w:rFonts w:cs="Arial" w:ascii="Arial" w:hAnsi="Arial"/>
                <w:sz w:val="22"/>
                <w:szCs w:val="22"/>
              </w:rPr>
              <w:t>I confirm that this is my original work and that I have adhered to the University policy on plagiarism.</w:t>
            </w:r>
          </w:p>
          <w:p>
            <w:pPr>
              <w:pStyle w:val="NormalWeb"/>
              <w:spacing w:before="0" w:after="0"/>
              <w:ind w:end="34"/>
              <w:rPr>
                <w:rFonts w:ascii="Arial" w:hAnsi="Arial" w:cs="Arial"/>
                <w:sz w:val="22"/>
                <w:szCs w:val="22"/>
              </w:rPr>
            </w:pPr>
            <w:r>
              <w:rPr>
                <w:rFonts w:cs="Arial" w:ascii="Arial" w:hAnsi="Arial"/>
                <w:sz w:val="22"/>
                <w:szCs w:val="22"/>
              </w:rPr>
              <w:t>Signed …Doris Maat…………………………………………………………</w:t>
            </w:r>
          </w:p>
          <w:p>
            <w:pPr>
              <w:pStyle w:val="NormalWeb"/>
              <w:spacing w:before="0" w:after="0"/>
              <w:ind w:end="34"/>
              <w:rPr>
                <w:rFonts w:ascii="Calibri" w:hAnsi="Calibri" w:cs="Calibri"/>
                <w:b/>
                <w:sz w:val="44"/>
                <w:szCs w:val="44"/>
              </w:rPr>
            </w:pPr>
            <w:r>
              <w:rPr>
                <w:rFonts w:cs="Tahoma" w:ascii="Calibri" w:hAnsi="Calibri"/>
                <w:b/>
                <w:sz w:val="24"/>
                <w:szCs w:val="24"/>
              </w:rPr>
              <w:t xml:space="preserve">Email submission: if you are submitting this form via email, please tick this box </w:t>
            </w:r>
            <w:r>
              <w:rPr>
                <w:rFonts w:cs="Calibri" w:ascii="Calibri" w:hAnsi="Calibri"/>
                <w:b/>
                <w:sz w:val="44"/>
                <w:szCs w:val="44"/>
              </w:rPr>
              <w:t>□</w:t>
            </w:r>
          </w:p>
          <w:p>
            <w:pPr>
              <w:pStyle w:val="NormalWeb"/>
              <w:spacing w:before="0" w:after="0"/>
              <w:ind w:end="34"/>
              <w:rPr>
                <w:rFonts w:ascii="Arial" w:hAnsi="Arial" w:cs="Arial"/>
                <w:sz w:val="22"/>
                <w:szCs w:val="22"/>
              </w:rPr>
            </w:pPr>
            <w:r>
              <w:rPr>
                <w:rFonts w:cs="Tahoma" w:ascii="Calibri" w:hAnsi="Calibri"/>
                <w:b/>
                <w:sz w:val="24"/>
                <w:szCs w:val="24"/>
              </w:rPr>
              <w:t>(as a substitute for your signature) to confirm that you agree to the above declaration.</w:t>
            </w:r>
          </w:p>
        </w:tc>
      </w:tr>
      <w:tr>
        <w:trPr>
          <w:trHeight w:val="3972"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rPr>
            </w:pPr>
            <w:r>
              <w:rPr>
                <w:rFonts w:cs="Arial" w:ascii="Arial" w:hAnsi="Arial"/>
                <w:b/>
              </w:rPr>
              <w:t>Assignment Mark</w:t>
            </w:r>
          </w:p>
          <w:tbl>
            <w:tblPr>
              <w:tblW w:w="8630" w:type="dxa"/>
              <w:jc w:val="start"/>
              <w:tblInd w:w="0" w:type="dxa"/>
              <w:tblLayout w:type="fixed"/>
              <w:tblCellMar>
                <w:top w:w="0" w:type="dxa"/>
                <w:start w:w="108" w:type="dxa"/>
                <w:bottom w:w="0" w:type="dxa"/>
                <w:end w:w="108" w:type="dxa"/>
              </w:tblCellMar>
            </w:tblPr>
            <w:tblGrid>
              <w:gridCol w:w="6969"/>
              <w:gridCol w:w="1660"/>
            </w:tblGrid>
            <w:tr>
              <w:trPr/>
              <w:tc>
                <w:tcPr>
                  <w:tcW w:w="6969" w:type="dxa"/>
                  <w:tcBorders>
                    <w:top w:val="single" w:sz="4" w:space="0" w:color="000000"/>
                    <w:start w:val="single" w:sz="4" w:space="0" w:color="000000"/>
                    <w:bottom w:val="single" w:sz="4" w:space="0" w:color="000000"/>
                    <w:end w:val="single" w:sz="4" w:space="0" w:color="000000"/>
                  </w:tcBorders>
                </w:tcPr>
                <w:p>
                  <w:pPr>
                    <w:pStyle w:val="Normal"/>
                    <w:bidi w:val="0"/>
                    <w:snapToGrid w:val="false"/>
                    <w:jc w:val="start"/>
                    <w:rPr>
                      <w:rFonts w:ascii="Arial" w:hAnsi="Arial" w:cs="Arial"/>
                      <w:sz w:val="20"/>
                      <w:szCs w:val="20"/>
                    </w:rPr>
                  </w:pPr>
                  <w:r>
                    <w:rPr>
                      <w:rFonts w:cs="Arial" w:ascii="Arial" w:hAnsi="Arial"/>
                      <w:sz w:val="20"/>
                      <w:szCs w:val="20"/>
                    </w:rPr>
                  </w:r>
                </w:p>
                <w:p>
                  <w:pPr>
                    <w:pStyle w:val="Normal"/>
                    <w:bidi w:val="0"/>
                    <w:jc w:val="start"/>
                    <w:rPr>
                      <w:rFonts w:ascii="Arial" w:hAnsi="Arial" w:cs="Arial"/>
                      <w:b/>
                      <w:sz w:val="20"/>
                      <w:szCs w:val="20"/>
                    </w:rPr>
                  </w:pPr>
                  <w:r>
                    <w:rPr>
                      <w:rFonts w:cs="Arial" w:ascii="Arial" w:hAnsi="Arial"/>
                      <w:b/>
                      <w:sz w:val="20"/>
                      <w:szCs w:val="20"/>
                    </w:rPr>
                    <w:t>Final Mark</w:t>
                  </w:r>
                </w:p>
                <w:p>
                  <w:pPr>
                    <w:pStyle w:val="Normal"/>
                    <w:bidi w:val="0"/>
                    <w:jc w:val="start"/>
                    <w:rPr>
                      <w:rFonts w:ascii="Arial" w:hAnsi="Arial" w:cs="Arial"/>
                      <w:b/>
                      <w:sz w:val="20"/>
                      <w:szCs w:val="20"/>
                    </w:rPr>
                  </w:pPr>
                  <w:r>
                    <w:rPr>
                      <w:rFonts w:cs="Arial" w:ascii="Arial" w:hAnsi="Arial"/>
                      <w:b/>
                      <w:sz w:val="20"/>
                      <w:szCs w:val="20"/>
                    </w:rPr>
                  </w:r>
                </w:p>
              </w:tc>
              <w:tc>
                <w:tcPr>
                  <w:tcW w:w="1660" w:type="dxa"/>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0"/>
                      <w:szCs w:val="20"/>
                    </w:rPr>
                  </w:pPr>
                  <w:r>
                    <w:rPr>
                      <w:rFonts w:cs="Arial" w:ascii="Arial" w:hAnsi="Arial"/>
                      <w:sz w:val="20"/>
                      <w:szCs w:val="20"/>
                    </w:rPr>
                    <w:t>WILL BE GIVEN ON TURNITIN</w:t>
                  </w:r>
                </w:p>
              </w:tc>
            </w:tr>
          </w:tbl>
          <w:p>
            <w:pPr>
              <w:pStyle w:val="NormalWeb"/>
              <w:spacing w:before="0" w:after="0"/>
              <w:ind w:start="142" w:end="34"/>
              <w:rPr>
                <w:rFonts w:ascii="Arial" w:hAnsi="Arial" w:cs="Arial"/>
                <w:b/>
                <w:sz w:val="22"/>
                <w:szCs w:val="22"/>
              </w:rPr>
            </w:pPr>
            <w:r>
              <w:rPr>
                <w:rFonts w:cs="Arial" w:ascii="Arial" w:hAnsi="Arial"/>
                <w:b/>
                <w:sz w:val="22"/>
                <w:szCs w:val="22"/>
              </w:rPr>
            </w:r>
          </w:p>
          <w:p>
            <w:pPr>
              <w:pStyle w:val="NormalWeb"/>
              <w:spacing w:before="0" w:after="0"/>
              <w:ind w:start="142" w:end="34"/>
              <w:rPr>
                <w:rFonts w:ascii="Arial" w:hAnsi="Arial" w:cs="Arial"/>
                <w:sz w:val="22"/>
                <w:szCs w:val="22"/>
              </w:rPr>
            </w:pPr>
            <w:r>
              <w:rPr>
                <w:rFonts w:cs="Arial" w:ascii="Arial" w:hAnsi="Arial"/>
                <w:b/>
                <w:sz w:val="22"/>
                <w:szCs w:val="22"/>
              </w:rPr>
              <w:t>NB.</w:t>
            </w:r>
            <w:r>
              <w:rPr>
                <w:rFonts w:cs="Arial" w:ascii="Arial" w:hAnsi="Arial"/>
                <w:sz w:val="22"/>
                <w:szCs w:val="22"/>
              </w:rPr>
              <w:t xml:space="preserve">  All marks are provisional until confirmed by the Final Examination Board.</w:t>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rFonts w:ascii="Arial" w:hAnsi="Arial" w:cs="Arial"/>
                <w:b/>
                <w:sz w:val="22"/>
                <w:szCs w:val="22"/>
              </w:rPr>
            </w:pPr>
            <w:r>
              <w:rPr>
                <w:rFonts w:cs="Arial" w:ascii="Arial" w:hAnsi="Arial"/>
                <w:b/>
                <w:sz w:val="22"/>
                <w:szCs w:val="22"/>
              </w:rPr>
              <w:t>PLEASE NOTE: ALL COMMENTS WILL BE POSTED ON TURNITIN</w:t>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rFonts w:ascii="Arial" w:hAnsi="Arial" w:cs="Arial"/>
                <w:b/>
                <w:sz w:val="22"/>
                <w:szCs w:val="22"/>
              </w:rPr>
            </w:pPr>
            <w:r>
              <w:rPr>
                <w:rFonts w:cs="Arial" w:ascii="Arial" w:hAnsi="Arial"/>
                <w:b/>
                <w:sz w:val="22"/>
                <w:szCs w:val="22"/>
              </w:rPr>
            </w:r>
          </w:p>
          <w:p>
            <w:pPr>
              <w:pStyle w:val="NormalWeb"/>
              <w:spacing w:before="0" w:after="0"/>
              <w:rPr/>
            </w:pPr>
            <w:r>
              <w:rPr>
                <w:rFonts w:cs="Arial" w:ascii="Arial" w:hAnsi="Arial"/>
                <w:b/>
                <w:sz w:val="22"/>
                <w:szCs w:val="22"/>
              </w:rPr>
              <w:t>For completion by Marker 1 :</w:t>
            </w:r>
          </w:p>
          <w:p>
            <w:pPr>
              <w:pStyle w:val="NormalWeb"/>
              <w:rPr>
                <w:rFonts w:ascii="Arial" w:hAnsi="Arial" w:cs="Arial"/>
                <w:sz w:val="22"/>
                <w:szCs w:val="22"/>
              </w:rPr>
            </w:pPr>
            <w:r>
              <w:rPr>
                <w:rFonts w:cs="Arial" w:ascii="Arial" w:hAnsi="Arial"/>
                <w:sz w:val="22"/>
                <w:szCs w:val="22"/>
              </w:rPr>
              <w:t>Comments:</w:t>
            </w:r>
          </w:p>
          <w:p>
            <w:pPr>
              <w:pStyle w:val="NormalWeb"/>
              <w:spacing w:before="280" w:after="0"/>
              <w:rPr>
                <w:rFonts w:ascii="Arial" w:hAnsi="Arial" w:cs="Arial"/>
                <w:sz w:val="22"/>
                <w:szCs w:val="22"/>
              </w:rPr>
            </w:pPr>
            <w:r>
              <w:rPr>
                <w:rFonts w:cs="Arial" w:ascii="Arial" w:hAnsi="Arial"/>
                <w:sz w:val="22"/>
                <w:szCs w:val="22"/>
              </w:rPr>
            </w:r>
          </w:p>
        </w:tc>
      </w:tr>
      <w:tr>
        <w:trPr>
          <w:trHeight w:val="492" w:hRule="atLeast"/>
        </w:trPr>
        <w:tc>
          <w:tcPr>
            <w:tcW w:w="6765" w:type="dxa"/>
            <w:gridSpan w:val="3"/>
            <w:tcBorders>
              <w:top w:val="single" w:sz="4" w:space="0" w:color="000000"/>
              <w:start w:val="single" w:sz="4" w:space="0" w:color="000000"/>
              <w:bottom w:val="single" w:sz="4" w:space="0" w:color="000000"/>
              <w:end w:val="single" w:sz="4" w:space="0" w:color="000000"/>
            </w:tcBorders>
          </w:tcPr>
          <w:p>
            <w:pPr>
              <w:pStyle w:val="NormalWeb"/>
              <w:spacing w:before="280" w:after="0"/>
              <w:ind w:start="142" w:end="34"/>
              <w:rPr>
                <w:rFonts w:ascii="Arial" w:hAnsi="Arial" w:cs="Arial"/>
                <w:sz w:val="22"/>
                <w:szCs w:val="22"/>
              </w:rPr>
            </w:pPr>
            <w:r>
              <w:rPr>
                <w:rFonts w:cs="Arial" w:ascii="Arial" w:hAnsi="Arial"/>
                <w:sz w:val="22"/>
                <w:szCs w:val="22"/>
              </w:rPr>
              <w:t>Marker’s signature:</w:t>
            </w:r>
          </w:p>
        </w:tc>
        <w:tc>
          <w:tcPr>
            <w:tcW w:w="2091" w:type="dxa"/>
            <w:gridSpan w:val="2"/>
            <w:tcBorders>
              <w:top w:val="single" w:sz="4" w:space="0" w:color="000000"/>
              <w:start w:val="single" w:sz="4" w:space="0" w:color="000000"/>
              <w:bottom w:val="single" w:sz="4" w:space="0" w:color="000000"/>
              <w:end w:val="single" w:sz="4" w:space="0" w:color="000000"/>
            </w:tcBorders>
          </w:tcPr>
          <w:p>
            <w:pPr>
              <w:pStyle w:val="NormalWeb"/>
              <w:spacing w:before="280" w:after="0"/>
              <w:ind w:start="142" w:end="34"/>
              <w:rPr>
                <w:rFonts w:ascii="Arial" w:hAnsi="Arial" w:cs="Arial"/>
                <w:sz w:val="22"/>
                <w:szCs w:val="22"/>
              </w:rPr>
            </w:pPr>
            <w:r>
              <w:rPr>
                <w:rFonts w:cs="Arial" w:ascii="Arial" w:hAnsi="Arial"/>
                <w:sz w:val="22"/>
                <w:szCs w:val="22"/>
              </w:rPr>
              <w:t>Date:</w:t>
            </w:r>
          </w:p>
        </w:tc>
      </w:tr>
      <w:tr>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Web"/>
              <w:snapToGrid w:val="false"/>
              <w:spacing w:before="0" w:after="0"/>
              <w:ind w:end="-334"/>
              <w:rPr>
                <w:rFonts w:ascii="Arial" w:hAnsi="Arial" w:cs="Arial"/>
                <w:bCs/>
                <w:i/>
                <w:i/>
                <w:sz w:val="22"/>
                <w:szCs w:val="22"/>
              </w:rPr>
            </w:pPr>
            <w:r>
              <w:rPr>
                <w:rFonts w:cs="Arial" w:ascii="Arial" w:hAnsi="Arial"/>
                <w:bCs/>
                <w:i/>
                <w:sz w:val="22"/>
                <w:szCs w:val="22"/>
              </w:rPr>
            </w:r>
          </w:p>
          <w:p>
            <w:pPr>
              <w:pStyle w:val="NormalWeb"/>
              <w:spacing w:before="0" w:after="0"/>
              <w:ind w:end="-334"/>
              <w:rPr/>
            </w:pPr>
            <w:r>
              <w:rPr>
                <w:rFonts w:cs="Arial" w:ascii="Arial" w:hAnsi="Arial"/>
                <w:b/>
                <w:bCs/>
                <w:sz w:val="22"/>
                <w:szCs w:val="22"/>
              </w:rPr>
              <w:t>For completion by Marker 2/Moderator:</w:t>
            </w:r>
          </w:p>
          <w:p>
            <w:pPr>
              <w:pStyle w:val="NormalWeb"/>
              <w:spacing w:before="0" w:after="0"/>
              <w:ind w:end="-334"/>
              <w:rPr>
                <w:rFonts w:ascii="Arial" w:hAnsi="Arial" w:cs="Arial"/>
                <w:b/>
                <w:bCs/>
                <w:sz w:val="22"/>
                <w:szCs w:val="22"/>
              </w:rPr>
            </w:pPr>
            <w:r>
              <w:rPr>
                <w:rFonts w:cs="Arial" w:ascii="Arial" w:hAnsi="Arial"/>
                <w:b/>
                <w:bCs/>
                <w:sz w:val="22"/>
                <w:szCs w:val="22"/>
              </w:rPr>
            </w:r>
          </w:p>
          <w:p>
            <w:pPr>
              <w:pStyle w:val="NormalWeb"/>
              <w:spacing w:before="0" w:after="0"/>
              <w:ind w:end="-334"/>
              <w:rPr>
                <w:rFonts w:ascii="Arial" w:hAnsi="Arial" w:cs="Arial"/>
                <w:bCs/>
                <w:sz w:val="22"/>
                <w:szCs w:val="22"/>
              </w:rPr>
            </w:pPr>
            <w:r>
              <w:rPr>
                <w:rFonts w:cs="Arial" w:ascii="Arial" w:hAnsi="Arial"/>
                <w:bCs/>
                <w:sz w:val="22"/>
                <w:szCs w:val="22"/>
              </w:rPr>
              <w:t>Comments:</w:t>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Web"/>
              <w:spacing w:before="0" w:after="0"/>
              <w:ind w:end="-334"/>
              <w:rPr>
                <w:rFonts w:ascii="Arial" w:hAnsi="Arial" w:cs="Arial"/>
                <w:bCs/>
                <w:sz w:val="22"/>
                <w:szCs w:val="22"/>
              </w:rPr>
            </w:pPr>
            <w:r>
              <w:rPr>
                <w:rFonts w:cs="Arial" w:ascii="Arial" w:hAnsi="Arial"/>
                <w:bCs/>
                <w:sz w:val="22"/>
                <w:szCs w:val="22"/>
              </w:rPr>
              <w:t>Marker’s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Web"/>
              <w:spacing w:before="0" w:after="0"/>
              <w:ind w:end="-334"/>
              <w:rPr>
                <w:rFonts w:ascii="Arial" w:hAnsi="Arial" w:cs="Arial"/>
                <w:bCs/>
                <w:sz w:val="22"/>
                <w:szCs w:val="22"/>
              </w:rPr>
            </w:pPr>
            <w:r>
              <w:rPr>
                <w:rFonts w:cs="Arial" w:ascii="Arial" w:hAnsi="Arial"/>
                <w:bCs/>
                <w:sz w:val="22"/>
                <w:szCs w:val="22"/>
              </w:rPr>
              <w:t>Date:</w:t>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AGREED INTERNAL MARK (where necessary):</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t>Comment on process of arriving at agreed mark:</w:t>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p>
            <w:pPr>
              <w:pStyle w:val="Normal"/>
              <w:bidi w:val="0"/>
              <w:jc w:val="start"/>
              <w:rPr>
                <w:rFonts w:ascii="Arial" w:hAnsi="Arial" w:cs="Arial"/>
                <w:b/>
                <w:sz w:val="22"/>
                <w:szCs w:val="22"/>
              </w:rPr>
            </w:pPr>
            <w:r>
              <w:rPr>
                <w:rFonts w:cs="Arial" w:ascii="Arial" w:hAnsi="Arial"/>
                <w:b/>
                <w:sz w:val="22"/>
                <w:szCs w:val="22"/>
              </w:rPr>
            </w:r>
          </w:p>
        </w:tc>
      </w:tr>
      <w:tr>
        <w:trPr>
          <w:trHeight w:val="720" w:hRule="atLeast"/>
        </w:trPr>
        <w:tc>
          <w:tcPr>
            <w:tcW w:w="8856" w:type="dxa"/>
            <w:gridSpan w:val="5"/>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b/>
                <w:sz w:val="22"/>
                <w:szCs w:val="22"/>
              </w:rPr>
            </w:pPr>
            <w:r>
              <w:rPr>
                <w:rFonts w:cs="Arial" w:ascii="Arial" w:hAnsi="Arial"/>
                <w:b/>
                <w:sz w:val="22"/>
                <w:szCs w:val="22"/>
              </w:rPr>
              <w:t>External Examiner’s comments (if relevant)</w:t>
            </w:r>
          </w:p>
          <w:p>
            <w:pPr>
              <w:pStyle w:val="NormalWeb"/>
              <w:spacing w:before="0" w:after="0"/>
              <w:ind w:end="-334"/>
              <w:rPr>
                <w:rFonts w:ascii="Arial" w:hAnsi="Arial" w:cs="Arial"/>
                <w:b/>
                <w:bCs/>
                <w:sz w:val="22"/>
                <w:szCs w:val="22"/>
              </w:rPr>
            </w:pPr>
            <w:r>
              <w:rPr>
                <w:rFonts w:cs="Arial" w:ascii="Arial" w:hAnsi="Arial"/>
                <w:b/>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p>
            <w:pPr>
              <w:pStyle w:val="NormalWeb"/>
              <w:spacing w:before="0" w:after="0"/>
              <w:ind w:end="-334"/>
              <w:rPr>
                <w:rFonts w:ascii="Arial" w:hAnsi="Arial" w:cs="Arial"/>
                <w:bCs/>
                <w:sz w:val="22"/>
                <w:szCs w:val="22"/>
              </w:rPr>
            </w:pPr>
            <w:r>
              <w:rPr>
                <w:rFonts w:cs="Arial" w:ascii="Arial" w:hAnsi="Arial"/>
                <w:bCs/>
                <w:sz w:val="22"/>
                <w:szCs w:val="22"/>
              </w:rPr>
            </w:r>
          </w:p>
        </w:tc>
      </w:tr>
      <w:tr>
        <w:trPr>
          <w:trHeight w:val="720" w:hRule="atLeast"/>
        </w:trPr>
        <w:tc>
          <w:tcPr>
            <w:tcW w:w="5209" w:type="dxa"/>
            <w:gridSpan w:val="2"/>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External Examiner’s Signature:</w:t>
            </w:r>
          </w:p>
        </w:tc>
        <w:tc>
          <w:tcPr>
            <w:tcW w:w="3647" w:type="dxa"/>
            <w:gridSpan w:val="3"/>
            <w:tcBorders>
              <w:top w:val="single" w:sz="4" w:space="0" w:color="000000"/>
              <w:start w:val="single" w:sz="4" w:space="0" w:color="000000"/>
              <w:bottom w:val="single" w:sz="4" w:space="0" w:color="000000"/>
              <w:end w:val="single" w:sz="4" w:space="0" w:color="000000"/>
            </w:tcBorders>
          </w:tcPr>
          <w:p>
            <w:pPr>
              <w:pStyle w:val="Normal"/>
              <w:bidi w:val="0"/>
              <w:jc w:val="start"/>
              <w:rPr>
                <w:rFonts w:ascii="Arial" w:hAnsi="Arial" w:cs="Arial"/>
                <w:sz w:val="22"/>
                <w:szCs w:val="22"/>
              </w:rPr>
            </w:pPr>
            <w:r>
              <w:rPr>
                <w:rFonts w:cs="Arial" w:ascii="Arial" w:hAnsi="Arial"/>
                <w:sz w:val="22"/>
                <w:szCs w:val="22"/>
              </w:rPr>
              <w:t>Date:</w:t>
            </w:r>
          </w:p>
        </w:tc>
      </w:tr>
    </w:tbl>
    <w:p>
      <w:pPr>
        <w:pStyle w:val="NormalWeb"/>
        <w:spacing w:before="0" w:after="0"/>
        <w:ind w:end="-334"/>
        <w:rPr>
          <w:rFonts w:ascii="Times New Roman" w:hAnsi="Times New Roman" w:cs="Tahoma"/>
          <w:b/>
          <w:bCs/>
          <w:sz w:val="22"/>
          <w:szCs w:val="22"/>
        </w:rPr>
      </w:pPr>
      <w:r>
        <w:rPr>
          <w:rFonts w:cs="Tahoma" w:ascii="Times New Roman" w:hAnsi="Times New Roman"/>
          <w:b/>
          <w:bCs/>
          <w:sz w:val="22"/>
          <w:szCs w:val="22"/>
        </w:rPr>
      </w:r>
      <w:r>
        <w:br w:type="page"/>
      </w:r>
    </w:p>
    <w:p>
      <w:pPr>
        <w:pStyle w:val="NormalWeb"/>
        <w:spacing w:before="0" w:after="0"/>
        <w:ind w:end="-334"/>
        <w:rPr>
          <w:rFonts w:ascii="Times New Roman" w:hAnsi="Times New Roman" w:cs="Tahoma"/>
          <w:b w:val="false"/>
          <w:bCs w:val="false"/>
          <w:sz w:val="24"/>
          <w:szCs w:val="24"/>
        </w:rPr>
      </w:pPr>
      <w:r>
        <w:rPr>
          <w:rFonts w:cs="Tahoma" w:ascii="Times New Roman" w:hAnsi="Times New Roman"/>
          <w:b w:val="false"/>
          <w:bCs w:val="false"/>
          <w:sz w:val="24"/>
          <w:szCs w:val="24"/>
        </w:rPr>
      </w:r>
    </w:p>
    <w:p>
      <w:pPr>
        <w:pStyle w:val="NormalWeb"/>
        <w:spacing w:before="0" w:after="0"/>
        <w:ind w:end="-334"/>
        <w:jc w:val="center"/>
        <w:rPr>
          <w:rFonts w:ascii="Times New Roman" w:hAnsi="Times New Roman" w:cs="Tahoma"/>
          <w:b/>
          <w:bCs/>
          <w:sz w:val="24"/>
          <w:szCs w:val="24"/>
        </w:rPr>
      </w:pPr>
      <w:r>
        <w:rPr>
          <w:rFonts w:cs="Tahoma" w:ascii="Times New Roman" w:hAnsi="Times New Roman"/>
          <w:b/>
          <w:bCs/>
          <w:sz w:val="24"/>
          <w:szCs w:val="24"/>
        </w:rPr>
        <w:t>Essay Based on a Sky Journal</w:t>
      </w:r>
    </w:p>
    <w:p>
      <w:pPr>
        <w:pStyle w:val="NormalWeb"/>
        <w:spacing w:before="0" w:after="0"/>
        <w:ind w:end="-334"/>
        <w:jc w:val="start"/>
        <w:rPr>
          <w:rFonts w:ascii="Times New Roman" w:hAnsi="Times New Roman" w:cs="Tahoma"/>
          <w:b w:val="false"/>
          <w:bCs w:val="false"/>
          <w:sz w:val="24"/>
          <w:szCs w:val="24"/>
        </w:rPr>
      </w:pPr>
      <w:r>
        <w:rPr>
          <w:rFonts w:cs="Tahoma" w:ascii="Times New Roman" w:hAnsi="Times New Roman"/>
          <w:b w:val="false"/>
          <w:bCs w:val="false"/>
          <w:sz w:val="24"/>
          <w:szCs w:val="24"/>
        </w:rPr>
      </w:r>
    </w:p>
    <w:p>
      <w:pPr>
        <w:pStyle w:val="NormalWeb"/>
        <w:spacing w:before="0" w:after="0"/>
        <w:ind w:end="-334"/>
        <w:jc w:val="start"/>
        <w:rPr>
          <w:rFonts w:ascii="Times New Roman" w:hAnsi="Times New Roman" w:cs="Tahoma"/>
          <w:b/>
          <w:bCs/>
          <w:i w:val="false"/>
          <w:i w:val="false"/>
          <w:iCs w:val="false"/>
          <w:sz w:val="24"/>
          <w:szCs w:val="24"/>
        </w:rPr>
      </w:pPr>
      <w:r>
        <w:rPr>
          <w:rFonts w:cs="Tahoma" w:ascii="Times New Roman" w:hAnsi="Times New Roman"/>
          <w:b/>
          <w:bCs/>
          <w:i w:val="false"/>
          <w:iCs w:val="false"/>
          <w:sz w:val="24"/>
          <w:szCs w:val="24"/>
        </w:rPr>
        <w:t>Introduction</w:t>
      </w:r>
    </w:p>
    <w:p>
      <w:pPr>
        <w:pStyle w:val="NormalWeb"/>
        <w:spacing w:before="0" w:after="0"/>
        <w:ind w:end="-334"/>
        <w:jc w:val="start"/>
        <w:rPr>
          <w:b w:val="false"/>
          <w:bCs w:val="false"/>
        </w:rPr>
      </w:pPr>
      <w:r>
        <w:rPr>
          <w:rFonts w:cs="Tahoma" w:ascii="Times New Roman" w:hAnsi="Times New Roman"/>
          <w:b/>
          <w:bCs/>
          <w:i w:val="false"/>
          <w:iCs w:val="false"/>
          <w:sz w:val="24"/>
          <w:szCs w:val="24"/>
        </w:rPr>
      </w:r>
    </w:p>
    <w:p>
      <w:pPr>
        <w:pStyle w:val="NormalWeb"/>
        <w:spacing w:before="0" w:after="0"/>
        <w:ind w:end="-334"/>
        <w:jc w:val="start"/>
        <w:rPr/>
      </w:pPr>
      <w:r>
        <w:rPr>
          <w:rFonts w:cs="Tahoma" w:ascii="Times New Roman" w:hAnsi="Times New Roman"/>
          <w:b w:val="false"/>
          <w:bCs w:val="false"/>
          <w:i w:val="false"/>
          <w:iCs w:val="false"/>
          <w:sz w:val="24"/>
          <w:szCs w:val="24"/>
        </w:rPr>
        <w:t xml:space="preserve">This essay discusses </w:t>
      </w:r>
      <w:r>
        <w:rPr>
          <w:rFonts w:cs="Tahoma" w:ascii="Times New Roman" w:hAnsi="Times New Roman"/>
          <w:b w:val="false"/>
          <w:bCs w:val="false"/>
          <w:i w:val="false"/>
          <w:iCs w:val="false"/>
          <w:sz w:val="24"/>
          <w:szCs w:val="24"/>
        </w:rPr>
        <w:t xml:space="preserve">personal </w:t>
      </w:r>
      <w:r>
        <w:rPr>
          <w:rFonts w:cs="Tahoma" w:ascii="Times New Roman" w:hAnsi="Times New Roman"/>
          <w:b w:val="false"/>
          <w:bCs w:val="false"/>
          <w:i w:val="false"/>
          <w:iCs w:val="false"/>
          <w:sz w:val="24"/>
          <w:szCs w:val="24"/>
        </w:rPr>
        <w:t>observations made in a Sky Journal that was created over the period of (roughly) one month.  These observations were done</w:t>
      </w:r>
      <w:r>
        <w:rPr>
          <w:rFonts w:cs="Tahoma" w:ascii="Times New Roman" w:hAnsi="Times New Roman"/>
          <w:b w:val="false"/>
          <w:bCs w:val="false"/>
          <w:i w:val="false"/>
          <w:iCs w:val="false"/>
          <w:sz w:val="24"/>
          <w:szCs w:val="24"/>
        </w:rPr>
        <w:t xml:space="preserve"> specifically with the following quote from Vincent Van Gogh (in a letter to his brother) in mind:  </w:t>
      </w:r>
      <w:r>
        <w:rPr>
          <w:b w:val="false"/>
          <w:bCs w:val="false"/>
        </w:rPr>
        <w:t>“</w:t>
      </w:r>
      <w:r>
        <w:rPr>
          <w:b w:val="false"/>
          <w:bCs w:val="false"/>
          <w:i/>
          <w:iCs/>
        </w:rPr>
        <w:t>And yet be clearly aware of the stars and infinity on high. Then life seems almost enchanted after all.</w:t>
      </w:r>
      <w:r>
        <w:rPr>
          <w:b w:val="false"/>
          <w:bCs w:val="false"/>
        </w:rPr>
        <w:t>”</w:t>
      </w:r>
      <w:r>
        <w:rPr>
          <w:rStyle w:val="FootnoteReference"/>
          <w:b w:val="false"/>
          <w:bCs w:val="false"/>
        </w:rPr>
        <w:footnoteReference w:id="2"/>
      </w:r>
      <w:r>
        <w:rPr>
          <w:b w:val="false"/>
          <w:bCs w:val="false"/>
        </w:rPr>
        <w:t xml:space="preserve">  </w:t>
      </w:r>
    </w:p>
    <w:p>
      <w:pPr>
        <w:pStyle w:val="NormalWeb"/>
        <w:spacing w:before="0" w:after="0"/>
        <w:ind w:end="-334"/>
        <w:jc w:val="start"/>
        <w:rPr/>
      </w:pPr>
      <w:r>
        <w:rPr>
          <w:b w:val="false"/>
          <w:bCs w:val="false"/>
        </w:rPr>
        <w:t>I</w:t>
      </w:r>
      <w:r>
        <w:rPr>
          <w:b w:val="false"/>
          <w:bCs w:val="false"/>
        </w:rPr>
        <w:t xml:space="preserve">n the context of the Sky Journal, I took this quote as a directive – to try to be as “clearly aware” as I could of what I was observing with a kind of faith that enchantment </w:t>
      </w:r>
      <w:r>
        <w:rPr>
          <w:b w:val="false"/>
          <w:bCs w:val="false"/>
        </w:rPr>
        <w:t xml:space="preserve">and awe could be experienced if my attempts were sincere.  </w:t>
      </w:r>
      <w:r>
        <w:rPr>
          <w:b w:val="false"/>
          <w:bCs w:val="false"/>
        </w:rPr>
        <w:t xml:space="preserve">The challenge of Van Gogh’s “directive” led to </w:t>
      </w:r>
      <w:r>
        <w:rPr>
          <w:b w:val="false"/>
          <w:bCs w:val="false"/>
        </w:rPr>
        <w:t xml:space="preserve">two </w:t>
      </w:r>
      <w:r>
        <w:rPr>
          <w:b w:val="false"/>
          <w:bCs w:val="false"/>
        </w:rPr>
        <w:t xml:space="preserve">themes.  Attempting the practice of being “clearly aware” of the sky </w:t>
      </w:r>
      <w:r>
        <w:rPr>
          <w:b w:val="false"/>
          <w:bCs w:val="false"/>
        </w:rPr>
        <w:t xml:space="preserve">brought up the experience of awe and how that can positively affect </w:t>
      </w:r>
      <w:r>
        <w:rPr>
          <w:b w:val="false"/>
          <w:bCs w:val="false"/>
        </w:rPr>
        <w:t xml:space="preserve">peoples </w:t>
      </w:r>
      <w:r>
        <w:rPr>
          <w:b w:val="false"/>
          <w:bCs w:val="false"/>
        </w:rPr>
        <w:t xml:space="preserve">lives.  </w:t>
      </w:r>
      <w:r>
        <w:rPr>
          <w:b w:val="false"/>
          <w:bCs w:val="false"/>
        </w:rPr>
        <w:t xml:space="preserve">Also it brought up the idea </w:t>
      </w:r>
      <w:r>
        <w:rPr>
          <w:b w:val="false"/>
          <w:bCs w:val="false"/>
        </w:rPr>
        <w:t>of</w:t>
      </w:r>
      <w:r>
        <w:rPr>
          <w:b w:val="false"/>
          <w:bCs w:val="false"/>
        </w:rPr>
        <w:t xml:space="preserve"> how viewing the sky can be at once quite personal and impersonal and the effect that can have on mood or perception of the world.</w:t>
      </w:r>
    </w:p>
    <w:p>
      <w:pPr>
        <w:pStyle w:val="NormalWeb"/>
        <w:spacing w:before="0" w:after="0"/>
        <w:ind w:end="-334"/>
        <w:jc w:val="start"/>
        <w:rPr/>
      </w:pPr>
      <w:r>
        <w:rPr/>
      </w:r>
    </w:p>
    <w:p>
      <w:pPr>
        <w:pStyle w:val="NormalWeb"/>
        <w:spacing w:before="0" w:after="0"/>
        <w:ind w:end="-334"/>
        <w:jc w:val="start"/>
        <w:rPr>
          <w:b/>
          <w:bCs/>
        </w:rPr>
      </w:pPr>
      <w:r>
        <w:rPr>
          <w:b/>
          <w:bCs/>
        </w:rPr>
        <w:t>Methodology</w:t>
      </w:r>
    </w:p>
    <w:p>
      <w:pPr>
        <w:pStyle w:val="NormalWeb"/>
        <w:spacing w:before="0" w:after="0"/>
        <w:ind w:end="-334"/>
        <w:jc w:val="start"/>
        <w:rPr>
          <w:b w:val="false"/>
          <w:bCs w:val="false"/>
        </w:rPr>
      </w:pPr>
      <w:r>
        <w:rPr>
          <w:b/>
          <w:bCs/>
        </w:rPr>
      </w:r>
    </w:p>
    <w:p>
      <w:pPr>
        <w:pStyle w:val="NormalWeb"/>
        <w:spacing w:before="0" w:after="0"/>
        <w:ind w:end="-334"/>
        <w:jc w:val="start"/>
        <w:rPr>
          <w:b/>
          <w:bCs/>
        </w:rPr>
      </w:pPr>
      <w:r>
        <w:rPr>
          <w:b w:val="false"/>
          <w:bCs w:val="false"/>
        </w:rPr>
        <w:t xml:space="preserve">The journal used a reflexive approach where daily examinations of the sky were not just simply recordings of </w:t>
      </w:r>
      <w:r>
        <w:rPr>
          <w:b w:val="false"/>
          <w:bCs w:val="false"/>
        </w:rPr>
        <w:t>(relatively) objective</w:t>
      </w:r>
      <w:r>
        <w:rPr>
          <w:b w:val="false"/>
          <w:bCs w:val="false"/>
        </w:rPr>
        <w:t xml:space="preserve"> visual </w:t>
      </w:r>
      <w:r>
        <w:rPr>
          <w:b w:val="false"/>
          <w:bCs w:val="false"/>
        </w:rPr>
        <w:t xml:space="preserve">input </w:t>
      </w:r>
      <w:r>
        <w:rPr>
          <w:b w:val="false"/>
          <w:bCs w:val="false"/>
        </w:rPr>
        <w:t>but also</w:t>
      </w:r>
      <w:r>
        <w:rPr>
          <w:b w:val="false"/>
          <w:bCs w:val="false"/>
        </w:rPr>
        <w:t xml:space="preserve"> d</w:t>
      </w:r>
      <w:r>
        <w:rPr>
          <w:b w:val="false"/>
          <w:bCs w:val="false"/>
        </w:rPr>
        <w:t xml:space="preserve">uring these observations, there was </w:t>
      </w:r>
      <w:r>
        <w:rPr>
          <w:b w:val="false"/>
          <w:bCs w:val="false"/>
        </w:rPr>
        <w:t xml:space="preserve">a </w:t>
      </w:r>
      <w:r>
        <w:rPr>
          <w:b w:val="false"/>
          <w:bCs w:val="false"/>
        </w:rPr>
        <w:t>conscious attempt to include audio, tactile and olfactory impressions as well as emotional reactions and reflections.</w:t>
      </w:r>
    </w:p>
    <w:p>
      <w:pPr>
        <w:pStyle w:val="NormalWeb"/>
        <w:spacing w:before="0" w:after="0"/>
        <w:ind w:end="-334"/>
        <w:jc w:val="start"/>
        <w:rPr>
          <w:b/>
          <w:bCs/>
        </w:rPr>
      </w:pPr>
      <w:r>
        <w:rPr>
          <w:b w:val="false"/>
          <w:bCs w:val="false"/>
        </w:rPr>
        <w:t>T</w:t>
      </w:r>
      <w:r>
        <w:rPr>
          <w:b w:val="false"/>
          <w:bCs w:val="false"/>
        </w:rPr>
        <w:t>he location being observed was in the Northwest section (Riverdale) of The Bronx, one of the 5 boroughs of New York City.</w:t>
      </w:r>
    </w:p>
    <w:p>
      <w:pPr>
        <w:pStyle w:val="NormalWeb"/>
        <w:spacing w:before="0" w:after="0"/>
        <w:ind w:end="-334"/>
        <w:jc w:val="start"/>
        <w:rPr/>
      </w:pPr>
      <w:r>
        <w:rPr>
          <w:b w:val="false"/>
          <w:bCs w:val="false"/>
        </w:rPr>
        <w:t>The sky was observed from my kitchen window and/or the fire escape that is directly outside th</w:t>
      </w:r>
      <w:r>
        <w:rPr>
          <w:b w:val="false"/>
          <w:bCs w:val="false"/>
        </w:rPr>
        <w:t>e kitchen</w:t>
      </w:r>
      <w:r>
        <w:rPr>
          <w:b w:val="false"/>
          <w:bCs w:val="false"/>
        </w:rPr>
        <w:t xml:space="preserve"> window (for some observations I would climb out onto the fire escape but the portion of the sky viewed </w:t>
      </w:r>
      <w:r>
        <w:rPr>
          <w:b w:val="false"/>
          <w:bCs w:val="false"/>
        </w:rPr>
        <w:t>in both the kitchen and the fire escape</w:t>
      </w:r>
      <w:r>
        <w:rPr>
          <w:b w:val="false"/>
          <w:bCs w:val="false"/>
        </w:rPr>
        <w:t xml:space="preserve"> was virtually the same.)  These two methods of viewing the same area of the sky were chosen in order to experience the same view from both inside a building and outside as well.  Climbing out and standing on the fire escape gave </w:t>
      </w:r>
      <w:r>
        <w:rPr>
          <w:b w:val="false"/>
          <w:bCs w:val="false"/>
        </w:rPr>
        <w:t xml:space="preserve">me the opportunity to have a different </w:t>
      </w:r>
      <w:r>
        <w:rPr>
          <w:b w:val="false"/>
          <w:bCs w:val="false"/>
        </w:rPr>
        <w:t xml:space="preserve">physical experience.  </w:t>
      </w:r>
      <w:r>
        <w:rPr>
          <w:b w:val="false"/>
          <w:bCs w:val="false"/>
        </w:rPr>
        <w:t>This involved standing on iron slats (with a hand rail) about 60 feet or 18 meters from the ground with air</w:t>
      </w:r>
      <w:r>
        <w:rPr>
          <w:b w:val="false"/>
          <w:bCs w:val="false"/>
        </w:rPr>
        <w:t xml:space="preserve"> </w:t>
      </w:r>
      <w:r>
        <w:rPr>
          <w:b w:val="false"/>
          <w:bCs w:val="false"/>
        </w:rPr>
        <w:t xml:space="preserve">(sky) above and below me.  </w:t>
      </w:r>
      <w:r>
        <w:rPr>
          <w:b w:val="false"/>
          <w:bCs w:val="false"/>
        </w:rPr>
        <w:t>(See photo below.)</w:t>
      </w:r>
    </w:p>
    <w:p>
      <w:pPr>
        <w:pStyle w:val="NormalWeb"/>
        <w:spacing w:before="0" w:after="0"/>
        <w:ind w:end="-334"/>
        <w:jc w:val="start"/>
        <w:rPr/>
      </w:pPr>
      <w:r>
        <w:rPr>
          <w:b w:val="false"/>
          <w:bCs w:val="false"/>
        </w:rPr>
        <w:t>T</w:t>
      </w:r>
      <w:r>
        <w:rPr>
          <w:b w:val="false"/>
          <w:bCs w:val="false"/>
        </w:rPr>
        <w:t>he sky that was observed was a relatively uno</w:t>
      </w:r>
      <w:r>
        <w:rPr>
          <w:b w:val="false"/>
          <w:bCs w:val="false"/>
        </w:rPr>
        <w:t>bscured stretch</w:t>
      </w:r>
      <w:r>
        <w:rPr>
          <w:b w:val="false"/>
          <w:bCs w:val="false"/>
        </w:rPr>
        <w:t xml:space="preserve"> of the Eastern horizon that included a good portion of both North</w:t>
      </w:r>
      <w:r>
        <w:rPr>
          <w:b w:val="false"/>
          <w:bCs w:val="false"/>
        </w:rPr>
        <w:t>east, East</w:t>
      </w:r>
      <w:r>
        <w:rPr>
          <w:b w:val="false"/>
          <w:bCs w:val="false"/>
        </w:rPr>
        <w:t xml:space="preserve"> and South</w:t>
      </w:r>
      <w:r>
        <w:rPr>
          <w:b w:val="false"/>
          <w:bCs w:val="false"/>
        </w:rPr>
        <w:t>east</w:t>
      </w:r>
      <w:r>
        <w:rPr>
          <w:b w:val="false"/>
          <w:bCs w:val="false"/>
        </w:rPr>
        <w:t xml:space="preserve"> views.  </w:t>
      </w:r>
      <w:r>
        <w:rPr>
          <w:b w:val="false"/>
          <w:bCs w:val="false"/>
        </w:rPr>
        <w:t>Pre-dawn, dawn and sunrise were the times that the journal observations and photos were taken.</w:t>
      </w:r>
    </w:p>
    <w:p>
      <w:pPr>
        <w:pStyle w:val="NormalWeb"/>
        <w:spacing w:before="0" w:after="0"/>
        <w:ind w:end="-334"/>
        <w:jc w:val="start"/>
        <w:rPr>
          <w:b w:val="false"/>
          <w:bCs w:val="false"/>
        </w:rPr>
      </w:pPr>
      <w:r>
        <w:rPr/>
        <w:drawing>
          <wp:anchor behindDoc="0" distT="0" distB="0" distL="0" distR="0" simplePos="0" locked="0" layoutInCell="0" allowOverlap="1" relativeHeight="3">
            <wp:simplePos x="0" y="0"/>
            <wp:positionH relativeFrom="column">
              <wp:posOffset>1259205</wp:posOffset>
            </wp:positionH>
            <wp:positionV relativeFrom="paragraph">
              <wp:posOffset>43815</wp:posOffset>
            </wp:positionV>
            <wp:extent cx="3576320" cy="2598420"/>
            <wp:effectExtent l="0" t="0" r="0" b="0"/>
            <wp:wrapSquare wrapText="largest"/>
            <wp:docPr id="2" name="Image2"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title=""/>
                    <pic:cNvPicPr>
                      <a:picLocks noChangeAspect="1" noChangeArrowheads="1"/>
                    </pic:cNvPicPr>
                  </pic:nvPicPr>
                  <pic:blipFill>
                    <a:blip r:embed="rId3"/>
                    <a:stretch>
                      <a:fillRect/>
                    </a:stretch>
                  </pic:blipFill>
                  <pic:spPr bwMode="auto">
                    <a:xfrm>
                      <a:off x="0" y="0"/>
                      <a:ext cx="3576320" cy="2598420"/>
                    </a:xfrm>
                    <a:prstGeom prst="rect">
                      <a:avLst/>
                    </a:prstGeom>
                    <a:noFill/>
                  </pic:spPr>
                </pic:pic>
              </a:graphicData>
            </a:graphic>
          </wp:anchor>
        </w:drawing>
      </w:r>
    </w:p>
    <w:p>
      <w:pPr>
        <w:pStyle w:val="NormalWeb"/>
        <w:spacing w:before="0" w:after="0"/>
        <w:ind w:end="-334"/>
        <w:jc w:val="start"/>
        <w:rPr>
          <w:b w:val="false"/>
          <w:bCs w:val="false"/>
        </w:rPr>
      </w:pPr>
      <w:r>
        <w:rPr/>
      </w:r>
    </w:p>
    <w:p>
      <w:pPr>
        <w:pStyle w:val="NormalWeb"/>
        <w:spacing w:before="0" w:after="0"/>
        <w:ind w:end="-334"/>
        <w:jc w:val="start"/>
        <w:rPr>
          <w:b w:val="false"/>
          <w:bCs w:val="false"/>
        </w:rPr>
      </w:pPr>
      <w:r>
        <w:rPr/>
      </w:r>
      <w:r>
        <w:br w:type="page"/>
      </w:r>
    </w:p>
    <w:p>
      <w:pPr>
        <w:pStyle w:val="Normal"/>
        <w:rPr>
          <w:b/>
          <w:bCs/>
        </w:rPr>
      </w:pPr>
      <w:r>
        <w:rPr>
          <w:b/>
          <w:bCs/>
          <w:i w:val="false"/>
          <w:iCs w:val="false"/>
        </w:rPr>
        <w:t>A</w:t>
      </w:r>
      <w:r>
        <w:rPr>
          <w:b/>
          <w:bCs/>
          <w:i w:val="false"/>
          <w:iCs w:val="false"/>
        </w:rPr>
        <w:t>we and Enchantment</w:t>
      </w:r>
    </w:p>
    <w:p>
      <w:pPr>
        <w:pStyle w:val="Normal"/>
        <w:rPr>
          <w:i w:val="false"/>
          <w:i w:val="false"/>
          <w:iCs w:val="false"/>
        </w:rPr>
      </w:pPr>
      <w:r>
        <w:rPr/>
      </w:r>
    </w:p>
    <w:p>
      <w:pPr>
        <w:pStyle w:val="Normal"/>
        <w:rPr/>
      </w:pPr>
      <w:r>
        <w:rPr>
          <w:i w:val="false"/>
          <w:iCs w:val="false"/>
        </w:rPr>
        <w:t>Journal Entry - 29 October 2024,</w:t>
      </w:r>
      <w:r>
        <w:rPr>
          <w:i w:val="false"/>
          <w:iCs w:val="false"/>
        </w:rPr>
        <w:t xml:space="preserve"> 7.30 am</w:t>
      </w:r>
    </w:p>
    <w:p>
      <w:pPr>
        <w:pStyle w:val="Normal"/>
        <w:rPr>
          <w:i w:val="false"/>
          <w:i w:val="false"/>
          <w:iCs w:val="false"/>
        </w:rPr>
      </w:pPr>
      <w:r>
        <w:rPr/>
      </w:r>
    </w:p>
    <w:p>
      <w:pPr>
        <w:pStyle w:val="Normal"/>
        <w:rPr/>
      </w:pPr>
      <w:r>
        <w:rPr>
          <w:i w:val="false"/>
          <w:iCs w:val="false"/>
        </w:rPr>
        <w:t>“</w:t>
      </w:r>
      <w:r>
        <w:rPr>
          <w:i w:val="false"/>
          <w:iCs w:val="false"/>
        </w:rPr>
        <w:t xml:space="preserve">Watching imposing ominous clouds – they are beautiful and frightening, large, dark dramatic. </w:t>
      </w:r>
      <w:r>
        <w:rPr>
          <w:i w:val="false"/>
          <w:iCs w:val="false"/>
        </w:rPr>
        <w:t xml:space="preserve">[first picture </w:t>
      </w:r>
      <w:r>
        <w:rPr>
          <w:i w:val="false"/>
          <w:iCs w:val="false"/>
        </w:rPr>
        <w:t>below journal entry</w:t>
      </w:r>
      <w:r>
        <w:rPr>
          <w:i w:val="false"/>
          <w:iCs w:val="false"/>
        </w:rPr>
        <w:t>]</w:t>
      </w:r>
      <w:r>
        <w:rPr>
          <w:i w:val="false"/>
          <w:iCs w:val="false"/>
        </w:rPr>
        <w:t xml:space="preserve">  </w:t>
      </w:r>
      <w:r>
        <w:rPr>
          <w:i w:val="false"/>
          <w:iCs w:val="false"/>
        </w:rPr>
        <w:t xml:space="preserve">It makes me aware of how small and limited I am relative to the forces of nature – </w:t>
      </w:r>
      <w:r>
        <w:rPr>
          <w:i w:val="false"/>
          <w:iCs w:val="false"/>
        </w:rPr>
        <w:t>humbling and overwhelming</w:t>
      </w:r>
      <w:r>
        <w:rPr>
          <w:i w:val="false"/>
          <w:iCs w:val="false"/>
        </w:rPr>
        <w:t xml:space="preserve">. When inside the kitchen, I’m more of a bystander.  Even though my view is great, my awareness of the glass panel of the kitchen window enables a feeling of “safe distance”.  Watching from the kitchen is a more passive experience but I am still awestruck by this morning’s sky.  </w:t>
      </w:r>
      <w:r>
        <w:rPr>
          <w:i w:val="false"/>
          <w:iCs w:val="false"/>
        </w:rPr>
        <w:t xml:space="preserve">I decided to go out on the fire escape. [second picture </w:t>
      </w:r>
      <w:r>
        <w:rPr>
          <w:i w:val="false"/>
          <w:iCs w:val="false"/>
        </w:rPr>
        <w:t>below entry</w:t>
      </w:r>
      <w:r>
        <w:rPr>
          <w:i w:val="false"/>
          <w:iCs w:val="false"/>
        </w:rPr>
        <w:t>]</w:t>
      </w:r>
      <w:r>
        <w:rPr>
          <w:i w:val="false"/>
          <w:iCs w:val="false"/>
        </w:rPr>
        <w:t xml:space="preserve">  </w:t>
      </w:r>
      <w:r>
        <w:rPr>
          <w:i w:val="false"/>
          <w:iCs w:val="false"/>
        </w:rPr>
        <w:t>Once there, the beautifully illuminated cloud layers above seemed to rush towards me.  It’s almost enough for me to lose my balance (hang on to the rail!) This feeling of being (pleasantly) overwhelmed reminded me of the first time I remember seeing the ocean as a child.  I had seen pictures of oceans of course but nothing prepared me for what I saw and felt when I rushed over the dunes to catch a glimpse.  I gasped and literally fell backwards on the sand and started crying.  I could not comprehend something that large – something that to my eyes didn’t seem to have an end.  Both sky and water stretched out to infinity.</w:t>
      </w:r>
    </w:p>
    <w:p>
      <w:pPr>
        <w:pStyle w:val="Normal"/>
        <w:rPr/>
      </w:pPr>
      <w:r>
        <w:rPr>
          <w:b w:val="false"/>
          <w:bCs w:val="false"/>
          <w:i w:val="false"/>
          <w:iCs w:val="false"/>
        </w:rPr>
        <w:t>I feel almost guilty – having taken for granted this view I have everyday from the comfort of home.  Every day I have had the chance to do what I’m doing now but how often have I done it deliberately and with an attempt to more fully experience it?”</w:t>
      </w:r>
    </w:p>
    <w:p>
      <w:pPr>
        <w:pStyle w:val="Normal"/>
        <w:rPr/>
      </w:pPr>
      <w:r>
        <w:rPr/>
        <w:drawing>
          <wp:anchor behindDoc="0" distT="0" distB="0" distL="0" distR="0" simplePos="0" locked="0" layoutInCell="0" allowOverlap="1" relativeHeight="4">
            <wp:simplePos x="0" y="0"/>
            <wp:positionH relativeFrom="column">
              <wp:posOffset>0</wp:posOffset>
            </wp:positionH>
            <wp:positionV relativeFrom="paragraph">
              <wp:posOffset>135255</wp:posOffset>
            </wp:positionV>
            <wp:extent cx="6332220" cy="3206750"/>
            <wp:effectExtent l="0" t="0" r="0" b="0"/>
            <wp:wrapSquare wrapText="largest"/>
            <wp:docPr id="3" name="Image3"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title=""/>
                    <pic:cNvPicPr>
                      <a:picLocks noChangeAspect="1" noChangeArrowheads="1"/>
                    </pic:cNvPicPr>
                  </pic:nvPicPr>
                  <pic:blipFill>
                    <a:blip r:embed="rId4"/>
                    <a:stretch>
                      <a:fillRect/>
                    </a:stretch>
                  </pic:blipFill>
                  <pic:spPr bwMode="auto">
                    <a:xfrm>
                      <a:off x="0" y="0"/>
                      <a:ext cx="6332220" cy="3206750"/>
                    </a:xfrm>
                    <a:prstGeom prst="rect">
                      <a:avLst/>
                    </a:prstGeom>
                    <a:noFill/>
                  </pic:spPr>
                </pic:pic>
              </a:graphicData>
            </a:graphic>
          </wp:anchor>
        </w:drawing>
      </w:r>
    </w:p>
    <w:p>
      <w:pPr>
        <w:pStyle w:val="Normal"/>
        <w:rPr/>
      </w:pPr>
      <w:r>
        <w:rPr/>
      </w:r>
    </w:p>
    <w:p>
      <w:pPr>
        <w:pStyle w:val="Normal"/>
        <w:rPr/>
      </w:pPr>
      <w:r>
        <w:rPr/>
      </w:r>
    </w:p>
    <w:p>
      <w:pPr>
        <w:pStyle w:val="Normal"/>
        <w:rPr/>
      </w:pPr>
      <w:r>
        <w:rPr/>
      </w:r>
    </w:p>
    <w:p>
      <w:pPr>
        <w:pStyle w:val="Normal"/>
        <w:rPr/>
      </w:pPr>
      <w:r>
        <w:drawing>
          <wp:anchor behindDoc="0" distT="0" distB="0" distL="0" distR="0" simplePos="0" locked="0" layoutInCell="0" allowOverlap="1" relativeHeight="5">
            <wp:simplePos x="0" y="0"/>
            <wp:positionH relativeFrom="column">
              <wp:align>center</wp:align>
            </wp:positionH>
            <wp:positionV relativeFrom="paragraph">
              <wp:posOffset>635</wp:posOffset>
            </wp:positionV>
            <wp:extent cx="6332220" cy="3563620"/>
            <wp:effectExtent l="0" t="0" r="0" b="0"/>
            <wp:wrapSquare wrapText="largest"/>
            <wp:docPr id="4" name="Image4"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title=""/>
                    <pic:cNvPicPr>
                      <a:picLocks noChangeAspect="1" noChangeArrowheads="1"/>
                    </pic:cNvPicPr>
                  </pic:nvPicPr>
                  <pic:blipFill>
                    <a:blip r:embed="rId5"/>
                    <a:stretch>
                      <a:fillRect/>
                    </a:stretch>
                  </pic:blipFill>
                  <pic:spPr bwMode="auto">
                    <a:xfrm>
                      <a:off x="0" y="0"/>
                      <a:ext cx="6332220" cy="3563620"/>
                    </a:xfrm>
                    <a:prstGeom prst="rect">
                      <a:avLst/>
                    </a:prstGeom>
                    <a:noFill/>
                  </pic:spPr>
                </pic:pic>
              </a:graphicData>
            </a:graphic>
          </wp:anchor>
        </w:drawing>
      </w:r>
      <w:r>
        <w:rPr/>
        <w:t>The feeling of awe can encompass a wide array of profound emotions such as wonder, fear, deep connection and even bewilderment.</w:t>
      </w:r>
      <w:r>
        <w:rPr>
          <w:rStyle w:val="FootnoteReference"/>
        </w:rPr>
        <w:footnoteReference w:id="3"/>
      </w:r>
      <w:r>
        <w:rPr/>
        <w:t xml:space="preserve">  </w:t>
      </w:r>
      <w:r>
        <w:rPr/>
        <w:t xml:space="preserve">In </w:t>
      </w:r>
      <w:r>
        <w:rPr/>
        <w:t xml:space="preserve">a </w:t>
      </w:r>
      <w:r>
        <w:rPr/>
        <w:t xml:space="preserve">research </w:t>
      </w:r>
      <w:r>
        <w:rPr/>
        <w:t>paper</w:t>
      </w:r>
      <w:r>
        <w:rPr/>
        <w:t xml:space="preserve"> done by Paul Silvia and his colleagues,</w:t>
      </w:r>
      <w:r>
        <w:rPr/>
        <w:t>“Opennes</w:t>
      </w:r>
      <w:r>
        <w:rPr/>
        <w:t>s</w:t>
      </w:r>
      <w:r>
        <w:rPr/>
        <w:t xml:space="preserve"> to Experience and Awe in Response to Nature and Music: Personality and Profound Aesthetic Experiences”</w:t>
      </w:r>
      <w:r>
        <w:rPr>
          <w:rStyle w:val="FootnoteReference"/>
        </w:rPr>
        <w:footnoteReference w:id="4"/>
      </w:r>
      <w:r>
        <w:rPr/>
        <w:t xml:space="preserve"> they suggest that people with more of an “openness to experience” (people who are more immersed in creativity and/aesthetic experience</w:t>
      </w:r>
      <w:r>
        <w:rPr/>
        <w:t xml:space="preserve">) </w:t>
      </w:r>
      <w:r>
        <w:rPr/>
        <w:t xml:space="preserve">have a higher propensity for being able to experience awe.  They describe the experience of awe as having three elements -  “connectedness, smallness and transcendence.”  This suggests that awe can cause people to see themselves (and their environment) from a variety of perspectives simultaneously all seeming to open them up to new ways of experiencing themselves in relation to others and the larger world.  </w:t>
      </w:r>
      <w:r>
        <w:rPr/>
        <w:t xml:space="preserve">It might be argued that enchantment could be felt by being open to new and stimulating experiences that open up our world.  </w:t>
      </w:r>
      <w:r>
        <w:rPr/>
        <w:t xml:space="preserve">Silvia’s </w:t>
      </w:r>
      <w:r>
        <w:rPr/>
        <w:t>research entailed exposing people to two sets of aesthetic experiences – the first set was looking at pictures of the sky and space, the second was listening to music. Both physical and emotional reactions were recorded.  The researchers found that “openness to experience” did indeed increase their sense of awe and wonder.</w:t>
      </w:r>
    </w:p>
    <w:p>
      <w:pPr>
        <w:pStyle w:val="Normal"/>
        <w:rPr/>
      </w:pPr>
      <w:r>
        <w:rPr/>
      </w:r>
    </w:p>
    <w:p>
      <w:pPr>
        <w:pStyle w:val="Normal"/>
        <w:rPr/>
      </w:pPr>
      <w:r>
        <w:rPr/>
        <w:t>In “Dispos</w:t>
      </w:r>
      <w:r>
        <w:rPr/>
        <w:t>i</w:t>
      </w:r>
      <w:r>
        <w:rPr/>
        <w:t>tion</w:t>
      </w:r>
      <w:r>
        <w:rPr/>
        <w:t>al</w:t>
      </w:r>
      <w:r>
        <w:rPr/>
        <w:t xml:space="preserve"> Awe Positively Predicts Prosocial Tendencies: The Multiple Mediation Effects of Connectedness and Empathy”</w:t>
      </w:r>
      <w:r>
        <w:rPr>
          <w:rStyle w:val="FootnoteReference"/>
        </w:rPr>
        <w:footnoteReference w:id="5"/>
      </w:r>
      <w:r>
        <w:rPr/>
        <w:t xml:space="preserve"> Liming Jiao and Li Luo </w:t>
      </w:r>
      <w:r>
        <w:rPr/>
        <w:t xml:space="preserve">conducted a study on how being able to experience awe might increase empathy, and encourage other forms of pro-social behavior such as altruism, cooperation and self-sacrifice.  </w:t>
      </w:r>
      <w:r>
        <w:rPr/>
        <w:t xml:space="preserve">As mentioned previously, awe can engender a sense of connectedness, not just with others but with the world or environment around us.  In awe-inspiring moments, our defenses can be lessened and this sense of openness </w:t>
      </w:r>
      <w:r>
        <w:rPr/>
        <w:t>may</w:t>
      </w:r>
      <w:r>
        <w:rPr/>
        <w:t xml:space="preserve"> allow people to be more receptive.  Their “attention shifts [more] to the outside world” which can increase empathy for others and improve prosocial behaviors.</w:t>
      </w:r>
      <w:r>
        <w:rPr>
          <w:rStyle w:val="FootnoteReference"/>
        </w:rPr>
        <w:footnoteReference w:id="6"/>
      </w:r>
    </w:p>
    <w:p>
      <w:pPr>
        <w:pStyle w:val="Normal"/>
        <w:rPr/>
      </w:pPr>
      <w:r>
        <w:rPr/>
      </w:r>
    </w:p>
    <w:p>
      <w:pPr>
        <w:pStyle w:val="Normal"/>
        <w:rPr/>
      </w:pPr>
      <w:r>
        <w:rPr/>
        <w:t>To further illustrate the points made in these articles, a short film entitled, “A New View of the Moon” by film makers Wylie Overstreet and Alex Gorosh</w:t>
      </w:r>
      <w:r>
        <w:rPr>
          <w:rStyle w:val="FootnoteReference"/>
        </w:rPr>
        <w:footnoteReference w:id="7"/>
      </w:r>
      <w:r>
        <w:rPr/>
        <w:t xml:space="preserve"> opens by Mr. Overstreet deciding to walk around the streets of Los Angeles with a telescope on wheels and invites random people he meets on the street or the beach to take a close look at the moon through his telescope.  The result a very diverse group of individuals being caught in awe and enchantment.  This leads to participants expressing joy and gratitude and interacting with each other.  In a voice over, Wylie Overstreet expresses his own awe at how a random act of showing people the moon from a different, </w:t>
      </w:r>
      <w:r>
        <w:rPr/>
        <w:t>more personal</w:t>
      </w:r>
      <w:r>
        <w:rPr/>
        <w:t xml:space="preserve"> perspective created a sense of unity and human commonality.</w:t>
      </w:r>
    </w:p>
    <w:p>
      <w:pPr>
        <w:pStyle w:val="Normal"/>
        <w:rPr/>
      </w:pPr>
      <w:r>
        <w:rPr/>
      </w:r>
    </w:p>
    <w:p>
      <w:pPr>
        <w:pStyle w:val="Normal"/>
        <w:rPr>
          <w:b/>
          <w:bCs/>
        </w:rPr>
      </w:pPr>
      <w:r>
        <w:rPr>
          <w:b/>
          <w:bCs/>
        </w:rPr>
        <w:t xml:space="preserve">Alienation and </w:t>
      </w:r>
      <w:r>
        <w:rPr>
          <w:b/>
          <w:bCs/>
        </w:rPr>
        <w:t>Connection</w:t>
      </w:r>
    </w:p>
    <w:p>
      <w:pPr>
        <w:pStyle w:val="Normal"/>
        <w:rPr>
          <w:b/>
          <w:bCs/>
        </w:rPr>
      </w:pPr>
      <w:r>
        <w:rPr>
          <w:b/>
          <w:bCs/>
        </w:rPr>
      </w:r>
    </w:p>
    <w:p>
      <w:pPr>
        <w:pStyle w:val="Normal"/>
        <w:rPr/>
      </w:pPr>
      <w:r>
        <w:rPr>
          <w:i w:val="false"/>
          <w:iCs w:val="false"/>
        </w:rPr>
        <w:t xml:space="preserve">Journal Entry – </w:t>
      </w:r>
      <w:r>
        <w:rPr>
          <w:i w:val="false"/>
          <w:iCs w:val="false"/>
        </w:rPr>
        <w:t xml:space="preserve">2 November </w:t>
      </w:r>
      <w:r>
        <w:rPr>
          <w:i w:val="false"/>
          <w:iCs w:val="false"/>
        </w:rPr>
        <w:t>2024, 7. 30 am</w:t>
      </w:r>
    </w:p>
    <w:p>
      <w:pPr>
        <w:pStyle w:val="Normal"/>
        <w:rPr>
          <w:i w:val="false"/>
          <w:i w:val="false"/>
          <w:iCs w:val="false"/>
        </w:rPr>
      </w:pPr>
      <w:r>
        <w:rPr/>
      </w:r>
    </w:p>
    <w:p>
      <w:pPr>
        <w:pStyle w:val="Normal"/>
        <w:rPr/>
      </w:pPr>
      <w:r>
        <w:rPr>
          <w:i w:val="false"/>
          <w:iCs w:val="false"/>
        </w:rPr>
        <w:t>“</w:t>
      </w:r>
      <w:r>
        <w:rPr>
          <w:i w:val="false"/>
          <w:iCs w:val="false"/>
        </w:rPr>
        <w:t xml:space="preserve">The drought has </w:t>
      </w:r>
      <w:r>
        <w:rPr>
          <w:i w:val="false"/>
          <w:iCs w:val="false"/>
        </w:rPr>
        <w:t>me feeling dread</w:t>
      </w:r>
      <w:r>
        <w:rPr>
          <w:i w:val="false"/>
          <w:iCs w:val="false"/>
        </w:rPr>
        <w:t xml:space="preserve"> and even fearful of seeing another perfectly clear day. </w:t>
      </w:r>
      <w:r>
        <w:rPr>
          <w:i w:val="false"/>
          <w:iCs w:val="false"/>
        </w:rPr>
        <w:t>[</w:t>
      </w:r>
      <w:r>
        <w:rPr>
          <w:i w:val="false"/>
          <w:iCs w:val="false"/>
        </w:rPr>
        <w:t>See pictures below.</w:t>
      </w:r>
      <w:r>
        <w:rPr>
          <w:i w:val="false"/>
          <w:iCs w:val="false"/>
        </w:rPr>
        <w:t>]</w:t>
      </w:r>
      <w:r>
        <w:rPr>
          <w:i w:val="false"/>
          <w:iCs w:val="false"/>
        </w:rPr>
        <w:t xml:space="preserve">  Noticing my mood and perception of what could be seen as beautiful (warm sunny sky) is now seen as a threat, bringing up feelings of insecurity.  I can’t keep the bird bath and water dish on the fire escape full.  Large crowds of birds come to try to get water.  </w:t>
      </w:r>
      <w:r>
        <w:rPr>
          <w:i w:val="false"/>
          <w:iCs w:val="false"/>
        </w:rPr>
        <w:t>There are more and more brush fires all over the metro area including a park nearby.  Part of the orange haze of sunrise these days is smoke from wildfires.  Standing on the fire escape, I can smell the smoke from the fires.  Very sad.  Global warming is here.”</w:t>
      </w:r>
    </w:p>
    <w:p>
      <w:pPr>
        <w:pStyle w:val="Normal"/>
        <w:rPr>
          <w:i w:val="false"/>
          <w:i w:val="false"/>
          <w:iCs w:val="false"/>
        </w:rPr>
      </w:pPr>
      <w:r>
        <w:rPr/>
        <w:drawing>
          <wp:anchor behindDoc="0" distT="0" distB="0" distL="0" distR="0" simplePos="0" locked="0" layoutInCell="0" allowOverlap="1" relativeHeight="6">
            <wp:simplePos x="0" y="0"/>
            <wp:positionH relativeFrom="column">
              <wp:posOffset>118110</wp:posOffset>
            </wp:positionH>
            <wp:positionV relativeFrom="paragraph">
              <wp:posOffset>85725</wp:posOffset>
            </wp:positionV>
            <wp:extent cx="2004695" cy="2644775"/>
            <wp:effectExtent l="0" t="0" r="0" b="0"/>
            <wp:wrapSquare wrapText="largest"/>
            <wp:docPr id="5" name="Image5"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title=""/>
                    <pic:cNvPicPr>
                      <a:picLocks noChangeAspect="1" noChangeArrowheads="1"/>
                    </pic:cNvPicPr>
                  </pic:nvPicPr>
                  <pic:blipFill>
                    <a:blip r:embed="rId6"/>
                    <a:stretch>
                      <a:fillRect/>
                    </a:stretch>
                  </pic:blipFill>
                  <pic:spPr bwMode="auto">
                    <a:xfrm>
                      <a:off x="0" y="0"/>
                      <a:ext cx="2004695" cy="2644775"/>
                    </a:xfrm>
                    <a:prstGeom prst="rect">
                      <a:avLst/>
                    </a:prstGeom>
                    <a:noFill/>
                  </pic:spPr>
                </pic:pic>
              </a:graphicData>
            </a:graphic>
          </wp:anchor>
        </w:drawing>
        <w:drawing>
          <wp:anchor behindDoc="0" distT="0" distB="0" distL="0" distR="0" simplePos="0" locked="0" layoutInCell="0" allowOverlap="1" relativeHeight="7">
            <wp:simplePos x="0" y="0"/>
            <wp:positionH relativeFrom="column">
              <wp:posOffset>2865120</wp:posOffset>
            </wp:positionH>
            <wp:positionV relativeFrom="paragraph">
              <wp:posOffset>24765</wp:posOffset>
            </wp:positionV>
            <wp:extent cx="3234055" cy="2165985"/>
            <wp:effectExtent l="0" t="0" r="0" b="0"/>
            <wp:wrapSquare wrapText="largest"/>
            <wp:docPr id="6" name="Image6"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title=""/>
                    <pic:cNvPicPr>
                      <a:picLocks noChangeAspect="1" noChangeArrowheads="1"/>
                    </pic:cNvPicPr>
                  </pic:nvPicPr>
                  <pic:blipFill>
                    <a:blip r:embed="rId7"/>
                    <a:stretch>
                      <a:fillRect/>
                    </a:stretch>
                  </pic:blipFill>
                  <pic:spPr bwMode="auto">
                    <a:xfrm>
                      <a:off x="0" y="0"/>
                      <a:ext cx="3234055" cy="2165985"/>
                    </a:xfrm>
                    <a:prstGeom prst="rect">
                      <a:avLst/>
                    </a:prstGeom>
                    <a:noFill/>
                  </pic:spPr>
                </pic:pic>
              </a:graphicData>
            </a:graphic>
          </wp:anchor>
        </w:drawing>
      </w:r>
    </w:p>
    <w:p>
      <w:pPr>
        <w:pStyle w:val="Normal"/>
        <w:rPr>
          <w:i w:val="false"/>
          <w:i w:val="false"/>
          <w:iCs w:val="false"/>
        </w:rPr>
      </w:pPr>
      <w:r>
        <w:rPr/>
      </w:r>
      <w:r>
        <w:br w:type="page"/>
      </w:r>
    </w:p>
    <w:p>
      <w:pPr>
        <w:pStyle w:val="Normal"/>
        <w:rPr/>
      </w:pPr>
      <w:r>
        <w:rPr>
          <w:i w:val="false"/>
          <w:iCs w:val="false"/>
        </w:rPr>
        <w:t>M</w:t>
      </w:r>
      <w:r>
        <w:rPr>
          <w:i w:val="false"/>
          <w:iCs w:val="false"/>
        </w:rPr>
        <w:t xml:space="preserve">argaret Du Bray and her colleagues state in </w:t>
      </w:r>
      <w:r>
        <w:rPr>
          <w:i w:val="false"/>
          <w:iCs w:val="false"/>
        </w:rPr>
        <w:t>“Hope and Worry: Gendered Emotional Geographies of Climate Change in Three Vulnerable U.S. Communities”</w:t>
      </w:r>
      <w:r>
        <w:rPr>
          <w:rStyle w:val="FootnoteReference"/>
          <w:i w:val="false"/>
          <w:iCs w:val="false"/>
        </w:rPr>
        <w:footnoteReference w:id="8"/>
      </w:r>
      <w:r>
        <w:rPr>
          <w:i w:val="false"/>
          <w:iCs w:val="false"/>
        </w:rPr>
        <w:t xml:space="preserve">, </w:t>
      </w:r>
      <w:r>
        <w:rPr>
          <w:i w:val="false"/>
          <w:iCs w:val="false"/>
        </w:rPr>
        <w:t>that noticeable changes in the weather and enviro</w:t>
      </w:r>
      <w:r>
        <w:rPr>
          <w:i w:val="false"/>
          <w:iCs w:val="false"/>
        </w:rPr>
        <w:t>n</w:t>
      </w:r>
      <w:r>
        <w:rPr>
          <w:i w:val="false"/>
          <w:iCs w:val="false"/>
        </w:rPr>
        <w:t>ment (specifically drought in this case) can affect the mood and outlook of whole communities alb</w:t>
      </w:r>
      <w:r>
        <w:rPr>
          <w:i w:val="false"/>
          <w:iCs w:val="false"/>
        </w:rPr>
        <w:t>ei</w:t>
      </w:r>
      <w:r>
        <w:rPr>
          <w:i w:val="false"/>
          <w:iCs w:val="false"/>
        </w:rPr>
        <w:t xml:space="preserve">t in slightly different ways depending on gender.  That said, there is much overlap on how women and men responded to their communities being affected by drought.  Among the </w:t>
      </w:r>
      <w:r>
        <w:rPr>
          <w:i w:val="false"/>
          <w:iCs w:val="false"/>
        </w:rPr>
        <w:t>responses were feelings of sadness, worry, financial insecurity and fear for future or younger generations.</w:t>
      </w:r>
    </w:p>
    <w:p>
      <w:pPr>
        <w:pStyle w:val="Normal"/>
        <w:rPr/>
      </w:pPr>
      <w:r>
        <w:rPr>
          <w:i w:val="false"/>
          <w:iCs w:val="false"/>
        </w:rPr>
        <w:t>S</w:t>
      </w:r>
      <w:r>
        <w:rPr>
          <w:i w:val="false"/>
          <w:iCs w:val="false"/>
        </w:rPr>
        <w:t xml:space="preserve">imilarly, in </w:t>
      </w:r>
      <w:r>
        <w:rPr>
          <w:i w:val="false"/>
          <w:iCs w:val="false"/>
        </w:rPr>
        <w:t xml:space="preserve">“The Mental Health Outcomes of Drought: A Systematic Review and Causal Process Diagram”, </w:t>
      </w:r>
      <w:r>
        <w:rPr>
          <w:i w:val="false"/>
          <w:iCs w:val="false"/>
        </w:rPr>
        <w:t>Holly Vins and her collegues found that drought can increase instances of mood disorders, domestic violience and suicide – particularly among rural populations.  This makes sense given that farm workers are much more likely than those without a clearly defined, direct relationship with the land and sky to understand how bound up humans are in the natural environment around them.</w:t>
      </w:r>
      <w:r>
        <w:rPr>
          <w:rStyle w:val="FootnoteReference"/>
          <w:i w:val="false"/>
          <w:iCs w:val="false"/>
        </w:rPr>
        <w:footnoteReference w:id="9"/>
      </w:r>
    </w:p>
    <w:p>
      <w:pPr>
        <w:pStyle w:val="Normal"/>
        <w:rPr>
          <w:i w:val="false"/>
          <w:i w:val="false"/>
          <w:iCs w:val="false"/>
        </w:rPr>
      </w:pPr>
      <w:r>
        <w:rPr/>
      </w:r>
    </w:p>
    <w:p>
      <w:pPr>
        <w:pStyle w:val="Normal"/>
        <w:rPr/>
      </w:pPr>
      <w:r>
        <w:rPr>
          <w:i w:val="false"/>
          <w:iCs w:val="false"/>
        </w:rPr>
        <w:t>At a Veterans for Peace conference I attended, a man who had been a teenager in North Vietnam was remembering how he dreaded beautiful skies and embraced clouds and rain.  This, he explained, was because American bombing raids only happened on clear, sunny days.  He carried this feeling with him into adulthood.</w:t>
      </w:r>
    </w:p>
    <w:p>
      <w:pPr>
        <w:pStyle w:val="Normal"/>
        <w:rPr/>
      </w:pPr>
      <w:r>
        <w:rPr/>
      </w:r>
    </w:p>
    <w:p>
      <w:pPr>
        <w:pStyle w:val="Normal"/>
        <w:rPr/>
      </w:pPr>
      <w:r>
        <w:rPr/>
      </w:r>
    </w:p>
    <w:p>
      <w:pPr>
        <w:pStyle w:val="Normal"/>
        <w:rPr/>
      </w:pPr>
      <w:r>
        <w:rPr>
          <w:i w:val="false"/>
          <w:iCs w:val="false"/>
        </w:rPr>
        <w:t>J</w:t>
      </w:r>
      <w:r>
        <w:rPr>
          <w:i w:val="false"/>
          <w:iCs w:val="false"/>
        </w:rPr>
        <w:t xml:space="preserve">ournal entry - 11 </w:t>
      </w:r>
      <w:r>
        <w:rPr>
          <w:i w:val="false"/>
          <w:iCs w:val="false"/>
        </w:rPr>
        <w:t>November 2024, 7:15 AM</w:t>
      </w:r>
    </w:p>
    <w:p>
      <w:pPr>
        <w:pStyle w:val="Normal"/>
        <w:rPr>
          <w:i w:val="false"/>
          <w:i w:val="false"/>
          <w:iCs w:val="false"/>
        </w:rPr>
      </w:pPr>
      <w:r>
        <w:rPr/>
      </w:r>
    </w:p>
    <w:p>
      <w:pPr>
        <w:pStyle w:val="Normal"/>
        <w:rPr/>
      </w:pPr>
      <w:r>
        <w:rPr>
          <w:i w:val="false"/>
          <w:iCs w:val="false"/>
        </w:rPr>
        <w:t>“</w:t>
      </w:r>
      <w:r>
        <w:rPr>
          <w:i w:val="false"/>
          <w:iCs w:val="false"/>
        </w:rPr>
        <w:t xml:space="preserve">The blessed clouds and some rain has arrived. </w:t>
      </w:r>
      <w:r>
        <w:rPr>
          <w:i w:val="false"/>
          <w:iCs w:val="false"/>
        </w:rPr>
        <w:t>[see pictures below].</w:t>
      </w:r>
      <w:r>
        <w:rPr>
          <w:i w:val="false"/>
          <w:iCs w:val="false"/>
        </w:rPr>
        <w:t xml:space="preserve">  The sight of slate gray skies is welcome – puffy and full of water!  The sky scape is fuzzy and blurred with fog.  I guess intellectually I’</w:t>
      </w:r>
      <w:r>
        <w:rPr>
          <w:i w:val="false"/>
          <w:iCs w:val="false"/>
        </w:rPr>
        <w:t xml:space="preserve">ve understood </w:t>
      </w:r>
      <w:r>
        <w:rPr>
          <w:i w:val="false"/>
          <w:iCs w:val="false"/>
        </w:rPr>
        <w:t>how we are connected to nature but lately with the dramatic weather changes and writing this journal, this connection feels more visceral.  Becoming more aware of how the sky is both impersonal (in the best sense) – just carrying on being the sky – nothing “aimed” at me.  But it is also intensely p</w:t>
      </w:r>
      <w:r>
        <w:drawing>
          <wp:anchor behindDoc="0" distT="0" distB="0" distL="0" distR="0" simplePos="0" locked="0" layoutInCell="0" allowOverlap="1" relativeHeight="8">
            <wp:simplePos x="0" y="0"/>
            <wp:positionH relativeFrom="column">
              <wp:posOffset>645795</wp:posOffset>
            </wp:positionH>
            <wp:positionV relativeFrom="paragraph">
              <wp:posOffset>990600</wp:posOffset>
            </wp:positionV>
            <wp:extent cx="5041265" cy="2694940"/>
            <wp:effectExtent l="0" t="0" r="0" b="0"/>
            <wp:wrapSquare wrapText="largest"/>
            <wp:docPr id="7" name="Image7"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descr="" title=""/>
                    <pic:cNvPicPr>
                      <a:picLocks noChangeAspect="1" noChangeArrowheads="1"/>
                    </pic:cNvPicPr>
                  </pic:nvPicPr>
                  <pic:blipFill>
                    <a:blip r:embed="rId8"/>
                    <a:stretch>
                      <a:fillRect/>
                    </a:stretch>
                  </pic:blipFill>
                  <pic:spPr bwMode="auto">
                    <a:xfrm>
                      <a:off x="0" y="0"/>
                      <a:ext cx="5041265" cy="2694940"/>
                    </a:xfrm>
                    <a:prstGeom prst="rect">
                      <a:avLst/>
                    </a:prstGeom>
                    <a:noFill/>
                  </pic:spPr>
                </pic:pic>
              </a:graphicData>
            </a:graphic>
          </wp:anchor>
        </w:drawing>
      </w:r>
      <w:r>
        <w:rPr>
          <w:i w:val="false"/>
          <w:iCs w:val="false"/>
        </w:rPr>
        <w:t>ersonal, affecting lives in a most profound way.”</w:t>
      </w:r>
    </w:p>
    <w:p>
      <w:pPr>
        <w:pStyle w:val="Normal"/>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drawing>
          <wp:anchor behindDoc="0" distT="0" distB="0" distL="0" distR="0" simplePos="0" locked="0" layoutInCell="0" allowOverlap="1" relativeHeight="9">
            <wp:simplePos x="0" y="0"/>
            <wp:positionH relativeFrom="column">
              <wp:align>center</wp:align>
            </wp:positionH>
            <wp:positionV relativeFrom="paragraph">
              <wp:posOffset>635</wp:posOffset>
            </wp:positionV>
            <wp:extent cx="5071745" cy="2854960"/>
            <wp:effectExtent l="0" t="0" r="0" b="0"/>
            <wp:wrapSquare wrapText="largest"/>
            <wp:docPr id="8" name="Image8"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descr="" title=""/>
                    <pic:cNvPicPr>
                      <a:picLocks noChangeAspect="1" noChangeArrowheads="1"/>
                    </pic:cNvPicPr>
                  </pic:nvPicPr>
                  <pic:blipFill>
                    <a:blip r:embed="rId9"/>
                    <a:stretch>
                      <a:fillRect/>
                    </a:stretch>
                  </pic:blipFill>
                  <pic:spPr bwMode="auto">
                    <a:xfrm>
                      <a:off x="0" y="0"/>
                      <a:ext cx="5071745" cy="2854960"/>
                    </a:xfrm>
                    <a:prstGeom prst="rect">
                      <a:avLst/>
                    </a:prstGeom>
                    <a:noFill/>
                  </pic:spPr>
                </pic:pic>
              </a:graphicData>
            </a:graphic>
          </wp:anchor>
        </w:drawing>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pPr>
      <w:r>
        <w:rPr>
          <w:i w:val="false"/>
          <w:iCs w:val="false"/>
        </w:rPr>
        <w:t xml:space="preserve">Allen Ginsberg’s poem, “Kaddish”, is a tribute to his late mother Naomi.  In it he mourns her death and </w:t>
      </w:r>
    </w:p>
    <w:p>
      <w:pPr>
        <w:pStyle w:val="Normal"/>
        <w:rPr/>
      </w:pPr>
      <w:r>
        <w:rPr>
          <w:i w:val="false"/>
          <w:iCs w:val="false"/>
        </w:rPr>
        <w:t xml:space="preserve">celebrates all the complexity of her life and personality – among those complexities was her struggle with mental illness and </w:t>
      </w:r>
      <w:r>
        <w:rPr>
          <w:i w:val="false"/>
          <w:iCs w:val="false"/>
        </w:rPr>
        <w:t>having to live on and off</w:t>
      </w:r>
      <w:r>
        <w:rPr>
          <w:i w:val="false"/>
          <w:iCs w:val="false"/>
        </w:rPr>
        <w:t xml:space="preserve"> in </w:t>
      </w:r>
      <w:r>
        <w:rPr>
          <w:i w:val="false"/>
          <w:iCs w:val="false"/>
        </w:rPr>
        <w:t xml:space="preserve">mental </w:t>
      </w:r>
      <w:r>
        <w:rPr>
          <w:i w:val="false"/>
          <w:iCs w:val="false"/>
        </w:rPr>
        <w:t>institutions.</w:t>
      </w:r>
      <w:r>
        <w:rPr>
          <w:rStyle w:val="FootnoteReference"/>
          <w:i w:val="false"/>
          <w:iCs w:val="false"/>
        </w:rPr>
        <w:footnoteReference w:id="10"/>
      </w:r>
    </w:p>
    <w:p>
      <w:pPr>
        <w:pStyle w:val="Normal"/>
        <w:rPr/>
      </w:pPr>
      <w:r>
        <w:rPr>
          <w:i w:val="false"/>
          <w:iCs w:val="false"/>
        </w:rPr>
        <w:t>The theme of sunlight comes up in Naomi’s last letter to hi</w:t>
      </w:r>
      <w:r>
        <w:rPr>
          <w:i w:val="false"/>
          <w:iCs w:val="false"/>
        </w:rPr>
        <w:t xml:space="preserve">m which he received two days after she died in a psychiatric hospital.  “She wrote-- </w:t>
      </w:r>
      <w:r>
        <w:rPr>
          <w:i/>
          <w:iCs/>
        </w:rPr>
        <w:t>‘The key is in the window, the key is in the sunlight in the window – I have the key… the key is in the bars, in the sunlight, in the window. Love, your mother.</w:t>
      </w:r>
      <w:r>
        <w:rPr>
          <w:i w:val="false"/>
          <w:iCs w:val="false"/>
        </w:rPr>
        <w:t>”</w:t>
      </w:r>
      <w:r>
        <w:rPr>
          <w:rStyle w:val="FootnoteReference"/>
          <w:i w:val="false"/>
          <w:iCs w:val="false"/>
        </w:rPr>
        <w:footnoteReference w:id="11"/>
      </w:r>
    </w:p>
    <w:p>
      <w:pPr>
        <w:pStyle w:val="Normal"/>
        <w:rPr/>
      </w:pPr>
      <w:r>
        <w:rPr>
          <w:i w:val="false"/>
          <w:iCs w:val="false"/>
        </w:rPr>
        <w:t xml:space="preserve">Here, in spite of her struggles, the symbolism (and the reality) of the sunlight in her hospital window seems to be something very personal and sustaining </w:t>
      </w:r>
      <w:r>
        <w:rPr>
          <w:i w:val="false"/>
          <w:iCs w:val="false"/>
        </w:rPr>
        <w:t>for her and something she seems to wants to pass on to her son.</w:t>
      </w:r>
    </w:p>
    <w:p>
      <w:pPr>
        <w:pStyle w:val="Normal"/>
        <w:rPr/>
      </w:pPr>
      <w:r>
        <w:rPr>
          <w:i w:val="false"/>
          <w:iCs w:val="false"/>
        </w:rPr>
        <w:t xml:space="preserve">In another part of “Kaddish”, Ginsberg seems to speak to the simultaneous universality and also the personal experience we have of a sun that is indiscriminate with its light and is “no respecter of persons”: </w:t>
      </w:r>
      <w:r>
        <w:rPr>
          <w:i/>
          <w:iCs/>
        </w:rPr>
        <w:t>“Sun of all sunflowers and days on bright iron bridges –what shines on old hospitals – as on my yard --</w:t>
      </w:r>
      <w:r>
        <w:rPr>
          <w:i w:val="false"/>
          <w:iCs w:val="false"/>
        </w:rPr>
        <w:t>”.</w:t>
      </w:r>
      <w:r>
        <w:rPr>
          <w:rStyle w:val="FootnoteReference"/>
          <w:i w:val="false"/>
          <w:iCs w:val="false"/>
        </w:rPr>
        <w:footnoteReference w:id="12"/>
      </w:r>
    </w:p>
    <w:p>
      <w:pPr>
        <w:pStyle w:val="Normal"/>
        <w:rPr>
          <w:i w:val="false"/>
          <w:i w:val="false"/>
          <w:iCs w:val="false"/>
        </w:rPr>
      </w:pPr>
      <w:r>
        <w:rPr/>
      </w:r>
    </w:p>
    <w:p>
      <w:pPr>
        <w:pStyle w:val="Normal"/>
        <w:rPr/>
      </w:pPr>
      <w:r>
        <w:rPr>
          <w:i w:val="false"/>
          <w:iCs w:val="false"/>
        </w:rPr>
        <w:t>Tim Ingold writes in his article, “Reach for the Stars! Light, Vision and the Atmosphere”</w:t>
      </w:r>
      <w:r>
        <w:rPr>
          <w:rStyle w:val="FootnoteReference"/>
          <w:i w:val="false"/>
          <w:iCs w:val="false"/>
        </w:rPr>
        <w:footnoteReference w:id="13"/>
      </w:r>
      <w:r>
        <w:rPr>
          <w:i w:val="false"/>
          <w:iCs w:val="false"/>
        </w:rPr>
        <w:t xml:space="preserve"> that the sky (sun, light, air, etc) is not something we just mechanically engage with to discern objects or to breathe but a fully immersive experience. “</w:t>
      </w:r>
      <w:r>
        <w:rPr>
          <w:i w:val="false"/>
          <w:iCs w:val="false"/>
        </w:rPr>
        <w:t>To be able to see is to open to the experience of light; to be able to hear is to open to the experience of sound; to be able to touch is to open to the experience of feeling.  Bathed in light, submerged in sound and rapt in feeling, the sentient being rides the crest of the world’s becoming...”</w:t>
      </w:r>
      <w:r>
        <w:rPr>
          <w:rStyle w:val="FootnoteReference"/>
          <w:i w:val="false"/>
          <w:iCs w:val="false"/>
        </w:rPr>
        <w:footnoteReference w:id="14"/>
      </w:r>
    </w:p>
    <w:p>
      <w:pPr>
        <w:pStyle w:val="Normal"/>
        <w:rPr>
          <w:i w:val="false"/>
          <w:i w:val="false"/>
          <w:iCs w:val="false"/>
        </w:rPr>
      </w:pPr>
      <w:r>
        <w:rPr/>
      </w:r>
      <w:r>
        <w:br w:type="page"/>
      </w:r>
    </w:p>
    <w:p>
      <w:pPr>
        <w:pStyle w:val="Normal"/>
        <w:rPr>
          <w:b/>
          <w:bCs/>
        </w:rPr>
      </w:pPr>
      <w:r>
        <w:rPr>
          <w:b/>
          <w:bCs/>
          <w:i w:val="false"/>
          <w:iCs w:val="false"/>
        </w:rPr>
        <w:t>Conclusion</w:t>
      </w:r>
    </w:p>
    <w:p>
      <w:pPr>
        <w:pStyle w:val="Normal"/>
        <w:rPr>
          <w:b w:val="false"/>
          <w:bCs w:val="false"/>
          <w:i w:val="false"/>
          <w:i w:val="false"/>
          <w:iCs w:val="false"/>
        </w:rPr>
      </w:pPr>
      <w:r>
        <w:rPr>
          <w:b/>
          <w:bCs/>
        </w:rPr>
      </w:r>
    </w:p>
    <w:p>
      <w:pPr>
        <w:pStyle w:val="Normal"/>
        <w:rPr>
          <w:b/>
          <w:bCs/>
        </w:rPr>
      </w:pPr>
      <w:r>
        <w:rPr>
          <w:b w:val="false"/>
          <w:bCs w:val="false"/>
          <w:i w:val="false"/>
          <w:iCs w:val="false"/>
        </w:rPr>
        <w:t xml:space="preserve">This essay discussed how Van Gogh’s words, </w:t>
      </w:r>
      <w:r>
        <w:rPr>
          <w:b w:val="false"/>
          <w:bCs w:val="false"/>
          <w:i w:val="false"/>
          <w:iCs w:val="false"/>
        </w:rPr>
        <w:t>“</w:t>
      </w:r>
      <w:r>
        <w:rPr>
          <w:b w:val="false"/>
          <w:bCs w:val="false"/>
          <w:i/>
          <w:iCs/>
        </w:rPr>
        <w:t xml:space="preserve">And yet be clearly aware of the stars and infinity on high. Then life seems almost enchanted after all” </w:t>
      </w:r>
      <w:r>
        <w:rPr>
          <w:b w:val="false"/>
          <w:bCs w:val="false"/>
          <w:i w:val="false"/>
          <w:iCs w:val="false"/>
        </w:rPr>
        <w:t xml:space="preserve">directed me to turn my focus both outwards and inwards when observing the sky.  The process of writing the Sky Journal and photographing my “back yard” view led me to investigate how experiencing the sky from a multi-sensory point of view can create moments of awe and enchantment.  These moments of awe and enchantment can lead to deeper understandings of either difficult or positive emotional and mental states with the emphasis on the more positive states.  </w:t>
      </w:r>
      <w:r>
        <w:rPr>
          <w:b w:val="false"/>
          <w:bCs w:val="false"/>
          <w:i w:val="false"/>
          <w:iCs w:val="false"/>
        </w:rPr>
        <w:t>Moments of awe can also deepen our connections with others and the world around us.</w:t>
      </w:r>
    </w:p>
    <w:p>
      <w:pPr>
        <w:pStyle w:val="Normal"/>
        <w:rPr>
          <w:b w:val="false"/>
          <w:bCs w:val="false"/>
          <w:i w:val="false"/>
          <w:i w:val="false"/>
          <w:iCs w:val="false"/>
        </w:rPr>
      </w:pPr>
      <w:r>
        <w:rPr>
          <w:b/>
          <w:bCs/>
        </w:rPr>
      </w:r>
    </w:p>
    <w:p>
      <w:pPr>
        <w:pStyle w:val="Normal"/>
        <w:rPr>
          <w:b w:val="false"/>
          <w:bCs w:val="false"/>
          <w:i w:val="false"/>
          <w:i w:val="false"/>
          <w:iCs w:val="false"/>
        </w:rPr>
      </w:pPr>
      <w:r>
        <w:rPr>
          <w:b/>
          <w:bCs/>
        </w:rPr>
        <w:drawing>
          <wp:anchor behindDoc="0" distT="0" distB="0" distL="0" distR="0" simplePos="0" locked="0" layoutInCell="0" allowOverlap="1" relativeHeight="10">
            <wp:simplePos x="0" y="0"/>
            <wp:positionH relativeFrom="column">
              <wp:align>center</wp:align>
            </wp:positionH>
            <wp:positionV relativeFrom="paragraph">
              <wp:posOffset>635</wp:posOffset>
            </wp:positionV>
            <wp:extent cx="6332220" cy="3453130"/>
            <wp:effectExtent l="0" t="0" r="0" b="0"/>
            <wp:wrapSquare wrapText="largest"/>
            <wp:docPr id="9" name="Image9"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 descr="" title=""/>
                    <pic:cNvPicPr>
                      <a:picLocks noChangeAspect="1" noChangeArrowheads="1"/>
                    </pic:cNvPicPr>
                  </pic:nvPicPr>
                  <pic:blipFill>
                    <a:blip r:embed="rId10"/>
                    <a:stretch>
                      <a:fillRect/>
                    </a:stretch>
                  </pic:blipFill>
                  <pic:spPr bwMode="auto">
                    <a:xfrm>
                      <a:off x="0" y="0"/>
                      <a:ext cx="6332220" cy="3453130"/>
                    </a:xfrm>
                    <a:prstGeom prst="rect">
                      <a:avLst/>
                    </a:prstGeom>
                    <a:noFill/>
                  </pic:spPr>
                </pic:pic>
              </a:graphicData>
            </a:graphic>
          </wp:anchor>
        </w:drawing>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r>
        <w:br w:type="page"/>
      </w:r>
    </w:p>
    <w:p>
      <w:pPr>
        <w:pStyle w:val="Normal"/>
        <w:jc w:val="center"/>
        <w:rPr>
          <w:b/>
          <w:bCs/>
        </w:rPr>
      </w:pPr>
      <w:r>
        <w:rPr>
          <w:b/>
          <w:bCs/>
          <w:i w:val="false"/>
          <w:iCs w:val="false"/>
        </w:rPr>
        <w:t>Bibliography</w:t>
      </w:r>
    </w:p>
    <w:p>
      <w:pPr>
        <w:pStyle w:val="Normal"/>
        <w:jc w:val="center"/>
        <w:rPr>
          <w:i w:val="false"/>
          <w:i w:val="false"/>
          <w:iCs w:val="false"/>
        </w:rPr>
      </w:pPr>
      <w:r>
        <w:rPr>
          <w:b/>
          <w:bCs/>
        </w:rPr>
      </w:r>
    </w:p>
    <w:p>
      <w:pPr>
        <w:pStyle w:val="Normal"/>
        <w:jc w:val="start"/>
        <w:rPr>
          <w:i w:val="false"/>
          <w:i w:val="false"/>
          <w:iCs w:val="false"/>
        </w:rPr>
      </w:pPr>
      <w:r>
        <w:rPr>
          <w:b w:val="false"/>
          <w:bCs w:val="false"/>
        </w:rPr>
      </w:r>
    </w:p>
    <w:p>
      <w:pPr>
        <w:pStyle w:val="Normal"/>
        <w:rPr>
          <w:i w:val="false"/>
          <w:i w:val="false"/>
          <w:iCs w:val="false"/>
        </w:rPr>
      </w:pPr>
      <w:r>
        <w:rPr/>
      </w:r>
    </w:p>
    <w:p>
      <w:pPr>
        <w:pStyle w:val="Normal"/>
        <w:rPr/>
      </w:pPr>
      <w:r>
        <w:rPr/>
        <w:t>Du Bray, Margaret, Wutich, Amber and Brewis, Alexandra, “Hope and Worry: Gendered Emotional Geographies of Climate Change in Three Vulnerable U.S. Communities”, Weather, Climate and Society, 2017, Volume 9, Issue 2.</w:t>
      </w:r>
    </w:p>
    <w:p>
      <w:pPr>
        <w:pStyle w:val="Normal"/>
        <w:rPr/>
      </w:pPr>
      <w:r>
        <w:rPr/>
      </w:r>
    </w:p>
    <w:p>
      <w:pPr>
        <w:pStyle w:val="Normal"/>
        <w:rPr/>
      </w:pPr>
      <w:r>
        <w:rPr/>
        <w:t>Ginsberg, Allen, “</w:t>
      </w:r>
      <w:r>
        <w:rPr/>
        <w:t xml:space="preserve">Kaddish”, </w:t>
      </w:r>
      <w:r>
        <w:rPr>
          <w:i/>
          <w:iCs/>
        </w:rPr>
        <w:t>Kaddish and Other Poems,</w:t>
      </w:r>
      <w:r>
        <w:rPr>
          <w:i w:val="false"/>
          <w:iCs w:val="false"/>
        </w:rPr>
        <w:t xml:space="preserve"> San Francisco, City Lights Books, 1961</w:t>
      </w:r>
    </w:p>
    <w:p>
      <w:pPr>
        <w:pStyle w:val="Normal"/>
        <w:rPr>
          <w:i w:val="false"/>
          <w:i w:val="false"/>
          <w:iCs w:val="false"/>
        </w:rPr>
      </w:pPr>
      <w:r>
        <w:rPr/>
      </w:r>
    </w:p>
    <w:p>
      <w:pPr>
        <w:pStyle w:val="Normal"/>
        <w:rPr/>
      </w:pPr>
      <w:r>
        <w:rPr>
          <w:i w:val="false"/>
          <w:iCs w:val="false"/>
        </w:rPr>
        <w:t>Huyh Tuyen, Torquati Julia. “Examining Connection to Nature and Mindfulness at Promoting Psychological Well Being”, Journal of Environmental Psychology, 2019, 66.</w:t>
      </w:r>
    </w:p>
    <w:p>
      <w:pPr>
        <w:pStyle w:val="Normal"/>
        <w:rPr>
          <w:i w:val="false"/>
          <w:i w:val="false"/>
          <w:iCs w:val="false"/>
        </w:rPr>
      </w:pPr>
      <w:r>
        <w:rPr/>
      </w:r>
    </w:p>
    <w:p>
      <w:pPr>
        <w:pStyle w:val="Normal"/>
        <w:rPr/>
      </w:pPr>
      <w:r>
        <w:rPr>
          <w:i w:val="false"/>
          <w:iCs w:val="false"/>
        </w:rPr>
        <w:t xml:space="preserve">Ingold, Tim, “Reach for the Stars! Light, Vision and Atmosphere”, </w:t>
      </w:r>
      <w:r>
        <w:rPr>
          <w:i/>
          <w:iCs/>
        </w:rPr>
        <w:t xml:space="preserve">The Imagined Sky, </w:t>
      </w:r>
      <w:r>
        <w:rPr>
          <w:i w:val="false"/>
          <w:iCs w:val="false"/>
        </w:rPr>
        <w:t>edited by Darrelyn Gunzburg, Sheffield, Equinox Publishing Ltd., 2016</w:t>
      </w:r>
    </w:p>
    <w:p>
      <w:pPr>
        <w:pStyle w:val="Normal"/>
        <w:rPr>
          <w:i w:val="false"/>
          <w:i w:val="false"/>
          <w:iCs w:val="false"/>
        </w:rPr>
      </w:pPr>
      <w:r>
        <w:rPr/>
      </w:r>
    </w:p>
    <w:p>
      <w:pPr>
        <w:pStyle w:val="FootnoteText"/>
        <w:rPr/>
      </w:pPr>
      <w:r>
        <w:rPr>
          <w:i w:val="false"/>
          <w:iCs w:val="false"/>
          <w:sz w:val="24"/>
          <w:szCs w:val="24"/>
        </w:rPr>
        <w:t>Jiao, Liming and Luo, Li, “Dispositional Awe Positively Predicts Prosocial Tendencies: The Multiple</w:t>
      </w:r>
    </w:p>
    <w:p>
      <w:pPr>
        <w:pStyle w:val="FootnoteText"/>
        <w:rPr/>
      </w:pPr>
      <w:r>
        <w:rPr>
          <w:i w:val="false"/>
          <w:iCs w:val="false"/>
          <w:sz w:val="24"/>
          <w:szCs w:val="24"/>
        </w:rPr>
        <w:t>Mediation Effects of</w:t>
      </w:r>
      <w:r>
        <w:rPr>
          <w:i w:val="false"/>
          <w:iCs w:val="false"/>
        </w:rPr>
        <w:t xml:space="preserve"> </w:t>
      </w:r>
      <w:r>
        <w:rPr>
          <w:i w:val="false"/>
          <w:iCs w:val="false"/>
          <w:sz w:val="24"/>
          <w:szCs w:val="24"/>
        </w:rPr>
        <w:t>Conncectedness and Empathy”, Internation</w:t>
      </w:r>
      <w:r>
        <w:rPr>
          <w:i w:val="false"/>
          <w:iCs w:val="false"/>
          <w:sz w:val="24"/>
          <w:szCs w:val="24"/>
        </w:rPr>
        <w:t>a</w:t>
      </w:r>
      <w:r>
        <w:rPr>
          <w:i w:val="false"/>
          <w:iCs w:val="false"/>
          <w:sz w:val="24"/>
          <w:szCs w:val="24"/>
        </w:rPr>
        <w:t>l Journal of Environmental Research</w:t>
      </w:r>
    </w:p>
    <w:p>
      <w:pPr>
        <w:pStyle w:val="FootnoteText"/>
        <w:rPr/>
      </w:pPr>
      <w:r>
        <w:rPr>
          <w:i w:val="false"/>
          <w:iCs w:val="false"/>
          <w:sz w:val="24"/>
          <w:szCs w:val="24"/>
        </w:rPr>
        <w:t xml:space="preserve">and Public Health, </w:t>
      </w:r>
      <w:r>
        <w:rPr>
          <w:i w:val="false"/>
          <w:iCs w:val="false"/>
          <w:sz w:val="24"/>
          <w:szCs w:val="24"/>
        </w:rPr>
        <w:t>2022, 19.</w:t>
      </w:r>
    </w:p>
    <w:p>
      <w:pPr>
        <w:pStyle w:val="Normal"/>
        <w:rPr>
          <w:i w:val="false"/>
          <w:i w:val="false"/>
          <w:iCs w:val="false"/>
        </w:rPr>
      </w:pPr>
      <w:r>
        <w:rPr/>
      </w:r>
    </w:p>
    <w:p>
      <w:pPr>
        <w:pStyle w:val="Normal"/>
        <w:rPr/>
      </w:pPr>
      <w:r>
        <w:rPr>
          <w:i w:val="false"/>
          <w:iCs w:val="false"/>
        </w:rPr>
        <w:t>Overstreet, Wylie and Gorosh, Alex, “A New View of the Moon”, 2018</w:t>
      </w:r>
    </w:p>
    <w:p>
      <w:pPr>
        <w:pStyle w:val="Normal"/>
        <w:rPr/>
      </w:pPr>
      <w:hyperlink r:id="rId11">
        <w:r>
          <w:rPr>
            <w:rStyle w:val="Hyperlink"/>
            <w:i w:val="false"/>
            <w:iCs w:val="false"/>
          </w:rPr>
          <w:t>https://www.youtube.com/watch?v=XCrJ3NflOpE&amp;t=32s</w:t>
        </w:r>
      </w:hyperlink>
    </w:p>
    <w:p>
      <w:pPr>
        <w:pStyle w:val="Normal"/>
        <w:rPr/>
      </w:pPr>
      <w:r>
        <w:rPr/>
      </w:r>
    </w:p>
    <w:p>
      <w:pPr>
        <w:pStyle w:val="FootnoteText"/>
        <w:rPr>
          <w:sz w:val="24"/>
          <w:szCs w:val="24"/>
        </w:rPr>
      </w:pPr>
      <w:r>
        <w:rPr>
          <w:sz w:val="24"/>
          <w:szCs w:val="24"/>
        </w:rPr>
        <w:t xml:space="preserve">Silvia, Paul, Fayn, </w:t>
      </w:r>
      <w:r>
        <w:rPr>
          <w:sz w:val="24"/>
          <w:szCs w:val="24"/>
        </w:rPr>
        <w:t>Kirill,</w:t>
      </w:r>
      <w:r>
        <w:rPr>
          <w:sz w:val="24"/>
          <w:szCs w:val="24"/>
        </w:rPr>
        <w:t xml:space="preserve"> </w:t>
      </w:r>
      <w:r>
        <w:rPr>
          <w:sz w:val="24"/>
          <w:szCs w:val="24"/>
        </w:rPr>
        <w:t>Nusbaum, Emily and Beaty, Roger, “Opennes to Experience and Awe in</w:t>
      </w:r>
    </w:p>
    <w:p>
      <w:pPr>
        <w:pStyle w:val="FootnoteText"/>
        <w:rPr>
          <w:sz w:val="24"/>
          <w:szCs w:val="24"/>
        </w:rPr>
      </w:pPr>
      <w:r>
        <w:rPr>
          <w:sz w:val="24"/>
          <w:szCs w:val="24"/>
        </w:rPr>
        <w:t>Response to Nature and Music: Personality and Profound Aesthetic Experiences”, Psychology of</w:t>
      </w:r>
    </w:p>
    <w:p>
      <w:pPr>
        <w:pStyle w:val="FootnoteText"/>
        <w:rPr>
          <w:sz w:val="24"/>
          <w:szCs w:val="24"/>
        </w:rPr>
      </w:pPr>
      <w:r>
        <w:rPr>
          <w:sz w:val="24"/>
          <w:szCs w:val="24"/>
        </w:rPr>
        <w:t>Aesthetics, Creativity and the Arts, 2015, Volume 9, No. 4</w:t>
      </w:r>
    </w:p>
    <w:p>
      <w:pPr>
        <w:pStyle w:val="Normal"/>
        <w:rPr>
          <w:i w:val="false"/>
          <w:i w:val="false"/>
          <w:iCs w:val="false"/>
        </w:rPr>
      </w:pPr>
      <w:r>
        <w:rPr/>
      </w:r>
    </w:p>
    <w:p>
      <w:pPr>
        <w:pStyle w:val="Normal"/>
        <w:rPr/>
      </w:pPr>
      <w:r>
        <w:rPr>
          <w:i w:val="false"/>
          <w:iCs w:val="false"/>
        </w:rPr>
        <w:t xml:space="preserve">Stevenson, Angus, editor, </w:t>
      </w:r>
      <w:r>
        <w:rPr>
          <w:i/>
          <w:iCs/>
        </w:rPr>
        <w:t>Oxford Dictionary of English</w:t>
      </w:r>
      <w:r>
        <w:rPr>
          <w:i w:val="false"/>
          <w:iCs w:val="false"/>
        </w:rPr>
        <w:t>, Oxford, Oxford University Press, 2015</w:t>
      </w:r>
    </w:p>
    <w:p>
      <w:pPr>
        <w:pStyle w:val="Normal"/>
        <w:rPr/>
      </w:pPr>
      <w:r>
        <w:rPr/>
      </w:r>
    </w:p>
    <w:p>
      <w:pPr>
        <w:pStyle w:val="Normal"/>
        <w:rPr/>
      </w:pPr>
      <w:r>
        <w:rPr/>
        <w:t xml:space="preserve">Van Gogh, Vincent, </w:t>
      </w:r>
      <w:r>
        <w:rPr>
          <w:i/>
          <w:iCs/>
        </w:rPr>
        <w:t>The Letters of Vincent Van Gogh,</w:t>
      </w:r>
      <w:r>
        <w:rPr>
          <w:i w:val="false"/>
          <w:iCs w:val="false"/>
        </w:rPr>
        <w:t xml:space="preserve"> Edited by Ronald De Leeww, London, Penguin Books, 1997</w:t>
      </w:r>
    </w:p>
    <w:p>
      <w:pPr>
        <w:pStyle w:val="Normal"/>
        <w:rPr>
          <w:i w:val="false"/>
          <w:i w:val="false"/>
          <w:iCs w:val="false"/>
        </w:rPr>
      </w:pPr>
      <w:r>
        <w:rPr/>
      </w:r>
    </w:p>
    <w:p>
      <w:pPr>
        <w:pStyle w:val="Normal"/>
        <w:rPr/>
      </w:pPr>
      <w:r>
        <w:rPr>
          <w:i w:val="false"/>
          <w:iCs w:val="false"/>
        </w:rPr>
        <w:t>Van Rompay Thomas, Oran Sandra, Galetzka Mirjam, Van Den Berg, Agnes. “Lose Yourself: Spacious Nature and the Connected Self”, Journal of Environmental Psychology, 2023, 91.</w:t>
      </w:r>
    </w:p>
    <w:p>
      <w:pPr>
        <w:pStyle w:val="Normal"/>
        <w:rPr>
          <w:i w:val="false"/>
          <w:i w:val="false"/>
          <w:iCs w:val="false"/>
        </w:rPr>
      </w:pPr>
      <w:r>
        <w:rPr/>
      </w:r>
    </w:p>
    <w:p>
      <w:pPr>
        <w:pStyle w:val="Normal"/>
        <w:rPr/>
      </w:pPr>
      <w:r>
        <w:rPr>
          <w:i w:val="false"/>
          <w:iCs w:val="false"/>
        </w:rPr>
        <w:t>Vins, Holly, Bell, Jesse, Saha, Shubhayu and Hess, Jeremy, “The Mental Health Outcomes of Drought: A Systematic Review and Causal Process Diagram”, International Journal of Environmental Research and Public Health. 2015, 12.</w:t>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p>
      <w:pPr>
        <w:pStyle w:val="Normal"/>
        <w:rPr>
          <w:i w:val="false"/>
          <w:i w:val="false"/>
          <w:iCs w:val="false"/>
        </w:rPr>
      </w:pPr>
      <w:r>
        <w:rPr/>
      </w:r>
    </w:p>
    <w:sectPr>
      <w:headerReference w:type="even" r:id="rId12"/>
      <w:headerReference w:type="default" r:id="rId13"/>
      <w:headerReference w:type="first" r:id="rId14"/>
      <w:footnotePr>
        <w:numFmt w:val="decimal"/>
      </w:footnotePr>
      <w:type w:val="nextPage"/>
      <w:pgSz w:w="12240" w:h="15840"/>
      <w:pgMar w:left="1134" w:right="1134" w:gutter="0" w:header="1134" w:top="1969" w:footer="0" w:bottom="1134"/>
      <w:pgNumType w:fmt="decimal"/>
      <w:formProt w:val="false"/>
      <w:textDirection w:val="lrTb"/>
      <w:docGrid w:type="default" w:linePitch="312"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Symbol">
    <w:charset w:val="00" w:characterSet="windows-1252"/>
    <w:family w:val="roman"/>
    <w:pitch w:val="variable"/>
  </w:font>
  <w:font w:name="Courier New">
    <w:charset w:val="00" w:characterSet="windows-1252"/>
    <w:family w:val="auto"/>
    <w:pitch w:val="variable"/>
  </w:font>
  <w:font w:name="Wingdings">
    <w:charset w:val="00" w:characterSet="windows-1252"/>
    <w:family w:val="auto"/>
    <w:pitch w:val="variable"/>
  </w:font>
  <w:font w:name="Albertus">
    <w:charset w:val="00" w:characterSet="windows-1252"/>
    <w:family w:val="roman"/>
    <w:pitch w:val="variable"/>
  </w:font>
  <w:font w:name="Tahoma">
    <w:charset w:val="00" w:characterSet="windows-1252"/>
    <w:family w:val="swiss"/>
    <w:pitch w:val="variable"/>
  </w:font>
  <w:font w:name="Trebuchet MS">
    <w:charset w:val="00" w:characterSet="windows-1252"/>
    <w:family w:val="swiss"/>
    <w:pitch w:val="variable"/>
  </w:font>
  <w:font w:name="Liberation Sans">
    <w:altName w:val="Arial"/>
    <w:charset w:val="00" w:characterSet="windows-1252"/>
    <w:family w:val="swiss"/>
    <w:pitch w:val="variable"/>
  </w:font>
  <w:font w:name="Georgia">
    <w:charset w:val="00" w:characterSet="windows-1252"/>
    <w:family w:val="roman"/>
    <w:pitch w:val="variable"/>
  </w:font>
  <w:font w:name="Calibri">
    <w:charset w:val="00" w:characterSet="windows-1252"/>
    <w:family w:val="swiss"/>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Normal"/>
        <w:rPr>
          <w:sz w:val="20"/>
          <w:szCs w:val="20"/>
        </w:rPr>
      </w:pPr>
      <w:r>
        <w:rPr>
          <w:rStyle w:val="FootnoteCharacters"/>
        </w:rPr>
        <w:footnoteRef/>
      </w:r>
      <w:r>
        <w:rPr>
          <w:sz w:val="20"/>
          <w:szCs w:val="20"/>
        </w:rPr>
        <w:t xml:space="preserve">Van Gogh, Vincent, </w:t>
      </w:r>
      <w:r>
        <w:rPr>
          <w:i/>
          <w:iCs/>
          <w:sz w:val="20"/>
          <w:szCs w:val="20"/>
        </w:rPr>
        <w:t>The Letters of Vincent Van Gogh,</w:t>
      </w:r>
      <w:r>
        <w:rPr>
          <w:i w:val="false"/>
          <w:iCs w:val="false"/>
          <w:sz w:val="20"/>
          <w:szCs w:val="20"/>
        </w:rPr>
        <w:t xml:space="preserve"> Edited by Ronald De Leeww, London, Penguin Books, 1997, </w:t>
      </w:r>
      <w:r>
        <w:rPr>
          <w:i w:val="false"/>
          <w:iCs w:val="false"/>
          <w:sz w:val="20"/>
          <w:szCs w:val="20"/>
        </w:rPr>
        <w:t>p. 164</w:t>
      </w:r>
    </w:p>
  </w:footnote>
  <w:footnote w:id="3">
    <w:p>
      <w:pPr>
        <w:pStyle w:val="FootnoteText"/>
        <w:rPr/>
      </w:pPr>
      <w:r>
        <w:rPr>
          <w:rStyle w:val="FootnoteCharacters"/>
        </w:rPr>
        <w:footnoteRef/>
      </w:r>
      <w:r>
        <w:rPr/>
        <w:tab/>
        <w:t xml:space="preserve"> </w:t>
      </w:r>
      <w:r>
        <w:rPr/>
        <w:t xml:space="preserve">Silvia, Paul, Fayn, </w:t>
      </w:r>
      <w:r>
        <w:rPr/>
        <w:t>Kirill,</w:t>
      </w:r>
      <w:r>
        <w:rPr/>
        <w:t xml:space="preserve"> </w:t>
      </w:r>
      <w:r>
        <w:rPr/>
        <w:t>Nusbaum, Emily and Beaty, Roger, “Opennes</w:t>
      </w:r>
      <w:r>
        <w:rPr/>
        <w:t>s</w:t>
      </w:r>
      <w:r>
        <w:rPr/>
        <w:t xml:space="preserve"> to Experience and Awe in Response to Nature and Music: Personality and Profound Aesthetic Experiences”, Psychology of Aesthetics, Creativity and the Arts, 2015, Volume 9, No. 4, p. 376-384</w:t>
      </w:r>
    </w:p>
  </w:footnote>
  <w:footnote w:id="4">
    <w:p>
      <w:pPr>
        <w:pStyle w:val="FootnoteText"/>
        <w:rPr/>
      </w:pPr>
      <w:r>
        <w:rPr>
          <w:rStyle w:val="FootnoteCharacters"/>
        </w:rPr>
        <w:footnoteRef/>
      </w:r>
      <w:r>
        <w:rPr/>
        <w:tab/>
        <w:t xml:space="preserve"> </w:t>
      </w:r>
      <w:r>
        <w:rPr/>
        <w:t>Silvia, Paul, Ibid.</w:t>
      </w:r>
    </w:p>
  </w:footnote>
  <w:footnote w:id="5">
    <w:p>
      <w:pPr>
        <w:pStyle w:val="FootnoteText"/>
        <w:rPr/>
      </w:pPr>
      <w:r>
        <w:rPr>
          <w:rStyle w:val="FootnoteCharacters"/>
        </w:rPr>
        <w:footnoteRef/>
      </w:r>
      <w:r>
        <w:rPr/>
        <w:tab/>
        <w:t xml:space="preserve"> </w:t>
      </w:r>
      <w:r>
        <w:rPr/>
        <w:t xml:space="preserve">Jiao, Liming and Luo, Li, “Dispositional Awe Positively Predicts Prosocial Tendencies: The Multiple Mediation Effects of Conncectedness and Empathy”, Internationsl Journal of Environmental Research and Public Health, </w:t>
      </w:r>
      <w:r>
        <w:rPr/>
        <w:t>2022, 19.</w:t>
      </w:r>
    </w:p>
  </w:footnote>
  <w:footnote w:id="6">
    <w:p>
      <w:pPr>
        <w:pStyle w:val="FootnoteText"/>
        <w:rPr/>
      </w:pPr>
      <w:r>
        <w:rPr>
          <w:rStyle w:val="FootnoteCharacters"/>
        </w:rPr>
        <w:footnoteRef/>
      </w:r>
      <w:r>
        <w:rPr/>
        <w:tab/>
        <w:t xml:space="preserve"> </w:t>
      </w:r>
      <w:r>
        <w:rPr/>
        <w:t>Jiao, Liming, Ibid.  p. 1 and 7</w:t>
      </w:r>
    </w:p>
  </w:footnote>
  <w:footnote w:id="7">
    <w:p>
      <w:pPr>
        <w:pStyle w:val="Normal"/>
        <w:rPr>
          <w:sz w:val="20"/>
          <w:szCs w:val="20"/>
        </w:rPr>
      </w:pPr>
      <w:r>
        <w:rPr>
          <w:rStyle w:val="FootnoteCharacters"/>
        </w:rPr>
        <w:footnoteRef/>
      </w:r>
      <w:r>
        <w:rPr>
          <w:i w:val="false"/>
          <w:iCs w:val="false"/>
          <w:sz w:val="20"/>
          <w:szCs w:val="20"/>
        </w:rPr>
        <w:t>Overstreet, Wylie and Gorosh, Alex, “A New View of the Moon”, 2018</w:t>
      </w:r>
    </w:p>
    <w:p>
      <w:pPr>
        <w:pStyle w:val="FootnoteText"/>
        <w:rPr/>
      </w:pPr>
      <w:hyperlink r:id="rId1">
        <w:r>
          <w:rPr>
            <w:rStyle w:val="Hyperlink"/>
            <w:i w:val="false"/>
            <w:iCs w:val="false"/>
            <w:sz w:val="20"/>
            <w:szCs w:val="20"/>
          </w:rPr>
          <w:t>https://www.youtube.com/watch?v=XCrJ3NflOpE&amp;t=32s</w:t>
        </w:r>
      </w:hyperlink>
      <w:r>
        <w:rPr>
          <w:sz w:val="20"/>
          <w:szCs w:val="20"/>
        </w:rPr>
        <w:t xml:space="preserve"> </w:t>
      </w:r>
    </w:p>
  </w:footnote>
  <w:footnote w:id="8">
    <w:p>
      <w:pPr>
        <w:pStyle w:val="Normal"/>
        <w:rPr>
          <w:sz w:val="20"/>
          <w:szCs w:val="20"/>
        </w:rPr>
      </w:pPr>
      <w:r>
        <w:rPr>
          <w:rStyle w:val="FootnoteCharacters"/>
        </w:rPr>
        <w:footnoteRef/>
      </w:r>
      <w:r>
        <w:rPr>
          <w:sz w:val="20"/>
          <w:szCs w:val="20"/>
        </w:rPr>
        <w:t xml:space="preserve"> </w:t>
      </w:r>
      <w:r>
        <w:rPr>
          <w:sz w:val="20"/>
          <w:szCs w:val="20"/>
        </w:rPr>
        <w:t>Du Bray, Margaret, Wutich, Amber and Brewis, Alexandra, “Hope and Worry: Gendered Emotional Geographies of Climate Change in Three Vulnerable U.S. Communities”, Weather, Climate and Society, 2017, Volume 9, Issue 2.</w:t>
      </w:r>
    </w:p>
  </w:footnote>
  <w:footnote w:id="9">
    <w:p>
      <w:pPr>
        <w:pStyle w:val="FootnoteText"/>
        <w:rPr/>
      </w:pPr>
      <w:r>
        <w:rPr>
          <w:rStyle w:val="FootnoteCharacters"/>
        </w:rPr>
        <w:footnoteRef/>
      </w:r>
      <w:r>
        <w:rPr>
          <w:i w:val="false"/>
          <w:iCs w:val="false"/>
        </w:rPr>
        <w:tab/>
        <w:t xml:space="preserve"> </w:t>
      </w:r>
      <w:r>
        <w:rPr>
          <w:i w:val="false"/>
          <w:iCs w:val="false"/>
        </w:rPr>
        <w:t>Vins, Holly, Bell, Jesse, Saha, Shubhayu and Hess, Jeremy, “The Mental Health Outcomes of Drought: A Systematic Review and Causal Process Diagram”, International Journal of Environmental Research and Public Health. 2015, 12.</w:t>
      </w:r>
      <w:r>
        <w:rPr/>
        <w:t xml:space="preserve"> </w:t>
      </w:r>
    </w:p>
  </w:footnote>
  <w:footnote w:id="10">
    <w:p>
      <w:pPr>
        <w:pStyle w:val="Normal"/>
        <w:rPr/>
      </w:pPr>
      <w:r>
        <w:rPr>
          <w:rStyle w:val="FootnoteCharacters"/>
        </w:rPr>
        <w:footnoteRef/>
      </w:r>
      <w:r>
        <w:rPr/>
        <w:t xml:space="preserve"> </w:t>
      </w:r>
      <w:r>
        <w:rPr>
          <w:sz w:val="20"/>
          <w:szCs w:val="20"/>
        </w:rPr>
        <w:t>Ginsberg, Allen, “</w:t>
      </w:r>
      <w:r>
        <w:rPr>
          <w:sz w:val="20"/>
          <w:szCs w:val="20"/>
        </w:rPr>
        <w:t xml:space="preserve">Kaddish”, </w:t>
      </w:r>
      <w:r>
        <w:rPr>
          <w:i/>
          <w:iCs/>
          <w:sz w:val="20"/>
          <w:szCs w:val="20"/>
        </w:rPr>
        <w:t>Kaddish and Other Poems,</w:t>
      </w:r>
      <w:r>
        <w:rPr>
          <w:i w:val="false"/>
          <w:iCs w:val="false"/>
          <w:sz w:val="20"/>
          <w:szCs w:val="20"/>
        </w:rPr>
        <w:t xml:space="preserve"> San Francisco, City Lights Books, 1961</w:t>
      </w:r>
    </w:p>
  </w:footnote>
  <w:footnote w:id="11">
    <w:p>
      <w:pPr>
        <w:pStyle w:val="FootnoteText"/>
        <w:rPr/>
      </w:pPr>
      <w:r>
        <w:rPr>
          <w:rStyle w:val="FootnoteCharacters"/>
        </w:rPr>
        <w:footnoteRef/>
      </w:r>
      <w:r>
        <w:rPr/>
        <w:tab/>
        <w:t xml:space="preserve"> </w:t>
      </w:r>
      <w:r>
        <w:rPr/>
        <w:t>Ginsberg, Ibid. p. 31</w:t>
      </w:r>
    </w:p>
  </w:footnote>
  <w:footnote w:id="12">
    <w:p>
      <w:pPr>
        <w:pStyle w:val="FootnoteText"/>
        <w:rPr/>
      </w:pPr>
      <w:r>
        <w:rPr>
          <w:rStyle w:val="FootnoteCharacters"/>
        </w:rPr>
        <w:footnoteRef/>
      </w:r>
      <w:r>
        <w:rPr/>
        <w:tab/>
        <w:t xml:space="preserve"> </w:t>
      </w:r>
      <w:r>
        <w:rPr/>
        <w:t>Ginsber, Ibid. p. 31</w:t>
      </w:r>
    </w:p>
  </w:footnote>
  <w:footnote w:id="13">
    <w:p>
      <w:pPr>
        <w:pStyle w:val="FootnoteText"/>
        <w:rPr/>
      </w:pPr>
      <w:r>
        <w:rPr>
          <w:rStyle w:val="FootnoteCharacters"/>
        </w:rPr>
        <w:footnoteRef/>
      </w:r>
      <w:r>
        <w:rPr>
          <w:i w:val="false"/>
          <w:iCs w:val="false"/>
        </w:rPr>
        <w:tab/>
        <w:t xml:space="preserve"> </w:t>
      </w:r>
      <w:r>
        <w:rPr>
          <w:i w:val="false"/>
          <w:iCs w:val="false"/>
        </w:rPr>
        <w:t xml:space="preserve">Ingold, Tim, “Reach for the Stars! Light, Vision and Atmosphere”, </w:t>
      </w:r>
      <w:r>
        <w:rPr>
          <w:i/>
          <w:iCs/>
        </w:rPr>
        <w:t xml:space="preserve">The Imagined Sky, </w:t>
      </w:r>
      <w:r>
        <w:rPr>
          <w:i w:val="false"/>
          <w:iCs w:val="false"/>
        </w:rPr>
        <w:t>edited by Darrelyn Gunzburg, Sheffield, Equinox Publishing Ltd., 2016</w:t>
      </w:r>
      <w:r>
        <w:rPr/>
        <w:t xml:space="preserve"> </w:t>
      </w:r>
    </w:p>
  </w:footnote>
  <w:footnote w:id="14">
    <w:p>
      <w:pPr>
        <w:pStyle w:val="FootnoteText"/>
        <w:rPr/>
      </w:pPr>
      <w:r>
        <w:rPr>
          <w:rStyle w:val="FootnoteCharacters"/>
        </w:rPr>
        <w:footnoteRef/>
      </w:r>
      <w:r>
        <w:rPr/>
        <w:tab/>
        <w:t xml:space="preserve">. </w:t>
      </w:r>
      <w:r>
        <w:rPr/>
        <w:t>Ingold, Ibid. p. 225</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bookmarkStart w:id="22" w:name="PageNumWizard_HEADER_Default_Page_Style1"/>
    <w:r>
      <w:rPr/>
      <w:fldChar w:fldCharType="begin"/>
    </w:r>
    <w:r>
      <w:rPr/>
      <w:instrText xml:space="preserve"> PAGE </w:instrText>
    </w:r>
    <w:r>
      <w:rPr/>
      <w:fldChar w:fldCharType="separate"/>
    </w:r>
    <w:r>
      <w:rPr/>
      <w:t>8</w:t>
    </w:r>
    <w:r>
      <w:rPr/>
      <w:fldChar w:fldCharType="end"/>
    </w:r>
    <w:bookmarkEnd w:id="22"/>
  </w:p>
  <w:p>
    <w:pPr>
      <w:pStyle w:val="Header"/>
      <w:bidi w:val="0"/>
      <w:jc w:val="start"/>
      <w:rPr/>
    </w:pPr>
    <w:r>
      <w:rPr/>
      <w:t>Doris Maat 2322109</w:t>
      <w:tab/>
      <w:tab/>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bidi w:val="0"/>
      <w:jc w:val="end"/>
      <w:rPr/>
    </w:pPr>
    <w:bookmarkStart w:id="23" w:name="PageNumWizard_HEADER_Default_Page_Style1"/>
    <w:r>
      <w:rPr/>
      <w:fldChar w:fldCharType="begin"/>
    </w:r>
    <w:r>
      <w:rPr/>
      <w:instrText xml:space="preserve"> PAGE </w:instrText>
    </w:r>
    <w:r>
      <w:rPr/>
      <w:fldChar w:fldCharType="separate"/>
    </w:r>
    <w:r>
      <w:rPr/>
      <w:t>8</w:t>
    </w:r>
    <w:r>
      <w:rPr/>
      <w:fldChar w:fldCharType="end"/>
    </w:r>
    <w:bookmarkEnd w:id="23"/>
  </w:p>
  <w:p>
    <w:pPr>
      <w:pStyle w:val="Header"/>
      <w:bidi w:val="0"/>
      <w:jc w:val="start"/>
      <w:rPr/>
    </w:pPr>
    <w:r>
      <w:rPr/>
      <w:t>Doris Maat 2322109</w:t>
      <w:tab/>
      <w:tab/>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start"/>
      <w:pPr>
        <w:tabs>
          <w:tab w:val="num" w:pos="0"/>
        </w:tabs>
        <w:ind w:start="0" w:hanging="0"/>
      </w:pPr>
      <w:rPr/>
    </w:lvl>
    <w:lvl w:ilvl="1">
      <w:start w:val="1"/>
      <w:numFmt w:val="none"/>
      <w:suff w:val="nothing"/>
      <w:lvlText w:val=""/>
      <w:lvlJc w:val="start"/>
      <w:pPr>
        <w:tabs>
          <w:tab w:val="num" w:pos="0"/>
        </w:tabs>
        <w:ind w:start="0" w:hanging="0"/>
      </w:pPr>
      <w:rPr/>
    </w:lvl>
    <w:lvl w:ilvl="2">
      <w:start w:val="1"/>
      <w:numFmt w:val="none"/>
      <w:suff w:val="nothing"/>
      <w:lvlText w:val=""/>
      <w:lvlJc w:val="start"/>
      <w:pPr>
        <w:tabs>
          <w:tab w:val="num" w:pos="0"/>
        </w:tabs>
        <w:ind w:start="0" w:hanging="0"/>
      </w:pPr>
      <w:rPr/>
    </w:lvl>
    <w:lvl w:ilvl="3">
      <w:start w:val="1"/>
      <w:numFmt w:val="none"/>
      <w:suff w:val="nothing"/>
      <w:lvlText w:val=""/>
      <w:lvlJc w:val="start"/>
      <w:pPr>
        <w:tabs>
          <w:tab w:val="num" w:pos="0"/>
        </w:tabs>
        <w:ind w:start="0" w:hanging="0"/>
      </w:pPr>
      <w:rPr/>
    </w:lvl>
    <w:lvl w:ilvl="4">
      <w:start w:val="1"/>
      <w:numFmt w:val="none"/>
      <w:suff w:val="nothing"/>
      <w:lvlText w:val=""/>
      <w:lvlJc w:val="start"/>
      <w:pPr>
        <w:tabs>
          <w:tab w:val="num" w:pos="0"/>
        </w:tabs>
        <w:ind w:start="0" w:hanging="0"/>
      </w:pPr>
      <w:rPr/>
    </w:lvl>
    <w:lvl w:ilvl="5">
      <w:start w:val="1"/>
      <w:numFmt w:val="none"/>
      <w:suff w:val="nothing"/>
      <w:lvlText w:val=""/>
      <w:lvlJc w:val="start"/>
      <w:pPr>
        <w:tabs>
          <w:tab w:val="num" w:pos="0"/>
        </w:tabs>
        <w:ind w:start="0" w:hanging="0"/>
      </w:pPr>
      <w:rPr/>
    </w:lvl>
    <w:lvl w:ilvl="6">
      <w:start w:val="1"/>
      <w:numFmt w:val="none"/>
      <w:suff w:val="nothing"/>
      <w:lvlText w:val=""/>
      <w:lvlJc w:val="start"/>
      <w:pPr>
        <w:tabs>
          <w:tab w:val="num" w:pos="0"/>
        </w:tabs>
        <w:ind w:start="0" w:hanging="0"/>
      </w:pPr>
      <w:rPr/>
    </w:lvl>
    <w:lvl w:ilvl="7">
      <w:start w:val="1"/>
      <w:numFmt w:val="none"/>
      <w:suff w:val="nothing"/>
      <w:lvlText w:val=""/>
      <w:lvlJc w:val="start"/>
      <w:pPr>
        <w:tabs>
          <w:tab w:val="num" w:pos="0"/>
        </w:tabs>
        <w:ind w:start="0" w:hanging="0"/>
      </w:pPr>
      <w:rPr/>
    </w:lvl>
    <w:lvl w:ilvl="8">
      <w:start w:val="1"/>
      <w:numFmt w:val="none"/>
      <w:suff w:val="nothing"/>
      <w:lvlText w:val=""/>
      <w:lvlJc w:val="start"/>
      <w:pPr>
        <w:tabs>
          <w:tab w:val="num" w:pos="0"/>
        </w:tabs>
        <w:ind w:start="0" w:hanging="0"/>
      </w:pPr>
      <w:rPr/>
    </w:lvl>
  </w:abstractNum>
  <w:abstractNum w:abstractNumId="2">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hyphenationZone w:val="0"/>
  <w:footnotePr>
    <w:numFmt w:val="decimal"/>
    <w:footnote w:id="0"/>
    <w:footnote w:id="1"/>
  </w:footnotePr>
  <w:compat>
    <w:doNotBreakWrappedTables/>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Lucida Sans"/>
      <w:color w:val="auto"/>
      <w:kern w:val="2"/>
      <w:sz w:val="24"/>
      <w:szCs w:val="24"/>
      <w:lang w:val="en-US" w:eastAsia="zh-CN" w:bidi="hi-IN"/>
    </w:rPr>
  </w:style>
  <w:style w:type="paragraph" w:styleId="Heading1">
    <w:name w:val="heading 1"/>
    <w:basedOn w:val="Normal"/>
    <w:next w:val="Normal"/>
    <w:qFormat/>
    <w:pPr>
      <w:numPr>
        <w:ilvl w:val="0"/>
        <w:numId w:val="1"/>
      </w:numPr>
      <w:spacing w:before="240" w:after="120"/>
      <w:outlineLvl w:val="0"/>
    </w:pPr>
    <w:rPr>
      <w:b/>
      <w:bCs/>
      <w:sz w:val="36"/>
      <w:szCs w:val="36"/>
    </w:rPr>
  </w:style>
  <w:style w:type="paragraph" w:styleId="Heading2">
    <w:name w:val="heading 2"/>
    <w:basedOn w:val="Normal"/>
    <w:next w:val="Normal"/>
    <w:qFormat/>
    <w:pPr>
      <w:numPr>
        <w:ilvl w:val="1"/>
        <w:numId w:val="1"/>
      </w:numPr>
      <w:spacing w:before="200" w:after="120"/>
      <w:outlineLvl w:val="1"/>
    </w:pPr>
    <w:rPr>
      <w:b/>
      <w:bCs/>
      <w:sz w:val="32"/>
      <w:szCs w:val="32"/>
    </w:rPr>
  </w:style>
  <w:style w:type="paragraph" w:styleId="Heading3">
    <w:name w:val="heading 3"/>
    <w:basedOn w:val="Normal"/>
    <w:next w:val="BodyText"/>
    <w:qFormat/>
    <w:pPr>
      <w:numPr>
        <w:ilvl w:val="2"/>
        <w:numId w:val="1"/>
      </w:numPr>
      <w:spacing w:before="140" w:after="120"/>
      <w:outlineLvl w:val="2"/>
    </w:pPr>
    <w:rPr>
      <w:b/>
      <w:bCs/>
      <w:sz w:val="28"/>
      <w:szCs w:val="28"/>
    </w:rPr>
  </w:style>
  <w:style w:type="character" w:styleId="WW8Num2z0">
    <w:name w:val="WW8Num2z0"/>
    <w:qFormat/>
    <w:rPr>
      <w:rFonts w:ascii="Symbol" w:hAnsi="Symbol" w:cs="Symbol"/>
    </w:rPr>
  </w:style>
  <w:style w:type="character" w:styleId="WW8Num2z1">
    <w:name w:val="WW8Num2z1"/>
    <w:qFormat/>
    <w:rPr>
      <w:rFonts w:ascii="Courier New" w:hAnsi="Courier New" w:cs="Courier New"/>
    </w:rPr>
  </w:style>
  <w:style w:type="character" w:styleId="WW8Num2z2">
    <w:name w:val="WW8Num2z2"/>
    <w:qFormat/>
    <w:rPr>
      <w:rFonts w:ascii="Wingdings" w:hAnsi="Wingdings" w:cs="Wingdings"/>
    </w:rPr>
  </w:style>
  <w:style w:type="character" w:styleId="WW8Num3z0">
    <w:name w:val="WW8Num3z0"/>
    <w:qFormat/>
    <w:rPr>
      <w:rFonts w:ascii="Symbol" w:hAnsi="Symbol" w:cs="Symbol"/>
    </w:rPr>
  </w:style>
  <w:style w:type="character" w:styleId="WW8Num3z1">
    <w:name w:val="WW8Num3z1"/>
    <w:qFormat/>
    <w:rPr>
      <w:rFonts w:ascii="Courier New" w:hAnsi="Courier New" w:cs="Courier New"/>
    </w:rPr>
  </w:style>
  <w:style w:type="character" w:styleId="WW8Num3z2">
    <w:name w:val="WW8Num3z2"/>
    <w:qFormat/>
    <w:rPr>
      <w:rFonts w:ascii="Wingdings" w:hAnsi="Wingdings" w:cs="Wingdings"/>
    </w:rPr>
  </w:style>
  <w:style w:type="character" w:styleId="WW8Num4z0">
    <w:name w:val="WW8Num4z0"/>
    <w:qFormat/>
    <w:rPr>
      <w:rFonts w:ascii="Symbol" w:hAnsi="Symbol" w:cs="Symbol"/>
    </w:rPr>
  </w:style>
  <w:style w:type="character" w:styleId="WW8Num5z0">
    <w:name w:val="WW8Num5z0"/>
    <w:qFormat/>
    <w:rPr>
      <w:rFonts w:ascii="Symbol" w:hAnsi="Symbol" w:cs="Symbol"/>
    </w:rPr>
  </w:style>
  <w:style w:type="character" w:styleId="WW8Num5z1">
    <w:name w:val="WW8Num5z1"/>
    <w:qFormat/>
    <w:rPr>
      <w:rFonts w:ascii="Courier New" w:hAnsi="Courier New" w:cs="Courier New"/>
    </w:rPr>
  </w:style>
  <w:style w:type="character" w:styleId="WW8Num5z2">
    <w:name w:val="WW8Num5z2"/>
    <w:qFormat/>
    <w:rPr>
      <w:rFonts w:ascii="Wingdings" w:hAnsi="Wingdings" w:cs="Wingdings"/>
    </w:rPr>
  </w:style>
  <w:style w:type="character" w:styleId="WW8Num6z0">
    <w:name w:val="WW8Num6z0"/>
    <w:qFormat/>
    <w:rPr>
      <w:rFonts w:ascii="Symbol" w:hAnsi="Symbol" w:cs="Symbol"/>
    </w:rPr>
  </w:style>
  <w:style w:type="character" w:styleId="WW8Num6z1">
    <w:name w:val="WW8Num6z1"/>
    <w:qFormat/>
    <w:rPr>
      <w:rFonts w:ascii="Courier New" w:hAnsi="Courier New" w:cs="Courier New"/>
    </w:rPr>
  </w:style>
  <w:style w:type="character" w:styleId="WW8Num6z2">
    <w:name w:val="WW8Num6z2"/>
    <w:qFormat/>
    <w:rPr>
      <w:rFonts w:ascii="Wingdings" w:hAnsi="Wingdings" w:cs="Wingdings"/>
    </w:rPr>
  </w:style>
  <w:style w:type="character" w:styleId="WW8Num8z0">
    <w:name w:val="WW8Num8z0"/>
    <w:qFormat/>
    <w:rPr>
      <w:rFonts w:ascii="Symbol" w:hAnsi="Symbol" w:cs="Symbol"/>
    </w:rPr>
  </w:style>
  <w:style w:type="character" w:styleId="WW8Num8z1">
    <w:name w:val="WW8Num8z1"/>
    <w:qFormat/>
    <w:rPr>
      <w:rFonts w:ascii="Courier New" w:hAnsi="Courier New" w:cs="Courier New"/>
    </w:rPr>
  </w:style>
  <w:style w:type="character" w:styleId="WW8Num8z2">
    <w:name w:val="WW8Num8z2"/>
    <w:qFormat/>
    <w:rPr>
      <w:rFonts w:ascii="Wingdings" w:hAnsi="Wingdings" w:cs="Wingdings"/>
    </w:rPr>
  </w:style>
  <w:style w:type="character" w:styleId="WW8Num10z0">
    <w:name w:val="WW8Num10z0"/>
    <w:qFormat/>
    <w:rPr>
      <w:sz w:val="20"/>
    </w:rPr>
  </w:style>
  <w:style w:type="character" w:styleId="WW8Num11z0">
    <w:name w:val="WW8Num11z0"/>
    <w:qFormat/>
    <w:rPr>
      <w:rFonts w:ascii="Symbol" w:hAnsi="Symbol" w:cs="Symbol"/>
    </w:rPr>
  </w:style>
  <w:style w:type="character" w:styleId="WW8Num12z0">
    <w:name w:val="WW8Num12z0"/>
    <w:qFormat/>
    <w:rPr>
      <w:rFonts w:ascii="Symbol" w:hAnsi="Symbol" w:cs="Symbol"/>
    </w:rPr>
  </w:style>
  <w:style w:type="character" w:styleId="WW8Num13z0">
    <w:name w:val="WW8Num13z0"/>
    <w:qFormat/>
    <w:rPr>
      <w:rFonts w:ascii="Symbol" w:hAnsi="Symbol" w:cs="Symbol"/>
    </w:rPr>
  </w:style>
  <w:style w:type="character" w:styleId="WW8Num14z0">
    <w:name w:val="WW8Num14z0"/>
    <w:qFormat/>
    <w:rPr>
      <w:rFonts w:ascii="Symbol" w:hAnsi="Symbol" w:cs="Symbol"/>
    </w:rPr>
  </w:style>
  <w:style w:type="character" w:styleId="WW8Num14z1">
    <w:name w:val="WW8Num14z1"/>
    <w:qFormat/>
    <w:rPr>
      <w:rFonts w:ascii="Courier New" w:hAnsi="Courier New" w:cs="Courier New"/>
    </w:rPr>
  </w:style>
  <w:style w:type="character" w:styleId="WW8Num14z2">
    <w:name w:val="WW8Num14z2"/>
    <w:qFormat/>
    <w:rPr>
      <w:rFonts w:ascii="Wingdings" w:hAnsi="Wingdings" w:cs="Wingdings"/>
    </w:rPr>
  </w:style>
  <w:style w:type="character" w:styleId="WW8Num15z0">
    <w:name w:val="WW8Num15z0"/>
    <w:qFormat/>
    <w:rPr>
      <w:rFonts w:ascii="Symbol" w:hAnsi="Symbol" w:cs="Symbol"/>
    </w:rPr>
  </w:style>
  <w:style w:type="character" w:styleId="WW8Num16z0">
    <w:name w:val="WW8Num16z0"/>
    <w:qFormat/>
    <w:rPr>
      <w:rFonts w:ascii="Symbol" w:hAnsi="Symbol" w:cs="Symbol"/>
    </w:rPr>
  </w:style>
  <w:style w:type="character" w:styleId="WW8Num16z1">
    <w:name w:val="WW8Num16z1"/>
    <w:qFormat/>
    <w:rPr>
      <w:rFonts w:ascii="Courier New" w:hAnsi="Courier New" w:cs="Courier New"/>
    </w:rPr>
  </w:style>
  <w:style w:type="character" w:styleId="WW8Num16z2">
    <w:name w:val="WW8Num16z2"/>
    <w:qFormat/>
    <w:rPr>
      <w:rFonts w:ascii="Wingdings" w:hAnsi="Wingdings" w:cs="Wingdings"/>
    </w:rPr>
  </w:style>
  <w:style w:type="character" w:styleId="WW8Num17z0">
    <w:name w:val="WW8Num17z0"/>
    <w:qFormat/>
    <w:rPr>
      <w:rFonts w:ascii="Symbol" w:hAnsi="Symbol" w:cs="Symbol"/>
    </w:rPr>
  </w:style>
  <w:style w:type="character" w:styleId="WW8Num18z0">
    <w:name w:val="WW8Num18z0"/>
    <w:qFormat/>
    <w:rPr>
      <w:rFonts w:ascii="Symbol" w:hAnsi="Symbol" w:cs="Symbol"/>
    </w:rPr>
  </w:style>
  <w:style w:type="character" w:styleId="WW8Num18z1">
    <w:name w:val="WW8Num18z1"/>
    <w:qFormat/>
    <w:rPr>
      <w:rFonts w:ascii="Courier New" w:hAnsi="Courier New" w:cs="Courier New"/>
    </w:rPr>
  </w:style>
  <w:style w:type="character" w:styleId="WW8Num18z2">
    <w:name w:val="WW8Num18z2"/>
    <w:qFormat/>
    <w:rPr>
      <w:rFonts w:ascii="Wingdings" w:hAnsi="Wingdings" w:cs="Wingdings"/>
    </w:rPr>
  </w:style>
  <w:style w:type="character" w:styleId="WW8Num19z0">
    <w:name w:val="WW8Num19z0"/>
    <w:qFormat/>
    <w:rPr>
      <w:rFonts w:ascii="Albertus" w:hAnsi="Albertus" w:cs="Albertus"/>
    </w:rPr>
  </w:style>
  <w:style w:type="character" w:styleId="WW8Num19z1">
    <w:name w:val="WW8Num19z1"/>
    <w:qFormat/>
    <w:rPr>
      <w:rFonts w:ascii="Courier New" w:hAnsi="Courier New" w:cs="Courier New"/>
    </w:rPr>
  </w:style>
  <w:style w:type="character" w:styleId="WW8Num19z2">
    <w:name w:val="WW8Num19z2"/>
    <w:qFormat/>
    <w:rPr>
      <w:rFonts w:ascii="Wingdings" w:hAnsi="Wingdings" w:cs="Wingdings"/>
    </w:rPr>
  </w:style>
  <w:style w:type="character" w:styleId="WW8Num19z3">
    <w:name w:val="WW8Num19z3"/>
    <w:qFormat/>
    <w:rPr>
      <w:rFonts w:ascii="Symbol" w:hAnsi="Symbol" w:cs="Symbol"/>
    </w:rPr>
  </w:style>
  <w:style w:type="character" w:styleId="WW8Num21z0">
    <w:name w:val="WW8Num21z0"/>
    <w:qFormat/>
    <w:rPr>
      <w:rFonts w:ascii="Symbol" w:hAnsi="Symbol" w:cs="Symbol"/>
    </w:rPr>
  </w:style>
  <w:style w:type="character" w:styleId="WW8Num21z1">
    <w:name w:val="WW8Num21z1"/>
    <w:qFormat/>
    <w:rPr>
      <w:rFonts w:ascii="Courier New" w:hAnsi="Courier New" w:cs="Courier New"/>
    </w:rPr>
  </w:style>
  <w:style w:type="character" w:styleId="WW8Num21z2">
    <w:name w:val="WW8Num21z2"/>
    <w:qFormat/>
    <w:rPr>
      <w:rFonts w:ascii="Wingdings" w:hAnsi="Wingdings" w:cs="Wingdings"/>
    </w:rPr>
  </w:style>
  <w:style w:type="character" w:styleId="WW8Num22z0">
    <w:name w:val="WW8Num22z0"/>
    <w:qFormat/>
    <w:rPr>
      <w:rFonts w:ascii="Symbol" w:hAnsi="Symbol" w:cs="Symbol"/>
    </w:rPr>
  </w:style>
  <w:style w:type="character" w:styleId="WW8Num22z1">
    <w:name w:val="WW8Num22z1"/>
    <w:qFormat/>
    <w:rPr>
      <w:rFonts w:ascii="Courier New" w:hAnsi="Courier New" w:cs="Courier New"/>
    </w:rPr>
  </w:style>
  <w:style w:type="character" w:styleId="WW8Num22z2">
    <w:name w:val="WW8Num22z2"/>
    <w:qFormat/>
    <w:rPr>
      <w:rFonts w:ascii="Wingdings" w:hAnsi="Wingdings" w:cs="Wingdings"/>
    </w:rPr>
  </w:style>
  <w:style w:type="character" w:styleId="WW8Num23z0">
    <w:name w:val="WW8Num23z0"/>
    <w:qFormat/>
    <w:rPr>
      <w:rFonts w:ascii="Symbol" w:hAnsi="Symbol" w:cs="Symbol"/>
    </w:rPr>
  </w:style>
  <w:style w:type="character" w:styleId="WW8Num24z0">
    <w:name w:val="WW8Num24z0"/>
    <w:qFormat/>
    <w:rPr>
      <w:rFonts w:ascii="Symbol" w:hAnsi="Symbol" w:cs="Symbol"/>
    </w:rPr>
  </w:style>
  <w:style w:type="character" w:styleId="WW8Num24z1">
    <w:name w:val="WW8Num24z1"/>
    <w:qFormat/>
    <w:rPr>
      <w:rFonts w:ascii="Courier New" w:hAnsi="Courier New" w:cs="Courier New"/>
    </w:rPr>
  </w:style>
  <w:style w:type="character" w:styleId="WW8Num24z2">
    <w:name w:val="WW8Num24z2"/>
    <w:qFormat/>
    <w:rPr>
      <w:rFonts w:ascii="Wingdings" w:hAnsi="Wingdings" w:cs="Wingdings"/>
    </w:rPr>
  </w:style>
  <w:style w:type="character" w:styleId="WW8NumSt16z0">
    <w:name w:val="WW8NumSt16z0"/>
    <w:qFormat/>
    <w:rPr>
      <w:rFonts w:ascii="Symbol" w:hAnsi="Symbol" w:cs="Symbol"/>
    </w:rPr>
  </w:style>
  <w:style w:type="character" w:styleId="WW8NumSt18z0">
    <w:name w:val="WW8NumSt18z0"/>
    <w:qFormat/>
    <w:rPr>
      <w:rFonts w:ascii="Symbol" w:hAnsi="Symbol" w:cs="Symbol"/>
    </w:rPr>
  </w:style>
  <w:style w:type="character" w:styleId="DefaultParagraphFont">
    <w:name w:val="Default Paragraph Font"/>
    <w:qFormat/>
    <w:rPr/>
  </w:style>
  <w:style w:type="character" w:styleId="CommentReference">
    <w:name w:val="Comment Reference"/>
    <w:qFormat/>
    <w:rPr>
      <w:sz w:val="16"/>
      <w:szCs w:val="16"/>
    </w:rPr>
  </w:style>
  <w:style w:type="character" w:styleId="CommentTextChar">
    <w:name w:val="Comment Text Char"/>
    <w:qFormat/>
    <w:rPr>
      <w:lang w:eastAsia="zh-CN"/>
    </w:rPr>
  </w:style>
  <w:style w:type="character" w:styleId="CommentSubjectChar">
    <w:name w:val="Comment Subject Char"/>
    <w:qFormat/>
    <w:rPr>
      <w:b/>
      <w:bCs/>
      <w:lang w:eastAsia="zh-CN"/>
    </w:rPr>
  </w:style>
  <w:style w:type="character" w:styleId="BalloonTextChar">
    <w:name w:val="Balloon Text Char"/>
    <w:qFormat/>
    <w:rPr>
      <w:rFonts w:ascii="Tahoma" w:hAnsi="Tahoma" w:cs="Tahoma"/>
      <w:sz w:val="16"/>
      <w:szCs w:val="16"/>
      <w:lang w:eastAsia="zh-CN"/>
    </w:rPr>
  </w:style>
  <w:style w:type="character" w:styleId="HeaderChar">
    <w:name w:val="Header Char"/>
    <w:qFormat/>
    <w:rPr>
      <w:rFonts w:ascii="Trebuchet MS" w:hAnsi="Trebuchet MS" w:eastAsia="Calibri" w:cs="Tahoma"/>
      <w:sz w:val="22"/>
    </w:rPr>
  </w:style>
  <w:style w:type="character" w:styleId="FooterChar">
    <w:name w:val="Footer Char"/>
    <w:qFormat/>
    <w:rPr>
      <w:sz w:val="24"/>
      <w:szCs w:val="24"/>
      <w:lang w:eastAsia="zh-CN"/>
    </w:rPr>
  </w:style>
  <w:style w:type="character" w:styleId="FootnoteCharacters">
    <w:name w:val="Footnote Characters"/>
    <w:qFormat/>
    <w:rPr/>
  </w:style>
  <w:style w:type="character" w:styleId="FootnoteReference">
    <w:name w:val="footnote reference"/>
    <w:rPr>
      <w:vertAlign w:val="superscript"/>
    </w:rPr>
  </w:style>
  <w:style w:type="character" w:styleId="EndnoteReference">
    <w:name w:val="endnote reference"/>
    <w:rPr>
      <w:vertAlign w:val="superscript"/>
    </w:rPr>
  </w:style>
  <w:style w:type="character" w:styleId="EndnoteCharacters">
    <w:name w:val="Endnote Characters"/>
    <w:qFormat/>
    <w:rPr/>
  </w:style>
  <w:style w:type="character" w:styleId="Hyperlink">
    <w:name w:val="Hyperlink"/>
    <w:rPr>
      <w:color w:val="000080"/>
      <w:u w:val="single"/>
    </w:rPr>
  </w:style>
  <w:style w:type="character" w:styleId="FollowedHyperlink">
    <w:name w:val="FollowedHyperlink"/>
    <w:rPr>
      <w:color w:val="800000"/>
      <w:u w:val="single"/>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suppressLineNumbers/>
      <w:tabs>
        <w:tab w:val="clear" w:pos="709"/>
        <w:tab w:val="center" w:pos="4986" w:leader="none"/>
        <w:tab w:val="right" w:pos="9972" w:leader="none"/>
      </w:tabs>
    </w:pPr>
    <w:rPr/>
  </w:style>
  <w:style w:type="paragraph" w:styleId="Header">
    <w:name w:val="header"/>
    <w:basedOn w:val="Normal"/>
    <w:pPr>
      <w:suppressLineNumbers/>
      <w:tabs>
        <w:tab w:val="clear" w:pos="709"/>
        <w:tab w:val="center" w:pos="4986" w:leader="none"/>
        <w:tab w:val="right" w:pos="9972" w:leader="none"/>
      </w:tabs>
    </w:pPr>
    <w:rPr/>
  </w:style>
  <w:style w:type="paragraph" w:styleId="NormalWeb">
    <w:name w:val="Normal (Web)"/>
    <w:basedOn w:val="Normal"/>
    <w:qFormat/>
    <w:pPr>
      <w:widowControl/>
      <w:bidi w:val="0"/>
      <w:spacing w:before="280" w:after="280"/>
    </w:pPr>
    <w:rPr>
      <w:rFonts w:ascii="Georgia" w:hAnsi="Georgia" w:eastAsia="SimSun;宋体" w:cs="Georgia"/>
      <w:color w:val="000000"/>
      <w:sz w:val="21"/>
      <w:szCs w:val="21"/>
    </w:rPr>
  </w:style>
  <w:style w:type="paragraph" w:styleId="CommentText">
    <w:name w:val="Comment Text"/>
    <w:basedOn w:val="Normal"/>
    <w:qFormat/>
    <w:pPr>
      <w:widowControl/>
      <w:bidi w:val="0"/>
    </w:pPr>
    <w:rPr>
      <w:rFonts w:ascii="Times New Roman" w:hAnsi="Times New Roman" w:eastAsia="SimSun;宋体" w:cs="Times New Roman"/>
      <w:color w:val="auto"/>
      <w:sz w:val="20"/>
      <w:szCs w:val="20"/>
      <w:lang w:val="en-US"/>
    </w:rPr>
  </w:style>
  <w:style w:type="paragraph" w:styleId="CommentSubject">
    <w:name w:val="Comment Subject"/>
    <w:basedOn w:val="CommentText"/>
    <w:next w:val="CommentText"/>
    <w:qFormat/>
    <w:pPr/>
    <w:rPr>
      <w:b/>
      <w:bCs/>
    </w:rPr>
  </w:style>
  <w:style w:type="paragraph" w:styleId="BalloonText">
    <w:name w:val="Balloon Text"/>
    <w:basedOn w:val="Normal"/>
    <w:qFormat/>
    <w:pPr>
      <w:widowControl/>
      <w:bidi w:val="0"/>
    </w:pPr>
    <w:rPr>
      <w:rFonts w:ascii="Tahoma" w:hAnsi="Tahoma" w:eastAsia="SimSun;宋体" w:cs="Tahoma"/>
      <w:color w:val="auto"/>
      <w:sz w:val="16"/>
      <w:szCs w:val="16"/>
      <w:lang w:val="en-US"/>
    </w:rPr>
  </w:style>
  <w:style w:type="paragraph" w:styleId="Footer">
    <w:name w:val="footer"/>
    <w:basedOn w:val="Normal"/>
    <w:pPr>
      <w:suppressLineNumbers/>
      <w:tabs>
        <w:tab w:val="clear" w:pos="709"/>
        <w:tab w:val="center" w:pos="4986" w:leader="none"/>
        <w:tab w:val="right" w:pos="9972" w:leader="none"/>
      </w:tabs>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FootnoteText">
    <w:name w:val="footnote text"/>
    <w:basedOn w:val="Normal"/>
    <w:pPr>
      <w:suppressLineNumbers/>
      <w:ind w:hanging="340" w:start="340"/>
    </w:pPr>
    <w:rPr>
      <w:sz w:val="20"/>
      <w:szCs w:val="20"/>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 w:type="numbering" w:styleId="WW8Num6">
    <w:name w:val="WW8Num6"/>
    <w:qFormat/>
  </w:style>
  <w:style w:type="numbering" w:styleId="WW8Num7">
    <w:name w:val="WW8Num7"/>
    <w:qFormat/>
  </w:style>
  <w:style w:type="numbering" w:styleId="WW8Num8">
    <w:name w:val="WW8Num8"/>
    <w:qFormat/>
  </w:style>
  <w:style w:type="numbering" w:styleId="WW8Num9">
    <w:name w:val="WW8Num9"/>
    <w:qFormat/>
  </w:style>
  <w:style w:type="numbering" w:styleId="WW8Num10">
    <w:name w:val="WW8Num10"/>
    <w:qFormat/>
  </w:style>
  <w:style w:type="numbering" w:styleId="WW8Num11">
    <w:name w:val="WW8Num11"/>
    <w:qFormat/>
  </w:style>
  <w:style w:type="numbering" w:styleId="WW8Num12">
    <w:name w:val="WW8Num12"/>
    <w:qFormat/>
  </w:style>
  <w:style w:type="numbering" w:styleId="WW8Num13">
    <w:name w:val="WW8Num13"/>
    <w:qFormat/>
  </w:style>
  <w:style w:type="numbering" w:styleId="WW8Num14">
    <w:name w:val="WW8Num14"/>
    <w:qFormat/>
  </w:style>
  <w:style w:type="numbering" w:styleId="WW8Num15">
    <w:name w:val="WW8Num15"/>
    <w:qFormat/>
  </w:style>
  <w:style w:type="numbering" w:styleId="WW8Num16">
    <w:name w:val="WW8Num16"/>
    <w:qFormat/>
  </w:style>
  <w:style w:type="numbering" w:styleId="WW8Num17">
    <w:name w:val="WW8Num17"/>
    <w:qFormat/>
  </w:style>
  <w:style w:type="numbering" w:styleId="WW8Num18">
    <w:name w:val="WW8Num18"/>
    <w:qFormat/>
  </w:style>
  <w:style w:type="numbering" w:styleId="WW8Num19">
    <w:name w:val="WW8Num19"/>
    <w:qFormat/>
  </w:style>
  <w:style w:type="numbering" w:styleId="WW8Num20">
    <w:name w:val="WW8Num20"/>
    <w:qFormat/>
  </w:style>
  <w:style w:type="numbering" w:styleId="WW8Num21">
    <w:name w:val="WW8Num21"/>
    <w:qFormat/>
  </w:style>
  <w:style w:type="numbering" w:styleId="WW8Num22">
    <w:name w:val="WW8Num22"/>
    <w:qFormat/>
  </w:style>
  <w:style w:type="numbering" w:styleId="WW8Num23">
    <w:name w:val="WW8Num23"/>
    <w:qFormat/>
  </w:style>
  <w:style w:type="numbering" w:styleId="WW8Num24">
    <w:name w:val="WW8Num24"/>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image" Target="media/image5.jpeg"/><Relationship Id="rId7" Type="http://schemas.openxmlformats.org/officeDocument/2006/relationships/image" Target="media/image6.jpeg"/><Relationship Id="rId8" Type="http://schemas.openxmlformats.org/officeDocument/2006/relationships/image" Target="media/image7.jpeg"/><Relationship Id="rId9" Type="http://schemas.openxmlformats.org/officeDocument/2006/relationships/image" Target="media/image8.jpeg"/><Relationship Id="rId10" Type="http://schemas.openxmlformats.org/officeDocument/2006/relationships/image" Target="media/image9.jpeg"/><Relationship Id="rId11" Type="http://schemas.openxmlformats.org/officeDocument/2006/relationships/hyperlink" Target="https://www.youtube.com/watch?v=XCrJ3NflOpE&amp;t=32s"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header" Target="header3.xml"/><Relationship Id="rId15" Type="http://schemas.openxmlformats.org/officeDocument/2006/relationships/footnotes" Target="footnotes.xml"/><Relationship Id="rId16" Type="http://schemas.openxmlformats.org/officeDocument/2006/relationships/numbering" Target="numbering.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youtube.com/watch?v=XCrJ3NflOpE&amp;t=32s" TargetMode="Externa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265</TotalTime>
  <Application>LibreOffice/24.8.3.2$Windows_X86_64 LibreOffice_project/48a6bac9e7e268aeb4c3483fcf825c94556d9f92</Application>
  <AppVersion>15.0000</AppVersion>
  <Pages>10</Pages>
  <Words>2694</Words>
  <Characters>13793</Characters>
  <CharactersWithSpaces>16501</CharactersWithSpaces>
  <Paragraphs>106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2024-11-02T18:22:08Z</dcterms:created>
  <dc:creator/>
  <dc:description/>
  <dc:language>en-US</dc:language>
  <cp:lastModifiedBy/>
  <dcterms:modified xsi:type="dcterms:W3CDTF">2024-11-28T18:05:20Z</dcterms:modified>
  <cp:revision>18</cp:revision>
  <dc:subject/>
  <dc:title/>
</cp:coreProperties>
</file>

<file path=docProps/custom.xml><?xml version="1.0" encoding="utf-8"?>
<Properties xmlns="http://schemas.openxmlformats.org/officeDocument/2006/custom-properties" xmlns:vt="http://schemas.openxmlformats.org/officeDocument/2006/docPropsVTypes"/>
</file>