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5A44B" w14:textId="0691AFB5" w:rsidR="003127C3"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noProof/>
          <w:sz w:val="24"/>
          <w:szCs w:val="24"/>
        </w:rPr>
        <w:drawing>
          <wp:inline distT="0" distB="0" distL="0" distR="0" wp14:anchorId="3B0CBBCD" wp14:editId="5F16BE5C">
            <wp:extent cx="2971800" cy="149794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002708" cy="1513521"/>
                    </a:xfrm>
                    <a:prstGeom prst="rect">
                      <a:avLst/>
                    </a:prstGeom>
                  </pic:spPr>
                </pic:pic>
              </a:graphicData>
            </a:graphic>
          </wp:inline>
        </w:drawing>
      </w:r>
    </w:p>
    <w:p w14:paraId="1E0E75E4" w14:textId="051DD35A" w:rsidR="009F4823"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noProof/>
          <w:sz w:val="24"/>
          <w:szCs w:val="24"/>
        </w:rPr>
        <w:drawing>
          <wp:inline distT="0" distB="0" distL="0" distR="0" wp14:anchorId="6441CD21" wp14:editId="7BA2BC61">
            <wp:extent cx="6038288" cy="2049780"/>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049512" cy="2053590"/>
                    </a:xfrm>
                    <a:prstGeom prst="rect">
                      <a:avLst/>
                    </a:prstGeom>
                  </pic:spPr>
                </pic:pic>
              </a:graphicData>
            </a:graphic>
          </wp:inline>
        </w:drawing>
      </w:r>
    </w:p>
    <w:p w14:paraId="5FCC72EE" w14:textId="77777777" w:rsidR="005C562C" w:rsidRDefault="005C562C" w:rsidP="00CB737A">
      <w:pPr>
        <w:jc w:val="both"/>
        <w:rPr>
          <w:rFonts w:ascii="Times New Roman" w:hAnsi="Times New Roman" w:cs="Times New Roman"/>
          <w:sz w:val="24"/>
          <w:szCs w:val="24"/>
        </w:rPr>
      </w:pPr>
    </w:p>
    <w:p w14:paraId="5535E3EB" w14:textId="585E83E1" w:rsidR="005C562C" w:rsidRDefault="005C562C" w:rsidP="00CB737A">
      <w:pPr>
        <w:jc w:val="both"/>
        <w:rPr>
          <w:rFonts w:ascii="Times New Roman" w:hAnsi="Times New Roman" w:cs="Times New Roman"/>
          <w:sz w:val="24"/>
          <w:szCs w:val="24"/>
        </w:rPr>
      </w:pPr>
      <w:r>
        <w:rPr>
          <w:rFonts w:ascii="Times New Roman" w:hAnsi="Times New Roman" w:cs="Times New Roman"/>
          <w:sz w:val="24"/>
          <w:szCs w:val="24"/>
        </w:rPr>
        <w:t>Student name:  NICOLETA ARAPAN</w:t>
      </w:r>
    </w:p>
    <w:p w14:paraId="585C5528" w14:textId="7FED42C9" w:rsidR="005C562C" w:rsidRDefault="005C562C" w:rsidP="00CB737A">
      <w:pPr>
        <w:jc w:val="both"/>
        <w:rPr>
          <w:rFonts w:ascii="Times New Roman" w:hAnsi="Times New Roman" w:cs="Times New Roman"/>
          <w:sz w:val="24"/>
          <w:szCs w:val="24"/>
        </w:rPr>
      </w:pPr>
      <w:r>
        <w:rPr>
          <w:rFonts w:ascii="Times New Roman" w:hAnsi="Times New Roman" w:cs="Times New Roman"/>
          <w:sz w:val="24"/>
          <w:szCs w:val="24"/>
        </w:rPr>
        <w:t>Student number: 2014066</w:t>
      </w:r>
    </w:p>
    <w:p w14:paraId="37610144" w14:textId="666D9F79" w:rsidR="005C562C" w:rsidRDefault="005C562C" w:rsidP="00CB737A">
      <w:pPr>
        <w:jc w:val="both"/>
        <w:rPr>
          <w:rFonts w:ascii="Times New Roman" w:hAnsi="Times New Roman" w:cs="Times New Roman"/>
          <w:sz w:val="24"/>
          <w:szCs w:val="24"/>
        </w:rPr>
      </w:pPr>
      <w:r>
        <w:rPr>
          <w:rFonts w:ascii="Times New Roman" w:hAnsi="Times New Roman" w:cs="Times New Roman"/>
          <w:sz w:val="24"/>
          <w:szCs w:val="24"/>
        </w:rPr>
        <w:t>Module Title: Accounting Fundamentals</w:t>
      </w:r>
    </w:p>
    <w:p w14:paraId="50C513B2" w14:textId="64E00FE0" w:rsidR="005C562C" w:rsidRDefault="005C562C" w:rsidP="00CB737A">
      <w:pPr>
        <w:jc w:val="both"/>
        <w:rPr>
          <w:rFonts w:ascii="Times New Roman" w:hAnsi="Times New Roman" w:cs="Times New Roman"/>
          <w:sz w:val="24"/>
          <w:szCs w:val="24"/>
        </w:rPr>
      </w:pPr>
      <w:r>
        <w:rPr>
          <w:rFonts w:ascii="Times New Roman" w:hAnsi="Times New Roman" w:cs="Times New Roman"/>
          <w:sz w:val="24"/>
          <w:szCs w:val="24"/>
        </w:rPr>
        <w:t>Assignment Title: Accounting Fundamentals Assessment 1</w:t>
      </w:r>
    </w:p>
    <w:p w14:paraId="4F5CA923" w14:textId="5E20463A" w:rsidR="003127C3" w:rsidRPr="00AF08E7" w:rsidRDefault="005C562C" w:rsidP="00CB737A">
      <w:pPr>
        <w:jc w:val="both"/>
        <w:rPr>
          <w:rFonts w:ascii="Times New Roman" w:hAnsi="Times New Roman" w:cs="Times New Roman"/>
          <w:sz w:val="24"/>
          <w:szCs w:val="24"/>
        </w:rPr>
      </w:pPr>
      <w:r>
        <w:rPr>
          <w:rFonts w:ascii="Times New Roman" w:hAnsi="Times New Roman" w:cs="Times New Roman"/>
          <w:sz w:val="24"/>
          <w:szCs w:val="24"/>
        </w:rPr>
        <w:t xml:space="preserve">Module lecturer’s name: </w:t>
      </w:r>
      <w:proofErr w:type="spellStart"/>
      <w:r>
        <w:rPr>
          <w:rFonts w:ascii="Times New Roman" w:hAnsi="Times New Roman" w:cs="Times New Roman"/>
          <w:sz w:val="24"/>
          <w:szCs w:val="24"/>
        </w:rPr>
        <w:t>Widin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Bongasu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Sha’ven</w:t>
      </w:r>
      <w:proofErr w:type="spellEnd"/>
      <w:r w:rsidR="003127C3" w:rsidRPr="00AF08E7">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IN"/>
        </w:rPr>
        <w:id w:val="1425761287"/>
        <w:docPartObj>
          <w:docPartGallery w:val="Table of Contents"/>
          <w:docPartUnique/>
        </w:docPartObj>
      </w:sdtPr>
      <w:sdtEndPr>
        <w:rPr>
          <w:b/>
          <w:bCs/>
          <w:noProof/>
        </w:rPr>
      </w:sdtEndPr>
      <w:sdtContent>
        <w:p w14:paraId="7DC400D9" w14:textId="793FE2EA" w:rsidR="00CB737A" w:rsidRPr="00AF08E7" w:rsidRDefault="00CB737A" w:rsidP="00CB737A">
          <w:pPr>
            <w:pStyle w:val="TOCHeading"/>
            <w:jc w:val="both"/>
            <w:rPr>
              <w:rFonts w:ascii="Times New Roman" w:hAnsi="Times New Roman" w:cs="Times New Roman"/>
              <w:sz w:val="24"/>
              <w:szCs w:val="24"/>
            </w:rPr>
          </w:pPr>
          <w:r w:rsidRPr="00AF08E7">
            <w:rPr>
              <w:rFonts w:ascii="Times New Roman" w:hAnsi="Times New Roman" w:cs="Times New Roman"/>
              <w:sz w:val="24"/>
              <w:szCs w:val="24"/>
            </w:rPr>
            <w:t>Table of Contents</w:t>
          </w:r>
        </w:p>
        <w:p w14:paraId="253555B6" w14:textId="6D2A334C" w:rsidR="00CB737A" w:rsidRPr="00AF08E7" w:rsidRDefault="00CB737A" w:rsidP="00CB737A">
          <w:pPr>
            <w:pStyle w:val="TOC1"/>
            <w:tabs>
              <w:tab w:val="right" w:leader="dot" w:pos="9016"/>
            </w:tabs>
            <w:jc w:val="both"/>
            <w:rPr>
              <w:rFonts w:ascii="Times New Roman" w:hAnsi="Times New Roman" w:cs="Times New Roman"/>
              <w:noProof/>
              <w:sz w:val="24"/>
              <w:szCs w:val="24"/>
            </w:rPr>
          </w:pPr>
          <w:r w:rsidRPr="00AF08E7">
            <w:rPr>
              <w:rFonts w:ascii="Times New Roman" w:hAnsi="Times New Roman" w:cs="Times New Roman"/>
              <w:sz w:val="24"/>
              <w:szCs w:val="24"/>
            </w:rPr>
            <w:fldChar w:fldCharType="begin"/>
          </w:r>
          <w:r w:rsidRPr="00AF08E7">
            <w:rPr>
              <w:rFonts w:ascii="Times New Roman" w:hAnsi="Times New Roman" w:cs="Times New Roman"/>
              <w:sz w:val="24"/>
              <w:szCs w:val="24"/>
            </w:rPr>
            <w:instrText xml:space="preserve"> TOC \o "1-3" \h \z \u </w:instrText>
          </w:r>
          <w:r w:rsidRPr="00AF08E7">
            <w:rPr>
              <w:rFonts w:ascii="Times New Roman" w:hAnsi="Times New Roman" w:cs="Times New Roman"/>
              <w:sz w:val="24"/>
              <w:szCs w:val="24"/>
            </w:rPr>
            <w:fldChar w:fldCharType="separate"/>
          </w:r>
          <w:hyperlink w:anchor="_Toc55482057" w:history="1">
            <w:r w:rsidRPr="00AF08E7">
              <w:rPr>
                <w:rStyle w:val="Hyperlink"/>
                <w:rFonts w:ascii="Times New Roman" w:hAnsi="Times New Roman" w:cs="Times New Roman"/>
                <w:noProof/>
                <w:sz w:val="24"/>
                <w:szCs w:val="24"/>
              </w:rPr>
              <w:t>Introduction-</w:t>
            </w:r>
            <w:r w:rsidRPr="00AF08E7">
              <w:rPr>
                <w:rFonts w:ascii="Times New Roman" w:hAnsi="Times New Roman" w:cs="Times New Roman"/>
                <w:noProof/>
                <w:webHidden/>
                <w:sz w:val="24"/>
                <w:szCs w:val="24"/>
              </w:rPr>
              <w:tab/>
            </w:r>
            <w:r w:rsidRPr="00AF08E7">
              <w:rPr>
                <w:rFonts w:ascii="Times New Roman" w:hAnsi="Times New Roman" w:cs="Times New Roman"/>
                <w:noProof/>
                <w:webHidden/>
                <w:sz w:val="24"/>
                <w:szCs w:val="24"/>
              </w:rPr>
              <w:fldChar w:fldCharType="begin"/>
            </w:r>
            <w:r w:rsidRPr="00AF08E7">
              <w:rPr>
                <w:rFonts w:ascii="Times New Roman" w:hAnsi="Times New Roman" w:cs="Times New Roman"/>
                <w:noProof/>
                <w:webHidden/>
                <w:sz w:val="24"/>
                <w:szCs w:val="24"/>
              </w:rPr>
              <w:instrText xml:space="preserve"> PAGEREF _Toc55482057 \h </w:instrText>
            </w:r>
            <w:r w:rsidRPr="00AF08E7">
              <w:rPr>
                <w:rFonts w:ascii="Times New Roman" w:hAnsi="Times New Roman" w:cs="Times New Roman"/>
                <w:noProof/>
                <w:webHidden/>
                <w:sz w:val="24"/>
                <w:szCs w:val="24"/>
              </w:rPr>
            </w:r>
            <w:r w:rsidRPr="00AF08E7">
              <w:rPr>
                <w:rFonts w:ascii="Times New Roman" w:hAnsi="Times New Roman" w:cs="Times New Roman"/>
                <w:noProof/>
                <w:webHidden/>
                <w:sz w:val="24"/>
                <w:szCs w:val="24"/>
              </w:rPr>
              <w:fldChar w:fldCharType="separate"/>
            </w:r>
            <w:r w:rsidRPr="00AF08E7">
              <w:rPr>
                <w:rFonts w:ascii="Times New Roman" w:hAnsi="Times New Roman" w:cs="Times New Roman"/>
                <w:noProof/>
                <w:webHidden/>
                <w:sz w:val="24"/>
                <w:szCs w:val="24"/>
              </w:rPr>
              <w:t>3</w:t>
            </w:r>
            <w:r w:rsidRPr="00AF08E7">
              <w:rPr>
                <w:rFonts w:ascii="Times New Roman" w:hAnsi="Times New Roman" w:cs="Times New Roman"/>
                <w:noProof/>
                <w:webHidden/>
                <w:sz w:val="24"/>
                <w:szCs w:val="24"/>
              </w:rPr>
              <w:fldChar w:fldCharType="end"/>
            </w:r>
          </w:hyperlink>
        </w:p>
        <w:p w14:paraId="0A25FFC3" w14:textId="201CA1F3" w:rsidR="00CB737A" w:rsidRPr="00AF08E7" w:rsidRDefault="005C562C" w:rsidP="00CB737A">
          <w:pPr>
            <w:pStyle w:val="TOC1"/>
            <w:tabs>
              <w:tab w:val="right" w:leader="dot" w:pos="9016"/>
            </w:tabs>
            <w:jc w:val="both"/>
            <w:rPr>
              <w:rFonts w:ascii="Times New Roman" w:hAnsi="Times New Roman" w:cs="Times New Roman"/>
              <w:noProof/>
              <w:sz w:val="24"/>
              <w:szCs w:val="24"/>
            </w:rPr>
          </w:pPr>
          <w:hyperlink w:anchor="_Toc55482058" w:history="1">
            <w:r w:rsidR="00CB737A" w:rsidRPr="00AF08E7">
              <w:rPr>
                <w:rStyle w:val="Hyperlink"/>
                <w:rFonts w:ascii="Times New Roman" w:hAnsi="Times New Roman" w:cs="Times New Roman"/>
                <w:noProof/>
                <w:sz w:val="24"/>
                <w:szCs w:val="24"/>
              </w:rPr>
              <w:t>Question 1-</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_Toc55482058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4</w:t>
            </w:r>
            <w:r w:rsidR="00CB737A" w:rsidRPr="00AF08E7">
              <w:rPr>
                <w:rFonts w:ascii="Times New Roman" w:hAnsi="Times New Roman" w:cs="Times New Roman"/>
                <w:noProof/>
                <w:webHidden/>
                <w:sz w:val="24"/>
                <w:szCs w:val="24"/>
              </w:rPr>
              <w:fldChar w:fldCharType="end"/>
            </w:r>
          </w:hyperlink>
        </w:p>
        <w:p w14:paraId="6ED18ABE" w14:textId="72A8D11B" w:rsidR="00CB737A" w:rsidRPr="00AF08E7" w:rsidRDefault="005C562C" w:rsidP="00CB737A">
          <w:pPr>
            <w:pStyle w:val="TOC2"/>
            <w:tabs>
              <w:tab w:val="left" w:pos="660"/>
              <w:tab w:val="right" w:leader="dot" w:pos="9016"/>
            </w:tabs>
            <w:jc w:val="both"/>
            <w:rPr>
              <w:rFonts w:ascii="Times New Roman" w:hAnsi="Times New Roman" w:cs="Times New Roman"/>
              <w:noProof/>
              <w:sz w:val="24"/>
              <w:szCs w:val="24"/>
            </w:rPr>
          </w:pPr>
          <w:hyperlink w:anchor="_Toc55482059" w:history="1">
            <w:r w:rsidR="00CB737A" w:rsidRPr="00AF08E7">
              <w:rPr>
                <w:rStyle w:val="Hyperlink"/>
                <w:rFonts w:ascii="Times New Roman" w:hAnsi="Times New Roman" w:cs="Times New Roman"/>
                <w:noProof/>
                <w:sz w:val="24"/>
                <w:szCs w:val="24"/>
              </w:rPr>
              <w:t>a)</w:t>
            </w:r>
            <w:r w:rsidR="00CB737A" w:rsidRPr="00AF08E7">
              <w:rPr>
                <w:rFonts w:ascii="Times New Roman" w:hAnsi="Times New Roman" w:cs="Times New Roman"/>
                <w:noProof/>
                <w:sz w:val="24"/>
                <w:szCs w:val="24"/>
              </w:rPr>
              <w:tab/>
            </w:r>
            <w:r w:rsidR="00CB737A" w:rsidRPr="00AF08E7">
              <w:rPr>
                <w:rStyle w:val="Hyperlink"/>
                <w:rFonts w:ascii="Times New Roman" w:hAnsi="Times New Roman" w:cs="Times New Roman"/>
                <w:noProof/>
                <w:sz w:val="24"/>
                <w:szCs w:val="24"/>
              </w:rPr>
              <w:t>Preparation of financial statements-</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_Toc55482059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4</w:t>
            </w:r>
            <w:r w:rsidR="00CB737A" w:rsidRPr="00AF08E7">
              <w:rPr>
                <w:rFonts w:ascii="Times New Roman" w:hAnsi="Times New Roman" w:cs="Times New Roman"/>
                <w:noProof/>
                <w:webHidden/>
                <w:sz w:val="24"/>
                <w:szCs w:val="24"/>
              </w:rPr>
              <w:fldChar w:fldCharType="end"/>
            </w:r>
          </w:hyperlink>
        </w:p>
        <w:p w14:paraId="77C48FFC" w14:textId="7E339D3A" w:rsidR="00CB737A" w:rsidRPr="00AF08E7" w:rsidRDefault="005C562C" w:rsidP="00CB737A">
          <w:pPr>
            <w:pStyle w:val="TOC2"/>
            <w:tabs>
              <w:tab w:val="left" w:pos="660"/>
              <w:tab w:val="right" w:leader="dot" w:pos="9016"/>
            </w:tabs>
            <w:jc w:val="both"/>
            <w:rPr>
              <w:rFonts w:ascii="Times New Roman" w:hAnsi="Times New Roman" w:cs="Times New Roman"/>
              <w:noProof/>
              <w:sz w:val="24"/>
              <w:szCs w:val="24"/>
            </w:rPr>
          </w:pPr>
          <w:hyperlink w:anchor="_Toc55482060" w:history="1">
            <w:r w:rsidR="00CB737A" w:rsidRPr="00AF08E7">
              <w:rPr>
                <w:rStyle w:val="Hyperlink"/>
                <w:rFonts w:ascii="Times New Roman" w:hAnsi="Times New Roman" w:cs="Times New Roman"/>
                <w:noProof/>
                <w:sz w:val="24"/>
                <w:szCs w:val="24"/>
              </w:rPr>
              <w:t>b)</w:t>
            </w:r>
            <w:r w:rsidR="00CB737A" w:rsidRPr="00AF08E7">
              <w:rPr>
                <w:rFonts w:ascii="Times New Roman" w:hAnsi="Times New Roman" w:cs="Times New Roman"/>
                <w:noProof/>
                <w:sz w:val="24"/>
                <w:szCs w:val="24"/>
              </w:rPr>
              <w:tab/>
            </w:r>
            <w:r w:rsidR="00CB737A" w:rsidRPr="00AF08E7">
              <w:rPr>
                <w:rStyle w:val="Hyperlink"/>
                <w:rFonts w:ascii="Times New Roman" w:hAnsi="Times New Roman" w:cs="Times New Roman"/>
                <w:noProof/>
                <w:sz w:val="24"/>
                <w:szCs w:val="24"/>
              </w:rPr>
              <w:t>Income statement</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_Toc55482060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5</w:t>
            </w:r>
            <w:r w:rsidR="00CB737A" w:rsidRPr="00AF08E7">
              <w:rPr>
                <w:rFonts w:ascii="Times New Roman" w:hAnsi="Times New Roman" w:cs="Times New Roman"/>
                <w:noProof/>
                <w:webHidden/>
                <w:sz w:val="24"/>
                <w:szCs w:val="24"/>
              </w:rPr>
              <w:fldChar w:fldCharType="end"/>
            </w:r>
          </w:hyperlink>
        </w:p>
        <w:p w14:paraId="4AD4A537" w14:textId="1A5A6230" w:rsidR="00CB737A" w:rsidRPr="00AF08E7" w:rsidRDefault="005C562C" w:rsidP="00CB737A">
          <w:pPr>
            <w:pStyle w:val="TOC1"/>
            <w:tabs>
              <w:tab w:val="right" w:leader="dot" w:pos="9016"/>
            </w:tabs>
            <w:jc w:val="both"/>
            <w:rPr>
              <w:rFonts w:ascii="Times New Roman" w:hAnsi="Times New Roman" w:cs="Times New Roman"/>
              <w:noProof/>
              <w:sz w:val="24"/>
              <w:szCs w:val="24"/>
            </w:rPr>
          </w:pPr>
          <w:hyperlink w:anchor="_Toc55482061" w:history="1">
            <w:r w:rsidR="00CB737A" w:rsidRPr="00AF08E7">
              <w:rPr>
                <w:rStyle w:val="Hyperlink"/>
                <w:rFonts w:ascii="Times New Roman" w:hAnsi="Times New Roman" w:cs="Times New Roman"/>
                <w:noProof/>
                <w:sz w:val="24"/>
                <w:szCs w:val="24"/>
              </w:rPr>
              <w:t>Question 2</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_Toc55482061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8</w:t>
            </w:r>
            <w:r w:rsidR="00CB737A" w:rsidRPr="00AF08E7">
              <w:rPr>
                <w:rFonts w:ascii="Times New Roman" w:hAnsi="Times New Roman" w:cs="Times New Roman"/>
                <w:noProof/>
                <w:webHidden/>
                <w:sz w:val="24"/>
                <w:szCs w:val="24"/>
              </w:rPr>
              <w:fldChar w:fldCharType="end"/>
            </w:r>
          </w:hyperlink>
        </w:p>
        <w:p w14:paraId="5AD313C2" w14:textId="7D5FB8C5" w:rsidR="00CB737A" w:rsidRPr="00AF08E7" w:rsidRDefault="005C562C" w:rsidP="00CB737A">
          <w:pPr>
            <w:pStyle w:val="TOC2"/>
            <w:tabs>
              <w:tab w:val="left" w:pos="660"/>
              <w:tab w:val="right" w:leader="dot" w:pos="9016"/>
            </w:tabs>
            <w:jc w:val="both"/>
            <w:rPr>
              <w:rFonts w:ascii="Times New Roman" w:hAnsi="Times New Roman" w:cs="Times New Roman"/>
              <w:noProof/>
              <w:sz w:val="24"/>
              <w:szCs w:val="24"/>
            </w:rPr>
          </w:pPr>
          <w:hyperlink w:anchor="_Toc55482062" w:history="1">
            <w:r w:rsidR="00CB737A" w:rsidRPr="00AF08E7">
              <w:rPr>
                <w:rStyle w:val="Hyperlink"/>
                <w:rFonts w:ascii="Times New Roman" w:hAnsi="Times New Roman" w:cs="Times New Roman"/>
                <w:noProof/>
                <w:sz w:val="24"/>
                <w:szCs w:val="24"/>
              </w:rPr>
              <w:t>a)</w:t>
            </w:r>
            <w:r w:rsidR="00CB737A" w:rsidRPr="00AF08E7">
              <w:rPr>
                <w:rFonts w:ascii="Times New Roman" w:hAnsi="Times New Roman" w:cs="Times New Roman"/>
                <w:noProof/>
                <w:sz w:val="24"/>
                <w:szCs w:val="24"/>
              </w:rPr>
              <w:tab/>
            </w:r>
            <w:r w:rsidR="00CB737A" w:rsidRPr="00AF08E7">
              <w:rPr>
                <w:rStyle w:val="Hyperlink"/>
                <w:rFonts w:ascii="Times New Roman" w:hAnsi="Times New Roman" w:cs="Times New Roman"/>
                <w:noProof/>
                <w:sz w:val="24"/>
                <w:szCs w:val="24"/>
              </w:rPr>
              <w:t>Schedule of ratios of Chocos plc for 2018 and 2019-</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_Toc55482062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8</w:t>
            </w:r>
            <w:r w:rsidR="00CB737A" w:rsidRPr="00AF08E7">
              <w:rPr>
                <w:rFonts w:ascii="Times New Roman" w:hAnsi="Times New Roman" w:cs="Times New Roman"/>
                <w:noProof/>
                <w:webHidden/>
                <w:sz w:val="24"/>
                <w:szCs w:val="24"/>
              </w:rPr>
              <w:fldChar w:fldCharType="end"/>
            </w:r>
          </w:hyperlink>
        </w:p>
        <w:p w14:paraId="6EA9DF14" w14:textId="14CC7BF3" w:rsidR="00CB737A" w:rsidRPr="00AF08E7" w:rsidRDefault="005C562C" w:rsidP="00CB737A">
          <w:pPr>
            <w:pStyle w:val="TOC2"/>
            <w:tabs>
              <w:tab w:val="left" w:pos="660"/>
              <w:tab w:val="right" w:leader="dot" w:pos="9016"/>
            </w:tabs>
            <w:jc w:val="both"/>
            <w:rPr>
              <w:rFonts w:ascii="Times New Roman" w:hAnsi="Times New Roman" w:cs="Times New Roman"/>
              <w:noProof/>
              <w:sz w:val="24"/>
              <w:szCs w:val="24"/>
            </w:rPr>
          </w:pPr>
          <w:hyperlink w:anchor="_Toc55482063" w:history="1">
            <w:r w:rsidR="00CB737A" w:rsidRPr="00AF08E7">
              <w:rPr>
                <w:rStyle w:val="Hyperlink"/>
                <w:rFonts w:ascii="Times New Roman" w:hAnsi="Times New Roman" w:cs="Times New Roman"/>
                <w:noProof/>
                <w:sz w:val="24"/>
                <w:szCs w:val="24"/>
              </w:rPr>
              <w:t>b)</w:t>
            </w:r>
            <w:r w:rsidR="00CB737A" w:rsidRPr="00AF08E7">
              <w:rPr>
                <w:rFonts w:ascii="Times New Roman" w:hAnsi="Times New Roman" w:cs="Times New Roman"/>
                <w:noProof/>
                <w:sz w:val="24"/>
                <w:szCs w:val="24"/>
              </w:rPr>
              <w:tab/>
            </w:r>
            <w:r w:rsidR="00CB737A" w:rsidRPr="00AF08E7">
              <w:rPr>
                <w:rStyle w:val="Hyperlink"/>
                <w:rFonts w:ascii="Times New Roman" w:hAnsi="Times New Roman" w:cs="Times New Roman"/>
                <w:noProof/>
                <w:sz w:val="24"/>
                <w:szCs w:val="24"/>
              </w:rPr>
              <w:t>Analysis of income statement and financial position of Chocos plc-</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_Toc55482063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9</w:t>
            </w:r>
            <w:r w:rsidR="00CB737A" w:rsidRPr="00AF08E7">
              <w:rPr>
                <w:rFonts w:ascii="Times New Roman" w:hAnsi="Times New Roman" w:cs="Times New Roman"/>
                <w:noProof/>
                <w:webHidden/>
                <w:sz w:val="24"/>
                <w:szCs w:val="24"/>
              </w:rPr>
              <w:fldChar w:fldCharType="end"/>
            </w:r>
          </w:hyperlink>
        </w:p>
        <w:p w14:paraId="05DFE7CC" w14:textId="26357542" w:rsidR="00CB737A" w:rsidRPr="00AF08E7" w:rsidRDefault="005C562C" w:rsidP="00CB737A">
          <w:pPr>
            <w:pStyle w:val="TOC1"/>
            <w:tabs>
              <w:tab w:val="right" w:leader="dot" w:pos="9016"/>
            </w:tabs>
            <w:jc w:val="both"/>
            <w:rPr>
              <w:rFonts w:ascii="Times New Roman" w:hAnsi="Times New Roman" w:cs="Times New Roman"/>
              <w:noProof/>
              <w:sz w:val="24"/>
              <w:szCs w:val="24"/>
            </w:rPr>
          </w:pPr>
          <w:hyperlink w:anchor="_Toc55482064" w:history="1">
            <w:r w:rsidR="00CB737A" w:rsidRPr="00AF08E7">
              <w:rPr>
                <w:rStyle w:val="Hyperlink"/>
                <w:rFonts w:ascii="Times New Roman" w:hAnsi="Times New Roman" w:cs="Times New Roman"/>
                <w:noProof/>
                <w:sz w:val="24"/>
                <w:szCs w:val="24"/>
              </w:rPr>
              <w:t>Conclusion-</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_Toc55482064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13</w:t>
            </w:r>
            <w:r w:rsidR="00CB737A" w:rsidRPr="00AF08E7">
              <w:rPr>
                <w:rFonts w:ascii="Times New Roman" w:hAnsi="Times New Roman" w:cs="Times New Roman"/>
                <w:noProof/>
                <w:webHidden/>
                <w:sz w:val="24"/>
                <w:szCs w:val="24"/>
              </w:rPr>
              <w:fldChar w:fldCharType="end"/>
            </w:r>
          </w:hyperlink>
        </w:p>
        <w:p w14:paraId="79CC3561" w14:textId="4EF380AC" w:rsidR="00CB737A" w:rsidRPr="00AF08E7" w:rsidRDefault="005C562C" w:rsidP="00CB737A">
          <w:pPr>
            <w:pStyle w:val="TOC1"/>
            <w:tabs>
              <w:tab w:val="right" w:leader="dot" w:pos="9016"/>
            </w:tabs>
            <w:jc w:val="both"/>
            <w:rPr>
              <w:rFonts w:ascii="Times New Roman" w:hAnsi="Times New Roman" w:cs="Times New Roman"/>
              <w:noProof/>
              <w:sz w:val="24"/>
              <w:szCs w:val="24"/>
            </w:rPr>
          </w:pPr>
          <w:hyperlink w:anchor="_Toc55482065" w:history="1">
            <w:r w:rsidR="00CB737A" w:rsidRPr="00AF08E7">
              <w:rPr>
                <w:rStyle w:val="Hyperlink"/>
                <w:rFonts w:ascii="Times New Roman" w:hAnsi="Times New Roman" w:cs="Times New Roman"/>
                <w:noProof/>
                <w:sz w:val="24"/>
                <w:szCs w:val="24"/>
              </w:rPr>
              <w:t>References-</w:t>
            </w:r>
            <w:r w:rsidR="00CB737A" w:rsidRPr="00AF08E7">
              <w:rPr>
                <w:rFonts w:ascii="Times New Roman" w:hAnsi="Times New Roman" w:cs="Times New Roman"/>
                <w:noProof/>
                <w:webHidden/>
                <w:sz w:val="24"/>
                <w:szCs w:val="24"/>
              </w:rPr>
              <w:tab/>
            </w:r>
            <w:r w:rsidR="00CB737A" w:rsidRPr="00AF08E7">
              <w:rPr>
                <w:rFonts w:ascii="Times New Roman" w:hAnsi="Times New Roman" w:cs="Times New Roman"/>
                <w:noProof/>
                <w:webHidden/>
                <w:sz w:val="24"/>
                <w:szCs w:val="24"/>
              </w:rPr>
              <w:fldChar w:fldCharType="begin"/>
            </w:r>
            <w:r w:rsidR="00CB737A" w:rsidRPr="00AF08E7">
              <w:rPr>
                <w:rFonts w:ascii="Times New Roman" w:hAnsi="Times New Roman" w:cs="Times New Roman"/>
                <w:noProof/>
                <w:webHidden/>
                <w:sz w:val="24"/>
                <w:szCs w:val="24"/>
              </w:rPr>
              <w:instrText xml:space="preserve"> PAGEREF _Toc55482065 \h </w:instrText>
            </w:r>
            <w:r w:rsidR="00CB737A" w:rsidRPr="00AF08E7">
              <w:rPr>
                <w:rFonts w:ascii="Times New Roman" w:hAnsi="Times New Roman" w:cs="Times New Roman"/>
                <w:noProof/>
                <w:webHidden/>
                <w:sz w:val="24"/>
                <w:szCs w:val="24"/>
              </w:rPr>
            </w:r>
            <w:r w:rsidR="00CB737A" w:rsidRPr="00AF08E7">
              <w:rPr>
                <w:rFonts w:ascii="Times New Roman" w:hAnsi="Times New Roman" w:cs="Times New Roman"/>
                <w:noProof/>
                <w:webHidden/>
                <w:sz w:val="24"/>
                <w:szCs w:val="24"/>
              </w:rPr>
              <w:fldChar w:fldCharType="separate"/>
            </w:r>
            <w:r w:rsidR="00CB737A" w:rsidRPr="00AF08E7">
              <w:rPr>
                <w:rFonts w:ascii="Times New Roman" w:hAnsi="Times New Roman" w:cs="Times New Roman"/>
                <w:noProof/>
                <w:webHidden/>
                <w:sz w:val="24"/>
                <w:szCs w:val="24"/>
              </w:rPr>
              <w:t>14</w:t>
            </w:r>
            <w:r w:rsidR="00CB737A" w:rsidRPr="00AF08E7">
              <w:rPr>
                <w:rFonts w:ascii="Times New Roman" w:hAnsi="Times New Roman" w:cs="Times New Roman"/>
                <w:noProof/>
                <w:webHidden/>
                <w:sz w:val="24"/>
                <w:szCs w:val="24"/>
              </w:rPr>
              <w:fldChar w:fldCharType="end"/>
            </w:r>
          </w:hyperlink>
        </w:p>
        <w:p w14:paraId="63617659" w14:textId="6E9C323B" w:rsidR="00CB737A" w:rsidRPr="00AF08E7" w:rsidRDefault="00CB737A" w:rsidP="00CB737A">
          <w:pPr>
            <w:jc w:val="both"/>
            <w:rPr>
              <w:rFonts w:ascii="Times New Roman" w:hAnsi="Times New Roman" w:cs="Times New Roman"/>
              <w:sz w:val="24"/>
              <w:szCs w:val="24"/>
            </w:rPr>
          </w:pPr>
          <w:r w:rsidRPr="00AF08E7">
            <w:rPr>
              <w:rFonts w:ascii="Times New Roman" w:hAnsi="Times New Roman" w:cs="Times New Roman"/>
              <w:b/>
              <w:bCs/>
              <w:noProof/>
              <w:sz w:val="24"/>
              <w:szCs w:val="24"/>
            </w:rPr>
            <w:fldChar w:fldCharType="end"/>
          </w:r>
        </w:p>
      </w:sdtContent>
    </w:sdt>
    <w:p w14:paraId="30D18007" w14:textId="6B1FFEBE" w:rsidR="003127C3" w:rsidRPr="00AF08E7" w:rsidRDefault="003127C3" w:rsidP="00CB737A">
      <w:pPr>
        <w:jc w:val="both"/>
        <w:rPr>
          <w:rFonts w:ascii="Times New Roman" w:hAnsi="Times New Roman" w:cs="Times New Roman"/>
          <w:sz w:val="24"/>
          <w:szCs w:val="24"/>
        </w:rPr>
      </w:pPr>
    </w:p>
    <w:p w14:paraId="70295DFD" w14:textId="77777777" w:rsidR="003127C3" w:rsidRPr="00AF08E7" w:rsidRDefault="003127C3"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7E079DC1" w14:textId="77777777" w:rsidR="009A6DF0" w:rsidRPr="00AF08E7" w:rsidRDefault="009A6DF0" w:rsidP="00CB737A">
      <w:pPr>
        <w:pStyle w:val="Heading1"/>
        <w:jc w:val="both"/>
        <w:rPr>
          <w:rFonts w:cs="Times New Roman"/>
          <w:sz w:val="24"/>
          <w:szCs w:val="24"/>
        </w:rPr>
      </w:pPr>
      <w:bookmarkStart w:id="0" w:name="_Toc55482057"/>
      <w:r w:rsidRPr="00AF08E7">
        <w:rPr>
          <w:rFonts w:cs="Times New Roman"/>
          <w:sz w:val="24"/>
          <w:szCs w:val="24"/>
        </w:rPr>
        <w:lastRenderedPageBreak/>
        <w:t>Introduction-</w:t>
      </w:r>
      <w:bookmarkEnd w:id="0"/>
    </w:p>
    <w:p w14:paraId="053BF638" w14:textId="36B8DFBB" w:rsidR="009A6DF0" w:rsidRPr="00AF08E7" w:rsidRDefault="009A6DF0" w:rsidP="00CB737A">
      <w:pPr>
        <w:jc w:val="both"/>
        <w:rPr>
          <w:rFonts w:ascii="Times New Roman" w:hAnsi="Times New Roman" w:cs="Times New Roman"/>
          <w:sz w:val="24"/>
          <w:szCs w:val="24"/>
        </w:rPr>
      </w:pPr>
      <w:r w:rsidRPr="00AF08E7">
        <w:rPr>
          <w:rFonts w:ascii="Times New Roman" w:hAnsi="Times New Roman" w:cs="Times New Roman"/>
          <w:sz w:val="24"/>
          <w:szCs w:val="24"/>
        </w:rPr>
        <w:t xml:space="preserve">This report </w:t>
      </w:r>
      <w:r w:rsidR="009F4823" w:rsidRPr="00AF08E7">
        <w:rPr>
          <w:rFonts w:ascii="Times New Roman" w:hAnsi="Times New Roman" w:cs="Times New Roman"/>
          <w:sz w:val="24"/>
          <w:szCs w:val="24"/>
        </w:rPr>
        <w:t xml:space="preserve">aims to </w:t>
      </w:r>
      <w:r w:rsidRPr="00AF08E7">
        <w:rPr>
          <w:rFonts w:ascii="Times New Roman" w:hAnsi="Times New Roman" w:cs="Times New Roman"/>
          <w:sz w:val="24"/>
          <w:szCs w:val="24"/>
        </w:rPr>
        <w:t xml:space="preserve"> analysis financial factors and the financial situation of </w:t>
      </w:r>
      <w:r w:rsidR="009F4823" w:rsidRPr="00AF08E7">
        <w:rPr>
          <w:rFonts w:ascii="Times New Roman" w:hAnsi="Times New Roman" w:cs="Times New Roman"/>
          <w:sz w:val="24"/>
          <w:szCs w:val="24"/>
        </w:rPr>
        <w:t xml:space="preserve"> Eccles plc </w:t>
      </w:r>
      <w:r w:rsidRPr="00AF08E7">
        <w:rPr>
          <w:rFonts w:ascii="Times New Roman" w:hAnsi="Times New Roman" w:cs="Times New Roman"/>
          <w:sz w:val="24"/>
          <w:szCs w:val="24"/>
        </w:rPr>
        <w:t xml:space="preserve">in their respective given situation. This report is the analysis of the financial statement and their relevance for the users of financial statement. It also defines the needs the users have for using the financial statements of a company. In </w:t>
      </w:r>
      <w:r w:rsidR="00806D9F" w:rsidRPr="00AF08E7">
        <w:rPr>
          <w:rFonts w:ascii="Times New Roman" w:hAnsi="Times New Roman" w:cs="Times New Roman"/>
          <w:sz w:val="24"/>
          <w:szCs w:val="24"/>
        </w:rPr>
        <w:t>this ana</w:t>
      </w:r>
      <w:r w:rsidRPr="00AF08E7">
        <w:rPr>
          <w:rFonts w:ascii="Times New Roman" w:hAnsi="Times New Roman" w:cs="Times New Roman"/>
          <w:sz w:val="24"/>
          <w:szCs w:val="24"/>
        </w:rPr>
        <w:t xml:space="preserve">lysis inclusion of </w:t>
      </w:r>
      <w:r w:rsidR="00806D9F" w:rsidRPr="00AF08E7">
        <w:rPr>
          <w:rFonts w:ascii="Times New Roman" w:hAnsi="Times New Roman" w:cs="Times New Roman"/>
          <w:sz w:val="24"/>
          <w:szCs w:val="24"/>
        </w:rPr>
        <w:t>various principles of financial statement and their usage while preparing the same is also been discussed. This analysis also includes the issues that can be or are faced during the preparation and presentation of financial statements. The relevance of the chosen accounting policies by the management as per the needs and procedure of the company is also been discussed. In both the given situation the financial statement have been analysed and discussed along with their interpretation also. These interpreted financial statement have been discussed and analysed and respective and needed calculations have also been made. In the second part of this report the ratios have also been calculated for the situations</w:t>
      </w:r>
      <w:r w:rsidR="009F4823" w:rsidRPr="00AF08E7">
        <w:rPr>
          <w:rFonts w:ascii="Times New Roman" w:hAnsi="Times New Roman" w:cs="Times New Roman"/>
          <w:sz w:val="24"/>
          <w:szCs w:val="24"/>
        </w:rPr>
        <w:t>.</w:t>
      </w:r>
    </w:p>
    <w:p w14:paraId="6861749E" w14:textId="77777777" w:rsidR="009A6DF0" w:rsidRPr="00AF08E7" w:rsidRDefault="009A6DF0"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7DC3CD07" w14:textId="77777777" w:rsidR="00E647C4" w:rsidRPr="00AF08E7" w:rsidRDefault="00A231D2" w:rsidP="00CB737A">
      <w:pPr>
        <w:pStyle w:val="Heading1"/>
        <w:jc w:val="both"/>
        <w:rPr>
          <w:rFonts w:cs="Times New Roman"/>
          <w:sz w:val="24"/>
          <w:szCs w:val="24"/>
        </w:rPr>
      </w:pPr>
      <w:bookmarkStart w:id="1" w:name="_Toc55482058"/>
      <w:r w:rsidRPr="00AF08E7">
        <w:rPr>
          <w:rFonts w:cs="Times New Roman"/>
          <w:sz w:val="24"/>
          <w:szCs w:val="24"/>
        </w:rPr>
        <w:lastRenderedPageBreak/>
        <w:t>Question 1-</w:t>
      </w:r>
      <w:bookmarkEnd w:id="1"/>
    </w:p>
    <w:p w14:paraId="5B9D7A81" w14:textId="77777777" w:rsidR="00DB290E" w:rsidRPr="00AF08E7" w:rsidRDefault="00DB290E" w:rsidP="00CB737A">
      <w:pPr>
        <w:jc w:val="both"/>
        <w:rPr>
          <w:rFonts w:ascii="Times New Roman" w:hAnsi="Times New Roman" w:cs="Times New Roman"/>
          <w:sz w:val="24"/>
          <w:szCs w:val="24"/>
        </w:rPr>
      </w:pPr>
    </w:p>
    <w:p w14:paraId="43719588" w14:textId="77777777" w:rsidR="00DB290E" w:rsidRPr="00AF08E7" w:rsidRDefault="00DB290E" w:rsidP="00CB737A">
      <w:pPr>
        <w:pStyle w:val="Heading2"/>
        <w:numPr>
          <w:ilvl w:val="0"/>
          <w:numId w:val="5"/>
        </w:numPr>
        <w:jc w:val="both"/>
        <w:rPr>
          <w:rFonts w:cs="Times New Roman"/>
          <w:sz w:val="24"/>
          <w:szCs w:val="24"/>
        </w:rPr>
      </w:pPr>
      <w:bookmarkStart w:id="2" w:name="_Toc55482059"/>
      <w:r w:rsidRPr="00AF08E7">
        <w:rPr>
          <w:rFonts w:cs="Times New Roman"/>
          <w:sz w:val="24"/>
          <w:szCs w:val="24"/>
        </w:rPr>
        <w:t>Preparation of financial statements-</w:t>
      </w:r>
      <w:bookmarkEnd w:id="2"/>
    </w:p>
    <w:p w14:paraId="7782671B" w14:textId="77777777" w:rsidR="00A231D2" w:rsidRPr="00AF08E7" w:rsidRDefault="00A231D2" w:rsidP="00CB737A">
      <w:pPr>
        <w:jc w:val="both"/>
        <w:rPr>
          <w:rFonts w:ascii="Times New Roman" w:hAnsi="Times New Roman" w:cs="Times New Roman"/>
          <w:sz w:val="24"/>
          <w:szCs w:val="24"/>
        </w:rPr>
      </w:pPr>
    </w:p>
    <w:tbl>
      <w:tblPr>
        <w:tblW w:w="4960" w:type="dxa"/>
        <w:tblLook w:val="04A0" w:firstRow="1" w:lastRow="0" w:firstColumn="1" w:lastColumn="0" w:noHBand="0" w:noVBand="1"/>
      </w:tblPr>
      <w:tblGrid>
        <w:gridCol w:w="1056"/>
        <w:gridCol w:w="943"/>
        <w:gridCol w:w="2097"/>
        <w:gridCol w:w="960"/>
      </w:tblGrid>
      <w:tr w:rsidR="00A2440D" w:rsidRPr="00AF08E7" w14:paraId="639F5DAD" w14:textId="77777777" w:rsidTr="00A2440D">
        <w:trPr>
          <w:trHeight w:val="288"/>
        </w:trPr>
        <w:tc>
          <w:tcPr>
            <w:tcW w:w="960" w:type="dxa"/>
            <w:tcBorders>
              <w:top w:val="single" w:sz="8" w:space="0" w:color="auto"/>
              <w:left w:val="single" w:sz="8" w:space="0" w:color="auto"/>
              <w:bottom w:val="nil"/>
              <w:right w:val="nil"/>
            </w:tcBorders>
            <w:shd w:val="clear" w:color="auto" w:fill="auto"/>
            <w:noWrap/>
            <w:vAlign w:val="bottom"/>
            <w:hideMark/>
          </w:tcPr>
          <w:p w14:paraId="60BA7BCE"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3040" w:type="dxa"/>
            <w:gridSpan w:val="2"/>
            <w:tcBorders>
              <w:top w:val="single" w:sz="8" w:space="0" w:color="auto"/>
              <w:left w:val="nil"/>
              <w:bottom w:val="nil"/>
              <w:right w:val="nil"/>
            </w:tcBorders>
            <w:shd w:val="clear" w:color="auto" w:fill="auto"/>
            <w:noWrap/>
            <w:vAlign w:val="bottom"/>
            <w:hideMark/>
          </w:tcPr>
          <w:p w14:paraId="6D2C778F"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profit and loss account</w:t>
            </w:r>
          </w:p>
        </w:tc>
        <w:tc>
          <w:tcPr>
            <w:tcW w:w="960" w:type="dxa"/>
            <w:tcBorders>
              <w:top w:val="single" w:sz="8" w:space="0" w:color="auto"/>
              <w:left w:val="nil"/>
              <w:bottom w:val="nil"/>
              <w:right w:val="single" w:sz="8" w:space="0" w:color="auto"/>
            </w:tcBorders>
            <w:shd w:val="clear" w:color="auto" w:fill="auto"/>
            <w:noWrap/>
            <w:vAlign w:val="bottom"/>
            <w:hideMark/>
          </w:tcPr>
          <w:p w14:paraId="5DF38E1A"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A2440D" w:rsidRPr="00AF08E7" w14:paraId="1CBA6792"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73D994B4"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(A) Revenue</w:t>
            </w:r>
          </w:p>
        </w:tc>
        <w:tc>
          <w:tcPr>
            <w:tcW w:w="2097" w:type="dxa"/>
            <w:tcBorders>
              <w:top w:val="nil"/>
              <w:left w:val="nil"/>
              <w:bottom w:val="nil"/>
              <w:right w:val="nil"/>
            </w:tcBorders>
            <w:shd w:val="clear" w:color="auto" w:fill="auto"/>
            <w:noWrap/>
            <w:vAlign w:val="bottom"/>
            <w:hideMark/>
          </w:tcPr>
          <w:p w14:paraId="7D2ABBF1"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6B7904CF"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A2440D" w:rsidRPr="00AF08E7" w14:paraId="55E2EC3E" w14:textId="77777777" w:rsidTr="00A2440D">
        <w:trPr>
          <w:trHeight w:val="288"/>
        </w:trPr>
        <w:tc>
          <w:tcPr>
            <w:tcW w:w="4000" w:type="dxa"/>
            <w:gridSpan w:val="3"/>
            <w:tcBorders>
              <w:top w:val="nil"/>
              <w:left w:val="single" w:sz="8" w:space="0" w:color="auto"/>
              <w:bottom w:val="nil"/>
              <w:right w:val="nil"/>
            </w:tcBorders>
            <w:shd w:val="clear" w:color="auto" w:fill="auto"/>
            <w:noWrap/>
            <w:vAlign w:val="bottom"/>
            <w:hideMark/>
          </w:tcPr>
          <w:p w14:paraId="362414F2"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revenue from operations</w:t>
            </w:r>
          </w:p>
        </w:tc>
        <w:tc>
          <w:tcPr>
            <w:tcW w:w="960" w:type="dxa"/>
            <w:tcBorders>
              <w:top w:val="nil"/>
              <w:left w:val="nil"/>
              <w:bottom w:val="nil"/>
              <w:right w:val="single" w:sz="8" w:space="0" w:color="auto"/>
            </w:tcBorders>
            <w:shd w:val="clear" w:color="auto" w:fill="auto"/>
            <w:noWrap/>
            <w:vAlign w:val="bottom"/>
            <w:hideMark/>
          </w:tcPr>
          <w:p w14:paraId="214457A4"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827630</w:t>
            </w:r>
          </w:p>
        </w:tc>
      </w:tr>
      <w:tr w:rsidR="00A2440D" w:rsidRPr="00AF08E7" w14:paraId="25B7C82F"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7D8DF32B"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Total revenue</w:t>
            </w:r>
          </w:p>
        </w:tc>
        <w:tc>
          <w:tcPr>
            <w:tcW w:w="2097" w:type="dxa"/>
            <w:tcBorders>
              <w:top w:val="nil"/>
              <w:left w:val="nil"/>
              <w:bottom w:val="nil"/>
              <w:right w:val="nil"/>
            </w:tcBorders>
            <w:shd w:val="clear" w:color="auto" w:fill="auto"/>
            <w:noWrap/>
            <w:vAlign w:val="bottom"/>
            <w:hideMark/>
          </w:tcPr>
          <w:p w14:paraId="49B6A0FF"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7E4B318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827630</w:t>
            </w:r>
          </w:p>
        </w:tc>
      </w:tr>
      <w:tr w:rsidR="00A2440D" w:rsidRPr="00AF08E7" w14:paraId="3B126653" w14:textId="77777777" w:rsidTr="00A2440D">
        <w:trPr>
          <w:trHeight w:val="288"/>
        </w:trPr>
        <w:tc>
          <w:tcPr>
            <w:tcW w:w="960" w:type="dxa"/>
            <w:tcBorders>
              <w:top w:val="nil"/>
              <w:left w:val="single" w:sz="8" w:space="0" w:color="auto"/>
              <w:bottom w:val="nil"/>
              <w:right w:val="nil"/>
            </w:tcBorders>
            <w:shd w:val="clear" w:color="auto" w:fill="auto"/>
            <w:noWrap/>
            <w:vAlign w:val="bottom"/>
            <w:hideMark/>
          </w:tcPr>
          <w:p w14:paraId="16877923"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943" w:type="dxa"/>
            <w:tcBorders>
              <w:top w:val="nil"/>
              <w:left w:val="nil"/>
              <w:bottom w:val="nil"/>
              <w:right w:val="nil"/>
            </w:tcBorders>
            <w:shd w:val="clear" w:color="auto" w:fill="auto"/>
            <w:noWrap/>
            <w:vAlign w:val="bottom"/>
            <w:hideMark/>
          </w:tcPr>
          <w:p w14:paraId="663EE0D2"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2097" w:type="dxa"/>
            <w:tcBorders>
              <w:top w:val="nil"/>
              <w:left w:val="nil"/>
              <w:bottom w:val="nil"/>
              <w:right w:val="nil"/>
            </w:tcBorders>
            <w:shd w:val="clear" w:color="auto" w:fill="auto"/>
            <w:noWrap/>
            <w:vAlign w:val="bottom"/>
            <w:hideMark/>
          </w:tcPr>
          <w:p w14:paraId="1543BF78"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631516A3"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440D" w:rsidRPr="00AF08E7" w14:paraId="2BBCD8F7"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4BEC4256"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(b) Expenses</w:t>
            </w:r>
          </w:p>
        </w:tc>
        <w:tc>
          <w:tcPr>
            <w:tcW w:w="2097" w:type="dxa"/>
            <w:tcBorders>
              <w:top w:val="nil"/>
              <w:left w:val="nil"/>
              <w:bottom w:val="nil"/>
              <w:right w:val="nil"/>
            </w:tcBorders>
            <w:shd w:val="clear" w:color="auto" w:fill="auto"/>
            <w:noWrap/>
            <w:vAlign w:val="bottom"/>
            <w:hideMark/>
          </w:tcPr>
          <w:p w14:paraId="41B9C252"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0E609EE8"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440D" w:rsidRPr="00AF08E7" w14:paraId="73C89076"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06DC356E"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cost of sales</w:t>
            </w:r>
          </w:p>
        </w:tc>
        <w:tc>
          <w:tcPr>
            <w:tcW w:w="2097" w:type="dxa"/>
            <w:tcBorders>
              <w:top w:val="nil"/>
              <w:left w:val="nil"/>
              <w:bottom w:val="nil"/>
              <w:right w:val="nil"/>
            </w:tcBorders>
            <w:shd w:val="clear" w:color="auto" w:fill="auto"/>
            <w:noWrap/>
            <w:vAlign w:val="bottom"/>
            <w:hideMark/>
          </w:tcPr>
          <w:p w14:paraId="48FA6B31"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49EF1369"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578650</w:t>
            </w:r>
          </w:p>
        </w:tc>
      </w:tr>
      <w:tr w:rsidR="00A2440D" w:rsidRPr="00AF08E7" w14:paraId="67F7C10E" w14:textId="77777777" w:rsidTr="00A2440D">
        <w:trPr>
          <w:trHeight w:val="288"/>
        </w:trPr>
        <w:tc>
          <w:tcPr>
            <w:tcW w:w="4000" w:type="dxa"/>
            <w:gridSpan w:val="3"/>
            <w:tcBorders>
              <w:top w:val="nil"/>
              <w:left w:val="single" w:sz="8" w:space="0" w:color="auto"/>
              <w:bottom w:val="nil"/>
              <w:right w:val="nil"/>
            </w:tcBorders>
            <w:shd w:val="clear" w:color="auto" w:fill="auto"/>
            <w:noWrap/>
            <w:vAlign w:val="bottom"/>
            <w:hideMark/>
          </w:tcPr>
          <w:p w14:paraId="705AFF97"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administration expenses</w:t>
            </w:r>
          </w:p>
        </w:tc>
        <w:tc>
          <w:tcPr>
            <w:tcW w:w="960" w:type="dxa"/>
            <w:tcBorders>
              <w:top w:val="nil"/>
              <w:left w:val="nil"/>
              <w:bottom w:val="nil"/>
              <w:right w:val="single" w:sz="8" w:space="0" w:color="auto"/>
            </w:tcBorders>
            <w:shd w:val="clear" w:color="auto" w:fill="auto"/>
            <w:noWrap/>
            <w:vAlign w:val="bottom"/>
            <w:hideMark/>
          </w:tcPr>
          <w:p w14:paraId="6E0C4674"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30000</w:t>
            </w:r>
          </w:p>
        </w:tc>
      </w:tr>
      <w:tr w:rsidR="00A2440D" w:rsidRPr="00AF08E7" w14:paraId="68997F78"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26B62C1A"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interest paid</w:t>
            </w:r>
          </w:p>
        </w:tc>
        <w:tc>
          <w:tcPr>
            <w:tcW w:w="2097" w:type="dxa"/>
            <w:tcBorders>
              <w:top w:val="nil"/>
              <w:left w:val="nil"/>
              <w:bottom w:val="nil"/>
              <w:right w:val="nil"/>
            </w:tcBorders>
            <w:shd w:val="clear" w:color="auto" w:fill="auto"/>
            <w:noWrap/>
            <w:vAlign w:val="bottom"/>
            <w:hideMark/>
          </w:tcPr>
          <w:p w14:paraId="35C6982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1EC78DD9"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2000</w:t>
            </w:r>
          </w:p>
        </w:tc>
      </w:tr>
      <w:tr w:rsidR="00A2440D" w:rsidRPr="00AF08E7" w14:paraId="49266077" w14:textId="77777777" w:rsidTr="00A2440D">
        <w:trPr>
          <w:trHeight w:val="288"/>
        </w:trPr>
        <w:tc>
          <w:tcPr>
            <w:tcW w:w="4000" w:type="dxa"/>
            <w:gridSpan w:val="3"/>
            <w:tcBorders>
              <w:top w:val="nil"/>
              <w:left w:val="single" w:sz="8" w:space="0" w:color="auto"/>
              <w:bottom w:val="nil"/>
              <w:right w:val="nil"/>
            </w:tcBorders>
            <w:shd w:val="clear" w:color="auto" w:fill="auto"/>
            <w:noWrap/>
            <w:vAlign w:val="bottom"/>
            <w:hideMark/>
          </w:tcPr>
          <w:p w14:paraId="63BBFCED"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directors remuneration</w:t>
            </w:r>
          </w:p>
        </w:tc>
        <w:tc>
          <w:tcPr>
            <w:tcW w:w="960" w:type="dxa"/>
            <w:tcBorders>
              <w:top w:val="nil"/>
              <w:left w:val="nil"/>
              <w:bottom w:val="nil"/>
              <w:right w:val="single" w:sz="8" w:space="0" w:color="auto"/>
            </w:tcBorders>
            <w:shd w:val="clear" w:color="auto" w:fill="auto"/>
            <w:noWrap/>
            <w:vAlign w:val="bottom"/>
            <w:hideMark/>
          </w:tcPr>
          <w:p w14:paraId="3DE3043D"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5000</w:t>
            </w:r>
          </w:p>
        </w:tc>
      </w:tr>
      <w:tr w:rsidR="00A2440D" w:rsidRPr="00AF08E7" w14:paraId="0190845B"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604F99EF"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distribution cost</w:t>
            </w:r>
          </w:p>
        </w:tc>
        <w:tc>
          <w:tcPr>
            <w:tcW w:w="2097" w:type="dxa"/>
            <w:tcBorders>
              <w:top w:val="nil"/>
              <w:left w:val="nil"/>
              <w:bottom w:val="nil"/>
              <w:right w:val="nil"/>
            </w:tcBorders>
            <w:shd w:val="clear" w:color="auto" w:fill="auto"/>
            <w:noWrap/>
            <w:vAlign w:val="bottom"/>
            <w:hideMark/>
          </w:tcPr>
          <w:p w14:paraId="68D1447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3F3C2627"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28000</w:t>
            </w:r>
          </w:p>
        </w:tc>
      </w:tr>
      <w:tr w:rsidR="00A2440D" w:rsidRPr="00AF08E7" w14:paraId="3E37A5D8"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203256E6"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preference dividend</w:t>
            </w:r>
          </w:p>
        </w:tc>
        <w:tc>
          <w:tcPr>
            <w:tcW w:w="2097" w:type="dxa"/>
            <w:tcBorders>
              <w:top w:val="nil"/>
              <w:left w:val="nil"/>
              <w:bottom w:val="nil"/>
              <w:right w:val="nil"/>
            </w:tcBorders>
            <w:shd w:val="clear" w:color="auto" w:fill="auto"/>
            <w:noWrap/>
            <w:vAlign w:val="bottom"/>
            <w:hideMark/>
          </w:tcPr>
          <w:p w14:paraId="463C861B"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1AF182E7"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30000</w:t>
            </w:r>
          </w:p>
        </w:tc>
      </w:tr>
      <w:tr w:rsidR="00A2440D" w:rsidRPr="00AF08E7" w14:paraId="565B4343" w14:textId="77777777" w:rsidTr="00A2440D">
        <w:trPr>
          <w:trHeight w:val="288"/>
        </w:trPr>
        <w:tc>
          <w:tcPr>
            <w:tcW w:w="960" w:type="dxa"/>
            <w:tcBorders>
              <w:top w:val="nil"/>
              <w:left w:val="single" w:sz="8" w:space="0" w:color="auto"/>
              <w:bottom w:val="nil"/>
              <w:right w:val="nil"/>
            </w:tcBorders>
            <w:shd w:val="clear" w:color="auto" w:fill="auto"/>
            <w:noWrap/>
            <w:vAlign w:val="bottom"/>
            <w:hideMark/>
          </w:tcPr>
          <w:p w14:paraId="77E225B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dividend</w:t>
            </w:r>
          </w:p>
        </w:tc>
        <w:tc>
          <w:tcPr>
            <w:tcW w:w="943" w:type="dxa"/>
            <w:tcBorders>
              <w:top w:val="nil"/>
              <w:left w:val="nil"/>
              <w:bottom w:val="nil"/>
              <w:right w:val="nil"/>
            </w:tcBorders>
            <w:shd w:val="clear" w:color="auto" w:fill="auto"/>
            <w:noWrap/>
            <w:vAlign w:val="bottom"/>
            <w:hideMark/>
          </w:tcPr>
          <w:p w14:paraId="39CD9394"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2097" w:type="dxa"/>
            <w:tcBorders>
              <w:top w:val="nil"/>
              <w:left w:val="nil"/>
              <w:bottom w:val="nil"/>
              <w:right w:val="nil"/>
            </w:tcBorders>
            <w:shd w:val="clear" w:color="auto" w:fill="auto"/>
            <w:noWrap/>
            <w:vAlign w:val="bottom"/>
            <w:hideMark/>
          </w:tcPr>
          <w:p w14:paraId="1EA3744D"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7FB17826"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20000</w:t>
            </w:r>
          </w:p>
        </w:tc>
      </w:tr>
      <w:tr w:rsidR="00A2440D" w:rsidRPr="00AF08E7" w14:paraId="7BA32152"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06304C1E"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sales commission</w:t>
            </w:r>
          </w:p>
        </w:tc>
        <w:tc>
          <w:tcPr>
            <w:tcW w:w="2097" w:type="dxa"/>
            <w:tcBorders>
              <w:top w:val="nil"/>
              <w:left w:val="nil"/>
              <w:bottom w:val="nil"/>
              <w:right w:val="nil"/>
            </w:tcBorders>
            <w:shd w:val="clear" w:color="auto" w:fill="auto"/>
            <w:noWrap/>
            <w:vAlign w:val="bottom"/>
            <w:hideMark/>
          </w:tcPr>
          <w:p w14:paraId="05E4C829"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34DF7548"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3000</w:t>
            </w:r>
          </w:p>
        </w:tc>
      </w:tr>
      <w:tr w:rsidR="00A2440D" w:rsidRPr="00AF08E7" w14:paraId="65454CB0"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3C4242A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Total expenses</w:t>
            </w:r>
          </w:p>
        </w:tc>
        <w:tc>
          <w:tcPr>
            <w:tcW w:w="2097" w:type="dxa"/>
            <w:tcBorders>
              <w:top w:val="nil"/>
              <w:left w:val="nil"/>
              <w:bottom w:val="nil"/>
              <w:right w:val="nil"/>
            </w:tcBorders>
            <w:shd w:val="clear" w:color="auto" w:fill="auto"/>
            <w:noWrap/>
            <w:vAlign w:val="bottom"/>
            <w:hideMark/>
          </w:tcPr>
          <w:p w14:paraId="5503978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05D8B28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696650</w:t>
            </w:r>
          </w:p>
        </w:tc>
      </w:tr>
      <w:tr w:rsidR="00A2440D" w:rsidRPr="00AF08E7" w14:paraId="75F156D0" w14:textId="77777777" w:rsidTr="00A2440D">
        <w:trPr>
          <w:trHeight w:val="288"/>
        </w:trPr>
        <w:tc>
          <w:tcPr>
            <w:tcW w:w="960" w:type="dxa"/>
            <w:tcBorders>
              <w:top w:val="nil"/>
              <w:left w:val="single" w:sz="8" w:space="0" w:color="auto"/>
              <w:bottom w:val="nil"/>
              <w:right w:val="nil"/>
            </w:tcBorders>
            <w:shd w:val="clear" w:color="auto" w:fill="auto"/>
            <w:noWrap/>
            <w:vAlign w:val="bottom"/>
            <w:hideMark/>
          </w:tcPr>
          <w:p w14:paraId="2E9BFADE"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943" w:type="dxa"/>
            <w:tcBorders>
              <w:top w:val="nil"/>
              <w:left w:val="nil"/>
              <w:bottom w:val="nil"/>
              <w:right w:val="nil"/>
            </w:tcBorders>
            <w:shd w:val="clear" w:color="auto" w:fill="auto"/>
            <w:noWrap/>
            <w:vAlign w:val="bottom"/>
            <w:hideMark/>
          </w:tcPr>
          <w:p w14:paraId="30F3E4F3"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2097" w:type="dxa"/>
            <w:tcBorders>
              <w:top w:val="nil"/>
              <w:left w:val="nil"/>
              <w:bottom w:val="nil"/>
              <w:right w:val="nil"/>
            </w:tcBorders>
            <w:shd w:val="clear" w:color="auto" w:fill="auto"/>
            <w:noWrap/>
            <w:vAlign w:val="bottom"/>
            <w:hideMark/>
          </w:tcPr>
          <w:p w14:paraId="17A31100"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65CFF4DB"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440D" w:rsidRPr="00AF08E7" w14:paraId="29835C8A" w14:textId="77777777" w:rsidTr="00A2440D">
        <w:trPr>
          <w:trHeight w:val="288"/>
        </w:trPr>
        <w:tc>
          <w:tcPr>
            <w:tcW w:w="4000" w:type="dxa"/>
            <w:gridSpan w:val="3"/>
            <w:tcBorders>
              <w:top w:val="nil"/>
              <w:left w:val="single" w:sz="8" w:space="0" w:color="auto"/>
              <w:bottom w:val="nil"/>
              <w:right w:val="nil"/>
            </w:tcBorders>
            <w:shd w:val="clear" w:color="auto" w:fill="auto"/>
            <w:noWrap/>
            <w:vAlign w:val="bottom"/>
            <w:hideMark/>
          </w:tcPr>
          <w:p w14:paraId="469C60EC"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profit before tax and extraordinary item</w:t>
            </w:r>
          </w:p>
        </w:tc>
        <w:tc>
          <w:tcPr>
            <w:tcW w:w="960" w:type="dxa"/>
            <w:tcBorders>
              <w:top w:val="nil"/>
              <w:left w:val="nil"/>
              <w:bottom w:val="nil"/>
              <w:right w:val="single" w:sz="8" w:space="0" w:color="auto"/>
            </w:tcBorders>
            <w:shd w:val="clear" w:color="auto" w:fill="auto"/>
            <w:noWrap/>
            <w:vAlign w:val="bottom"/>
            <w:hideMark/>
          </w:tcPr>
          <w:p w14:paraId="783F2535"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130980</w:t>
            </w:r>
          </w:p>
        </w:tc>
      </w:tr>
      <w:tr w:rsidR="00A2440D" w:rsidRPr="00AF08E7" w14:paraId="56B24D11"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2F81DE6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extraordinary item</w:t>
            </w:r>
          </w:p>
        </w:tc>
        <w:tc>
          <w:tcPr>
            <w:tcW w:w="2097" w:type="dxa"/>
            <w:tcBorders>
              <w:top w:val="nil"/>
              <w:left w:val="nil"/>
              <w:bottom w:val="nil"/>
              <w:right w:val="nil"/>
            </w:tcBorders>
            <w:shd w:val="clear" w:color="auto" w:fill="auto"/>
            <w:noWrap/>
            <w:vAlign w:val="bottom"/>
            <w:hideMark/>
          </w:tcPr>
          <w:p w14:paraId="243D8E60"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688BCFDD"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w:t>
            </w:r>
          </w:p>
        </w:tc>
      </w:tr>
      <w:tr w:rsidR="00A2440D" w:rsidRPr="00AF08E7" w14:paraId="45C07DFA"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114361B7"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profit before tax</w:t>
            </w:r>
          </w:p>
        </w:tc>
        <w:tc>
          <w:tcPr>
            <w:tcW w:w="2097" w:type="dxa"/>
            <w:tcBorders>
              <w:top w:val="nil"/>
              <w:left w:val="nil"/>
              <w:bottom w:val="nil"/>
              <w:right w:val="nil"/>
            </w:tcBorders>
            <w:shd w:val="clear" w:color="auto" w:fill="auto"/>
            <w:noWrap/>
            <w:vAlign w:val="bottom"/>
            <w:hideMark/>
          </w:tcPr>
          <w:p w14:paraId="61086978"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1AC2FF15"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130980</w:t>
            </w:r>
          </w:p>
        </w:tc>
      </w:tr>
      <w:tr w:rsidR="00A2440D" w:rsidRPr="00AF08E7" w14:paraId="42FD85F7" w14:textId="77777777" w:rsidTr="00A2440D">
        <w:trPr>
          <w:trHeight w:val="288"/>
        </w:trPr>
        <w:tc>
          <w:tcPr>
            <w:tcW w:w="1903" w:type="dxa"/>
            <w:gridSpan w:val="2"/>
            <w:tcBorders>
              <w:top w:val="nil"/>
              <w:left w:val="single" w:sz="8" w:space="0" w:color="auto"/>
              <w:bottom w:val="nil"/>
              <w:right w:val="nil"/>
            </w:tcBorders>
            <w:shd w:val="clear" w:color="auto" w:fill="auto"/>
            <w:noWrap/>
            <w:vAlign w:val="bottom"/>
            <w:hideMark/>
          </w:tcPr>
          <w:p w14:paraId="04ADC640"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corporate tax</w:t>
            </w:r>
          </w:p>
        </w:tc>
        <w:tc>
          <w:tcPr>
            <w:tcW w:w="2097" w:type="dxa"/>
            <w:tcBorders>
              <w:top w:val="nil"/>
              <w:left w:val="nil"/>
              <w:bottom w:val="nil"/>
              <w:right w:val="nil"/>
            </w:tcBorders>
            <w:shd w:val="clear" w:color="auto" w:fill="auto"/>
            <w:noWrap/>
            <w:vAlign w:val="bottom"/>
            <w:hideMark/>
          </w:tcPr>
          <w:p w14:paraId="199B4458"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74999532"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68000</w:t>
            </w:r>
          </w:p>
        </w:tc>
      </w:tr>
      <w:tr w:rsidR="00A2440D" w:rsidRPr="00AF08E7" w14:paraId="73AAEDBE" w14:textId="77777777" w:rsidTr="00A2440D">
        <w:trPr>
          <w:trHeight w:val="300"/>
        </w:trPr>
        <w:tc>
          <w:tcPr>
            <w:tcW w:w="960" w:type="dxa"/>
            <w:tcBorders>
              <w:top w:val="nil"/>
              <w:left w:val="single" w:sz="8" w:space="0" w:color="auto"/>
              <w:bottom w:val="nil"/>
              <w:right w:val="nil"/>
            </w:tcBorders>
            <w:shd w:val="clear" w:color="auto" w:fill="auto"/>
            <w:noWrap/>
            <w:vAlign w:val="bottom"/>
            <w:hideMark/>
          </w:tcPr>
          <w:p w14:paraId="130936AA"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943" w:type="dxa"/>
            <w:tcBorders>
              <w:top w:val="nil"/>
              <w:left w:val="nil"/>
              <w:bottom w:val="nil"/>
              <w:right w:val="nil"/>
            </w:tcBorders>
            <w:shd w:val="clear" w:color="auto" w:fill="auto"/>
            <w:noWrap/>
            <w:vAlign w:val="bottom"/>
            <w:hideMark/>
          </w:tcPr>
          <w:p w14:paraId="6382DABE"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2097" w:type="dxa"/>
            <w:tcBorders>
              <w:top w:val="nil"/>
              <w:left w:val="nil"/>
              <w:bottom w:val="nil"/>
              <w:right w:val="nil"/>
            </w:tcBorders>
            <w:shd w:val="clear" w:color="auto" w:fill="auto"/>
            <w:noWrap/>
            <w:vAlign w:val="bottom"/>
            <w:hideMark/>
          </w:tcPr>
          <w:p w14:paraId="2E0E93B3"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single" w:sz="8" w:space="0" w:color="auto"/>
            </w:tcBorders>
            <w:shd w:val="clear" w:color="auto" w:fill="auto"/>
            <w:noWrap/>
            <w:vAlign w:val="bottom"/>
            <w:hideMark/>
          </w:tcPr>
          <w:p w14:paraId="00450A5B" w14:textId="77777777" w:rsidR="00A2440D" w:rsidRPr="00AF08E7" w:rsidRDefault="00A2440D"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440D" w:rsidRPr="00AF08E7" w14:paraId="00E17B5E" w14:textId="77777777" w:rsidTr="00A2440D">
        <w:trPr>
          <w:trHeight w:val="300"/>
        </w:trPr>
        <w:tc>
          <w:tcPr>
            <w:tcW w:w="1903" w:type="dxa"/>
            <w:gridSpan w:val="2"/>
            <w:tcBorders>
              <w:top w:val="single" w:sz="8" w:space="0" w:color="auto"/>
              <w:left w:val="single" w:sz="8" w:space="0" w:color="auto"/>
              <w:bottom w:val="single" w:sz="8" w:space="0" w:color="auto"/>
              <w:right w:val="nil"/>
            </w:tcBorders>
            <w:shd w:val="clear" w:color="auto" w:fill="auto"/>
            <w:noWrap/>
            <w:vAlign w:val="bottom"/>
            <w:hideMark/>
          </w:tcPr>
          <w:p w14:paraId="7F6F8410"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profit after tax</w:t>
            </w:r>
          </w:p>
        </w:tc>
        <w:tc>
          <w:tcPr>
            <w:tcW w:w="2097" w:type="dxa"/>
            <w:tcBorders>
              <w:top w:val="single" w:sz="8" w:space="0" w:color="auto"/>
              <w:left w:val="nil"/>
              <w:bottom w:val="single" w:sz="8" w:space="0" w:color="auto"/>
              <w:right w:val="nil"/>
            </w:tcBorders>
            <w:shd w:val="clear" w:color="auto" w:fill="auto"/>
            <w:noWrap/>
            <w:vAlign w:val="bottom"/>
            <w:hideMark/>
          </w:tcPr>
          <w:p w14:paraId="742A5391"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16D4E853" w14:textId="77777777" w:rsidR="00A2440D" w:rsidRPr="00AF08E7" w:rsidRDefault="00A2440D"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62980</w:t>
            </w:r>
          </w:p>
        </w:tc>
      </w:tr>
    </w:tbl>
    <w:p w14:paraId="65467600" w14:textId="77777777" w:rsidR="00A231D2" w:rsidRPr="00AF08E7" w:rsidRDefault="00A231D2" w:rsidP="00CB737A">
      <w:pPr>
        <w:jc w:val="both"/>
        <w:rPr>
          <w:rFonts w:ascii="Times New Roman" w:hAnsi="Times New Roman" w:cs="Times New Roman"/>
          <w:sz w:val="24"/>
          <w:szCs w:val="24"/>
        </w:rPr>
      </w:pPr>
    </w:p>
    <w:p w14:paraId="5B29C853" w14:textId="77777777" w:rsidR="00A231D2" w:rsidRPr="00AF08E7" w:rsidRDefault="00A231D2" w:rsidP="00CB737A">
      <w:pPr>
        <w:jc w:val="both"/>
        <w:rPr>
          <w:rFonts w:ascii="Times New Roman" w:hAnsi="Times New Roman" w:cs="Times New Roman"/>
          <w:sz w:val="24"/>
          <w:szCs w:val="24"/>
        </w:rPr>
      </w:pPr>
    </w:p>
    <w:tbl>
      <w:tblPr>
        <w:tblW w:w="4800" w:type="dxa"/>
        <w:tblLook w:val="04A0" w:firstRow="1" w:lastRow="0" w:firstColumn="1" w:lastColumn="0" w:noHBand="0" w:noVBand="1"/>
      </w:tblPr>
      <w:tblGrid>
        <w:gridCol w:w="1324"/>
        <w:gridCol w:w="596"/>
        <w:gridCol w:w="960"/>
        <w:gridCol w:w="960"/>
        <w:gridCol w:w="1056"/>
      </w:tblGrid>
      <w:tr w:rsidR="00A231D2" w:rsidRPr="00AF08E7" w14:paraId="7BAE15B3" w14:textId="77777777" w:rsidTr="00A231D2">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14:paraId="6CF6F3CA" w14:textId="77777777" w:rsidR="00A231D2" w:rsidRPr="00AF08E7" w:rsidRDefault="00A231D2"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Balance sheet</w:t>
            </w:r>
          </w:p>
        </w:tc>
        <w:tc>
          <w:tcPr>
            <w:tcW w:w="960" w:type="dxa"/>
            <w:tcBorders>
              <w:top w:val="single" w:sz="8" w:space="0" w:color="auto"/>
              <w:left w:val="nil"/>
              <w:bottom w:val="single" w:sz="8" w:space="0" w:color="auto"/>
              <w:right w:val="nil"/>
            </w:tcBorders>
            <w:shd w:val="clear" w:color="auto" w:fill="auto"/>
            <w:noWrap/>
            <w:vAlign w:val="bottom"/>
            <w:hideMark/>
          </w:tcPr>
          <w:p w14:paraId="58F36BD7" w14:textId="77777777" w:rsidR="00A231D2" w:rsidRPr="00AF08E7" w:rsidRDefault="00A231D2"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960" w:type="dxa"/>
            <w:tcBorders>
              <w:top w:val="single" w:sz="8" w:space="0" w:color="auto"/>
              <w:left w:val="nil"/>
              <w:bottom w:val="single" w:sz="8" w:space="0" w:color="auto"/>
              <w:right w:val="nil"/>
            </w:tcBorders>
            <w:shd w:val="clear" w:color="auto" w:fill="auto"/>
            <w:noWrap/>
            <w:vAlign w:val="bottom"/>
            <w:hideMark/>
          </w:tcPr>
          <w:p w14:paraId="0D7D00D5" w14:textId="77777777" w:rsidR="00A231D2" w:rsidRPr="00AF08E7" w:rsidRDefault="00A231D2"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95AA2C" w14:textId="77777777" w:rsidR="00A231D2" w:rsidRPr="00AF08E7" w:rsidRDefault="00A231D2"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A231D2" w:rsidRPr="00AF08E7" w14:paraId="13FAC9C3"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60836B5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2CB8BC7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624253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73B4509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785D2F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310BAF4F" w14:textId="77777777" w:rsidTr="00A231D2">
        <w:trPr>
          <w:trHeight w:val="288"/>
        </w:trPr>
        <w:tc>
          <w:tcPr>
            <w:tcW w:w="1920" w:type="dxa"/>
            <w:gridSpan w:val="2"/>
            <w:tcBorders>
              <w:top w:val="nil"/>
              <w:left w:val="single" w:sz="8" w:space="0" w:color="auto"/>
              <w:bottom w:val="nil"/>
              <w:right w:val="nil"/>
            </w:tcBorders>
            <w:shd w:val="clear" w:color="auto" w:fill="auto"/>
            <w:noWrap/>
            <w:vAlign w:val="bottom"/>
            <w:hideMark/>
          </w:tcPr>
          <w:p w14:paraId="171AFFA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b/>
                <w:sz w:val="24"/>
                <w:szCs w:val="24"/>
                <w:lang w:eastAsia="en-IN"/>
              </w:rPr>
              <w:t>1)</w:t>
            </w:r>
            <w:r w:rsidRPr="00AF08E7">
              <w:rPr>
                <w:rFonts w:ascii="Times New Roman" w:eastAsia="Times New Roman" w:hAnsi="Times New Roman" w:cs="Times New Roman"/>
                <w:sz w:val="24"/>
                <w:szCs w:val="24"/>
                <w:lang w:eastAsia="en-IN"/>
              </w:rPr>
              <w:t xml:space="preserve">       </w:t>
            </w:r>
            <w:r w:rsidRPr="00AF08E7">
              <w:rPr>
                <w:rFonts w:ascii="Times New Roman" w:eastAsia="Times New Roman" w:hAnsi="Times New Roman" w:cs="Times New Roman"/>
                <w:b/>
                <w:sz w:val="24"/>
                <w:szCs w:val="24"/>
                <w:lang w:eastAsia="en-IN"/>
              </w:rPr>
              <w:t>Assets</w:t>
            </w:r>
          </w:p>
        </w:tc>
        <w:tc>
          <w:tcPr>
            <w:tcW w:w="960" w:type="dxa"/>
            <w:tcBorders>
              <w:top w:val="nil"/>
              <w:left w:val="nil"/>
              <w:bottom w:val="nil"/>
              <w:right w:val="nil"/>
            </w:tcBorders>
            <w:shd w:val="clear" w:color="auto" w:fill="auto"/>
            <w:noWrap/>
            <w:vAlign w:val="bottom"/>
            <w:hideMark/>
          </w:tcPr>
          <w:p w14:paraId="01CD8967"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51CD397"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DEE10E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093FEA3D"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28513C7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a)  Current assets</w:t>
            </w:r>
          </w:p>
        </w:tc>
        <w:tc>
          <w:tcPr>
            <w:tcW w:w="960" w:type="dxa"/>
            <w:tcBorders>
              <w:top w:val="nil"/>
              <w:left w:val="nil"/>
              <w:bottom w:val="nil"/>
              <w:right w:val="nil"/>
            </w:tcBorders>
            <w:shd w:val="clear" w:color="auto" w:fill="auto"/>
            <w:noWrap/>
            <w:vAlign w:val="bottom"/>
            <w:hideMark/>
          </w:tcPr>
          <w:p w14:paraId="4F8AA2F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49A9482"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0BB0CEF5"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7409E3A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cash and bank</w:t>
            </w:r>
          </w:p>
        </w:tc>
        <w:tc>
          <w:tcPr>
            <w:tcW w:w="960" w:type="dxa"/>
            <w:tcBorders>
              <w:top w:val="nil"/>
              <w:left w:val="nil"/>
              <w:bottom w:val="nil"/>
              <w:right w:val="nil"/>
            </w:tcBorders>
            <w:shd w:val="clear" w:color="auto" w:fill="auto"/>
            <w:noWrap/>
            <w:vAlign w:val="bottom"/>
            <w:hideMark/>
          </w:tcPr>
          <w:p w14:paraId="3A70428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FB6323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12900</w:t>
            </w:r>
          </w:p>
        </w:tc>
      </w:tr>
      <w:tr w:rsidR="00A231D2" w:rsidRPr="00AF08E7" w14:paraId="263578E1"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19004D5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accounts receivable</w:t>
            </w:r>
          </w:p>
        </w:tc>
        <w:tc>
          <w:tcPr>
            <w:tcW w:w="960" w:type="dxa"/>
            <w:tcBorders>
              <w:top w:val="nil"/>
              <w:left w:val="nil"/>
              <w:bottom w:val="nil"/>
              <w:right w:val="nil"/>
            </w:tcBorders>
            <w:shd w:val="clear" w:color="auto" w:fill="auto"/>
            <w:noWrap/>
            <w:vAlign w:val="bottom"/>
            <w:hideMark/>
          </w:tcPr>
          <w:p w14:paraId="3BA4EA1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40B621A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171105</w:t>
            </w:r>
          </w:p>
        </w:tc>
      </w:tr>
      <w:tr w:rsidR="00A231D2" w:rsidRPr="00AF08E7" w14:paraId="685552C9" w14:textId="77777777" w:rsidTr="00A231D2">
        <w:trPr>
          <w:trHeight w:val="288"/>
        </w:trPr>
        <w:tc>
          <w:tcPr>
            <w:tcW w:w="1920" w:type="dxa"/>
            <w:gridSpan w:val="2"/>
            <w:tcBorders>
              <w:top w:val="nil"/>
              <w:left w:val="single" w:sz="8" w:space="0" w:color="auto"/>
              <w:bottom w:val="nil"/>
              <w:right w:val="nil"/>
            </w:tcBorders>
            <w:shd w:val="clear" w:color="auto" w:fill="auto"/>
            <w:noWrap/>
            <w:vAlign w:val="bottom"/>
            <w:hideMark/>
          </w:tcPr>
          <w:p w14:paraId="6C6B2395"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inventory</w:t>
            </w:r>
          </w:p>
        </w:tc>
        <w:tc>
          <w:tcPr>
            <w:tcW w:w="960" w:type="dxa"/>
            <w:tcBorders>
              <w:top w:val="nil"/>
              <w:left w:val="nil"/>
              <w:bottom w:val="nil"/>
              <w:right w:val="nil"/>
            </w:tcBorders>
            <w:shd w:val="clear" w:color="auto" w:fill="auto"/>
            <w:noWrap/>
            <w:vAlign w:val="bottom"/>
            <w:hideMark/>
          </w:tcPr>
          <w:p w14:paraId="6540EEC8"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07155EFA"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59E95B02"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330600</w:t>
            </w:r>
          </w:p>
        </w:tc>
      </w:tr>
      <w:tr w:rsidR="00A231D2" w:rsidRPr="00AF08E7" w14:paraId="5629A36D"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2C55DAE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74BBFA1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6A75BE82"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21A7B2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0CF2B58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2CE9FF04"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166F61B8"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Total current Assets (A)</w:t>
            </w:r>
          </w:p>
        </w:tc>
        <w:tc>
          <w:tcPr>
            <w:tcW w:w="960" w:type="dxa"/>
            <w:tcBorders>
              <w:top w:val="nil"/>
              <w:left w:val="nil"/>
              <w:bottom w:val="nil"/>
              <w:right w:val="nil"/>
            </w:tcBorders>
            <w:shd w:val="clear" w:color="auto" w:fill="auto"/>
            <w:noWrap/>
            <w:vAlign w:val="bottom"/>
            <w:hideMark/>
          </w:tcPr>
          <w:p w14:paraId="4A049082"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2C289BB3"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514605</w:t>
            </w:r>
          </w:p>
        </w:tc>
      </w:tr>
      <w:tr w:rsidR="00A231D2" w:rsidRPr="00AF08E7" w14:paraId="1F0E876A"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27E8FFE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30AD939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0E03BF75"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0D4967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369C239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0EEBED27"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0B6DB76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b) non - current assets</w:t>
            </w:r>
          </w:p>
        </w:tc>
        <w:tc>
          <w:tcPr>
            <w:tcW w:w="960" w:type="dxa"/>
            <w:tcBorders>
              <w:top w:val="nil"/>
              <w:left w:val="nil"/>
              <w:bottom w:val="nil"/>
              <w:right w:val="nil"/>
            </w:tcBorders>
            <w:shd w:val="clear" w:color="auto" w:fill="auto"/>
            <w:noWrap/>
            <w:vAlign w:val="bottom"/>
            <w:hideMark/>
          </w:tcPr>
          <w:p w14:paraId="0B212E8E"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303AC0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23EB1E16"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0BF5ABC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Plant and machinery</w:t>
            </w:r>
          </w:p>
        </w:tc>
        <w:tc>
          <w:tcPr>
            <w:tcW w:w="960" w:type="dxa"/>
            <w:tcBorders>
              <w:top w:val="nil"/>
              <w:left w:val="nil"/>
              <w:bottom w:val="nil"/>
              <w:right w:val="nil"/>
            </w:tcBorders>
            <w:shd w:val="clear" w:color="auto" w:fill="auto"/>
            <w:noWrap/>
            <w:vAlign w:val="bottom"/>
            <w:hideMark/>
          </w:tcPr>
          <w:p w14:paraId="6ACB335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07CEF0A"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632730</w:t>
            </w:r>
          </w:p>
        </w:tc>
      </w:tr>
      <w:tr w:rsidR="00A231D2" w:rsidRPr="00AF08E7" w14:paraId="79399267"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0DEE087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lastRenderedPageBreak/>
              <w:t> </w:t>
            </w:r>
          </w:p>
        </w:tc>
        <w:tc>
          <w:tcPr>
            <w:tcW w:w="596" w:type="dxa"/>
            <w:tcBorders>
              <w:top w:val="nil"/>
              <w:left w:val="nil"/>
              <w:bottom w:val="nil"/>
              <w:right w:val="nil"/>
            </w:tcBorders>
            <w:shd w:val="clear" w:color="auto" w:fill="auto"/>
            <w:noWrap/>
            <w:vAlign w:val="bottom"/>
            <w:hideMark/>
          </w:tcPr>
          <w:p w14:paraId="7FC761DE"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1F027B0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3D36C5A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948CEF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18BDD23E" w14:textId="77777777" w:rsidTr="00A231D2">
        <w:trPr>
          <w:trHeight w:val="288"/>
        </w:trPr>
        <w:tc>
          <w:tcPr>
            <w:tcW w:w="3840" w:type="dxa"/>
            <w:gridSpan w:val="4"/>
            <w:tcBorders>
              <w:top w:val="nil"/>
              <w:left w:val="single" w:sz="8" w:space="0" w:color="auto"/>
              <w:bottom w:val="nil"/>
              <w:right w:val="nil"/>
            </w:tcBorders>
            <w:shd w:val="clear" w:color="auto" w:fill="auto"/>
            <w:noWrap/>
            <w:vAlign w:val="bottom"/>
            <w:hideMark/>
          </w:tcPr>
          <w:p w14:paraId="30B2792C" w14:textId="1F724759"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Total </w:t>
            </w:r>
            <w:r w:rsidR="00CB737A" w:rsidRPr="00AF08E7">
              <w:rPr>
                <w:rFonts w:ascii="Times New Roman" w:eastAsia="Times New Roman" w:hAnsi="Times New Roman" w:cs="Times New Roman"/>
                <w:sz w:val="24"/>
                <w:szCs w:val="24"/>
                <w:lang w:eastAsia="en-IN"/>
              </w:rPr>
              <w:t>non-current</w:t>
            </w:r>
            <w:r w:rsidRPr="00AF08E7">
              <w:rPr>
                <w:rFonts w:ascii="Times New Roman" w:eastAsia="Times New Roman" w:hAnsi="Times New Roman" w:cs="Times New Roman"/>
                <w:sz w:val="24"/>
                <w:szCs w:val="24"/>
                <w:lang w:eastAsia="en-IN"/>
              </w:rPr>
              <w:t xml:space="preserve"> assets (B)</w:t>
            </w:r>
          </w:p>
        </w:tc>
        <w:tc>
          <w:tcPr>
            <w:tcW w:w="960" w:type="dxa"/>
            <w:tcBorders>
              <w:top w:val="nil"/>
              <w:left w:val="single" w:sz="8" w:space="0" w:color="auto"/>
              <w:bottom w:val="nil"/>
              <w:right w:val="single" w:sz="8" w:space="0" w:color="auto"/>
            </w:tcBorders>
            <w:shd w:val="clear" w:color="auto" w:fill="auto"/>
            <w:noWrap/>
            <w:vAlign w:val="bottom"/>
            <w:hideMark/>
          </w:tcPr>
          <w:p w14:paraId="49DF5B4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632730</w:t>
            </w:r>
          </w:p>
        </w:tc>
      </w:tr>
      <w:tr w:rsidR="00A231D2" w:rsidRPr="00AF08E7" w14:paraId="3996DAD4" w14:textId="77777777" w:rsidTr="00A231D2">
        <w:trPr>
          <w:trHeight w:val="288"/>
        </w:trPr>
        <w:tc>
          <w:tcPr>
            <w:tcW w:w="2880" w:type="dxa"/>
            <w:gridSpan w:val="3"/>
            <w:tcBorders>
              <w:top w:val="nil"/>
              <w:left w:val="nil"/>
              <w:bottom w:val="nil"/>
              <w:right w:val="nil"/>
            </w:tcBorders>
            <w:shd w:val="clear" w:color="auto" w:fill="auto"/>
            <w:noWrap/>
            <w:vAlign w:val="bottom"/>
            <w:hideMark/>
          </w:tcPr>
          <w:p w14:paraId="45375C61"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total assets (A + B = C)</w:t>
            </w:r>
          </w:p>
        </w:tc>
        <w:tc>
          <w:tcPr>
            <w:tcW w:w="960" w:type="dxa"/>
            <w:tcBorders>
              <w:top w:val="nil"/>
              <w:left w:val="nil"/>
              <w:bottom w:val="nil"/>
              <w:right w:val="nil"/>
            </w:tcBorders>
            <w:shd w:val="clear" w:color="auto" w:fill="auto"/>
            <w:noWrap/>
            <w:vAlign w:val="bottom"/>
            <w:hideMark/>
          </w:tcPr>
          <w:p w14:paraId="77DFD67E"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1349722"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1147335</w:t>
            </w:r>
          </w:p>
        </w:tc>
      </w:tr>
      <w:tr w:rsidR="00A231D2" w:rsidRPr="00AF08E7" w14:paraId="7CC6CE57"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6B55CAE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55571D72"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0A118A8A"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5DFC87BA"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3BEFE23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5834FE37" w14:textId="77777777" w:rsidTr="00A231D2">
        <w:trPr>
          <w:trHeight w:val="288"/>
        </w:trPr>
        <w:tc>
          <w:tcPr>
            <w:tcW w:w="1920" w:type="dxa"/>
            <w:gridSpan w:val="2"/>
            <w:tcBorders>
              <w:top w:val="nil"/>
              <w:left w:val="single" w:sz="8" w:space="0" w:color="auto"/>
              <w:bottom w:val="nil"/>
              <w:right w:val="nil"/>
            </w:tcBorders>
            <w:shd w:val="clear" w:color="auto" w:fill="auto"/>
            <w:noWrap/>
            <w:vAlign w:val="bottom"/>
            <w:hideMark/>
          </w:tcPr>
          <w:p w14:paraId="71E6E8C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b/>
                <w:sz w:val="24"/>
                <w:szCs w:val="24"/>
                <w:lang w:eastAsia="en-IN"/>
              </w:rPr>
              <w:t>2)       Liabilities</w:t>
            </w:r>
            <w:r w:rsidRPr="00AF08E7">
              <w:rPr>
                <w:rFonts w:ascii="Times New Roman" w:eastAsia="Times New Roman" w:hAnsi="Times New Roman" w:cs="Times New Roman"/>
                <w:sz w:val="24"/>
                <w:szCs w:val="24"/>
                <w:lang w:eastAsia="en-IN"/>
              </w:rPr>
              <w:t xml:space="preserve"> </w:t>
            </w:r>
          </w:p>
        </w:tc>
        <w:tc>
          <w:tcPr>
            <w:tcW w:w="960" w:type="dxa"/>
            <w:tcBorders>
              <w:top w:val="nil"/>
              <w:left w:val="nil"/>
              <w:bottom w:val="nil"/>
              <w:right w:val="nil"/>
            </w:tcBorders>
            <w:shd w:val="clear" w:color="auto" w:fill="auto"/>
            <w:noWrap/>
            <w:vAlign w:val="bottom"/>
            <w:hideMark/>
          </w:tcPr>
          <w:p w14:paraId="427DCA6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6ECB9C3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43534B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7BFD0129"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04096FB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a) current liabilities-</w:t>
            </w:r>
          </w:p>
        </w:tc>
        <w:tc>
          <w:tcPr>
            <w:tcW w:w="960" w:type="dxa"/>
            <w:tcBorders>
              <w:top w:val="nil"/>
              <w:left w:val="nil"/>
              <w:bottom w:val="nil"/>
              <w:right w:val="nil"/>
            </w:tcBorders>
            <w:shd w:val="clear" w:color="auto" w:fill="auto"/>
            <w:noWrap/>
            <w:vAlign w:val="bottom"/>
            <w:hideMark/>
          </w:tcPr>
          <w:p w14:paraId="7910140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8DE1C9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22DDD85A"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3422766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corporation tax</w:t>
            </w:r>
          </w:p>
        </w:tc>
        <w:tc>
          <w:tcPr>
            <w:tcW w:w="960" w:type="dxa"/>
            <w:tcBorders>
              <w:top w:val="nil"/>
              <w:left w:val="nil"/>
              <w:bottom w:val="nil"/>
              <w:right w:val="nil"/>
            </w:tcBorders>
            <w:shd w:val="clear" w:color="auto" w:fill="auto"/>
            <w:noWrap/>
            <w:vAlign w:val="bottom"/>
            <w:hideMark/>
          </w:tcPr>
          <w:p w14:paraId="29255F0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9BA806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68000</w:t>
            </w:r>
          </w:p>
        </w:tc>
      </w:tr>
      <w:tr w:rsidR="00A231D2" w:rsidRPr="00AF08E7" w14:paraId="11F1F09C"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33C1A6C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sales commission</w:t>
            </w:r>
          </w:p>
        </w:tc>
        <w:tc>
          <w:tcPr>
            <w:tcW w:w="960" w:type="dxa"/>
            <w:tcBorders>
              <w:top w:val="nil"/>
              <w:left w:val="nil"/>
              <w:bottom w:val="nil"/>
              <w:right w:val="nil"/>
            </w:tcBorders>
            <w:shd w:val="clear" w:color="auto" w:fill="auto"/>
            <w:noWrap/>
            <w:vAlign w:val="bottom"/>
            <w:hideMark/>
          </w:tcPr>
          <w:p w14:paraId="2726D41E"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17A4378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3000</w:t>
            </w:r>
          </w:p>
        </w:tc>
      </w:tr>
      <w:tr w:rsidR="00A231D2" w:rsidRPr="00AF08E7" w14:paraId="6B8EB779"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09A8529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accounts payable</w:t>
            </w:r>
          </w:p>
        </w:tc>
        <w:tc>
          <w:tcPr>
            <w:tcW w:w="960" w:type="dxa"/>
            <w:tcBorders>
              <w:top w:val="nil"/>
              <w:left w:val="nil"/>
              <w:bottom w:val="nil"/>
              <w:right w:val="nil"/>
            </w:tcBorders>
            <w:shd w:val="clear" w:color="auto" w:fill="auto"/>
            <w:noWrap/>
            <w:vAlign w:val="bottom"/>
            <w:hideMark/>
          </w:tcPr>
          <w:p w14:paraId="1975FE85"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5EB1F19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171355</w:t>
            </w:r>
          </w:p>
        </w:tc>
      </w:tr>
      <w:tr w:rsidR="00A231D2" w:rsidRPr="00AF08E7" w14:paraId="4F036DC4" w14:textId="77777777" w:rsidTr="00A231D2">
        <w:trPr>
          <w:trHeight w:val="288"/>
        </w:trPr>
        <w:tc>
          <w:tcPr>
            <w:tcW w:w="3840" w:type="dxa"/>
            <w:gridSpan w:val="4"/>
            <w:tcBorders>
              <w:top w:val="nil"/>
              <w:left w:val="single" w:sz="8" w:space="0" w:color="auto"/>
              <w:bottom w:val="nil"/>
              <w:right w:val="nil"/>
            </w:tcBorders>
            <w:shd w:val="clear" w:color="auto" w:fill="auto"/>
            <w:noWrap/>
            <w:vAlign w:val="bottom"/>
            <w:hideMark/>
          </w:tcPr>
          <w:p w14:paraId="5D2199F0"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Total current liabilities (d)     </w:t>
            </w:r>
          </w:p>
        </w:tc>
        <w:tc>
          <w:tcPr>
            <w:tcW w:w="960" w:type="dxa"/>
            <w:tcBorders>
              <w:top w:val="nil"/>
              <w:left w:val="single" w:sz="8" w:space="0" w:color="auto"/>
              <w:bottom w:val="nil"/>
              <w:right w:val="single" w:sz="8" w:space="0" w:color="auto"/>
            </w:tcBorders>
            <w:shd w:val="clear" w:color="auto" w:fill="auto"/>
            <w:noWrap/>
            <w:vAlign w:val="bottom"/>
            <w:hideMark/>
          </w:tcPr>
          <w:p w14:paraId="6D1B6520"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242355</w:t>
            </w:r>
          </w:p>
        </w:tc>
      </w:tr>
      <w:tr w:rsidR="00A231D2" w:rsidRPr="00AF08E7" w14:paraId="703C1FB7"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5196DCD5"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23A2AF0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332226C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0360B0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4515BD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33B47ACE"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4D9991B6" w14:textId="595B1806"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b)  </w:t>
            </w:r>
            <w:r w:rsidR="00CB737A" w:rsidRPr="00AF08E7">
              <w:rPr>
                <w:rFonts w:ascii="Times New Roman" w:eastAsia="Times New Roman" w:hAnsi="Times New Roman" w:cs="Times New Roman"/>
                <w:sz w:val="24"/>
                <w:szCs w:val="24"/>
                <w:lang w:eastAsia="en-IN"/>
              </w:rPr>
              <w:t>Non-current</w:t>
            </w:r>
            <w:r w:rsidRPr="00AF08E7">
              <w:rPr>
                <w:rFonts w:ascii="Times New Roman" w:eastAsia="Times New Roman" w:hAnsi="Times New Roman" w:cs="Times New Roman"/>
                <w:sz w:val="24"/>
                <w:szCs w:val="24"/>
                <w:lang w:eastAsia="en-IN"/>
              </w:rPr>
              <w:t xml:space="preserve"> liabilities</w:t>
            </w:r>
          </w:p>
        </w:tc>
        <w:tc>
          <w:tcPr>
            <w:tcW w:w="960" w:type="dxa"/>
            <w:tcBorders>
              <w:top w:val="nil"/>
              <w:left w:val="nil"/>
              <w:bottom w:val="nil"/>
              <w:right w:val="nil"/>
            </w:tcBorders>
            <w:shd w:val="clear" w:color="auto" w:fill="auto"/>
            <w:noWrap/>
            <w:vAlign w:val="bottom"/>
            <w:hideMark/>
          </w:tcPr>
          <w:p w14:paraId="1777D20E"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AC21BE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35D926AD"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2DD7F22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4 % debentures</w:t>
            </w:r>
          </w:p>
        </w:tc>
        <w:tc>
          <w:tcPr>
            <w:tcW w:w="960" w:type="dxa"/>
            <w:tcBorders>
              <w:top w:val="nil"/>
              <w:left w:val="nil"/>
              <w:bottom w:val="nil"/>
              <w:right w:val="nil"/>
            </w:tcBorders>
            <w:shd w:val="clear" w:color="auto" w:fill="auto"/>
            <w:noWrap/>
            <w:vAlign w:val="bottom"/>
            <w:hideMark/>
          </w:tcPr>
          <w:p w14:paraId="50726AC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50786575"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100000</w:t>
            </w:r>
          </w:p>
        </w:tc>
      </w:tr>
      <w:tr w:rsidR="00A231D2" w:rsidRPr="00AF08E7" w14:paraId="5EF830A2" w14:textId="77777777" w:rsidTr="00A231D2">
        <w:trPr>
          <w:trHeight w:val="288"/>
        </w:trPr>
        <w:tc>
          <w:tcPr>
            <w:tcW w:w="3840" w:type="dxa"/>
            <w:gridSpan w:val="4"/>
            <w:tcBorders>
              <w:top w:val="nil"/>
              <w:left w:val="single" w:sz="8" w:space="0" w:color="auto"/>
              <w:bottom w:val="nil"/>
              <w:right w:val="nil"/>
            </w:tcBorders>
            <w:shd w:val="clear" w:color="auto" w:fill="auto"/>
            <w:noWrap/>
            <w:vAlign w:val="bottom"/>
            <w:hideMark/>
          </w:tcPr>
          <w:p w14:paraId="66AD8746" w14:textId="4E62001A"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total </w:t>
            </w:r>
            <w:r w:rsidR="00CB737A" w:rsidRPr="00AF08E7">
              <w:rPr>
                <w:rFonts w:ascii="Times New Roman" w:eastAsia="Times New Roman" w:hAnsi="Times New Roman" w:cs="Times New Roman"/>
                <w:sz w:val="24"/>
                <w:szCs w:val="24"/>
                <w:lang w:eastAsia="en-IN"/>
              </w:rPr>
              <w:t>non-current</w:t>
            </w:r>
            <w:r w:rsidRPr="00AF08E7">
              <w:rPr>
                <w:rFonts w:ascii="Times New Roman" w:eastAsia="Times New Roman" w:hAnsi="Times New Roman" w:cs="Times New Roman"/>
                <w:sz w:val="24"/>
                <w:szCs w:val="24"/>
                <w:lang w:eastAsia="en-IN"/>
              </w:rPr>
              <w:t xml:space="preserve"> liabilities €</w:t>
            </w:r>
          </w:p>
        </w:tc>
        <w:tc>
          <w:tcPr>
            <w:tcW w:w="960" w:type="dxa"/>
            <w:tcBorders>
              <w:top w:val="nil"/>
              <w:left w:val="single" w:sz="8" w:space="0" w:color="auto"/>
              <w:bottom w:val="nil"/>
              <w:right w:val="single" w:sz="8" w:space="0" w:color="auto"/>
            </w:tcBorders>
            <w:shd w:val="clear" w:color="auto" w:fill="auto"/>
            <w:noWrap/>
            <w:vAlign w:val="bottom"/>
            <w:hideMark/>
          </w:tcPr>
          <w:p w14:paraId="2A2B6CC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100000</w:t>
            </w:r>
          </w:p>
        </w:tc>
      </w:tr>
      <w:tr w:rsidR="00A231D2" w:rsidRPr="00AF08E7" w14:paraId="6EE5194C"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726E8EB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1666EB57"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055F13B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2B8331C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319C69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2352B8C9"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66087583"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Total liabilities  ( D + E = F)</w:t>
            </w:r>
          </w:p>
        </w:tc>
        <w:tc>
          <w:tcPr>
            <w:tcW w:w="960" w:type="dxa"/>
            <w:tcBorders>
              <w:top w:val="nil"/>
              <w:left w:val="nil"/>
              <w:bottom w:val="nil"/>
              <w:right w:val="nil"/>
            </w:tcBorders>
            <w:shd w:val="clear" w:color="auto" w:fill="auto"/>
            <w:noWrap/>
            <w:vAlign w:val="bottom"/>
            <w:hideMark/>
          </w:tcPr>
          <w:p w14:paraId="6D911AFF"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72C5A4DD"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342355</w:t>
            </w:r>
          </w:p>
        </w:tc>
      </w:tr>
      <w:tr w:rsidR="00A231D2" w:rsidRPr="00AF08E7" w14:paraId="4058C039" w14:textId="77777777" w:rsidTr="00A231D2">
        <w:trPr>
          <w:trHeight w:val="300"/>
        </w:trPr>
        <w:tc>
          <w:tcPr>
            <w:tcW w:w="1324" w:type="dxa"/>
            <w:tcBorders>
              <w:top w:val="nil"/>
              <w:left w:val="single" w:sz="8" w:space="0" w:color="auto"/>
              <w:bottom w:val="nil"/>
              <w:right w:val="nil"/>
            </w:tcBorders>
            <w:shd w:val="clear" w:color="auto" w:fill="auto"/>
            <w:noWrap/>
            <w:vAlign w:val="bottom"/>
            <w:hideMark/>
          </w:tcPr>
          <w:p w14:paraId="3787AC4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6AE998B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1E941AF8"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32DB4D0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2226AA1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6666CAFF" w14:textId="77777777" w:rsidTr="00A231D2">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14:paraId="27D3328F"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w:t>
            </w:r>
            <w:r w:rsidR="009A6DF0" w:rsidRPr="00AF08E7">
              <w:rPr>
                <w:rFonts w:ascii="Times New Roman" w:eastAsia="Times New Roman" w:hAnsi="Times New Roman" w:cs="Times New Roman"/>
                <w:b/>
                <w:sz w:val="24"/>
                <w:szCs w:val="24"/>
                <w:lang w:eastAsia="en-IN"/>
              </w:rPr>
              <w:t>Net Assets (C -</w:t>
            </w:r>
            <w:r w:rsidRPr="00AF08E7">
              <w:rPr>
                <w:rFonts w:ascii="Times New Roman" w:eastAsia="Times New Roman" w:hAnsi="Times New Roman" w:cs="Times New Roman"/>
                <w:b/>
                <w:sz w:val="24"/>
                <w:szCs w:val="24"/>
                <w:lang w:eastAsia="en-IN"/>
              </w:rPr>
              <w:t>F)</w:t>
            </w:r>
          </w:p>
        </w:tc>
        <w:tc>
          <w:tcPr>
            <w:tcW w:w="960" w:type="dxa"/>
            <w:tcBorders>
              <w:top w:val="single" w:sz="8" w:space="0" w:color="auto"/>
              <w:left w:val="nil"/>
              <w:bottom w:val="single" w:sz="8" w:space="0" w:color="auto"/>
              <w:right w:val="nil"/>
            </w:tcBorders>
            <w:shd w:val="clear" w:color="auto" w:fill="auto"/>
            <w:noWrap/>
            <w:vAlign w:val="bottom"/>
            <w:hideMark/>
          </w:tcPr>
          <w:p w14:paraId="6C476858"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w:t>
            </w:r>
          </w:p>
        </w:tc>
        <w:tc>
          <w:tcPr>
            <w:tcW w:w="960" w:type="dxa"/>
            <w:tcBorders>
              <w:top w:val="single" w:sz="8" w:space="0" w:color="auto"/>
              <w:left w:val="nil"/>
              <w:bottom w:val="single" w:sz="8" w:space="0" w:color="auto"/>
              <w:right w:val="nil"/>
            </w:tcBorders>
            <w:shd w:val="clear" w:color="auto" w:fill="auto"/>
            <w:noWrap/>
            <w:vAlign w:val="bottom"/>
            <w:hideMark/>
          </w:tcPr>
          <w:p w14:paraId="0A7AF45A"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9FCE84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804980</w:t>
            </w:r>
          </w:p>
        </w:tc>
      </w:tr>
      <w:tr w:rsidR="00A231D2" w:rsidRPr="00AF08E7" w14:paraId="07903069"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10867A1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596" w:type="dxa"/>
            <w:tcBorders>
              <w:top w:val="nil"/>
              <w:left w:val="nil"/>
              <w:bottom w:val="nil"/>
              <w:right w:val="nil"/>
            </w:tcBorders>
            <w:shd w:val="clear" w:color="auto" w:fill="auto"/>
            <w:noWrap/>
            <w:vAlign w:val="bottom"/>
            <w:hideMark/>
          </w:tcPr>
          <w:p w14:paraId="1207B6CE"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4CFCB183"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1532BCA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567CA9F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0F578381" w14:textId="77777777" w:rsidTr="00A231D2">
        <w:trPr>
          <w:trHeight w:val="288"/>
        </w:trPr>
        <w:tc>
          <w:tcPr>
            <w:tcW w:w="1920" w:type="dxa"/>
            <w:gridSpan w:val="2"/>
            <w:tcBorders>
              <w:top w:val="nil"/>
              <w:left w:val="single" w:sz="8" w:space="0" w:color="auto"/>
              <w:bottom w:val="nil"/>
              <w:right w:val="nil"/>
            </w:tcBorders>
            <w:shd w:val="clear" w:color="auto" w:fill="auto"/>
            <w:noWrap/>
            <w:vAlign w:val="bottom"/>
            <w:hideMark/>
          </w:tcPr>
          <w:p w14:paraId="419DE5EA"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3)       Equity</w:t>
            </w:r>
          </w:p>
        </w:tc>
        <w:tc>
          <w:tcPr>
            <w:tcW w:w="960" w:type="dxa"/>
            <w:tcBorders>
              <w:top w:val="nil"/>
              <w:left w:val="nil"/>
              <w:bottom w:val="nil"/>
              <w:right w:val="nil"/>
            </w:tcBorders>
            <w:shd w:val="clear" w:color="auto" w:fill="auto"/>
            <w:noWrap/>
            <w:vAlign w:val="bottom"/>
            <w:hideMark/>
          </w:tcPr>
          <w:p w14:paraId="618A1D92"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0A9D4288"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4E0E22B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732F053F" w14:textId="77777777" w:rsidTr="00A231D2">
        <w:trPr>
          <w:trHeight w:val="288"/>
        </w:trPr>
        <w:tc>
          <w:tcPr>
            <w:tcW w:w="1920" w:type="dxa"/>
            <w:gridSpan w:val="2"/>
            <w:tcBorders>
              <w:top w:val="nil"/>
              <w:left w:val="single" w:sz="8" w:space="0" w:color="auto"/>
              <w:bottom w:val="nil"/>
              <w:right w:val="nil"/>
            </w:tcBorders>
            <w:shd w:val="clear" w:color="auto" w:fill="auto"/>
            <w:noWrap/>
            <w:vAlign w:val="bottom"/>
            <w:hideMark/>
          </w:tcPr>
          <w:p w14:paraId="2B5CB359"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Equity capital   </w:t>
            </w:r>
          </w:p>
        </w:tc>
        <w:tc>
          <w:tcPr>
            <w:tcW w:w="960" w:type="dxa"/>
            <w:tcBorders>
              <w:top w:val="nil"/>
              <w:left w:val="nil"/>
              <w:bottom w:val="nil"/>
              <w:right w:val="nil"/>
            </w:tcBorders>
            <w:shd w:val="clear" w:color="auto" w:fill="auto"/>
            <w:noWrap/>
            <w:vAlign w:val="bottom"/>
            <w:hideMark/>
          </w:tcPr>
          <w:p w14:paraId="1E591BC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5B8A53FD"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4C4F670"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610000</w:t>
            </w:r>
          </w:p>
        </w:tc>
      </w:tr>
      <w:tr w:rsidR="00A231D2" w:rsidRPr="00AF08E7" w14:paraId="1F2857EC" w14:textId="77777777" w:rsidTr="00A231D2">
        <w:trPr>
          <w:trHeight w:val="288"/>
        </w:trPr>
        <w:tc>
          <w:tcPr>
            <w:tcW w:w="2880" w:type="dxa"/>
            <w:gridSpan w:val="3"/>
            <w:tcBorders>
              <w:top w:val="nil"/>
              <w:left w:val="single" w:sz="8" w:space="0" w:color="auto"/>
              <w:bottom w:val="nil"/>
              <w:right w:val="nil"/>
            </w:tcBorders>
            <w:shd w:val="clear" w:color="auto" w:fill="auto"/>
            <w:noWrap/>
            <w:vAlign w:val="bottom"/>
            <w:hideMark/>
          </w:tcPr>
          <w:p w14:paraId="6DE92491"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retained earnings</w:t>
            </w:r>
          </w:p>
        </w:tc>
        <w:tc>
          <w:tcPr>
            <w:tcW w:w="960" w:type="dxa"/>
            <w:tcBorders>
              <w:top w:val="nil"/>
              <w:left w:val="nil"/>
              <w:bottom w:val="nil"/>
              <w:right w:val="nil"/>
            </w:tcBorders>
            <w:shd w:val="clear" w:color="auto" w:fill="auto"/>
            <w:noWrap/>
            <w:vAlign w:val="bottom"/>
            <w:hideMark/>
          </w:tcPr>
          <w:p w14:paraId="242CB10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19152F4"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132000</w:t>
            </w:r>
          </w:p>
        </w:tc>
      </w:tr>
      <w:tr w:rsidR="00A231D2" w:rsidRPr="00AF08E7" w14:paraId="12A22152" w14:textId="77777777" w:rsidTr="00A231D2">
        <w:trPr>
          <w:trHeight w:val="288"/>
        </w:trPr>
        <w:tc>
          <w:tcPr>
            <w:tcW w:w="1324" w:type="dxa"/>
            <w:tcBorders>
              <w:top w:val="nil"/>
              <w:left w:val="single" w:sz="8" w:space="0" w:color="auto"/>
              <w:bottom w:val="nil"/>
              <w:right w:val="nil"/>
            </w:tcBorders>
            <w:shd w:val="clear" w:color="auto" w:fill="auto"/>
            <w:noWrap/>
            <w:vAlign w:val="bottom"/>
            <w:hideMark/>
          </w:tcPr>
          <w:p w14:paraId="69C1C72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p>
        </w:tc>
        <w:tc>
          <w:tcPr>
            <w:tcW w:w="596" w:type="dxa"/>
            <w:tcBorders>
              <w:top w:val="nil"/>
              <w:left w:val="nil"/>
              <w:bottom w:val="nil"/>
              <w:right w:val="nil"/>
            </w:tcBorders>
            <w:shd w:val="clear" w:color="auto" w:fill="auto"/>
            <w:noWrap/>
            <w:vAlign w:val="bottom"/>
            <w:hideMark/>
          </w:tcPr>
          <w:p w14:paraId="4A0336BB"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785789E8"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nil"/>
              <w:bottom w:val="nil"/>
              <w:right w:val="nil"/>
            </w:tcBorders>
            <w:shd w:val="clear" w:color="auto" w:fill="auto"/>
            <w:noWrap/>
            <w:vAlign w:val="bottom"/>
            <w:hideMark/>
          </w:tcPr>
          <w:p w14:paraId="515291A6"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67AA7D9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A231D2" w:rsidRPr="00AF08E7" w14:paraId="51D90631" w14:textId="77777777" w:rsidTr="00A231D2">
        <w:trPr>
          <w:trHeight w:val="300"/>
        </w:trPr>
        <w:tc>
          <w:tcPr>
            <w:tcW w:w="2880" w:type="dxa"/>
            <w:gridSpan w:val="3"/>
            <w:tcBorders>
              <w:top w:val="nil"/>
              <w:left w:val="single" w:sz="8" w:space="0" w:color="auto"/>
              <w:bottom w:val="nil"/>
              <w:right w:val="nil"/>
            </w:tcBorders>
            <w:shd w:val="clear" w:color="auto" w:fill="auto"/>
            <w:noWrap/>
            <w:vAlign w:val="bottom"/>
            <w:hideMark/>
          </w:tcPr>
          <w:p w14:paraId="70E4F11F"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Add: current year’s profit</w:t>
            </w:r>
          </w:p>
        </w:tc>
        <w:tc>
          <w:tcPr>
            <w:tcW w:w="960" w:type="dxa"/>
            <w:tcBorders>
              <w:top w:val="nil"/>
              <w:left w:val="nil"/>
              <w:bottom w:val="nil"/>
              <w:right w:val="nil"/>
            </w:tcBorders>
            <w:shd w:val="clear" w:color="auto" w:fill="auto"/>
            <w:noWrap/>
            <w:vAlign w:val="bottom"/>
            <w:hideMark/>
          </w:tcPr>
          <w:p w14:paraId="1A032428"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p>
        </w:tc>
        <w:tc>
          <w:tcPr>
            <w:tcW w:w="960" w:type="dxa"/>
            <w:tcBorders>
              <w:top w:val="nil"/>
              <w:left w:val="single" w:sz="8" w:space="0" w:color="auto"/>
              <w:bottom w:val="nil"/>
              <w:right w:val="single" w:sz="8" w:space="0" w:color="auto"/>
            </w:tcBorders>
            <w:shd w:val="clear" w:color="auto" w:fill="auto"/>
            <w:noWrap/>
            <w:vAlign w:val="bottom"/>
            <w:hideMark/>
          </w:tcPr>
          <w:p w14:paraId="058EC99C" w14:textId="77777777" w:rsidR="00A231D2" w:rsidRPr="00AF08E7" w:rsidRDefault="00A231D2"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62980</w:t>
            </w:r>
          </w:p>
        </w:tc>
      </w:tr>
      <w:tr w:rsidR="00A231D2" w:rsidRPr="00AF08E7" w14:paraId="429405DB" w14:textId="77777777" w:rsidTr="00A231D2">
        <w:trPr>
          <w:trHeight w:val="300"/>
        </w:trPr>
        <w:tc>
          <w:tcPr>
            <w:tcW w:w="1920" w:type="dxa"/>
            <w:gridSpan w:val="2"/>
            <w:tcBorders>
              <w:top w:val="single" w:sz="8" w:space="0" w:color="auto"/>
              <w:left w:val="single" w:sz="8" w:space="0" w:color="auto"/>
              <w:bottom w:val="single" w:sz="8" w:space="0" w:color="auto"/>
              <w:right w:val="nil"/>
            </w:tcBorders>
            <w:shd w:val="clear" w:color="auto" w:fill="auto"/>
            <w:noWrap/>
            <w:vAlign w:val="bottom"/>
            <w:hideMark/>
          </w:tcPr>
          <w:p w14:paraId="0DCF5933"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xml:space="preserve">    total equity</w:t>
            </w:r>
          </w:p>
        </w:tc>
        <w:tc>
          <w:tcPr>
            <w:tcW w:w="960" w:type="dxa"/>
            <w:tcBorders>
              <w:top w:val="single" w:sz="8" w:space="0" w:color="auto"/>
              <w:left w:val="nil"/>
              <w:bottom w:val="single" w:sz="8" w:space="0" w:color="auto"/>
              <w:right w:val="nil"/>
            </w:tcBorders>
            <w:shd w:val="clear" w:color="auto" w:fill="auto"/>
            <w:noWrap/>
            <w:vAlign w:val="bottom"/>
            <w:hideMark/>
          </w:tcPr>
          <w:p w14:paraId="669DB35F"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w:t>
            </w:r>
          </w:p>
        </w:tc>
        <w:tc>
          <w:tcPr>
            <w:tcW w:w="960" w:type="dxa"/>
            <w:tcBorders>
              <w:top w:val="single" w:sz="8" w:space="0" w:color="auto"/>
              <w:left w:val="nil"/>
              <w:bottom w:val="single" w:sz="8" w:space="0" w:color="auto"/>
              <w:right w:val="nil"/>
            </w:tcBorders>
            <w:shd w:val="clear" w:color="auto" w:fill="auto"/>
            <w:noWrap/>
            <w:vAlign w:val="bottom"/>
            <w:hideMark/>
          </w:tcPr>
          <w:p w14:paraId="4AF7260B"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 </w:t>
            </w:r>
          </w:p>
        </w:tc>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67B485F" w14:textId="77777777" w:rsidR="00A231D2" w:rsidRPr="00AF08E7" w:rsidRDefault="00A231D2"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804980</w:t>
            </w:r>
          </w:p>
        </w:tc>
      </w:tr>
    </w:tbl>
    <w:p w14:paraId="43B175E1" w14:textId="77777777" w:rsidR="00A231D2" w:rsidRPr="00AF08E7" w:rsidRDefault="00A231D2" w:rsidP="00CB737A">
      <w:pPr>
        <w:jc w:val="both"/>
        <w:rPr>
          <w:rFonts w:ascii="Times New Roman" w:hAnsi="Times New Roman" w:cs="Times New Roman"/>
          <w:sz w:val="24"/>
          <w:szCs w:val="24"/>
        </w:rPr>
      </w:pPr>
    </w:p>
    <w:p w14:paraId="0A0411FB" w14:textId="77777777" w:rsidR="00DB290E" w:rsidRPr="00AF08E7" w:rsidRDefault="00DB290E" w:rsidP="00CB737A">
      <w:pPr>
        <w:pStyle w:val="Heading2"/>
        <w:jc w:val="both"/>
        <w:rPr>
          <w:rFonts w:cs="Times New Roman"/>
          <w:sz w:val="24"/>
          <w:szCs w:val="24"/>
        </w:rPr>
      </w:pPr>
    </w:p>
    <w:p w14:paraId="59328A79" w14:textId="77777777" w:rsidR="00D94B25" w:rsidRPr="00AF08E7" w:rsidRDefault="00D94B25" w:rsidP="00CB737A">
      <w:pPr>
        <w:pStyle w:val="Heading2"/>
        <w:numPr>
          <w:ilvl w:val="0"/>
          <w:numId w:val="5"/>
        </w:numPr>
        <w:jc w:val="both"/>
        <w:rPr>
          <w:rFonts w:cs="Times New Roman"/>
          <w:sz w:val="24"/>
          <w:szCs w:val="24"/>
        </w:rPr>
      </w:pPr>
      <w:bookmarkStart w:id="3" w:name="_Toc55482060"/>
      <w:r w:rsidRPr="00AF08E7">
        <w:rPr>
          <w:rFonts w:cs="Times New Roman"/>
          <w:sz w:val="24"/>
          <w:szCs w:val="24"/>
        </w:rPr>
        <w:t>Income statement</w:t>
      </w:r>
      <w:bookmarkEnd w:id="3"/>
      <w:r w:rsidRPr="00AF08E7">
        <w:rPr>
          <w:rFonts w:cs="Times New Roman"/>
          <w:sz w:val="24"/>
          <w:szCs w:val="24"/>
        </w:rPr>
        <w:t xml:space="preserve"> </w:t>
      </w:r>
    </w:p>
    <w:p w14:paraId="02F717F5" w14:textId="77777777" w:rsidR="00DB290E" w:rsidRPr="00AF08E7" w:rsidRDefault="00DB290E" w:rsidP="00CB737A">
      <w:pPr>
        <w:jc w:val="both"/>
        <w:rPr>
          <w:rFonts w:ascii="Times New Roman" w:hAnsi="Times New Roman" w:cs="Times New Roman"/>
          <w:sz w:val="24"/>
          <w:szCs w:val="24"/>
        </w:rPr>
      </w:pPr>
    </w:p>
    <w:p w14:paraId="5C5EB6DE" w14:textId="58374BC3" w:rsidR="00D94B25"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sz w:val="24"/>
          <w:szCs w:val="24"/>
        </w:rPr>
        <w:t xml:space="preserve">It </w:t>
      </w:r>
      <w:r w:rsidR="00D94B25" w:rsidRPr="00AF08E7">
        <w:rPr>
          <w:rFonts w:ascii="Times New Roman" w:hAnsi="Times New Roman" w:cs="Times New Roman"/>
          <w:sz w:val="24"/>
          <w:szCs w:val="24"/>
        </w:rPr>
        <w:t>is also known as statement of profit and loss</w:t>
      </w:r>
      <w:r w:rsidRPr="00AF08E7">
        <w:rPr>
          <w:rFonts w:ascii="Times New Roman" w:hAnsi="Times New Roman" w:cs="Times New Roman"/>
          <w:sz w:val="24"/>
          <w:szCs w:val="24"/>
        </w:rPr>
        <w:t xml:space="preserve"> account. I</w:t>
      </w:r>
      <w:r w:rsidR="00D94B25" w:rsidRPr="00AF08E7">
        <w:rPr>
          <w:rFonts w:ascii="Times New Roman" w:hAnsi="Times New Roman" w:cs="Times New Roman"/>
          <w:sz w:val="24"/>
          <w:szCs w:val="24"/>
        </w:rPr>
        <w:t>t is a major financial statement to analyse the company’s financial performance in terms of profitability over periods of time.</w:t>
      </w:r>
      <w:r w:rsidRPr="00AF08E7">
        <w:rPr>
          <w:rFonts w:ascii="Times New Roman" w:hAnsi="Times New Roman" w:cs="Times New Roman"/>
          <w:sz w:val="24"/>
          <w:szCs w:val="24"/>
        </w:rPr>
        <w:t xml:space="preserve"> P</w:t>
      </w:r>
      <w:r w:rsidR="00D94B25" w:rsidRPr="00AF08E7">
        <w:rPr>
          <w:rFonts w:ascii="Times New Roman" w:hAnsi="Times New Roman" w:cs="Times New Roman"/>
          <w:sz w:val="24"/>
          <w:szCs w:val="24"/>
        </w:rPr>
        <w:t>rofit and loss are determined or analysed by taking all revenues and subtracting it with all the expenses incurred by the firm from both operating and non -operating activities. This statement is prepared by the business in reviewing the expenses and revenues and helps in analysing the profit and loss over the specific time generally on monthly, quarterly and yearly basis (Murray, 2020).</w:t>
      </w:r>
    </w:p>
    <w:p w14:paraId="389A4A94" w14:textId="318B2280" w:rsidR="00D94B25"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sz w:val="24"/>
          <w:szCs w:val="24"/>
        </w:rPr>
        <w:t>M</w:t>
      </w:r>
      <w:r w:rsidR="00D94B25" w:rsidRPr="00AF08E7">
        <w:rPr>
          <w:rFonts w:ascii="Times New Roman" w:hAnsi="Times New Roman" w:cs="Times New Roman"/>
          <w:sz w:val="24"/>
          <w:szCs w:val="24"/>
        </w:rPr>
        <w:t>ain purpose of income statement is that it contains a lot of subtotals that provides as assistance in determining the generation of profit and loss for the organisation</w:t>
      </w:r>
      <w:r w:rsidRPr="00AF08E7">
        <w:rPr>
          <w:rFonts w:ascii="Times New Roman" w:hAnsi="Times New Roman" w:cs="Times New Roman"/>
          <w:sz w:val="24"/>
          <w:szCs w:val="24"/>
        </w:rPr>
        <w:t>.</w:t>
      </w:r>
      <w:r w:rsidR="00D94B25" w:rsidRPr="00AF08E7">
        <w:rPr>
          <w:rFonts w:ascii="Times New Roman" w:hAnsi="Times New Roman" w:cs="Times New Roman"/>
          <w:sz w:val="24"/>
          <w:szCs w:val="24"/>
        </w:rPr>
        <w:t xml:space="preserve"> </w:t>
      </w:r>
      <w:r w:rsidRPr="00AF08E7">
        <w:rPr>
          <w:rFonts w:ascii="Times New Roman" w:hAnsi="Times New Roman" w:cs="Times New Roman"/>
          <w:sz w:val="24"/>
          <w:szCs w:val="24"/>
        </w:rPr>
        <w:t xml:space="preserve">GP </w:t>
      </w:r>
      <w:r w:rsidR="00D94B25" w:rsidRPr="00AF08E7">
        <w:rPr>
          <w:rFonts w:ascii="Times New Roman" w:hAnsi="Times New Roman" w:cs="Times New Roman"/>
          <w:sz w:val="24"/>
          <w:szCs w:val="24"/>
        </w:rPr>
        <w:t xml:space="preserve"> is generally deprived from taking the revenues and cost of goods sold together. Whereas, it provides indication of the ability for the business to set the particular price for the customer that would be easily accepted by them, and it also help them in maintaining the cost of services and good that it </w:t>
      </w:r>
      <w:r w:rsidR="00D94B25" w:rsidRPr="00AF08E7">
        <w:rPr>
          <w:rFonts w:ascii="Times New Roman" w:hAnsi="Times New Roman" w:cs="Times New Roman"/>
          <w:sz w:val="24"/>
          <w:szCs w:val="24"/>
        </w:rPr>
        <w:lastRenderedPageBreak/>
        <w:t>would provides to its customer</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Tagkalakis 2015)</w:t>
      </w:r>
      <w:r w:rsidR="00D94B25" w:rsidRPr="00AF08E7">
        <w:rPr>
          <w:rFonts w:ascii="Times New Roman" w:hAnsi="Times New Roman" w:cs="Times New Roman"/>
          <w:sz w:val="24"/>
          <w:szCs w:val="24"/>
        </w:rPr>
        <w:t>. Hence, this would result in effective working of the business performance. The other important subtotal is the operating profit, which is operating expenses such as (selling and distribution expenses) minus the gross profit. This provides proper indication of the firm’s ability to generate profit before affecting the financing activities are figured into final profit figure. Therefore, the purpose of income statement or statement of profit and loss depends on the user like investor, lender and the consumer. While, investor may be interested in considering the viability of the business that would be determined from the consistent profit. Whereas, the lender may be interested in knowing weather, the business is generation enough profits in order to pay interest expenses and loaned amount (Bragg, 2019).</w:t>
      </w:r>
    </w:p>
    <w:p w14:paraId="122BD7C6"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In addition to this, unfortunately the profitability of business is also screwed up by fraudulent transactions, that would alter the expenses and revenue that would result in false or unfair profit and loss representation that is different from the actual earning capabilities of the business. For example, someone is falsely claiming higher profit figures that would help in increasing the capitalize gain on assets so that would not be charged as expenses until later period. Thus, fraudulent practices can also interfere the purpose of income statement. whereas, the income statement or profit and loss is the core financial statement which helps in providing complete analysis of the financial performance of the company as its layout the crucial and accurate revenues and expenses in statement of P&amp;L</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Tenney, Kalenkoski 2019)</w:t>
      </w:r>
      <w:r w:rsidRPr="00AF08E7">
        <w:rPr>
          <w:rFonts w:ascii="Times New Roman" w:hAnsi="Times New Roman" w:cs="Times New Roman"/>
          <w:sz w:val="24"/>
          <w:szCs w:val="24"/>
        </w:rPr>
        <w:t xml:space="preserve">. </w:t>
      </w:r>
    </w:p>
    <w:p w14:paraId="37018FC3"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Furthermore, the income statement is prepared for Eccles plc for the year ended 31</w:t>
      </w:r>
      <w:r w:rsidRPr="00AF08E7">
        <w:rPr>
          <w:rFonts w:ascii="Times New Roman" w:hAnsi="Times New Roman" w:cs="Times New Roman"/>
          <w:sz w:val="24"/>
          <w:szCs w:val="24"/>
          <w:vertAlign w:val="superscript"/>
        </w:rPr>
        <w:t>st</w:t>
      </w:r>
      <w:r w:rsidRPr="00AF08E7">
        <w:rPr>
          <w:rFonts w:ascii="Times New Roman" w:hAnsi="Times New Roman" w:cs="Times New Roman"/>
          <w:sz w:val="24"/>
          <w:szCs w:val="24"/>
        </w:rPr>
        <w:t xml:space="preserve"> December 2019 after taken into consideration several adjustments into accounts which were not taken into consideration like corporate tax for the year 2019 is estimated to be £68000. The commission of £3000 owed by the salesman that has been paid in 31</w:t>
      </w:r>
      <w:r w:rsidRPr="00AF08E7">
        <w:rPr>
          <w:rFonts w:ascii="Times New Roman" w:hAnsi="Times New Roman" w:cs="Times New Roman"/>
          <w:sz w:val="24"/>
          <w:szCs w:val="24"/>
          <w:vertAlign w:val="superscript"/>
        </w:rPr>
        <w:t>st</w:t>
      </w:r>
      <w:r w:rsidRPr="00AF08E7">
        <w:rPr>
          <w:rFonts w:ascii="Times New Roman" w:hAnsi="Times New Roman" w:cs="Times New Roman"/>
          <w:sz w:val="24"/>
          <w:szCs w:val="24"/>
        </w:rPr>
        <w:t xml:space="preserve"> January 2019 and goods were sent to customer, payment yet to receive of £980 were adjusted while preparation of the income statement.</w:t>
      </w:r>
    </w:p>
    <w:p w14:paraId="51F4F498"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Therefore, for more understanding of the financial performance. The statement of profit and loss is been compared from previous year for 2018 with the income statement for 31</w:t>
      </w:r>
      <w:r w:rsidRPr="00AF08E7">
        <w:rPr>
          <w:rFonts w:ascii="Times New Roman" w:hAnsi="Times New Roman" w:cs="Times New Roman"/>
          <w:sz w:val="24"/>
          <w:szCs w:val="24"/>
          <w:vertAlign w:val="superscript"/>
        </w:rPr>
        <w:t>st</w:t>
      </w:r>
      <w:r w:rsidRPr="00AF08E7">
        <w:rPr>
          <w:rFonts w:ascii="Times New Roman" w:hAnsi="Times New Roman" w:cs="Times New Roman"/>
          <w:sz w:val="24"/>
          <w:szCs w:val="24"/>
        </w:rPr>
        <w:t xml:space="preserve"> December 2019. The various evaluation has been taken in order to understand the company’s profitability or how is there working in terms of profit or loss.</w:t>
      </w:r>
    </w:p>
    <w:p w14:paraId="3D58535F"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As from the preparation of the income statement it has been calculated as the revenue for 2019 is £827630 and cost of goods sold is 578650. Therefore, the gross profit is crucial in analysing the profit. the gross profit is generally calculated as taking revenue subtracting it with cost of goods sold. and it is calculated as £248980. Which is quite good for this company, whereas the expenses are taken from the company’s information as cost of sales, administrative expenses, interest paid, director remuneration, distribution cost, preference dividend, dividend and sales commission. The total expenses incurred by this firm is calculated as £696650.</w:t>
      </w:r>
    </w:p>
    <w:p w14:paraId="0083296D" w14:textId="41B75501"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The term operating profit in the accounting metrics refer to as measuring profits as the company’s generates from its core business function (Chen, 2018). Whereas, the operating profit is the income earned from its operations of the company before taxes, interest charges and expenses paid. This used to determine the profitability of the company after all the extra cost are paid out. The operating profit for this firm is calculated as £130980. Which is also known as profit before interest and tax.</w:t>
      </w:r>
    </w:p>
    <w:p w14:paraId="42D8D9C5"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lastRenderedPageBreak/>
        <w:t>In addition to this, the net profit is also crucial for the organisation to know the amount of profit made by the firm and this figure is majorly reflects the company’s profitability. The net income is the result of number of calculations that begins with the revenue and comprises of the expenses and income for the given period. The net profit for this firm is calculated as by taking profit before tax and interest with the difference of the corporate tax that is £68000 that is equal to £62980. Which helps in determining that company is performing really well in terms of generating the profit and while analysing the company’s performance it shows positive earnings and limited expenses</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Izzalqurny, et.al 2019)</w:t>
      </w:r>
      <w:r w:rsidRPr="00AF08E7">
        <w:rPr>
          <w:rFonts w:ascii="Times New Roman" w:hAnsi="Times New Roman" w:cs="Times New Roman"/>
          <w:sz w:val="24"/>
          <w:szCs w:val="24"/>
        </w:rPr>
        <w:t>.</w:t>
      </w:r>
    </w:p>
    <w:p w14:paraId="142723A0" w14:textId="46031D12"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 xml:space="preserve">Apart from this, the other financial statement which is also important in analysing the financial performance of the company is the balance sheet. </w:t>
      </w:r>
      <w:r w:rsidR="009F4823" w:rsidRPr="00AF08E7">
        <w:rPr>
          <w:rFonts w:ascii="Times New Roman" w:hAnsi="Times New Roman" w:cs="Times New Roman"/>
          <w:sz w:val="24"/>
          <w:szCs w:val="24"/>
        </w:rPr>
        <w:t>F</w:t>
      </w:r>
      <w:r w:rsidRPr="00AF08E7">
        <w:rPr>
          <w:rFonts w:ascii="Times New Roman" w:hAnsi="Times New Roman" w:cs="Times New Roman"/>
          <w:sz w:val="24"/>
          <w:szCs w:val="24"/>
        </w:rPr>
        <w:t>inancial statement or the balance sheet report the company’s assets, liabilities and shareholder’s equity at the specific period of time and helps in determining the rates of return and in the evaluation of its capital structure. It is the financial statement which provides the clear numbers of what company owes and owns. The balance sheet is the most important tools alongside the other financial statement like income statement and statement of cashflows that helps in conducting the financial ratios or doing the fundamental analysis (James, 2020).</w:t>
      </w:r>
    </w:p>
    <w:p w14:paraId="3C8E73E3" w14:textId="7C0D2D68" w:rsidR="00D94B25"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sz w:val="24"/>
          <w:szCs w:val="24"/>
        </w:rPr>
        <w:t>S</w:t>
      </w:r>
      <w:r w:rsidR="00D94B25" w:rsidRPr="00AF08E7">
        <w:rPr>
          <w:rFonts w:ascii="Times New Roman" w:hAnsi="Times New Roman" w:cs="Times New Roman"/>
          <w:sz w:val="24"/>
          <w:szCs w:val="24"/>
        </w:rPr>
        <w:t>tatement of financial position as on 31</w:t>
      </w:r>
      <w:r w:rsidR="00D94B25" w:rsidRPr="00AF08E7">
        <w:rPr>
          <w:rFonts w:ascii="Times New Roman" w:hAnsi="Times New Roman" w:cs="Times New Roman"/>
          <w:sz w:val="24"/>
          <w:szCs w:val="24"/>
          <w:vertAlign w:val="superscript"/>
        </w:rPr>
        <w:t>st</w:t>
      </w:r>
      <w:r w:rsidR="00D94B25" w:rsidRPr="00AF08E7">
        <w:rPr>
          <w:rFonts w:ascii="Times New Roman" w:hAnsi="Times New Roman" w:cs="Times New Roman"/>
          <w:sz w:val="24"/>
          <w:szCs w:val="24"/>
        </w:rPr>
        <w:t xml:space="preserve"> December 2019 is calculated as by taking assets  which is classified into current assets and non-current assets. Current assets are those which can be converted into cash within the year or less and non-current assets which can be defined as assets which cannot be converted into cash within a year. Whereas, liabilities are the money which firm’s owes to the outsider parties and lenders</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Decker, Kizirian 2017)</w:t>
      </w:r>
      <w:r w:rsidR="00D94B25" w:rsidRPr="00AF08E7">
        <w:rPr>
          <w:rFonts w:ascii="Times New Roman" w:hAnsi="Times New Roman" w:cs="Times New Roman"/>
          <w:sz w:val="24"/>
          <w:szCs w:val="24"/>
        </w:rPr>
        <w:t>. There are two types of liabilities that are current and non-current. The current liabilities are the money that would be due within a year or less. Whereas, non-current liabilities are those money which would be due at more than one year. And lastly the shareholder’s equity which is the money that is attributable to the owner of the business or shareholders. It is also known as net assets in other words. There are various ratios that could be analysed using the statement of financial position or the balance sheet which has been calculated in appendices.</w:t>
      </w:r>
    </w:p>
    <w:p w14:paraId="40009F3C" w14:textId="55D1BD74" w:rsidR="00D94B25" w:rsidRPr="00AF08E7" w:rsidRDefault="009F4823" w:rsidP="00CB737A">
      <w:pPr>
        <w:jc w:val="both"/>
        <w:rPr>
          <w:rFonts w:ascii="Times New Roman" w:hAnsi="Times New Roman" w:cs="Times New Roman"/>
          <w:sz w:val="24"/>
          <w:szCs w:val="24"/>
        </w:rPr>
      </w:pPr>
      <w:r w:rsidRPr="00AF08E7">
        <w:rPr>
          <w:rFonts w:ascii="Times New Roman" w:hAnsi="Times New Roman" w:cs="Times New Roman"/>
          <w:sz w:val="24"/>
          <w:szCs w:val="24"/>
        </w:rPr>
        <w:t>W</w:t>
      </w:r>
      <w:r w:rsidR="00D94B25" w:rsidRPr="00AF08E7">
        <w:rPr>
          <w:rFonts w:ascii="Times New Roman" w:hAnsi="Times New Roman" w:cs="Times New Roman"/>
          <w:sz w:val="24"/>
          <w:szCs w:val="24"/>
        </w:rPr>
        <w:t xml:space="preserve">orking capital ratio is the amount which is remained after taking total current assets and subtracting it with the total current liabilities. The larger the working capital it would most likely to pay its lenders, suppliers and employees etc. the working capital for 2019 is £272250. Which is quite good as it helps the business in working and achieve it long term and short- term goals.        </w:t>
      </w:r>
    </w:p>
    <w:p w14:paraId="72E99D7B"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Therefore, the balance sheet is also used in the calculation of various types of ratios that is debt to equity ratio which is calculated as taking total liabilities dividing it by total shareholder’s equity. This measure the degree to which how the company is performing its financial operation through debt versus the fully owned funds. More specifically the total liabilities is 342355 and shareholder’s equity is 610000. The debt to equity ratio for 2019 as per the balance sheet is calculated as 0.56. the lower ratio means that they are funding their finances through equity rather than the liabilities.</w:t>
      </w:r>
    </w:p>
    <w:p w14:paraId="074B6BFA" w14:textId="77777777" w:rsidR="00D94B25" w:rsidRPr="00AF08E7" w:rsidRDefault="00D94B25" w:rsidP="00CB737A">
      <w:pPr>
        <w:jc w:val="both"/>
        <w:rPr>
          <w:rFonts w:ascii="Times New Roman" w:hAnsi="Times New Roman" w:cs="Times New Roman"/>
          <w:sz w:val="24"/>
          <w:szCs w:val="24"/>
        </w:rPr>
      </w:pPr>
      <w:r w:rsidRPr="00AF08E7">
        <w:rPr>
          <w:rFonts w:ascii="Times New Roman" w:hAnsi="Times New Roman" w:cs="Times New Roman"/>
          <w:sz w:val="24"/>
          <w:szCs w:val="24"/>
        </w:rPr>
        <w:t xml:space="preserve"> </w:t>
      </w:r>
    </w:p>
    <w:p w14:paraId="737A05B2" w14:textId="77777777" w:rsidR="0078119F" w:rsidRPr="00AF08E7" w:rsidRDefault="0078119F"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2B39807E" w14:textId="77777777" w:rsidR="00A231D2" w:rsidRPr="00AF08E7" w:rsidRDefault="0078119F" w:rsidP="00CB737A">
      <w:pPr>
        <w:pStyle w:val="Heading1"/>
        <w:jc w:val="both"/>
        <w:rPr>
          <w:rFonts w:cs="Times New Roman"/>
          <w:sz w:val="24"/>
          <w:szCs w:val="24"/>
        </w:rPr>
      </w:pPr>
      <w:bookmarkStart w:id="4" w:name="_Toc55482061"/>
      <w:r w:rsidRPr="00AF08E7">
        <w:rPr>
          <w:rFonts w:cs="Times New Roman"/>
          <w:sz w:val="24"/>
          <w:szCs w:val="24"/>
        </w:rPr>
        <w:lastRenderedPageBreak/>
        <w:t>Question 2</w:t>
      </w:r>
      <w:bookmarkEnd w:id="4"/>
    </w:p>
    <w:p w14:paraId="58031AF1" w14:textId="77777777" w:rsidR="00DB290E" w:rsidRPr="00AF08E7" w:rsidRDefault="00DB290E" w:rsidP="00CB737A">
      <w:pPr>
        <w:jc w:val="both"/>
        <w:rPr>
          <w:rFonts w:ascii="Times New Roman" w:hAnsi="Times New Roman" w:cs="Times New Roman"/>
          <w:sz w:val="24"/>
          <w:szCs w:val="24"/>
        </w:rPr>
      </w:pPr>
    </w:p>
    <w:p w14:paraId="0A2D8019" w14:textId="77777777" w:rsidR="004F302D" w:rsidRPr="00AF08E7" w:rsidRDefault="004F302D" w:rsidP="00CB737A">
      <w:pPr>
        <w:pStyle w:val="Heading2"/>
        <w:numPr>
          <w:ilvl w:val="0"/>
          <w:numId w:val="6"/>
        </w:numPr>
        <w:jc w:val="both"/>
        <w:rPr>
          <w:rFonts w:cs="Times New Roman"/>
          <w:sz w:val="24"/>
          <w:szCs w:val="24"/>
        </w:rPr>
      </w:pPr>
      <w:bookmarkStart w:id="5" w:name="_Toc55482062"/>
      <w:r w:rsidRPr="00AF08E7">
        <w:rPr>
          <w:rFonts w:cs="Times New Roman"/>
          <w:sz w:val="24"/>
          <w:szCs w:val="24"/>
        </w:rPr>
        <w:t>Schedule of ratios of Chocos plc for 2018 and 2019-</w:t>
      </w:r>
      <w:bookmarkEnd w:id="5"/>
    </w:p>
    <w:p w14:paraId="0E97EBD1" w14:textId="77777777" w:rsidR="0078119F" w:rsidRPr="00AF08E7" w:rsidRDefault="0078119F" w:rsidP="00CB737A">
      <w:pPr>
        <w:pStyle w:val="Heading2"/>
        <w:jc w:val="both"/>
        <w:rPr>
          <w:rFonts w:cs="Times New Roman"/>
          <w:sz w:val="24"/>
          <w:szCs w:val="24"/>
        </w:rPr>
      </w:pPr>
    </w:p>
    <w:tbl>
      <w:tblPr>
        <w:tblW w:w="8413" w:type="dxa"/>
        <w:tblLook w:val="04A0" w:firstRow="1" w:lastRow="0" w:firstColumn="1" w:lastColumn="0" w:noHBand="0" w:noVBand="1"/>
      </w:tblPr>
      <w:tblGrid>
        <w:gridCol w:w="2360"/>
        <w:gridCol w:w="3293"/>
        <w:gridCol w:w="1360"/>
        <w:gridCol w:w="1400"/>
      </w:tblGrid>
      <w:tr w:rsidR="0078119F" w:rsidRPr="00AF08E7" w14:paraId="1CB04B93" w14:textId="77777777" w:rsidTr="0078119F">
        <w:trPr>
          <w:trHeight w:val="300"/>
        </w:trPr>
        <w:tc>
          <w:tcPr>
            <w:tcW w:w="2360" w:type="dxa"/>
            <w:tcBorders>
              <w:top w:val="single" w:sz="8" w:space="0" w:color="auto"/>
              <w:left w:val="single" w:sz="8" w:space="0" w:color="auto"/>
              <w:bottom w:val="nil"/>
              <w:right w:val="single" w:sz="8" w:space="0" w:color="auto"/>
            </w:tcBorders>
            <w:shd w:val="clear" w:color="auto" w:fill="auto"/>
            <w:noWrap/>
            <w:vAlign w:val="bottom"/>
            <w:hideMark/>
          </w:tcPr>
          <w:p w14:paraId="753E7542" w14:textId="77777777" w:rsidR="0078119F" w:rsidRPr="00AF08E7" w:rsidRDefault="004F302D" w:rsidP="00CB737A">
            <w:pPr>
              <w:spacing w:after="0" w:line="240" w:lineRule="auto"/>
              <w:jc w:val="both"/>
              <w:rPr>
                <w:rFonts w:ascii="Times New Roman" w:eastAsia="Times New Roman" w:hAnsi="Times New Roman" w:cs="Times New Roman"/>
                <w:b/>
                <w:sz w:val="24"/>
                <w:szCs w:val="24"/>
                <w:lang w:eastAsia="en-IN"/>
              </w:rPr>
            </w:pPr>
            <w:r w:rsidRPr="00AF08E7">
              <w:rPr>
                <w:rFonts w:ascii="Times New Roman" w:eastAsia="Times New Roman" w:hAnsi="Times New Roman" w:cs="Times New Roman"/>
                <w:b/>
                <w:sz w:val="24"/>
                <w:szCs w:val="24"/>
                <w:lang w:eastAsia="en-IN"/>
              </w:rPr>
              <w:t>particulars</w:t>
            </w:r>
          </w:p>
        </w:tc>
        <w:tc>
          <w:tcPr>
            <w:tcW w:w="3293" w:type="dxa"/>
            <w:tcBorders>
              <w:top w:val="single" w:sz="8" w:space="0" w:color="auto"/>
              <w:left w:val="nil"/>
              <w:bottom w:val="nil"/>
              <w:right w:val="nil"/>
            </w:tcBorders>
            <w:shd w:val="clear" w:color="auto" w:fill="auto"/>
            <w:noWrap/>
            <w:vAlign w:val="bottom"/>
            <w:hideMark/>
          </w:tcPr>
          <w:p w14:paraId="782557FD"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Formula</w:t>
            </w:r>
          </w:p>
        </w:tc>
        <w:tc>
          <w:tcPr>
            <w:tcW w:w="1360" w:type="dxa"/>
            <w:tcBorders>
              <w:top w:val="single" w:sz="8" w:space="0" w:color="auto"/>
              <w:left w:val="single" w:sz="8" w:space="0" w:color="auto"/>
              <w:bottom w:val="nil"/>
              <w:right w:val="single" w:sz="8" w:space="0" w:color="auto"/>
            </w:tcBorders>
            <w:shd w:val="clear" w:color="auto" w:fill="auto"/>
            <w:noWrap/>
            <w:vAlign w:val="bottom"/>
            <w:hideMark/>
          </w:tcPr>
          <w:p w14:paraId="4BAD7E38"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2019</w:t>
            </w:r>
          </w:p>
        </w:tc>
        <w:tc>
          <w:tcPr>
            <w:tcW w:w="1400" w:type="dxa"/>
            <w:tcBorders>
              <w:top w:val="single" w:sz="8" w:space="0" w:color="auto"/>
              <w:left w:val="nil"/>
              <w:bottom w:val="nil"/>
              <w:right w:val="nil"/>
            </w:tcBorders>
            <w:shd w:val="clear" w:color="auto" w:fill="auto"/>
            <w:noWrap/>
            <w:vAlign w:val="bottom"/>
            <w:hideMark/>
          </w:tcPr>
          <w:p w14:paraId="59D0072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2018</w:t>
            </w:r>
          </w:p>
        </w:tc>
      </w:tr>
      <w:tr w:rsidR="0078119F" w:rsidRPr="00AF08E7" w14:paraId="5032A703" w14:textId="77777777" w:rsidTr="0078119F">
        <w:trPr>
          <w:trHeight w:val="984"/>
        </w:trPr>
        <w:tc>
          <w:tcPr>
            <w:tcW w:w="2360" w:type="dxa"/>
            <w:tcBorders>
              <w:top w:val="single" w:sz="8" w:space="0" w:color="auto"/>
              <w:left w:val="single" w:sz="8" w:space="0" w:color="auto"/>
              <w:bottom w:val="nil"/>
              <w:right w:val="single" w:sz="8" w:space="0" w:color="auto"/>
            </w:tcBorders>
            <w:shd w:val="clear" w:color="auto" w:fill="auto"/>
            <w:noWrap/>
            <w:vAlign w:val="bottom"/>
            <w:hideMark/>
          </w:tcPr>
          <w:p w14:paraId="3250146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Current Ratio</w:t>
            </w:r>
          </w:p>
        </w:tc>
        <w:tc>
          <w:tcPr>
            <w:tcW w:w="3293" w:type="dxa"/>
            <w:tcBorders>
              <w:top w:val="single" w:sz="8" w:space="0" w:color="auto"/>
              <w:left w:val="nil"/>
              <w:bottom w:val="nil"/>
              <w:right w:val="nil"/>
            </w:tcBorders>
            <w:shd w:val="clear" w:color="auto" w:fill="auto"/>
            <w:vAlign w:val="bottom"/>
            <w:hideMark/>
          </w:tcPr>
          <w:p w14:paraId="452B90A1"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Total current assets / Total current liabilities</w:t>
            </w:r>
          </w:p>
        </w:tc>
        <w:tc>
          <w:tcPr>
            <w:tcW w:w="1360" w:type="dxa"/>
            <w:tcBorders>
              <w:top w:val="single" w:sz="8" w:space="0" w:color="auto"/>
              <w:left w:val="single" w:sz="8" w:space="0" w:color="auto"/>
              <w:bottom w:val="nil"/>
              <w:right w:val="single" w:sz="8" w:space="0" w:color="auto"/>
            </w:tcBorders>
            <w:shd w:val="clear" w:color="auto" w:fill="auto"/>
            <w:vAlign w:val="bottom"/>
            <w:hideMark/>
          </w:tcPr>
          <w:p w14:paraId="335848D4"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CA / CL</w:t>
            </w:r>
          </w:p>
        </w:tc>
        <w:tc>
          <w:tcPr>
            <w:tcW w:w="1400" w:type="dxa"/>
            <w:tcBorders>
              <w:top w:val="single" w:sz="8" w:space="0" w:color="auto"/>
              <w:left w:val="nil"/>
              <w:bottom w:val="nil"/>
              <w:right w:val="single" w:sz="8" w:space="0" w:color="auto"/>
            </w:tcBorders>
            <w:shd w:val="clear" w:color="auto" w:fill="auto"/>
            <w:vAlign w:val="bottom"/>
            <w:hideMark/>
          </w:tcPr>
          <w:p w14:paraId="5CEECCC6"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CA / CL</w:t>
            </w:r>
          </w:p>
        </w:tc>
      </w:tr>
      <w:tr w:rsidR="0078119F" w:rsidRPr="00AF08E7" w14:paraId="0FE4AFEA" w14:textId="77777777" w:rsidTr="0078119F">
        <w:trPr>
          <w:trHeight w:val="288"/>
        </w:trPr>
        <w:tc>
          <w:tcPr>
            <w:tcW w:w="2360" w:type="dxa"/>
            <w:tcBorders>
              <w:top w:val="nil"/>
              <w:left w:val="single" w:sz="8" w:space="0" w:color="auto"/>
              <w:bottom w:val="nil"/>
              <w:right w:val="single" w:sz="8" w:space="0" w:color="auto"/>
            </w:tcBorders>
            <w:shd w:val="clear" w:color="auto" w:fill="auto"/>
            <w:noWrap/>
            <w:vAlign w:val="bottom"/>
            <w:hideMark/>
          </w:tcPr>
          <w:p w14:paraId="423E0B3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noWrap/>
            <w:vAlign w:val="bottom"/>
            <w:hideMark/>
          </w:tcPr>
          <w:p w14:paraId="613FF5E5"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p>
        </w:tc>
        <w:tc>
          <w:tcPr>
            <w:tcW w:w="1360" w:type="dxa"/>
            <w:tcBorders>
              <w:top w:val="nil"/>
              <w:left w:val="single" w:sz="8" w:space="0" w:color="auto"/>
              <w:bottom w:val="nil"/>
              <w:right w:val="single" w:sz="8" w:space="0" w:color="auto"/>
            </w:tcBorders>
            <w:shd w:val="clear" w:color="auto" w:fill="auto"/>
            <w:noWrap/>
            <w:vAlign w:val="bottom"/>
            <w:hideMark/>
          </w:tcPr>
          <w:p w14:paraId="6DC93AA4"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0.92</w:t>
            </w:r>
          </w:p>
        </w:tc>
        <w:tc>
          <w:tcPr>
            <w:tcW w:w="1400" w:type="dxa"/>
            <w:tcBorders>
              <w:top w:val="nil"/>
              <w:left w:val="nil"/>
              <w:bottom w:val="nil"/>
              <w:right w:val="single" w:sz="8" w:space="0" w:color="auto"/>
            </w:tcBorders>
            <w:shd w:val="clear" w:color="auto" w:fill="auto"/>
            <w:noWrap/>
            <w:vAlign w:val="bottom"/>
            <w:hideMark/>
          </w:tcPr>
          <w:p w14:paraId="5BDB875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0.77</w:t>
            </w:r>
          </w:p>
        </w:tc>
      </w:tr>
      <w:tr w:rsidR="0078119F" w:rsidRPr="00AF08E7" w14:paraId="3163FCB7" w14:textId="77777777" w:rsidTr="0078119F">
        <w:trPr>
          <w:trHeight w:val="288"/>
        </w:trPr>
        <w:tc>
          <w:tcPr>
            <w:tcW w:w="2360" w:type="dxa"/>
            <w:tcBorders>
              <w:top w:val="nil"/>
              <w:left w:val="single" w:sz="8" w:space="0" w:color="auto"/>
              <w:bottom w:val="nil"/>
              <w:right w:val="single" w:sz="8" w:space="0" w:color="auto"/>
            </w:tcBorders>
            <w:shd w:val="clear" w:color="auto" w:fill="auto"/>
            <w:noWrap/>
            <w:vAlign w:val="bottom"/>
            <w:hideMark/>
          </w:tcPr>
          <w:p w14:paraId="533D4F2A"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noWrap/>
            <w:vAlign w:val="bottom"/>
            <w:hideMark/>
          </w:tcPr>
          <w:p w14:paraId="7212F012"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p>
        </w:tc>
        <w:tc>
          <w:tcPr>
            <w:tcW w:w="1360" w:type="dxa"/>
            <w:tcBorders>
              <w:top w:val="nil"/>
              <w:left w:val="single" w:sz="8" w:space="0" w:color="auto"/>
              <w:bottom w:val="nil"/>
              <w:right w:val="single" w:sz="8" w:space="0" w:color="auto"/>
            </w:tcBorders>
            <w:shd w:val="clear" w:color="auto" w:fill="auto"/>
            <w:noWrap/>
            <w:vAlign w:val="bottom"/>
            <w:hideMark/>
          </w:tcPr>
          <w:p w14:paraId="5B90DF5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400" w:type="dxa"/>
            <w:tcBorders>
              <w:top w:val="nil"/>
              <w:left w:val="nil"/>
              <w:bottom w:val="nil"/>
              <w:right w:val="single" w:sz="8" w:space="0" w:color="auto"/>
            </w:tcBorders>
            <w:shd w:val="clear" w:color="auto" w:fill="auto"/>
            <w:noWrap/>
            <w:vAlign w:val="bottom"/>
            <w:hideMark/>
          </w:tcPr>
          <w:p w14:paraId="5FD60AAA"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78119F" w:rsidRPr="00AF08E7" w14:paraId="243383C3" w14:textId="77777777" w:rsidTr="0078119F">
        <w:trPr>
          <w:trHeight w:val="300"/>
        </w:trPr>
        <w:tc>
          <w:tcPr>
            <w:tcW w:w="2360" w:type="dxa"/>
            <w:tcBorders>
              <w:top w:val="nil"/>
              <w:left w:val="single" w:sz="8" w:space="0" w:color="auto"/>
              <w:bottom w:val="single" w:sz="8" w:space="0" w:color="auto"/>
              <w:right w:val="single" w:sz="8" w:space="0" w:color="auto"/>
            </w:tcBorders>
            <w:shd w:val="clear" w:color="auto" w:fill="auto"/>
            <w:noWrap/>
            <w:vAlign w:val="bottom"/>
            <w:hideMark/>
          </w:tcPr>
          <w:p w14:paraId="63E2D3F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single" w:sz="8" w:space="0" w:color="auto"/>
              <w:right w:val="nil"/>
            </w:tcBorders>
            <w:shd w:val="clear" w:color="auto" w:fill="auto"/>
            <w:noWrap/>
            <w:vAlign w:val="bottom"/>
            <w:hideMark/>
          </w:tcPr>
          <w:p w14:paraId="0FEAA29E"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376D52DA"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bottom"/>
            <w:hideMark/>
          </w:tcPr>
          <w:p w14:paraId="78104BA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454A208B" w14:textId="77777777" w:rsidTr="0078119F">
        <w:trPr>
          <w:trHeight w:val="1224"/>
        </w:trPr>
        <w:tc>
          <w:tcPr>
            <w:tcW w:w="2360" w:type="dxa"/>
            <w:tcBorders>
              <w:top w:val="nil"/>
              <w:left w:val="single" w:sz="8" w:space="0" w:color="auto"/>
              <w:bottom w:val="nil"/>
              <w:right w:val="single" w:sz="8" w:space="0" w:color="auto"/>
            </w:tcBorders>
            <w:shd w:val="clear" w:color="auto" w:fill="auto"/>
            <w:noWrap/>
            <w:vAlign w:val="bottom"/>
            <w:hideMark/>
          </w:tcPr>
          <w:p w14:paraId="6752A2EF"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Liquid Ratio</w:t>
            </w:r>
          </w:p>
        </w:tc>
        <w:tc>
          <w:tcPr>
            <w:tcW w:w="3293" w:type="dxa"/>
            <w:tcBorders>
              <w:top w:val="nil"/>
              <w:left w:val="nil"/>
              <w:bottom w:val="nil"/>
              <w:right w:val="nil"/>
            </w:tcBorders>
            <w:shd w:val="clear" w:color="auto" w:fill="auto"/>
            <w:vAlign w:val="bottom"/>
            <w:hideMark/>
          </w:tcPr>
          <w:p w14:paraId="68419585"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(Total current assets - Inventory) / Total current liabilities</w:t>
            </w:r>
          </w:p>
        </w:tc>
        <w:tc>
          <w:tcPr>
            <w:tcW w:w="1360" w:type="dxa"/>
            <w:tcBorders>
              <w:top w:val="nil"/>
              <w:left w:val="single" w:sz="8" w:space="0" w:color="auto"/>
              <w:bottom w:val="nil"/>
              <w:right w:val="single" w:sz="8" w:space="0" w:color="auto"/>
            </w:tcBorders>
            <w:shd w:val="clear" w:color="auto" w:fill="auto"/>
            <w:vAlign w:val="bottom"/>
            <w:hideMark/>
          </w:tcPr>
          <w:p w14:paraId="37120255"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(CA - INV) / CL</w:t>
            </w:r>
          </w:p>
        </w:tc>
        <w:tc>
          <w:tcPr>
            <w:tcW w:w="1400" w:type="dxa"/>
            <w:tcBorders>
              <w:top w:val="nil"/>
              <w:left w:val="nil"/>
              <w:bottom w:val="nil"/>
              <w:right w:val="single" w:sz="8" w:space="0" w:color="auto"/>
            </w:tcBorders>
            <w:shd w:val="clear" w:color="auto" w:fill="auto"/>
            <w:vAlign w:val="bottom"/>
            <w:hideMark/>
          </w:tcPr>
          <w:p w14:paraId="48F049C0"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(CA - INV) / CL</w:t>
            </w:r>
          </w:p>
        </w:tc>
      </w:tr>
      <w:tr w:rsidR="0078119F" w:rsidRPr="00AF08E7" w14:paraId="65F45B97" w14:textId="77777777" w:rsidTr="0078119F">
        <w:trPr>
          <w:trHeight w:val="288"/>
        </w:trPr>
        <w:tc>
          <w:tcPr>
            <w:tcW w:w="2360" w:type="dxa"/>
            <w:tcBorders>
              <w:top w:val="nil"/>
              <w:left w:val="single" w:sz="8" w:space="0" w:color="auto"/>
              <w:bottom w:val="nil"/>
              <w:right w:val="single" w:sz="8" w:space="0" w:color="auto"/>
            </w:tcBorders>
            <w:shd w:val="clear" w:color="auto" w:fill="auto"/>
            <w:noWrap/>
            <w:vAlign w:val="bottom"/>
            <w:hideMark/>
          </w:tcPr>
          <w:p w14:paraId="47CF4D83"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vAlign w:val="bottom"/>
            <w:hideMark/>
          </w:tcPr>
          <w:p w14:paraId="76DD6C55"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p>
        </w:tc>
        <w:tc>
          <w:tcPr>
            <w:tcW w:w="1360" w:type="dxa"/>
            <w:tcBorders>
              <w:top w:val="nil"/>
              <w:left w:val="single" w:sz="8" w:space="0" w:color="auto"/>
              <w:bottom w:val="nil"/>
              <w:right w:val="single" w:sz="8" w:space="0" w:color="auto"/>
            </w:tcBorders>
            <w:shd w:val="clear" w:color="auto" w:fill="auto"/>
            <w:noWrap/>
            <w:vAlign w:val="bottom"/>
            <w:hideMark/>
          </w:tcPr>
          <w:p w14:paraId="2791FF9A"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0.64</w:t>
            </w:r>
          </w:p>
        </w:tc>
        <w:tc>
          <w:tcPr>
            <w:tcW w:w="1400" w:type="dxa"/>
            <w:tcBorders>
              <w:top w:val="nil"/>
              <w:left w:val="nil"/>
              <w:bottom w:val="nil"/>
              <w:right w:val="single" w:sz="8" w:space="0" w:color="auto"/>
            </w:tcBorders>
            <w:shd w:val="clear" w:color="auto" w:fill="auto"/>
            <w:noWrap/>
            <w:vAlign w:val="bottom"/>
            <w:hideMark/>
          </w:tcPr>
          <w:p w14:paraId="27078133"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0.56</w:t>
            </w:r>
          </w:p>
        </w:tc>
      </w:tr>
      <w:tr w:rsidR="0078119F" w:rsidRPr="00AF08E7" w14:paraId="04C45BE7" w14:textId="77777777" w:rsidTr="0078119F">
        <w:trPr>
          <w:trHeight w:val="300"/>
        </w:trPr>
        <w:tc>
          <w:tcPr>
            <w:tcW w:w="2360" w:type="dxa"/>
            <w:tcBorders>
              <w:top w:val="nil"/>
              <w:left w:val="single" w:sz="8" w:space="0" w:color="auto"/>
              <w:bottom w:val="single" w:sz="8" w:space="0" w:color="auto"/>
              <w:right w:val="single" w:sz="8" w:space="0" w:color="auto"/>
            </w:tcBorders>
            <w:shd w:val="clear" w:color="auto" w:fill="auto"/>
            <w:noWrap/>
            <w:vAlign w:val="bottom"/>
            <w:hideMark/>
          </w:tcPr>
          <w:p w14:paraId="6A6A966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single" w:sz="8" w:space="0" w:color="auto"/>
              <w:right w:val="nil"/>
            </w:tcBorders>
            <w:shd w:val="clear" w:color="auto" w:fill="auto"/>
            <w:noWrap/>
            <w:vAlign w:val="bottom"/>
            <w:hideMark/>
          </w:tcPr>
          <w:p w14:paraId="1619ED5A"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7BB3650B"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bottom"/>
            <w:hideMark/>
          </w:tcPr>
          <w:p w14:paraId="2C383E8C"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78119F" w:rsidRPr="00AF08E7" w14:paraId="0713F91E" w14:textId="77777777" w:rsidTr="0078119F">
        <w:trPr>
          <w:trHeight w:val="288"/>
        </w:trPr>
        <w:tc>
          <w:tcPr>
            <w:tcW w:w="2360" w:type="dxa"/>
            <w:tcBorders>
              <w:top w:val="nil"/>
              <w:left w:val="single" w:sz="8" w:space="0" w:color="auto"/>
              <w:bottom w:val="nil"/>
              <w:right w:val="single" w:sz="8" w:space="0" w:color="auto"/>
            </w:tcBorders>
            <w:shd w:val="clear" w:color="auto" w:fill="auto"/>
            <w:noWrap/>
            <w:vAlign w:val="bottom"/>
            <w:hideMark/>
          </w:tcPr>
          <w:p w14:paraId="7C0654A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noWrap/>
            <w:vAlign w:val="bottom"/>
            <w:hideMark/>
          </w:tcPr>
          <w:p w14:paraId="19E988A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single" w:sz="8" w:space="0" w:color="auto"/>
              <w:bottom w:val="nil"/>
              <w:right w:val="single" w:sz="8" w:space="0" w:color="auto"/>
            </w:tcBorders>
            <w:shd w:val="clear" w:color="auto" w:fill="auto"/>
            <w:noWrap/>
            <w:vAlign w:val="bottom"/>
            <w:hideMark/>
          </w:tcPr>
          <w:p w14:paraId="2F2CDC6B"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nil"/>
              <w:bottom w:val="nil"/>
              <w:right w:val="single" w:sz="8" w:space="0" w:color="auto"/>
            </w:tcBorders>
            <w:shd w:val="clear" w:color="auto" w:fill="auto"/>
            <w:noWrap/>
            <w:vAlign w:val="bottom"/>
            <w:hideMark/>
          </w:tcPr>
          <w:p w14:paraId="6710B59B"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40D1A447" w14:textId="77777777" w:rsidTr="0078119F">
        <w:trPr>
          <w:trHeight w:val="1020"/>
        </w:trPr>
        <w:tc>
          <w:tcPr>
            <w:tcW w:w="2360" w:type="dxa"/>
            <w:tcBorders>
              <w:top w:val="nil"/>
              <w:left w:val="single" w:sz="8" w:space="0" w:color="auto"/>
              <w:bottom w:val="nil"/>
              <w:right w:val="single" w:sz="8" w:space="0" w:color="auto"/>
            </w:tcBorders>
            <w:shd w:val="clear" w:color="auto" w:fill="auto"/>
            <w:vAlign w:val="bottom"/>
            <w:hideMark/>
          </w:tcPr>
          <w:p w14:paraId="2448A66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Inventory Turnover Ratio</w:t>
            </w:r>
          </w:p>
        </w:tc>
        <w:tc>
          <w:tcPr>
            <w:tcW w:w="3293" w:type="dxa"/>
            <w:tcBorders>
              <w:top w:val="nil"/>
              <w:left w:val="nil"/>
              <w:bottom w:val="nil"/>
              <w:right w:val="nil"/>
            </w:tcBorders>
            <w:shd w:val="clear" w:color="auto" w:fill="auto"/>
            <w:vAlign w:val="bottom"/>
            <w:hideMark/>
          </w:tcPr>
          <w:p w14:paraId="1224813B"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COGS / average inventory</w:t>
            </w:r>
          </w:p>
        </w:tc>
        <w:tc>
          <w:tcPr>
            <w:tcW w:w="1360" w:type="dxa"/>
            <w:tcBorders>
              <w:top w:val="nil"/>
              <w:left w:val="single" w:sz="8" w:space="0" w:color="auto"/>
              <w:bottom w:val="nil"/>
              <w:right w:val="single" w:sz="8" w:space="0" w:color="auto"/>
            </w:tcBorders>
            <w:shd w:val="clear" w:color="auto" w:fill="auto"/>
            <w:vAlign w:val="bottom"/>
            <w:hideMark/>
          </w:tcPr>
          <w:p w14:paraId="1D7E76A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COGS / average inventory</w:t>
            </w:r>
          </w:p>
        </w:tc>
        <w:tc>
          <w:tcPr>
            <w:tcW w:w="1400" w:type="dxa"/>
            <w:tcBorders>
              <w:top w:val="nil"/>
              <w:left w:val="nil"/>
              <w:bottom w:val="nil"/>
              <w:right w:val="single" w:sz="8" w:space="0" w:color="auto"/>
            </w:tcBorders>
            <w:shd w:val="clear" w:color="auto" w:fill="auto"/>
            <w:vAlign w:val="bottom"/>
            <w:hideMark/>
          </w:tcPr>
          <w:p w14:paraId="179B6DD8"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COGS / average inventory</w:t>
            </w:r>
          </w:p>
        </w:tc>
      </w:tr>
      <w:tr w:rsidR="0078119F" w:rsidRPr="00AF08E7" w14:paraId="4FF28C51" w14:textId="77777777" w:rsidTr="0078119F">
        <w:trPr>
          <w:trHeight w:val="288"/>
        </w:trPr>
        <w:tc>
          <w:tcPr>
            <w:tcW w:w="2360" w:type="dxa"/>
            <w:tcBorders>
              <w:top w:val="nil"/>
              <w:left w:val="single" w:sz="8" w:space="0" w:color="auto"/>
              <w:bottom w:val="nil"/>
              <w:right w:val="single" w:sz="8" w:space="0" w:color="auto"/>
            </w:tcBorders>
            <w:shd w:val="clear" w:color="auto" w:fill="auto"/>
            <w:vAlign w:val="bottom"/>
            <w:hideMark/>
          </w:tcPr>
          <w:p w14:paraId="45980319"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noWrap/>
            <w:vAlign w:val="bottom"/>
            <w:hideMark/>
          </w:tcPr>
          <w:p w14:paraId="73BB9E9C"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p>
        </w:tc>
        <w:tc>
          <w:tcPr>
            <w:tcW w:w="1360" w:type="dxa"/>
            <w:tcBorders>
              <w:top w:val="nil"/>
              <w:left w:val="single" w:sz="8" w:space="0" w:color="auto"/>
              <w:bottom w:val="nil"/>
              <w:right w:val="single" w:sz="8" w:space="0" w:color="auto"/>
            </w:tcBorders>
            <w:shd w:val="clear" w:color="auto" w:fill="auto"/>
            <w:vAlign w:val="bottom"/>
            <w:hideMark/>
          </w:tcPr>
          <w:p w14:paraId="7FC0C047"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nil"/>
              <w:bottom w:val="nil"/>
              <w:right w:val="single" w:sz="8" w:space="0" w:color="auto"/>
            </w:tcBorders>
            <w:shd w:val="clear" w:color="auto" w:fill="auto"/>
            <w:vAlign w:val="bottom"/>
            <w:hideMark/>
          </w:tcPr>
          <w:p w14:paraId="209D5C81"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18372F9D" w14:textId="77777777" w:rsidTr="0078119F">
        <w:trPr>
          <w:trHeight w:val="288"/>
        </w:trPr>
        <w:tc>
          <w:tcPr>
            <w:tcW w:w="2360" w:type="dxa"/>
            <w:tcBorders>
              <w:top w:val="nil"/>
              <w:left w:val="single" w:sz="8" w:space="0" w:color="auto"/>
              <w:bottom w:val="nil"/>
              <w:right w:val="single" w:sz="8" w:space="0" w:color="auto"/>
            </w:tcBorders>
            <w:shd w:val="clear" w:color="auto" w:fill="auto"/>
            <w:vAlign w:val="bottom"/>
            <w:hideMark/>
          </w:tcPr>
          <w:p w14:paraId="26FDD5E5"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3293" w:type="dxa"/>
            <w:tcBorders>
              <w:top w:val="nil"/>
              <w:left w:val="nil"/>
              <w:bottom w:val="nil"/>
              <w:right w:val="nil"/>
            </w:tcBorders>
            <w:shd w:val="clear" w:color="auto" w:fill="auto"/>
            <w:noWrap/>
            <w:vAlign w:val="bottom"/>
            <w:hideMark/>
          </w:tcPr>
          <w:p w14:paraId="73037D31"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p>
        </w:tc>
        <w:tc>
          <w:tcPr>
            <w:tcW w:w="1360" w:type="dxa"/>
            <w:tcBorders>
              <w:top w:val="nil"/>
              <w:left w:val="single" w:sz="8" w:space="0" w:color="auto"/>
              <w:bottom w:val="nil"/>
              <w:right w:val="single" w:sz="8" w:space="0" w:color="auto"/>
            </w:tcBorders>
            <w:shd w:val="clear" w:color="auto" w:fill="auto"/>
            <w:vAlign w:val="bottom"/>
            <w:hideMark/>
          </w:tcPr>
          <w:p w14:paraId="67E6BA2F"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1.18</w:t>
            </w:r>
          </w:p>
        </w:tc>
        <w:tc>
          <w:tcPr>
            <w:tcW w:w="1400" w:type="dxa"/>
            <w:tcBorders>
              <w:top w:val="nil"/>
              <w:left w:val="nil"/>
              <w:bottom w:val="nil"/>
              <w:right w:val="single" w:sz="8" w:space="0" w:color="auto"/>
            </w:tcBorders>
            <w:shd w:val="clear" w:color="auto" w:fill="auto"/>
            <w:vAlign w:val="bottom"/>
            <w:hideMark/>
          </w:tcPr>
          <w:p w14:paraId="198180C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4.70</w:t>
            </w:r>
          </w:p>
        </w:tc>
      </w:tr>
      <w:tr w:rsidR="0078119F" w:rsidRPr="00AF08E7" w14:paraId="105AD97D" w14:textId="77777777" w:rsidTr="0078119F">
        <w:trPr>
          <w:trHeight w:val="300"/>
        </w:trPr>
        <w:tc>
          <w:tcPr>
            <w:tcW w:w="2360" w:type="dxa"/>
            <w:tcBorders>
              <w:top w:val="nil"/>
              <w:left w:val="single" w:sz="8" w:space="0" w:color="auto"/>
              <w:bottom w:val="single" w:sz="8" w:space="0" w:color="auto"/>
              <w:right w:val="single" w:sz="8" w:space="0" w:color="auto"/>
            </w:tcBorders>
            <w:shd w:val="clear" w:color="auto" w:fill="auto"/>
            <w:vAlign w:val="bottom"/>
            <w:hideMark/>
          </w:tcPr>
          <w:p w14:paraId="182A462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3293" w:type="dxa"/>
            <w:tcBorders>
              <w:top w:val="nil"/>
              <w:left w:val="nil"/>
              <w:bottom w:val="single" w:sz="8" w:space="0" w:color="auto"/>
              <w:right w:val="nil"/>
            </w:tcBorders>
            <w:shd w:val="clear" w:color="auto" w:fill="auto"/>
            <w:noWrap/>
            <w:vAlign w:val="bottom"/>
            <w:hideMark/>
          </w:tcPr>
          <w:p w14:paraId="28D2B8F0"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single" w:sz="8" w:space="0" w:color="auto"/>
              <w:bottom w:val="single" w:sz="8" w:space="0" w:color="auto"/>
              <w:right w:val="single" w:sz="8" w:space="0" w:color="auto"/>
            </w:tcBorders>
            <w:shd w:val="clear" w:color="auto" w:fill="auto"/>
            <w:noWrap/>
            <w:vAlign w:val="bottom"/>
            <w:hideMark/>
          </w:tcPr>
          <w:p w14:paraId="370D9672"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nil"/>
              <w:bottom w:val="single" w:sz="8" w:space="0" w:color="auto"/>
              <w:right w:val="single" w:sz="8" w:space="0" w:color="auto"/>
            </w:tcBorders>
            <w:shd w:val="clear" w:color="auto" w:fill="auto"/>
            <w:noWrap/>
            <w:vAlign w:val="bottom"/>
            <w:hideMark/>
          </w:tcPr>
          <w:p w14:paraId="1F51634A"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008E6ECC" w14:textId="77777777" w:rsidTr="0078119F">
        <w:trPr>
          <w:trHeight w:val="1140"/>
        </w:trPr>
        <w:tc>
          <w:tcPr>
            <w:tcW w:w="2360" w:type="dxa"/>
            <w:tcBorders>
              <w:top w:val="nil"/>
              <w:left w:val="single" w:sz="8" w:space="0" w:color="auto"/>
              <w:bottom w:val="nil"/>
              <w:right w:val="single" w:sz="8" w:space="0" w:color="auto"/>
            </w:tcBorders>
            <w:shd w:val="clear" w:color="auto" w:fill="auto"/>
            <w:noWrap/>
            <w:vAlign w:val="bottom"/>
            <w:hideMark/>
          </w:tcPr>
          <w:p w14:paraId="08564E74"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Earnings per share</w:t>
            </w:r>
          </w:p>
        </w:tc>
        <w:tc>
          <w:tcPr>
            <w:tcW w:w="3293" w:type="dxa"/>
            <w:tcBorders>
              <w:top w:val="nil"/>
              <w:left w:val="nil"/>
              <w:bottom w:val="nil"/>
              <w:right w:val="nil"/>
            </w:tcBorders>
            <w:shd w:val="clear" w:color="auto" w:fill="auto"/>
            <w:vAlign w:val="bottom"/>
            <w:hideMark/>
          </w:tcPr>
          <w:p w14:paraId="720C7AE6"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Profit for shareholders / Number of ordinary shares</w:t>
            </w:r>
          </w:p>
        </w:tc>
        <w:tc>
          <w:tcPr>
            <w:tcW w:w="1360" w:type="dxa"/>
            <w:tcBorders>
              <w:top w:val="nil"/>
              <w:left w:val="single" w:sz="8" w:space="0" w:color="auto"/>
              <w:bottom w:val="nil"/>
              <w:right w:val="single" w:sz="8" w:space="0" w:color="auto"/>
            </w:tcBorders>
            <w:shd w:val="clear" w:color="auto" w:fill="auto"/>
            <w:vAlign w:val="bottom"/>
            <w:hideMark/>
          </w:tcPr>
          <w:p w14:paraId="63D3C3B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0.72</w:t>
            </w:r>
          </w:p>
        </w:tc>
        <w:tc>
          <w:tcPr>
            <w:tcW w:w="1400" w:type="dxa"/>
            <w:tcBorders>
              <w:top w:val="nil"/>
              <w:left w:val="nil"/>
              <w:bottom w:val="nil"/>
              <w:right w:val="single" w:sz="8" w:space="0" w:color="auto"/>
            </w:tcBorders>
            <w:shd w:val="clear" w:color="auto" w:fill="auto"/>
            <w:vAlign w:val="bottom"/>
            <w:hideMark/>
          </w:tcPr>
          <w:p w14:paraId="4E0713C6"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0.61</w:t>
            </w:r>
          </w:p>
        </w:tc>
      </w:tr>
      <w:tr w:rsidR="0078119F" w:rsidRPr="00AF08E7" w14:paraId="65221505" w14:textId="77777777" w:rsidTr="0078119F">
        <w:trPr>
          <w:trHeight w:val="300"/>
        </w:trPr>
        <w:tc>
          <w:tcPr>
            <w:tcW w:w="2360" w:type="dxa"/>
            <w:tcBorders>
              <w:top w:val="nil"/>
              <w:left w:val="single" w:sz="8" w:space="0" w:color="auto"/>
              <w:bottom w:val="nil"/>
              <w:right w:val="single" w:sz="8" w:space="0" w:color="auto"/>
            </w:tcBorders>
            <w:shd w:val="clear" w:color="auto" w:fill="auto"/>
            <w:noWrap/>
            <w:vAlign w:val="bottom"/>
            <w:hideMark/>
          </w:tcPr>
          <w:p w14:paraId="733D2FB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nil"/>
              <w:bottom w:val="nil"/>
              <w:right w:val="nil"/>
            </w:tcBorders>
            <w:shd w:val="clear" w:color="auto" w:fill="auto"/>
            <w:vAlign w:val="bottom"/>
            <w:hideMark/>
          </w:tcPr>
          <w:p w14:paraId="0D5D8F9A"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p>
        </w:tc>
        <w:tc>
          <w:tcPr>
            <w:tcW w:w="1360" w:type="dxa"/>
            <w:tcBorders>
              <w:top w:val="nil"/>
              <w:left w:val="single" w:sz="8" w:space="0" w:color="auto"/>
              <w:bottom w:val="nil"/>
              <w:right w:val="single" w:sz="8" w:space="0" w:color="auto"/>
            </w:tcBorders>
            <w:shd w:val="clear" w:color="auto" w:fill="auto"/>
            <w:noWrap/>
            <w:vAlign w:val="bottom"/>
            <w:hideMark/>
          </w:tcPr>
          <w:p w14:paraId="595AC476"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400" w:type="dxa"/>
            <w:tcBorders>
              <w:top w:val="nil"/>
              <w:left w:val="nil"/>
              <w:bottom w:val="nil"/>
              <w:right w:val="single" w:sz="8" w:space="0" w:color="auto"/>
            </w:tcBorders>
            <w:shd w:val="clear" w:color="auto" w:fill="auto"/>
            <w:noWrap/>
            <w:vAlign w:val="bottom"/>
            <w:hideMark/>
          </w:tcPr>
          <w:p w14:paraId="0A2FC195"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7A1D4FF5" w14:textId="77777777" w:rsidTr="0078119F">
        <w:trPr>
          <w:trHeight w:val="852"/>
        </w:trPr>
        <w:tc>
          <w:tcPr>
            <w:tcW w:w="2360" w:type="dxa"/>
            <w:tcBorders>
              <w:top w:val="single" w:sz="8" w:space="0" w:color="auto"/>
              <w:left w:val="single" w:sz="8" w:space="0" w:color="auto"/>
              <w:bottom w:val="nil"/>
              <w:right w:val="nil"/>
            </w:tcBorders>
            <w:shd w:val="clear" w:color="auto" w:fill="auto"/>
            <w:noWrap/>
            <w:vAlign w:val="bottom"/>
            <w:hideMark/>
          </w:tcPr>
          <w:p w14:paraId="678D3AE1"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Return on Assets</w:t>
            </w:r>
          </w:p>
        </w:tc>
        <w:tc>
          <w:tcPr>
            <w:tcW w:w="3293" w:type="dxa"/>
            <w:tcBorders>
              <w:top w:val="single" w:sz="8" w:space="0" w:color="auto"/>
              <w:left w:val="single" w:sz="8" w:space="0" w:color="auto"/>
              <w:bottom w:val="nil"/>
              <w:right w:val="single" w:sz="8" w:space="0" w:color="auto"/>
            </w:tcBorders>
            <w:shd w:val="clear" w:color="auto" w:fill="auto"/>
            <w:vAlign w:val="bottom"/>
            <w:hideMark/>
          </w:tcPr>
          <w:p w14:paraId="3018B051"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Net Profit / Average Total Assets</w:t>
            </w:r>
          </w:p>
        </w:tc>
        <w:tc>
          <w:tcPr>
            <w:tcW w:w="1360" w:type="dxa"/>
            <w:tcBorders>
              <w:top w:val="single" w:sz="8" w:space="0" w:color="auto"/>
              <w:left w:val="nil"/>
              <w:bottom w:val="nil"/>
              <w:right w:val="nil"/>
            </w:tcBorders>
            <w:shd w:val="clear" w:color="auto" w:fill="auto"/>
            <w:vAlign w:val="bottom"/>
            <w:hideMark/>
          </w:tcPr>
          <w:p w14:paraId="3E30E074"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431 / ((</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9736 + 10087</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2</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p>
        </w:tc>
        <w:tc>
          <w:tcPr>
            <w:tcW w:w="1400" w:type="dxa"/>
            <w:tcBorders>
              <w:top w:val="single" w:sz="8" w:space="0" w:color="auto"/>
              <w:left w:val="single" w:sz="8" w:space="0" w:color="auto"/>
              <w:bottom w:val="nil"/>
              <w:right w:val="single" w:sz="8" w:space="0" w:color="auto"/>
            </w:tcBorders>
            <w:shd w:val="clear" w:color="auto" w:fill="auto"/>
            <w:vAlign w:val="bottom"/>
            <w:hideMark/>
          </w:tcPr>
          <w:p w14:paraId="741F917D"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366</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10087</w:t>
            </w:r>
          </w:p>
        </w:tc>
      </w:tr>
      <w:tr w:rsidR="0078119F" w:rsidRPr="00AF08E7" w14:paraId="00411D14"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51916B68"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vAlign w:val="bottom"/>
            <w:hideMark/>
          </w:tcPr>
          <w:p w14:paraId="52D242EE"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vAlign w:val="bottom"/>
            <w:hideMark/>
          </w:tcPr>
          <w:p w14:paraId="675E8F9B"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0.043</w:t>
            </w:r>
          </w:p>
        </w:tc>
        <w:tc>
          <w:tcPr>
            <w:tcW w:w="1400" w:type="dxa"/>
            <w:tcBorders>
              <w:top w:val="nil"/>
              <w:left w:val="single" w:sz="8" w:space="0" w:color="auto"/>
              <w:bottom w:val="nil"/>
              <w:right w:val="single" w:sz="8" w:space="0" w:color="auto"/>
            </w:tcBorders>
            <w:shd w:val="clear" w:color="auto" w:fill="auto"/>
            <w:vAlign w:val="bottom"/>
            <w:hideMark/>
          </w:tcPr>
          <w:p w14:paraId="31B823C5"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0.036</w:t>
            </w:r>
          </w:p>
        </w:tc>
      </w:tr>
      <w:tr w:rsidR="0078119F" w:rsidRPr="00AF08E7" w14:paraId="691EC0F7"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5D0539F1"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hideMark/>
          </w:tcPr>
          <w:p w14:paraId="2C8CBCCD"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360" w:type="dxa"/>
            <w:tcBorders>
              <w:top w:val="nil"/>
              <w:left w:val="nil"/>
              <w:bottom w:val="nil"/>
              <w:right w:val="nil"/>
            </w:tcBorders>
            <w:shd w:val="clear" w:color="auto" w:fill="auto"/>
            <w:noWrap/>
            <w:vAlign w:val="bottom"/>
            <w:hideMark/>
          </w:tcPr>
          <w:p w14:paraId="2E33DC11"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4%</w:t>
            </w:r>
          </w:p>
        </w:tc>
        <w:tc>
          <w:tcPr>
            <w:tcW w:w="1400" w:type="dxa"/>
            <w:tcBorders>
              <w:top w:val="nil"/>
              <w:left w:val="single" w:sz="8" w:space="0" w:color="auto"/>
              <w:bottom w:val="nil"/>
              <w:right w:val="single" w:sz="8" w:space="0" w:color="auto"/>
            </w:tcBorders>
            <w:shd w:val="clear" w:color="auto" w:fill="auto"/>
            <w:noWrap/>
            <w:vAlign w:val="bottom"/>
            <w:hideMark/>
          </w:tcPr>
          <w:p w14:paraId="168E389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4%</w:t>
            </w:r>
          </w:p>
        </w:tc>
      </w:tr>
      <w:tr w:rsidR="0078119F" w:rsidRPr="00AF08E7" w14:paraId="51F5D646" w14:textId="77777777" w:rsidTr="0078119F">
        <w:trPr>
          <w:trHeight w:val="300"/>
        </w:trPr>
        <w:tc>
          <w:tcPr>
            <w:tcW w:w="2360" w:type="dxa"/>
            <w:tcBorders>
              <w:top w:val="nil"/>
              <w:left w:val="single" w:sz="8" w:space="0" w:color="auto"/>
              <w:bottom w:val="single" w:sz="8" w:space="0" w:color="auto"/>
              <w:right w:val="nil"/>
            </w:tcBorders>
            <w:shd w:val="clear" w:color="auto" w:fill="auto"/>
            <w:noWrap/>
            <w:vAlign w:val="bottom"/>
            <w:hideMark/>
          </w:tcPr>
          <w:p w14:paraId="5BDDAD14"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single" w:sz="8" w:space="0" w:color="auto"/>
              <w:right w:val="single" w:sz="8" w:space="0" w:color="auto"/>
            </w:tcBorders>
            <w:shd w:val="clear" w:color="auto" w:fill="auto"/>
            <w:noWrap/>
            <w:hideMark/>
          </w:tcPr>
          <w:p w14:paraId="6245C0F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360" w:type="dxa"/>
            <w:tcBorders>
              <w:top w:val="nil"/>
              <w:left w:val="nil"/>
              <w:bottom w:val="single" w:sz="8" w:space="0" w:color="auto"/>
              <w:right w:val="nil"/>
            </w:tcBorders>
            <w:shd w:val="clear" w:color="auto" w:fill="auto"/>
            <w:noWrap/>
            <w:hideMark/>
          </w:tcPr>
          <w:p w14:paraId="2907ADE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400" w:type="dxa"/>
            <w:tcBorders>
              <w:top w:val="nil"/>
              <w:left w:val="single" w:sz="8" w:space="0" w:color="auto"/>
              <w:bottom w:val="single" w:sz="8" w:space="0" w:color="auto"/>
              <w:right w:val="single" w:sz="8" w:space="0" w:color="auto"/>
            </w:tcBorders>
            <w:shd w:val="clear" w:color="auto" w:fill="auto"/>
            <w:noWrap/>
            <w:hideMark/>
          </w:tcPr>
          <w:p w14:paraId="26A6396D"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78119F" w:rsidRPr="00AF08E7" w14:paraId="12662B40" w14:textId="77777777" w:rsidTr="0078119F">
        <w:trPr>
          <w:trHeight w:val="840"/>
        </w:trPr>
        <w:tc>
          <w:tcPr>
            <w:tcW w:w="2360" w:type="dxa"/>
            <w:tcBorders>
              <w:top w:val="nil"/>
              <w:left w:val="single" w:sz="8" w:space="0" w:color="auto"/>
              <w:bottom w:val="nil"/>
              <w:right w:val="nil"/>
            </w:tcBorders>
            <w:shd w:val="clear" w:color="auto" w:fill="auto"/>
            <w:noWrap/>
            <w:vAlign w:val="bottom"/>
            <w:hideMark/>
          </w:tcPr>
          <w:p w14:paraId="5F2A26CD"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Return on Equity</w:t>
            </w:r>
          </w:p>
        </w:tc>
        <w:tc>
          <w:tcPr>
            <w:tcW w:w="3293" w:type="dxa"/>
            <w:tcBorders>
              <w:top w:val="nil"/>
              <w:left w:val="single" w:sz="8" w:space="0" w:color="auto"/>
              <w:bottom w:val="nil"/>
              <w:right w:val="single" w:sz="8" w:space="0" w:color="auto"/>
            </w:tcBorders>
            <w:shd w:val="clear" w:color="auto" w:fill="auto"/>
            <w:vAlign w:val="bottom"/>
            <w:hideMark/>
          </w:tcPr>
          <w:p w14:paraId="6F1F6B7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Net Profit / Average Equity</w:t>
            </w:r>
          </w:p>
        </w:tc>
        <w:tc>
          <w:tcPr>
            <w:tcW w:w="1360" w:type="dxa"/>
            <w:tcBorders>
              <w:top w:val="nil"/>
              <w:left w:val="nil"/>
              <w:bottom w:val="nil"/>
              <w:right w:val="nil"/>
            </w:tcBorders>
            <w:shd w:val="clear" w:color="auto" w:fill="auto"/>
            <w:vAlign w:val="bottom"/>
            <w:hideMark/>
          </w:tcPr>
          <w:p w14:paraId="236AFB78"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431 / ((</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300 + 300</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2</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p>
        </w:tc>
        <w:tc>
          <w:tcPr>
            <w:tcW w:w="1400" w:type="dxa"/>
            <w:tcBorders>
              <w:top w:val="nil"/>
              <w:left w:val="single" w:sz="8" w:space="0" w:color="auto"/>
              <w:bottom w:val="nil"/>
              <w:right w:val="single" w:sz="8" w:space="0" w:color="auto"/>
            </w:tcBorders>
            <w:shd w:val="clear" w:color="auto" w:fill="auto"/>
            <w:vAlign w:val="bottom"/>
            <w:hideMark/>
          </w:tcPr>
          <w:p w14:paraId="5A3DDD78"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366 /</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300</w:t>
            </w:r>
          </w:p>
        </w:tc>
      </w:tr>
      <w:tr w:rsidR="0078119F" w:rsidRPr="00AF08E7" w14:paraId="1F0056EB"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7495E3E1"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35542055"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vAlign w:val="bottom"/>
            <w:hideMark/>
          </w:tcPr>
          <w:p w14:paraId="77691E70"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1.44</w:t>
            </w:r>
          </w:p>
        </w:tc>
        <w:tc>
          <w:tcPr>
            <w:tcW w:w="1400" w:type="dxa"/>
            <w:tcBorders>
              <w:top w:val="nil"/>
              <w:left w:val="single" w:sz="8" w:space="0" w:color="auto"/>
              <w:bottom w:val="nil"/>
              <w:right w:val="single" w:sz="8" w:space="0" w:color="auto"/>
            </w:tcBorders>
            <w:shd w:val="clear" w:color="auto" w:fill="auto"/>
            <w:vAlign w:val="bottom"/>
            <w:hideMark/>
          </w:tcPr>
          <w:p w14:paraId="16C1AC6C"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1.22</w:t>
            </w:r>
          </w:p>
        </w:tc>
      </w:tr>
      <w:tr w:rsidR="0078119F" w:rsidRPr="00AF08E7" w14:paraId="70B0871D" w14:textId="77777777" w:rsidTr="0078119F">
        <w:trPr>
          <w:trHeight w:val="300"/>
        </w:trPr>
        <w:tc>
          <w:tcPr>
            <w:tcW w:w="2360" w:type="dxa"/>
            <w:tcBorders>
              <w:top w:val="nil"/>
              <w:left w:val="single" w:sz="8" w:space="0" w:color="auto"/>
              <w:bottom w:val="single" w:sz="8" w:space="0" w:color="auto"/>
              <w:right w:val="nil"/>
            </w:tcBorders>
            <w:shd w:val="clear" w:color="auto" w:fill="auto"/>
            <w:noWrap/>
            <w:vAlign w:val="bottom"/>
            <w:hideMark/>
          </w:tcPr>
          <w:p w14:paraId="6B134B3D"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single" w:sz="8" w:space="0" w:color="auto"/>
              <w:right w:val="single" w:sz="8" w:space="0" w:color="auto"/>
            </w:tcBorders>
            <w:shd w:val="clear" w:color="auto" w:fill="auto"/>
            <w:noWrap/>
            <w:hideMark/>
          </w:tcPr>
          <w:p w14:paraId="5E3A4324"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360" w:type="dxa"/>
            <w:tcBorders>
              <w:top w:val="nil"/>
              <w:left w:val="nil"/>
              <w:bottom w:val="single" w:sz="8" w:space="0" w:color="auto"/>
              <w:right w:val="nil"/>
            </w:tcBorders>
            <w:shd w:val="clear" w:color="auto" w:fill="auto"/>
            <w:noWrap/>
            <w:vAlign w:val="bottom"/>
            <w:hideMark/>
          </w:tcPr>
          <w:p w14:paraId="7C2EB024"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400" w:type="dxa"/>
            <w:tcBorders>
              <w:top w:val="nil"/>
              <w:left w:val="single" w:sz="8" w:space="0" w:color="auto"/>
              <w:bottom w:val="single" w:sz="8" w:space="0" w:color="auto"/>
              <w:right w:val="single" w:sz="8" w:space="0" w:color="auto"/>
            </w:tcBorders>
            <w:shd w:val="clear" w:color="auto" w:fill="auto"/>
            <w:noWrap/>
            <w:vAlign w:val="bottom"/>
            <w:hideMark/>
          </w:tcPr>
          <w:p w14:paraId="26283CC8"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r>
      <w:tr w:rsidR="0078119F" w:rsidRPr="00AF08E7" w14:paraId="288D0A2D"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3F3C6829"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hideMark/>
          </w:tcPr>
          <w:p w14:paraId="0B74B3DB"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w:t>
            </w:r>
          </w:p>
        </w:tc>
        <w:tc>
          <w:tcPr>
            <w:tcW w:w="1360" w:type="dxa"/>
            <w:tcBorders>
              <w:top w:val="nil"/>
              <w:left w:val="nil"/>
              <w:bottom w:val="nil"/>
              <w:right w:val="nil"/>
            </w:tcBorders>
            <w:shd w:val="clear" w:color="auto" w:fill="auto"/>
            <w:vAlign w:val="bottom"/>
            <w:hideMark/>
          </w:tcPr>
          <w:p w14:paraId="17248C90"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single" w:sz="8" w:space="0" w:color="auto"/>
              <w:bottom w:val="nil"/>
              <w:right w:val="single" w:sz="8" w:space="0" w:color="auto"/>
            </w:tcBorders>
            <w:shd w:val="clear" w:color="auto" w:fill="auto"/>
            <w:vAlign w:val="bottom"/>
            <w:hideMark/>
          </w:tcPr>
          <w:p w14:paraId="7031260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0A142B9C" w14:textId="77777777" w:rsidTr="0078119F">
        <w:trPr>
          <w:trHeight w:val="576"/>
        </w:trPr>
        <w:tc>
          <w:tcPr>
            <w:tcW w:w="2360" w:type="dxa"/>
            <w:tcBorders>
              <w:top w:val="nil"/>
              <w:left w:val="single" w:sz="8" w:space="0" w:color="auto"/>
              <w:bottom w:val="nil"/>
              <w:right w:val="nil"/>
            </w:tcBorders>
            <w:shd w:val="clear" w:color="auto" w:fill="auto"/>
            <w:noWrap/>
            <w:vAlign w:val="bottom"/>
            <w:hideMark/>
          </w:tcPr>
          <w:p w14:paraId="45CC3132"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Net Profit Margin</w:t>
            </w:r>
          </w:p>
        </w:tc>
        <w:tc>
          <w:tcPr>
            <w:tcW w:w="3293" w:type="dxa"/>
            <w:tcBorders>
              <w:top w:val="nil"/>
              <w:left w:val="single" w:sz="8" w:space="0" w:color="auto"/>
              <w:bottom w:val="nil"/>
              <w:right w:val="single" w:sz="8" w:space="0" w:color="auto"/>
            </w:tcBorders>
            <w:shd w:val="clear" w:color="auto" w:fill="auto"/>
            <w:vAlign w:val="bottom"/>
            <w:hideMark/>
          </w:tcPr>
          <w:p w14:paraId="458824A1"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Net Profit / Revenue</w:t>
            </w:r>
          </w:p>
        </w:tc>
        <w:tc>
          <w:tcPr>
            <w:tcW w:w="1360" w:type="dxa"/>
            <w:tcBorders>
              <w:top w:val="nil"/>
              <w:left w:val="nil"/>
              <w:bottom w:val="nil"/>
              <w:right w:val="nil"/>
            </w:tcBorders>
            <w:shd w:val="clear" w:color="auto" w:fill="auto"/>
            <w:vAlign w:val="bottom"/>
            <w:hideMark/>
          </w:tcPr>
          <w:p w14:paraId="12F209AF"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431</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6738</w:t>
            </w:r>
          </w:p>
        </w:tc>
        <w:tc>
          <w:tcPr>
            <w:tcW w:w="1400" w:type="dxa"/>
            <w:tcBorders>
              <w:top w:val="nil"/>
              <w:left w:val="single" w:sz="8" w:space="0" w:color="auto"/>
              <w:bottom w:val="nil"/>
              <w:right w:val="single" w:sz="8" w:space="0" w:color="auto"/>
            </w:tcBorders>
            <w:shd w:val="clear" w:color="auto" w:fill="auto"/>
            <w:vAlign w:val="bottom"/>
            <w:hideMark/>
          </w:tcPr>
          <w:p w14:paraId="6A6A4634"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366</w:t>
            </w:r>
            <w:r w:rsidR="001D5BA1"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 6441</w:t>
            </w:r>
          </w:p>
        </w:tc>
      </w:tr>
      <w:tr w:rsidR="0078119F" w:rsidRPr="00AF08E7" w14:paraId="0A6B6511"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42D9B6AB"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3541A466"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vAlign w:val="bottom"/>
            <w:hideMark/>
          </w:tcPr>
          <w:p w14:paraId="324CB492"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0.064</w:t>
            </w:r>
          </w:p>
        </w:tc>
        <w:tc>
          <w:tcPr>
            <w:tcW w:w="1400" w:type="dxa"/>
            <w:tcBorders>
              <w:top w:val="nil"/>
              <w:left w:val="single" w:sz="8" w:space="0" w:color="auto"/>
              <w:bottom w:val="nil"/>
              <w:right w:val="single" w:sz="8" w:space="0" w:color="auto"/>
            </w:tcBorders>
            <w:shd w:val="clear" w:color="auto" w:fill="auto"/>
            <w:vAlign w:val="bottom"/>
            <w:hideMark/>
          </w:tcPr>
          <w:p w14:paraId="43B824DF" w14:textId="77777777" w:rsidR="0078119F" w:rsidRPr="00AF08E7" w:rsidRDefault="00462FBB"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xml:space="preserve">= </w:t>
            </w:r>
            <w:r w:rsidR="0078119F" w:rsidRPr="00AF08E7">
              <w:rPr>
                <w:rFonts w:ascii="Times New Roman" w:eastAsia="Times New Roman" w:hAnsi="Times New Roman" w:cs="Times New Roman"/>
                <w:sz w:val="24"/>
                <w:szCs w:val="24"/>
                <w:lang w:eastAsia="en-IN"/>
              </w:rPr>
              <w:t>0.057</w:t>
            </w:r>
          </w:p>
        </w:tc>
      </w:tr>
      <w:tr w:rsidR="0078119F" w:rsidRPr="00AF08E7" w14:paraId="2F45E8BA"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5510FFC9"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0831AE38"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noWrap/>
            <w:vAlign w:val="bottom"/>
            <w:hideMark/>
          </w:tcPr>
          <w:p w14:paraId="74F558E8"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6%</w:t>
            </w:r>
          </w:p>
        </w:tc>
        <w:tc>
          <w:tcPr>
            <w:tcW w:w="1400" w:type="dxa"/>
            <w:tcBorders>
              <w:top w:val="nil"/>
              <w:left w:val="single" w:sz="8" w:space="0" w:color="auto"/>
              <w:bottom w:val="nil"/>
              <w:right w:val="single" w:sz="8" w:space="0" w:color="auto"/>
            </w:tcBorders>
            <w:shd w:val="clear" w:color="auto" w:fill="auto"/>
            <w:noWrap/>
            <w:vAlign w:val="bottom"/>
            <w:hideMark/>
          </w:tcPr>
          <w:p w14:paraId="0360AFD3"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6%</w:t>
            </w:r>
          </w:p>
        </w:tc>
      </w:tr>
      <w:tr w:rsidR="0078119F" w:rsidRPr="00AF08E7" w14:paraId="25EFDC11" w14:textId="77777777" w:rsidTr="0078119F">
        <w:trPr>
          <w:trHeight w:val="300"/>
        </w:trPr>
        <w:tc>
          <w:tcPr>
            <w:tcW w:w="2360" w:type="dxa"/>
            <w:tcBorders>
              <w:top w:val="nil"/>
              <w:left w:val="single" w:sz="8" w:space="0" w:color="auto"/>
              <w:bottom w:val="single" w:sz="8" w:space="0" w:color="auto"/>
              <w:right w:val="nil"/>
            </w:tcBorders>
            <w:shd w:val="clear" w:color="auto" w:fill="auto"/>
            <w:noWrap/>
            <w:vAlign w:val="bottom"/>
            <w:hideMark/>
          </w:tcPr>
          <w:p w14:paraId="27FDEE74"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lastRenderedPageBreak/>
              <w:t> </w:t>
            </w:r>
          </w:p>
        </w:tc>
        <w:tc>
          <w:tcPr>
            <w:tcW w:w="3293" w:type="dxa"/>
            <w:tcBorders>
              <w:top w:val="nil"/>
              <w:left w:val="single" w:sz="8" w:space="0" w:color="auto"/>
              <w:bottom w:val="single" w:sz="8" w:space="0" w:color="auto"/>
              <w:right w:val="single" w:sz="8" w:space="0" w:color="auto"/>
            </w:tcBorders>
            <w:shd w:val="clear" w:color="auto" w:fill="auto"/>
            <w:noWrap/>
            <w:vAlign w:val="bottom"/>
            <w:hideMark/>
          </w:tcPr>
          <w:p w14:paraId="53B1AB8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single" w:sz="8" w:space="0" w:color="auto"/>
              <w:right w:val="nil"/>
            </w:tcBorders>
            <w:shd w:val="clear" w:color="auto" w:fill="auto"/>
            <w:noWrap/>
            <w:vAlign w:val="bottom"/>
            <w:hideMark/>
          </w:tcPr>
          <w:p w14:paraId="620E86FA"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single" w:sz="8" w:space="0" w:color="auto"/>
              <w:bottom w:val="single" w:sz="8" w:space="0" w:color="auto"/>
              <w:right w:val="single" w:sz="8" w:space="0" w:color="auto"/>
            </w:tcBorders>
            <w:shd w:val="clear" w:color="auto" w:fill="auto"/>
            <w:noWrap/>
            <w:vAlign w:val="bottom"/>
            <w:hideMark/>
          </w:tcPr>
          <w:p w14:paraId="625D075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150548AB"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7DDA3FE1"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38D1946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noWrap/>
            <w:vAlign w:val="bottom"/>
            <w:hideMark/>
          </w:tcPr>
          <w:p w14:paraId="5B37CC79"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single" w:sz="8" w:space="0" w:color="auto"/>
              <w:bottom w:val="nil"/>
              <w:right w:val="single" w:sz="8" w:space="0" w:color="auto"/>
            </w:tcBorders>
            <w:shd w:val="clear" w:color="auto" w:fill="auto"/>
            <w:noWrap/>
            <w:vAlign w:val="bottom"/>
            <w:hideMark/>
          </w:tcPr>
          <w:p w14:paraId="06AC249D"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49CF7594" w14:textId="77777777" w:rsidTr="0078119F">
        <w:trPr>
          <w:trHeight w:val="864"/>
        </w:trPr>
        <w:tc>
          <w:tcPr>
            <w:tcW w:w="2360" w:type="dxa"/>
            <w:tcBorders>
              <w:top w:val="nil"/>
              <w:left w:val="single" w:sz="8" w:space="0" w:color="auto"/>
              <w:bottom w:val="nil"/>
              <w:right w:val="nil"/>
            </w:tcBorders>
            <w:shd w:val="clear" w:color="auto" w:fill="auto"/>
            <w:noWrap/>
            <w:vAlign w:val="bottom"/>
            <w:hideMark/>
          </w:tcPr>
          <w:p w14:paraId="06C1935A"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Expense ratio</w:t>
            </w:r>
          </w:p>
        </w:tc>
        <w:tc>
          <w:tcPr>
            <w:tcW w:w="3293" w:type="dxa"/>
            <w:tcBorders>
              <w:top w:val="nil"/>
              <w:left w:val="single" w:sz="8" w:space="0" w:color="auto"/>
              <w:bottom w:val="nil"/>
              <w:right w:val="single" w:sz="8" w:space="0" w:color="auto"/>
            </w:tcBorders>
            <w:shd w:val="clear" w:color="auto" w:fill="auto"/>
            <w:vAlign w:val="bottom"/>
            <w:hideMark/>
          </w:tcPr>
          <w:p w14:paraId="4B3EA542"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Expenses (excluding tax) / Revenue</w:t>
            </w:r>
          </w:p>
        </w:tc>
        <w:tc>
          <w:tcPr>
            <w:tcW w:w="1360" w:type="dxa"/>
            <w:tcBorders>
              <w:top w:val="nil"/>
              <w:left w:val="nil"/>
              <w:bottom w:val="nil"/>
              <w:right w:val="nil"/>
            </w:tcBorders>
            <w:shd w:val="clear" w:color="auto" w:fill="auto"/>
            <w:vAlign w:val="bottom"/>
            <w:hideMark/>
          </w:tcPr>
          <w:p w14:paraId="3D56AC58"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2698 / 6738</w:t>
            </w:r>
          </w:p>
        </w:tc>
        <w:tc>
          <w:tcPr>
            <w:tcW w:w="1400" w:type="dxa"/>
            <w:tcBorders>
              <w:top w:val="nil"/>
              <w:left w:val="single" w:sz="8" w:space="0" w:color="auto"/>
              <w:bottom w:val="nil"/>
              <w:right w:val="single" w:sz="8" w:space="0" w:color="auto"/>
            </w:tcBorders>
            <w:shd w:val="clear" w:color="auto" w:fill="auto"/>
            <w:vAlign w:val="bottom"/>
            <w:hideMark/>
          </w:tcPr>
          <w:p w14:paraId="411E7DDE"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2646 / 6441</w:t>
            </w:r>
          </w:p>
        </w:tc>
      </w:tr>
      <w:tr w:rsidR="0078119F" w:rsidRPr="00AF08E7" w14:paraId="5679B916"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36DE96FE"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hideMark/>
          </w:tcPr>
          <w:p w14:paraId="14535B2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 xml:space="preserve">Expenses = Total Operating Expenses </w:t>
            </w:r>
          </w:p>
        </w:tc>
        <w:tc>
          <w:tcPr>
            <w:tcW w:w="1360" w:type="dxa"/>
            <w:tcBorders>
              <w:top w:val="nil"/>
              <w:left w:val="nil"/>
              <w:bottom w:val="nil"/>
              <w:right w:val="nil"/>
            </w:tcBorders>
            <w:shd w:val="clear" w:color="auto" w:fill="auto"/>
            <w:vAlign w:val="bottom"/>
            <w:hideMark/>
          </w:tcPr>
          <w:p w14:paraId="5CDCA894"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0.400</w:t>
            </w:r>
          </w:p>
        </w:tc>
        <w:tc>
          <w:tcPr>
            <w:tcW w:w="1400" w:type="dxa"/>
            <w:tcBorders>
              <w:top w:val="nil"/>
              <w:left w:val="single" w:sz="8" w:space="0" w:color="auto"/>
              <w:bottom w:val="nil"/>
              <w:right w:val="single" w:sz="8" w:space="0" w:color="auto"/>
            </w:tcBorders>
            <w:shd w:val="clear" w:color="auto" w:fill="auto"/>
            <w:vAlign w:val="bottom"/>
            <w:hideMark/>
          </w:tcPr>
          <w:p w14:paraId="183C2590"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0.411</w:t>
            </w:r>
          </w:p>
        </w:tc>
      </w:tr>
      <w:tr w:rsidR="0078119F" w:rsidRPr="00AF08E7" w14:paraId="54A56BB6" w14:textId="77777777" w:rsidTr="0078119F">
        <w:trPr>
          <w:trHeight w:val="300"/>
        </w:trPr>
        <w:tc>
          <w:tcPr>
            <w:tcW w:w="2360" w:type="dxa"/>
            <w:tcBorders>
              <w:top w:val="nil"/>
              <w:left w:val="single" w:sz="8" w:space="0" w:color="auto"/>
              <w:bottom w:val="single" w:sz="8" w:space="0" w:color="auto"/>
              <w:right w:val="nil"/>
            </w:tcBorders>
            <w:shd w:val="clear" w:color="auto" w:fill="auto"/>
            <w:noWrap/>
            <w:vAlign w:val="bottom"/>
            <w:hideMark/>
          </w:tcPr>
          <w:p w14:paraId="16BE6E8A"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single" w:sz="8" w:space="0" w:color="auto"/>
              <w:right w:val="single" w:sz="8" w:space="0" w:color="auto"/>
            </w:tcBorders>
            <w:shd w:val="clear" w:color="auto" w:fill="auto"/>
            <w:noWrap/>
            <w:hideMark/>
          </w:tcPr>
          <w:p w14:paraId="22A36D0A" w14:textId="77777777" w:rsidR="0078119F" w:rsidRPr="00AF08E7" w:rsidRDefault="009A6DF0"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Revenue</w:t>
            </w:r>
            <w:r w:rsidR="0078119F" w:rsidRPr="00AF08E7">
              <w:rPr>
                <w:rFonts w:ascii="Times New Roman" w:eastAsia="Times New Roman" w:hAnsi="Times New Roman" w:cs="Times New Roman"/>
                <w:b/>
                <w:bCs/>
                <w:sz w:val="24"/>
                <w:szCs w:val="24"/>
                <w:lang w:eastAsia="en-IN"/>
              </w:rPr>
              <w:t xml:space="preserve"> = Net Operating Income</w:t>
            </w:r>
          </w:p>
        </w:tc>
        <w:tc>
          <w:tcPr>
            <w:tcW w:w="1360" w:type="dxa"/>
            <w:tcBorders>
              <w:top w:val="nil"/>
              <w:left w:val="nil"/>
              <w:bottom w:val="single" w:sz="8" w:space="0" w:color="auto"/>
              <w:right w:val="nil"/>
            </w:tcBorders>
            <w:shd w:val="clear" w:color="auto" w:fill="auto"/>
            <w:noWrap/>
            <w:vAlign w:val="bottom"/>
            <w:hideMark/>
          </w:tcPr>
          <w:p w14:paraId="729AE85B"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40%</w:t>
            </w:r>
          </w:p>
        </w:tc>
        <w:tc>
          <w:tcPr>
            <w:tcW w:w="1400" w:type="dxa"/>
            <w:tcBorders>
              <w:top w:val="nil"/>
              <w:left w:val="single" w:sz="8" w:space="0" w:color="auto"/>
              <w:bottom w:val="single" w:sz="8" w:space="0" w:color="auto"/>
              <w:right w:val="single" w:sz="8" w:space="0" w:color="auto"/>
            </w:tcBorders>
            <w:shd w:val="clear" w:color="auto" w:fill="auto"/>
            <w:noWrap/>
            <w:vAlign w:val="bottom"/>
            <w:hideMark/>
          </w:tcPr>
          <w:p w14:paraId="3BD0CF1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41%</w:t>
            </w:r>
          </w:p>
        </w:tc>
      </w:tr>
      <w:tr w:rsidR="0078119F" w:rsidRPr="00AF08E7" w14:paraId="621B7A9E"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69221475"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5B77C98F"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noWrap/>
            <w:vAlign w:val="bottom"/>
            <w:hideMark/>
          </w:tcPr>
          <w:p w14:paraId="1D7C52D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p>
        </w:tc>
        <w:tc>
          <w:tcPr>
            <w:tcW w:w="1400" w:type="dxa"/>
            <w:tcBorders>
              <w:top w:val="nil"/>
              <w:left w:val="single" w:sz="8" w:space="0" w:color="auto"/>
              <w:bottom w:val="nil"/>
              <w:right w:val="single" w:sz="8" w:space="0" w:color="auto"/>
            </w:tcBorders>
            <w:shd w:val="clear" w:color="auto" w:fill="auto"/>
            <w:noWrap/>
            <w:vAlign w:val="bottom"/>
            <w:hideMark/>
          </w:tcPr>
          <w:p w14:paraId="45838894"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r w:rsidR="0078119F" w:rsidRPr="00AF08E7" w14:paraId="1FCA86C0" w14:textId="77777777" w:rsidTr="0078119F">
        <w:trPr>
          <w:trHeight w:val="864"/>
        </w:trPr>
        <w:tc>
          <w:tcPr>
            <w:tcW w:w="2360" w:type="dxa"/>
            <w:tcBorders>
              <w:top w:val="nil"/>
              <w:left w:val="single" w:sz="8" w:space="0" w:color="auto"/>
              <w:bottom w:val="nil"/>
              <w:right w:val="nil"/>
            </w:tcBorders>
            <w:shd w:val="clear" w:color="auto" w:fill="auto"/>
            <w:noWrap/>
            <w:vAlign w:val="bottom"/>
            <w:hideMark/>
          </w:tcPr>
          <w:p w14:paraId="533BEBF8"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Cash flow to sales</w:t>
            </w:r>
          </w:p>
        </w:tc>
        <w:tc>
          <w:tcPr>
            <w:tcW w:w="3293" w:type="dxa"/>
            <w:tcBorders>
              <w:top w:val="nil"/>
              <w:left w:val="single" w:sz="8" w:space="0" w:color="auto"/>
              <w:bottom w:val="nil"/>
              <w:right w:val="single" w:sz="8" w:space="0" w:color="auto"/>
            </w:tcBorders>
            <w:shd w:val="clear" w:color="auto" w:fill="auto"/>
            <w:vAlign w:val="bottom"/>
            <w:hideMark/>
          </w:tcPr>
          <w:p w14:paraId="3CD86A80"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Net cash flow from operating activity / Revenue</w:t>
            </w:r>
          </w:p>
        </w:tc>
        <w:tc>
          <w:tcPr>
            <w:tcW w:w="1360" w:type="dxa"/>
            <w:tcBorders>
              <w:top w:val="nil"/>
              <w:left w:val="nil"/>
              <w:bottom w:val="nil"/>
              <w:right w:val="nil"/>
            </w:tcBorders>
            <w:shd w:val="clear" w:color="auto" w:fill="auto"/>
            <w:vAlign w:val="bottom"/>
            <w:hideMark/>
          </w:tcPr>
          <w:p w14:paraId="557A8F6F"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805 / 6738</w:t>
            </w:r>
          </w:p>
        </w:tc>
        <w:tc>
          <w:tcPr>
            <w:tcW w:w="1400" w:type="dxa"/>
            <w:tcBorders>
              <w:top w:val="nil"/>
              <w:left w:val="single" w:sz="8" w:space="0" w:color="auto"/>
              <w:bottom w:val="nil"/>
              <w:right w:val="single" w:sz="8" w:space="0" w:color="auto"/>
            </w:tcBorders>
            <w:shd w:val="clear" w:color="auto" w:fill="auto"/>
            <w:vAlign w:val="bottom"/>
            <w:hideMark/>
          </w:tcPr>
          <w:p w14:paraId="59DD747B"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699 / 6441</w:t>
            </w:r>
          </w:p>
        </w:tc>
      </w:tr>
      <w:tr w:rsidR="0078119F" w:rsidRPr="00AF08E7" w14:paraId="38584E50"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37A03517"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vAlign w:val="bottom"/>
            <w:hideMark/>
          </w:tcPr>
          <w:p w14:paraId="182175D2"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vAlign w:val="bottom"/>
            <w:hideMark/>
          </w:tcPr>
          <w:p w14:paraId="56B1B12F"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0.119</w:t>
            </w:r>
          </w:p>
        </w:tc>
        <w:tc>
          <w:tcPr>
            <w:tcW w:w="1400" w:type="dxa"/>
            <w:tcBorders>
              <w:top w:val="nil"/>
              <w:left w:val="single" w:sz="8" w:space="0" w:color="auto"/>
              <w:bottom w:val="nil"/>
              <w:right w:val="single" w:sz="8" w:space="0" w:color="auto"/>
            </w:tcBorders>
            <w:shd w:val="clear" w:color="auto" w:fill="auto"/>
            <w:vAlign w:val="bottom"/>
            <w:hideMark/>
          </w:tcPr>
          <w:p w14:paraId="79E7453E"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0.109</w:t>
            </w:r>
          </w:p>
        </w:tc>
      </w:tr>
      <w:tr w:rsidR="0078119F" w:rsidRPr="00AF08E7" w14:paraId="5D70AFF2" w14:textId="77777777" w:rsidTr="0078119F">
        <w:trPr>
          <w:trHeight w:val="288"/>
        </w:trPr>
        <w:tc>
          <w:tcPr>
            <w:tcW w:w="2360" w:type="dxa"/>
            <w:tcBorders>
              <w:top w:val="nil"/>
              <w:left w:val="single" w:sz="8" w:space="0" w:color="auto"/>
              <w:bottom w:val="nil"/>
              <w:right w:val="nil"/>
            </w:tcBorders>
            <w:shd w:val="clear" w:color="auto" w:fill="auto"/>
            <w:noWrap/>
            <w:vAlign w:val="bottom"/>
            <w:hideMark/>
          </w:tcPr>
          <w:p w14:paraId="2EC13765"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u w:val="single"/>
                <w:lang w:eastAsia="en-IN"/>
              </w:rPr>
            </w:pPr>
            <w:r w:rsidRPr="00AF08E7">
              <w:rPr>
                <w:rFonts w:ascii="Times New Roman" w:eastAsia="Times New Roman" w:hAnsi="Times New Roman" w:cs="Times New Roman"/>
                <w:b/>
                <w:bCs/>
                <w:sz w:val="24"/>
                <w:szCs w:val="24"/>
                <w:u w:val="single"/>
                <w:lang w:eastAsia="en-IN"/>
              </w:rPr>
              <w:t> </w:t>
            </w:r>
          </w:p>
        </w:tc>
        <w:tc>
          <w:tcPr>
            <w:tcW w:w="3293" w:type="dxa"/>
            <w:tcBorders>
              <w:top w:val="nil"/>
              <w:left w:val="single" w:sz="8" w:space="0" w:color="auto"/>
              <w:bottom w:val="nil"/>
              <w:right w:val="single" w:sz="8" w:space="0" w:color="auto"/>
            </w:tcBorders>
            <w:shd w:val="clear" w:color="auto" w:fill="auto"/>
            <w:noWrap/>
            <w:vAlign w:val="bottom"/>
            <w:hideMark/>
          </w:tcPr>
          <w:p w14:paraId="4576D97C"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nil"/>
              <w:right w:val="nil"/>
            </w:tcBorders>
            <w:shd w:val="clear" w:color="auto" w:fill="auto"/>
            <w:noWrap/>
            <w:vAlign w:val="bottom"/>
            <w:hideMark/>
          </w:tcPr>
          <w:p w14:paraId="7B8241EF"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11.95%</w:t>
            </w:r>
          </w:p>
        </w:tc>
        <w:tc>
          <w:tcPr>
            <w:tcW w:w="1400" w:type="dxa"/>
            <w:tcBorders>
              <w:top w:val="nil"/>
              <w:left w:val="single" w:sz="8" w:space="0" w:color="auto"/>
              <w:bottom w:val="nil"/>
              <w:right w:val="single" w:sz="8" w:space="0" w:color="auto"/>
            </w:tcBorders>
            <w:shd w:val="clear" w:color="auto" w:fill="auto"/>
            <w:noWrap/>
            <w:vAlign w:val="bottom"/>
            <w:hideMark/>
          </w:tcPr>
          <w:p w14:paraId="4F287080" w14:textId="77777777" w:rsidR="0078119F" w:rsidRPr="00AF08E7" w:rsidRDefault="0078119F" w:rsidP="00CB737A">
            <w:pPr>
              <w:spacing w:after="0" w:line="240" w:lineRule="auto"/>
              <w:jc w:val="both"/>
              <w:rPr>
                <w:rFonts w:ascii="Times New Roman" w:eastAsia="Times New Roman" w:hAnsi="Times New Roman" w:cs="Times New Roman"/>
                <w:b/>
                <w:bCs/>
                <w:sz w:val="24"/>
                <w:szCs w:val="24"/>
                <w:lang w:eastAsia="en-IN"/>
              </w:rPr>
            </w:pPr>
            <w:r w:rsidRPr="00AF08E7">
              <w:rPr>
                <w:rFonts w:ascii="Times New Roman" w:eastAsia="Times New Roman" w:hAnsi="Times New Roman" w:cs="Times New Roman"/>
                <w:b/>
                <w:bCs/>
                <w:sz w:val="24"/>
                <w:szCs w:val="24"/>
                <w:lang w:eastAsia="en-IN"/>
              </w:rPr>
              <w:t>10.85%</w:t>
            </w:r>
          </w:p>
        </w:tc>
      </w:tr>
      <w:tr w:rsidR="0078119F" w:rsidRPr="00AF08E7" w14:paraId="5B7B3C06" w14:textId="77777777" w:rsidTr="0078119F">
        <w:trPr>
          <w:trHeight w:val="300"/>
        </w:trPr>
        <w:tc>
          <w:tcPr>
            <w:tcW w:w="2360" w:type="dxa"/>
            <w:tcBorders>
              <w:top w:val="nil"/>
              <w:left w:val="single" w:sz="8" w:space="0" w:color="auto"/>
              <w:bottom w:val="single" w:sz="8" w:space="0" w:color="auto"/>
              <w:right w:val="nil"/>
            </w:tcBorders>
            <w:shd w:val="clear" w:color="auto" w:fill="auto"/>
            <w:noWrap/>
            <w:vAlign w:val="bottom"/>
            <w:hideMark/>
          </w:tcPr>
          <w:p w14:paraId="471AC1C3"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3293" w:type="dxa"/>
            <w:tcBorders>
              <w:top w:val="nil"/>
              <w:left w:val="single" w:sz="8" w:space="0" w:color="auto"/>
              <w:bottom w:val="single" w:sz="8" w:space="0" w:color="auto"/>
              <w:right w:val="single" w:sz="8" w:space="0" w:color="auto"/>
            </w:tcBorders>
            <w:shd w:val="clear" w:color="auto" w:fill="auto"/>
            <w:noWrap/>
            <w:vAlign w:val="bottom"/>
            <w:hideMark/>
          </w:tcPr>
          <w:p w14:paraId="6888306D"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360" w:type="dxa"/>
            <w:tcBorders>
              <w:top w:val="nil"/>
              <w:left w:val="nil"/>
              <w:bottom w:val="single" w:sz="8" w:space="0" w:color="auto"/>
              <w:right w:val="nil"/>
            </w:tcBorders>
            <w:shd w:val="clear" w:color="auto" w:fill="auto"/>
            <w:noWrap/>
            <w:vAlign w:val="bottom"/>
            <w:hideMark/>
          </w:tcPr>
          <w:p w14:paraId="4BB6B697"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c>
          <w:tcPr>
            <w:tcW w:w="1400" w:type="dxa"/>
            <w:tcBorders>
              <w:top w:val="nil"/>
              <w:left w:val="single" w:sz="8" w:space="0" w:color="auto"/>
              <w:bottom w:val="single" w:sz="8" w:space="0" w:color="auto"/>
              <w:right w:val="single" w:sz="8" w:space="0" w:color="auto"/>
            </w:tcBorders>
            <w:shd w:val="clear" w:color="auto" w:fill="auto"/>
            <w:noWrap/>
            <w:vAlign w:val="bottom"/>
            <w:hideMark/>
          </w:tcPr>
          <w:p w14:paraId="3B879566" w14:textId="77777777" w:rsidR="0078119F" w:rsidRPr="00AF08E7" w:rsidRDefault="0078119F" w:rsidP="00CB737A">
            <w:pPr>
              <w:spacing w:after="0" w:line="240" w:lineRule="auto"/>
              <w:jc w:val="both"/>
              <w:rPr>
                <w:rFonts w:ascii="Times New Roman" w:eastAsia="Times New Roman" w:hAnsi="Times New Roman" w:cs="Times New Roman"/>
                <w:sz w:val="24"/>
                <w:szCs w:val="24"/>
                <w:lang w:eastAsia="en-IN"/>
              </w:rPr>
            </w:pPr>
            <w:r w:rsidRPr="00AF08E7">
              <w:rPr>
                <w:rFonts w:ascii="Times New Roman" w:eastAsia="Times New Roman" w:hAnsi="Times New Roman" w:cs="Times New Roman"/>
                <w:sz w:val="24"/>
                <w:szCs w:val="24"/>
                <w:lang w:eastAsia="en-IN"/>
              </w:rPr>
              <w:t> </w:t>
            </w:r>
          </w:p>
        </w:tc>
      </w:tr>
    </w:tbl>
    <w:p w14:paraId="21BAA772" w14:textId="77777777" w:rsidR="0078119F" w:rsidRPr="00AF08E7" w:rsidRDefault="0078119F" w:rsidP="00CB737A">
      <w:pPr>
        <w:jc w:val="both"/>
        <w:rPr>
          <w:rFonts w:ascii="Times New Roman" w:hAnsi="Times New Roman" w:cs="Times New Roman"/>
          <w:sz w:val="24"/>
          <w:szCs w:val="24"/>
        </w:rPr>
      </w:pPr>
    </w:p>
    <w:p w14:paraId="10B67E28" w14:textId="77777777" w:rsidR="00A231D2" w:rsidRPr="00AF08E7" w:rsidRDefault="00A231D2" w:rsidP="00CB737A">
      <w:pPr>
        <w:jc w:val="both"/>
        <w:rPr>
          <w:rFonts w:ascii="Times New Roman" w:hAnsi="Times New Roman" w:cs="Times New Roman"/>
          <w:sz w:val="24"/>
          <w:szCs w:val="24"/>
        </w:rPr>
      </w:pPr>
    </w:p>
    <w:p w14:paraId="441291C8" w14:textId="77777777" w:rsidR="004F302D" w:rsidRPr="00AF08E7" w:rsidRDefault="00894A59" w:rsidP="00CB737A">
      <w:pPr>
        <w:pStyle w:val="Heading2"/>
        <w:numPr>
          <w:ilvl w:val="0"/>
          <w:numId w:val="6"/>
        </w:numPr>
        <w:jc w:val="both"/>
        <w:rPr>
          <w:rFonts w:cs="Times New Roman"/>
          <w:sz w:val="24"/>
          <w:szCs w:val="24"/>
        </w:rPr>
      </w:pPr>
      <w:bookmarkStart w:id="6" w:name="_Toc55482063"/>
      <w:r w:rsidRPr="00AF08E7">
        <w:rPr>
          <w:rFonts w:cs="Times New Roman"/>
          <w:sz w:val="24"/>
          <w:szCs w:val="24"/>
        </w:rPr>
        <w:t xml:space="preserve">Analysis of </w:t>
      </w:r>
      <w:r w:rsidR="00981C5C" w:rsidRPr="00AF08E7">
        <w:rPr>
          <w:rFonts w:cs="Times New Roman"/>
          <w:sz w:val="24"/>
          <w:szCs w:val="24"/>
        </w:rPr>
        <w:t xml:space="preserve">income statement and </w:t>
      </w:r>
      <w:r w:rsidRPr="00AF08E7">
        <w:rPr>
          <w:rFonts w:cs="Times New Roman"/>
          <w:sz w:val="24"/>
          <w:szCs w:val="24"/>
        </w:rPr>
        <w:t xml:space="preserve">financial </w:t>
      </w:r>
      <w:r w:rsidR="00981C5C" w:rsidRPr="00AF08E7">
        <w:rPr>
          <w:rFonts w:cs="Times New Roman"/>
          <w:sz w:val="24"/>
          <w:szCs w:val="24"/>
        </w:rPr>
        <w:t>position</w:t>
      </w:r>
      <w:r w:rsidRPr="00AF08E7">
        <w:rPr>
          <w:rFonts w:cs="Times New Roman"/>
          <w:sz w:val="24"/>
          <w:szCs w:val="24"/>
        </w:rPr>
        <w:t xml:space="preserve"> of Chocos plc-</w:t>
      </w:r>
      <w:bookmarkEnd w:id="6"/>
    </w:p>
    <w:p w14:paraId="176F89EA" w14:textId="77777777" w:rsidR="00894A59" w:rsidRPr="00AF08E7" w:rsidRDefault="00894A59" w:rsidP="00CB737A">
      <w:pPr>
        <w:pStyle w:val="ListParagraph"/>
        <w:jc w:val="both"/>
        <w:rPr>
          <w:rFonts w:ascii="Times New Roman" w:hAnsi="Times New Roman" w:cs="Times New Roman"/>
          <w:sz w:val="24"/>
          <w:szCs w:val="24"/>
        </w:rPr>
      </w:pPr>
    </w:p>
    <w:p w14:paraId="2D0A8AD5" w14:textId="77777777" w:rsidR="00894A59" w:rsidRPr="00AF08E7" w:rsidRDefault="00894A59"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The income statement of Chocos plc shows that the revenues of the company have increased and so is the gross profit. Since the increases in revenues the related operating expenses have also increased such as distribution and marketing cost, whereas the administrative cost has reduced slightly. There is a good increase on the operating profit of the company</w:t>
      </w:r>
      <w:r w:rsidR="00793528" w:rsidRPr="00AF08E7">
        <w:rPr>
          <w:rFonts w:ascii="Times New Roman" w:hAnsi="Times New Roman" w:cs="Times New Roman"/>
          <w:sz w:val="24"/>
          <w:szCs w:val="24"/>
        </w:rPr>
        <w:t xml:space="preserve"> (Murphy 2020)</w:t>
      </w:r>
      <w:r w:rsidRPr="00AF08E7">
        <w:rPr>
          <w:rFonts w:ascii="Times New Roman" w:hAnsi="Times New Roman" w:cs="Times New Roman"/>
          <w:sz w:val="24"/>
          <w:szCs w:val="24"/>
        </w:rPr>
        <w:t>. Which has increased to 805 million pound 2019 from 699 million pound in 2018.comoany has also sold its asset which might be obsolete or having low productivity and had a profit on sale of 19 which was a loss of 5 in 2018. The amount of interest paid by the company has also increased which shows the increase in the financial cost of the company. In spite of this the profit before tax is showing an increase in the amount to be 620 in 2019 from 539 in 2018. And the net profit has been 431 in 2019 from 366 in 2018</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Lin, et.al 2018)</w:t>
      </w:r>
      <w:r w:rsidRPr="00AF08E7">
        <w:rPr>
          <w:rFonts w:ascii="Times New Roman" w:hAnsi="Times New Roman" w:cs="Times New Roman"/>
          <w:sz w:val="24"/>
          <w:szCs w:val="24"/>
        </w:rPr>
        <w:t>.</w:t>
      </w:r>
    </w:p>
    <w:p w14:paraId="087CE965" w14:textId="77777777" w:rsidR="00894A59" w:rsidRPr="00AF08E7" w:rsidRDefault="00894A59" w:rsidP="00CB737A">
      <w:pPr>
        <w:pStyle w:val="ListParagraph"/>
        <w:jc w:val="both"/>
        <w:rPr>
          <w:rFonts w:ascii="Times New Roman" w:hAnsi="Times New Roman" w:cs="Times New Roman"/>
          <w:sz w:val="24"/>
          <w:szCs w:val="24"/>
        </w:rPr>
      </w:pPr>
    </w:p>
    <w:p w14:paraId="3B127D44" w14:textId="77777777" w:rsidR="00894A59" w:rsidRPr="00AF08E7" w:rsidRDefault="00894A59"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 xml:space="preserve">In respect to the financial position there is decrease in intangible asset and plant property equipment are almost the same in both year. The company has purchased more investments in 2019 of 53 and a decrease in total </w:t>
      </w:r>
      <w:r w:rsidR="00105BB0" w:rsidRPr="00AF08E7">
        <w:rPr>
          <w:rFonts w:ascii="Times New Roman" w:hAnsi="Times New Roman" w:cs="Times New Roman"/>
          <w:sz w:val="24"/>
          <w:szCs w:val="24"/>
        </w:rPr>
        <w:t>non-</w:t>
      </w:r>
      <w:r w:rsidRPr="00AF08E7">
        <w:rPr>
          <w:rFonts w:ascii="Times New Roman" w:hAnsi="Times New Roman" w:cs="Times New Roman"/>
          <w:sz w:val="24"/>
          <w:szCs w:val="24"/>
        </w:rPr>
        <w:t xml:space="preserve">current assets can be seen in 2019 by 299, which is the considerable amount of decrease in the </w:t>
      </w:r>
      <w:r w:rsidR="00105BB0" w:rsidRPr="00AF08E7">
        <w:rPr>
          <w:rFonts w:ascii="Times New Roman" w:hAnsi="Times New Roman" w:cs="Times New Roman"/>
          <w:sz w:val="24"/>
          <w:szCs w:val="24"/>
        </w:rPr>
        <w:t>non-</w:t>
      </w:r>
      <w:r w:rsidRPr="00AF08E7">
        <w:rPr>
          <w:rFonts w:ascii="Times New Roman" w:hAnsi="Times New Roman" w:cs="Times New Roman"/>
          <w:sz w:val="24"/>
          <w:szCs w:val="24"/>
        </w:rPr>
        <w:t>current assets</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Bahnson, et.al 2017)</w:t>
      </w:r>
      <w:r w:rsidRPr="00AF08E7">
        <w:rPr>
          <w:rFonts w:ascii="Times New Roman" w:hAnsi="Times New Roman" w:cs="Times New Roman"/>
          <w:sz w:val="24"/>
          <w:szCs w:val="24"/>
        </w:rPr>
        <w:t xml:space="preserve">. </w:t>
      </w:r>
      <w:r w:rsidR="00105BB0" w:rsidRPr="00AF08E7">
        <w:rPr>
          <w:rFonts w:ascii="Times New Roman" w:hAnsi="Times New Roman" w:cs="Times New Roman"/>
          <w:sz w:val="24"/>
          <w:szCs w:val="24"/>
        </w:rPr>
        <w:t xml:space="preserve">In case of current assets, increase can be seen in the amount of cash and inventory and decrease in the receivables and investments in 2019 compared to 2018. Decrease in total assets can be seen by 351 in 2019. Current liabilities comprises of trade payables and creditors and both have reduced in 2019 hence total current liabilities have reduced by </w:t>
      </w:r>
      <w:r w:rsidR="00666EFB" w:rsidRPr="00AF08E7">
        <w:rPr>
          <w:rFonts w:ascii="Times New Roman" w:hAnsi="Times New Roman" w:cs="Times New Roman"/>
          <w:sz w:val="24"/>
          <w:szCs w:val="24"/>
        </w:rPr>
        <w:t>535 which is also a considerable amount but a good indication as well. Noncurrent liabilities have increased slightly</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Bahnson, et.al 2017)</w:t>
      </w:r>
      <w:r w:rsidR="00666EFB" w:rsidRPr="00AF08E7">
        <w:rPr>
          <w:rFonts w:ascii="Times New Roman" w:hAnsi="Times New Roman" w:cs="Times New Roman"/>
          <w:sz w:val="24"/>
          <w:szCs w:val="24"/>
        </w:rPr>
        <w:t xml:space="preserve">. Under the equity head of financial position, variation is in the retained earning which have increased by 176 in 2019, which is the only change in the equity. The other indication of better performance of Chocos plc in 2019 is that its share dividend have increased which was pao9d to the shareholders in 2019 that is by 13 and also the share </w:t>
      </w:r>
      <w:r w:rsidR="00666EFB" w:rsidRPr="00AF08E7">
        <w:rPr>
          <w:rFonts w:ascii="Times New Roman" w:hAnsi="Times New Roman" w:cs="Times New Roman"/>
          <w:sz w:val="24"/>
          <w:szCs w:val="24"/>
        </w:rPr>
        <w:lastRenderedPageBreak/>
        <w:t xml:space="preserve">price have risen in 2019 to b 5.12 from 4.00 in 2018. This shows the value have increased for the company for its investors as well. </w:t>
      </w:r>
    </w:p>
    <w:p w14:paraId="4F5C6EAC" w14:textId="77777777" w:rsidR="001A1E47" w:rsidRPr="00AF08E7" w:rsidRDefault="001A1E47" w:rsidP="00CB737A">
      <w:pPr>
        <w:pStyle w:val="ListParagraph"/>
        <w:jc w:val="both"/>
        <w:rPr>
          <w:rFonts w:ascii="Times New Roman" w:hAnsi="Times New Roman" w:cs="Times New Roman"/>
          <w:sz w:val="24"/>
          <w:szCs w:val="24"/>
        </w:rPr>
      </w:pPr>
    </w:p>
    <w:p w14:paraId="280E9593" w14:textId="77777777" w:rsidR="002203B2" w:rsidRPr="00AF08E7" w:rsidRDefault="002203B2" w:rsidP="00CB737A">
      <w:pPr>
        <w:pStyle w:val="ListParagraph"/>
        <w:jc w:val="both"/>
        <w:rPr>
          <w:rFonts w:ascii="Times New Roman" w:hAnsi="Times New Roman" w:cs="Times New Roman"/>
          <w:b/>
          <w:sz w:val="24"/>
          <w:szCs w:val="24"/>
          <w:u w:val="single"/>
        </w:rPr>
      </w:pPr>
      <w:r w:rsidRPr="00AF08E7">
        <w:rPr>
          <w:rFonts w:ascii="Times New Roman" w:hAnsi="Times New Roman" w:cs="Times New Roman"/>
          <w:b/>
          <w:sz w:val="24"/>
          <w:szCs w:val="24"/>
          <w:u w:val="single"/>
        </w:rPr>
        <w:t>Analysis of ratios-</w:t>
      </w:r>
    </w:p>
    <w:p w14:paraId="528D011E" w14:textId="77777777" w:rsidR="00DB290E" w:rsidRPr="00AF08E7" w:rsidRDefault="00DB290E" w:rsidP="00CB737A">
      <w:pPr>
        <w:pStyle w:val="ListParagraph"/>
        <w:jc w:val="both"/>
        <w:rPr>
          <w:rFonts w:ascii="Times New Roman" w:hAnsi="Times New Roman" w:cs="Times New Roman"/>
          <w:sz w:val="24"/>
          <w:szCs w:val="24"/>
        </w:rPr>
      </w:pPr>
    </w:p>
    <w:p w14:paraId="0670B824" w14:textId="77777777" w:rsidR="001A1E47" w:rsidRPr="00AF08E7" w:rsidRDefault="001A1E47"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 xml:space="preserve">According to the ratios calculated for Chocos plc from the extracts of financial statements, it can be said that </w:t>
      </w:r>
    </w:p>
    <w:p w14:paraId="2D54E132" w14:textId="77777777" w:rsidR="001A1E47" w:rsidRPr="00AF08E7" w:rsidRDefault="001A1E47" w:rsidP="00CB737A">
      <w:pPr>
        <w:pStyle w:val="ListParagraph"/>
        <w:jc w:val="both"/>
        <w:rPr>
          <w:rFonts w:ascii="Times New Roman" w:hAnsi="Times New Roman" w:cs="Times New Roman"/>
          <w:sz w:val="24"/>
          <w:szCs w:val="24"/>
        </w:rPr>
      </w:pPr>
    </w:p>
    <w:p w14:paraId="2C5003C5" w14:textId="77777777" w:rsidR="00E647C4" w:rsidRPr="00AF08E7" w:rsidRDefault="001A1E47"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Current ratio</w:t>
      </w:r>
      <w:r w:rsidRPr="00AF08E7">
        <w:rPr>
          <w:rFonts w:ascii="Times New Roman" w:hAnsi="Times New Roman" w:cs="Times New Roman"/>
          <w:sz w:val="24"/>
          <w:szCs w:val="24"/>
        </w:rPr>
        <w:t xml:space="preserve">- </w:t>
      </w:r>
      <w:r w:rsidR="000A298D" w:rsidRPr="00AF08E7">
        <w:rPr>
          <w:rFonts w:ascii="Times New Roman" w:hAnsi="Times New Roman" w:cs="Times New Roman"/>
          <w:sz w:val="24"/>
          <w:szCs w:val="24"/>
        </w:rPr>
        <w:t>C</w:t>
      </w:r>
      <w:r w:rsidRPr="00AF08E7">
        <w:rPr>
          <w:rFonts w:ascii="Times New Roman" w:hAnsi="Times New Roman" w:cs="Times New Roman"/>
          <w:sz w:val="24"/>
          <w:szCs w:val="24"/>
        </w:rPr>
        <w:t>urrent ratio is one of the liquidity ratios of the company</w:t>
      </w:r>
      <w:r w:rsidR="001716C4" w:rsidRPr="00AF08E7">
        <w:rPr>
          <w:rFonts w:ascii="Times New Roman" w:hAnsi="Times New Roman" w:cs="Times New Roman"/>
          <w:sz w:val="24"/>
          <w:szCs w:val="24"/>
        </w:rPr>
        <w:t xml:space="preserve"> which defines the capacity of the Chocos plc in meeting its obligation in short term. These ratios defines the liquidity of the company in respect to the paying off the obligations. In this ratio the comparison of current assets of Chocos plc is made with the current liabilities of company which defines the liquid position of the company</w:t>
      </w:r>
      <w:r w:rsidR="00793528" w:rsidRPr="00AF08E7">
        <w:rPr>
          <w:rFonts w:ascii="Times New Roman" w:hAnsi="Times New Roman" w:cs="Times New Roman"/>
          <w:sz w:val="24"/>
          <w:szCs w:val="24"/>
        </w:rPr>
        <w:t xml:space="preserve"> (Murphy 2020)</w:t>
      </w:r>
      <w:r w:rsidR="001716C4" w:rsidRPr="00AF08E7">
        <w:rPr>
          <w:rFonts w:ascii="Times New Roman" w:hAnsi="Times New Roman" w:cs="Times New Roman"/>
          <w:sz w:val="24"/>
          <w:szCs w:val="24"/>
        </w:rPr>
        <w:t>. This ratio inform the investors how the financial statements make the most of current asset of Chocos plc so that the current obligation or the short term debts can be met. In this above calculated ratio the company current ratio has improved from 0.77 to 0.99 which is the good indicator. The apt ratio is considered to be 1:2, hence it is less as per the standards</w:t>
      </w:r>
      <w:r w:rsidR="000A298D" w:rsidRPr="00AF08E7">
        <w:rPr>
          <w:rFonts w:ascii="Times New Roman" w:hAnsi="Times New Roman" w:cs="Times New Roman"/>
          <w:sz w:val="24"/>
          <w:szCs w:val="24"/>
        </w:rPr>
        <w:t xml:space="preserve"> </w:t>
      </w:r>
      <w:r w:rsidR="001716C4" w:rsidRPr="00AF08E7">
        <w:rPr>
          <w:rFonts w:ascii="Times New Roman" w:hAnsi="Times New Roman" w:cs="Times New Roman"/>
          <w:sz w:val="24"/>
          <w:szCs w:val="24"/>
        </w:rPr>
        <w:t>but has improved in comparison to 2018</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Lin, et.al 2018)</w:t>
      </w:r>
      <w:r w:rsidR="001716C4" w:rsidRPr="00AF08E7">
        <w:rPr>
          <w:rFonts w:ascii="Times New Roman" w:hAnsi="Times New Roman" w:cs="Times New Roman"/>
          <w:sz w:val="24"/>
          <w:szCs w:val="24"/>
        </w:rPr>
        <w:t>.</w:t>
      </w:r>
      <w:r w:rsidR="002203B2" w:rsidRPr="00AF08E7">
        <w:rPr>
          <w:rFonts w:ascii="Times New Roman" w:hAnsi="Times New Roman" w:cs="Times New Roman"/>
          <w:sz w:val="24"/>
          <w:szCs w:val="24"/>
        </w:rPr>
        <w:t xml:space="preserve"> </w:t>
      </w:r>
    </w:p>
    <w:p w14:paraId="14AD76C8" w14:textId="77777777" w:rsidR="002203B2" w:rsidRPr="00AF08E7" w:rsidRDefault="002203B2" w:rsidP="00CB737A">
      <w:pPr>
        <w:pStyle w:val="ListParagraph"/>
        <w:jc w:val="both"/>
        <w:rPr>
          <w:rFonts w:ascii="Times New Roman" w:hAnsi="Times New Roman" w:cs="Times New Roman"/>
          <w:sz w:val="24"/>
          <w:szCs w:val="24"/>
        </w:rPr>
      </w:pPr>
    </w:p>
    <w:p w14:paraId="5DB2A4CE" w14:textId="77777777" w:rsidR="002203B2" w:rsidRPr="00AF08E7" w:rsidRDefault="002203B2"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Liquid ratios-</w:t>
      </w:r>
      <w:r w:rsidR="00630469" w:rsidRPr="00AF08E7">
        <w:rPr>
          <w:rFonts w:ascii="Times New Roman" w:hAnsi="Times New Roman" w:cs="Times New Roman"/>
          <w:sz w:val="24"/>
          <w:szCs w:val="24"/>
        </w:rPr>
        <w:t xml:space="preserve"> T</w:t>
      </w:r>
      <w:r w:rsidRPr="00AF08E7">
        <w:rPr>
          <w:rFonts w:ascii="Times New Roman" w:hAnsi="Times New Roman" w:cs="Times New Roman"/>
          <w:sz w:val="24"/>
          <w:szCs w:val="24"/>
        </w:rPr>
        <w:t xml:space="preserve">he liquid ratios </w:t>
      </w:r>
      <w:r w:rsidR="009F370C" w:rsidRPr="00AF08E7">
        <w:rPr>
          <w:rFonts w:ascii="Times New Roman" w:hAnsi="Times New Roman" w:cs="Times New Roman"/>
          <w:sz w:val="24"/>
          <w:szCs w:val="24"/>
        </w:rPr>
        <w:t>will also define</w:t>
      </w:r>
      <w:r w:rsidRPr="00AF08E7">
        <w:rPr>
          <w:rFonts w:ascii="Times New Roman" w:hAnsi="Times New Roman" w:cs="Times New Roman"/>
          <w:sz w:val="24"/>
          <w:szCs w:val="24"/>
        </w:rPr>
        <w:t xml:space="preserve"> the liquidity or the capacity of Chocos plc for using its liquid or cash assets for paying its current</w:t>
      </w:r>
      <w:r w:rsidR="009F370C" w:rsidRPr="00AF08E7">
        <w:rPr>
          <w:rFonts w:ascii="Times New Roman" w:hAnsi="Times New Roman" w:cs="Times New Roman"/>
          <w:sz w:val="24"/>
          <w:szCs w:val="24"/>
        </w:rPr>
        <w:t xml:space="preserve"> liabilities with immediate effect. The good liquid ratio is considered to be any figure above 1. The Chocos plc has the liquid ratio of 0.64 in 2019 and 0.56 in 2018, which is less than 1, but improvement can be seen in 2019 compared to 2018</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Bahnson, et.al 2017)</w:t>
      </w:r>
      <w:r w:rsidR="009F370C" w:rsidRPr="00AF08E7">
        <w:rPr>
          <w:rFonts w:ascii="Times New Roman" w:hAnsi="Times New Roman" w:cs="Times New Roman"/>
          <w:sz w:val="24"/>
          <w:szCs w:val="24"/>
        </w:rPr>
        <w:t xml:space="preserve">. </w:t>
      </w:r>
    </w:p>
    <w:p w14:paraId="29695DFC" w14:textId="77777777" w:rsidR="009F370C" w:rsidRPr="00AF08E7" w:rsidRDefault="009F370C" w:rsidP="00CB737A">
      <w:pPr>
        <w:pStyle w:val="ListParagraph"/>
        <w:jc w:val="both"/>
        <w:rPr>
          <w:rFonts w:ascii="Times New Roman" w:hAnsi="Times New Roman" w:cs="Times New Roman"/>
          <w:sz w:val="24"/>
          <w:szCs w:val="24"/>
        </w:rPr>
      </w:pPr>
    </w:p>
    <w:p w14:paraId="4A475CA5" w14:textId="77777777" w:rsidR="009F370C" w:rsidRPr="00AF08E7" w:rsidRDefault="009F370C"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Inventory turnover ratio-</w:t>
      </w:r>
      <w:r w:rsidRPr="00AF08E7">
        <w:rPr>
          <w:rFonts w:ascii="Times New Roman" w:hAnsi="Times New Roman" w:cs="Times New Roman"/>
          <w:sz w:val="24"/>
          <w:szCs w:val="24"/>
        </w:rPr>
        <w:t xml:space="preserve"> </w:t>
      </w:r>
      <w:r w:rsidR="00630469" w:rsidRPr="00AF08E7">
        <w:rPr>
          <w:rFonts w:ascii="Times New Roman" w:hAnsi="Times New Roman" w:cs="Times New Roman"/>
          <w:sz w:val="24"/>
          <w:szCs w:val="24"/>
        </w:rPr>
        <w:t>T</w:t>
      </w:r>
      <w:r w:rsidR="00626D9D" w:rsidRPr="00AF08E7">
        <w:rPr>
          <w:rFonts w:ascii="Times New Roman" w:hAnsi="Times New Roman" w:cs="Times New Roman"/>
          <w:sz w:val="24"/>
          <w:szCs w:val="24"/>
        </w:rPr>
        <w:t xml:space="preserve">his ratio will define the number of times the inventory of Chocos plc will be used or sold in a specified period or a year. This also define the excess of inventory over the level of sales. It is 1.18 in2019 and was 4070 in 2018. This shows that high fall in the ratio that is high decrease in demand in 2019 which was very good in 2018. </w:t>
      </w:r>
    </w:p>
    <w:p w14:paraId="2EBA0673" w14:textId="77777777" w:rsidR="00626D9D" w:rsidRPr="00AF08E7" w:rsidRDefault="00626D9D" w:rsidP="00CB737A">
      <w:pPr>
        <w:pStyle w:val="ListParagraph"/>
        <w:jc w:val="both"/>
        <w:rPr>
          <w:rFonts w:ascii="Times New Roman" w:hAnsi="Times New Roman" w:cs="Times New Roman"/>
          <w:sz w:val="24"/>
          <w:szCs w:val="24"/>
        </w:rPr>
      </w:pPr>
    </w:p>
    <w:p w14:paraId="319641D2" w14:textId="77777777" w:rsidR="00626D9D" w:rsidRPr="00AF08E7" w:rsidRDefault="00626D9D"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Earnings per share-</w:t>
      </w:r>
      <w:r w:rsidRPr="00AF08E7">
        <w:rPr>
          <w:rFonts w:ascii="Times New Roman" w:hAnsi="Times New Roman" w:cs="Times New Roman"/>
          <w:sz w:val="24"/>
          <w:szCs w:val="24"/>
        </w:rPr>
        <w:t xml:space="preserve"> This ratio defines the earnings available for the equity shareholder of Chocos plc. </w:t>
      </w:r>
      <w:r w:rsidR="00EF757A" w:rsidRPr="00AF08E7">
        <w:rPr>
          <w:rFonts w:ascii="Times New Roman" w:hAnsi="Times New Roman" w:cs="Times New Roman"/>
          <w:sz w:val="24"/>
          <w:szCs w:val="24"/>
        </w:rPr>
        <w:t>This</w:t>
      </w:r>
      <w:r w:rsidRPr="00AF08E7">
        <w:rPr>
          <w:rFonts w:ascii="Times New Roman" w:hAnsi="Times New Roman" w:cs="Times New Roman"/>
          <w:sz w:val="24"/>
          <w:szCs w:val="24"/>
        </w:rPr>
        <w:t xml:space="preserve"> company’s EPS is 0.72 for 201</w:t>
      </w:r>
      <w:r w:rsidR="00EF757A" w:rsidRPr="00AF08E7">
        <w:rPr>
          <w:rFonts w:ascii="Times New Roman" w:hAnsi="Times New Roman" w:cs="Times New Roman"/>
          <w:sz w:val="24"/>
          <w:szCs w:val="24"/>
        </w:rPr>
        <w:t>9 and 0.61 for 2018. This shows increase in the earnings of the shareholders of Chocos plc which is the good indication for the investors</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Bahnson, et.al 2017)</w:t>
      </w:r>
      <w:r w:rsidR="00EF757A" w:rsidRPr="00AF08E7">
        <w:rPr>
          <w:rFonts w:ascii="Times New Roman" w:hAnsi="Times New Roman" w:cs="Times New Roman"/>
          <w:sz w:val="24"/>
          <w:szCs w:val="24"/>
        </w:rPr>
        <w:t xml:space="preserve">. </w:t>
      </w:r>
    </w:p>
    <w:p w14:paraId="6C67D92C" w14:textId="77777777" w:rsidR="00EF757A" w:rsidRPr="00AF08E7" w:rsidRDefault="00EF757A" w:rsidP="00CB737A">
      <w:pPr>
        <w:pStyle w:val="ListParagraph"/>
        <w:jc w:val="both"/>
        <w:rPr>
          <w:rFonts w:ascii="Times New Roman" w:hAnsi="Times New Roman" w:cs="Times New Roman"/>
          <w:sz w:val="24"/>
          <w:szCs w:val="24"/>
        </w:rPr>
      </w:pPr>
    </w:p>
    <w:p w14:paraId="67035C8D" w14:textId="77777777" w:rsidR="00626D9D" w:rsidRPr="00AF08E7" w:rsidRDefault="00EF757A"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Return on assets-</w:t>
      </w:r>
      <w:r w:rsidRPr="00AF08E7">
        <w:rPr>
          <w:rFonts w:ascii="Times New Roman" w:hAnsi="Times New Roman" w:cs="Times New Roman"/>
          <w:sz w:val="24"/>
          <w:szCs w:val="24"/>
        </w:rPr>
        <w:t xml:space="preserve"> </w:t>
      </w:r>
      <w:r w:rsidR="00630469" w:rsidRPr="00AF08E7">
        <w:rPr>
          <w:rFonts w:ascii="Times New Roman" w:hAnsi="Times New Roman" w:cs="Times New Roman"/>
          <w:sz w:val="24"/>
          <w:szCs w:val="24"/>
        </w:rPr>
        <w:t>T</w:t>
      </w:r>
      <w:r w:rsidRPr="00AF08E7">
        <w:rPr>
          <w:rFonts w:ascii="Times New Roman" w:hAnsi="Times New Roman" w:cs="Times New Roman"/>
          <w:sz w:val="24"/>
          <w:szCs w:val="24"/>
        </w:rPr>
        <w:t xml:space="preserve">his ratio defines the percentage as to how profitable are the asset of Chocos plc in generation of revenue for the company, user and the investors. </w:t>
      </w:r>
      <w:r w:rsidR="00630469" w:rsidRPr="00AF08E7">
        <w:rPr>
          <w:rFonts w:ascii="Times New Roman" w:hAnsi="Times New Roman" w:cs="Times New Roman"/>
          <w:sz w:val="24"/>
          <w:szCs w:val="24"/>
        </w:rPr>
        <w:t>The return on asset of Chocos plc is being maintained at 4 % for both the year. That is the company’s assets generates the revenue of 4 % in both year.</w:t>
      </w:r>
    </w:p>
    <w:p w14:paraId="070278E6" w14:textId="77777777" w:rsidR="00630469" w:rsidRPr="00AF08E7" w:rsidRDefault="00630469" w:rsidP="00CB737A">
      <w:pPr>
        <w:pStyle w:val="ListParagraph"/>
        <w:jc w:val="both"/>
        <w:rPr>
          <w:rFonts w:ascii="Times New Roman" w:hAnsi="Times New Roman" w:cs="Times New Roman"/>
          <w:sz w:val="24"/>
          <w:szCs w:val="24"/>
        </w:rPr>
      </w:pPr>
    </w:p>
    <w:p w14:paraId="04E4C3B5" w14:textId="77777777" w:rsidR="00630469" w:rsidRPr="00AF08E7" w:rsidRDefault="00630469"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Return on equity-</w:t>
      </w:r>
      <w:r w:rsidRPr="00AF08E7">
        <w:rPr>
          <w:rFonts w:ascii="Times New Roman" w:hAnsi="Times New Roman" w:cs="Times New Roman"/>
          <w:sz w:val="24"/>
          <w:szCs w:val="24"/>
        </w:rPr>
        <w:t xml:space="preserve"> This defines the capacity to generate income of Chocos plc from equity. It also measures the valuation of stock and useful for the investors as well for measuring the performance of the company. Chocos plc has 1.44 ROE in 2019 and 1.22 in 2018 which is showing slight rise. </w:t>
      </w:r>
    </w:p>
    <w:p w14:paraId="5734BA6A" w14:textId="77777777" w:rsidR="00630469" w:rsidRPr="00AF08E7" w:rsidRDefault="00630469" w:rsidP="00CB737A">
      <w:pPr>
        <w:pStyle w:val="ListParagraph"/>
        <w:jc w:val="both"/>
        <w:rPr>
          <w:rFonts w:ascii="Times New Roman" w:hAnsi="Times New Roman" w:cs="Times New Roman"/>
          <w:sz w:val="24"/>
          <w:szCs w:val="24"/>
        </w:rPr>
      </w:pPr>
    </w:p>
    <w:p w14:paraId="1CE04F2C" w14:textId="77777777" w:rsidR="00630469" w:rsidRPr="00AF08E7" w:rsidRDefault="00630469"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lastRenderedPageBreak/>
        <w:t>Net profit margin-</w:t>
      </w:r>
      <w:r w:rsidRPr="00AF08E7">
        <w:rPr>
          <w:rFonts w:ascii="Times New Roman" w:hAnsi="Times New Roman" w:cs="Times New Roman"/>
          <w:sz w:val="24"/>
          <w:szCs w:val="24"/>
        </w:rPr>
        <w:t xml:space="preserve"> This defines the percentage of net profit of Chocos plc in respect to the revenues of the company. This has been stable for both the years that is to be 6 % for 2019 and 2018</w:t>
      </w:r>
      <w:r w:rsidR="00793528" w:rsidRPr="00AF08E7">
        <w:rPr>
          <w:rFonts w:ascii="Times New Roman" w:hAnsi="Times New Roman" w:cs="Times New Roman"/>
          <w:sz w:val="24"/>
          <w:szCs w:val="24"/>
        </w:rPr>
        <w:t xml:space="preserve"> (Murphy 2020)</w:t>
      </w:r>
      <w:r w:rsidRPr="00AF08E7">
        <w:rPr>
          <w:rFonts w:ascii="Times New Roman" w:hAnsi="Times New Roman" w:cs="Times New Roman"/>
          <w:sz w:val="24"/>
          <w:szCs w:val="24"/>
        </w:rPr>
        <w:t xml:space="preserve">. </w:t>
      </w:r>
    </w:p>
    <w:p w14:paraId="644A1C94" w14:textId="77777777" w:rsidR="00630469" w:rsidRPr="00AF08E7" w:rsidRDefault="00630469" w:rsidP="00CB737A">
      <w:pPr>
        <w:pStyle w:val="ListParagraph"/>
        <w:jc w:val="both"/>
        <w:rPr>
          <w:rFonts w:ascii="Times New Roman" w:hAnsi="Times New Roman" w:cs="Times New Roman"/>
          <w:sz w:val="24"/>
          <w:szCs w:val="24"/>
        </w:rPr>
      </w:pPr>
    </w:p>
    <w:p w14:paraId="0A37528E" w14:textId="77777777" w:rsidR="00630469" w:rsidRPr="00AF08E7" w:rsidRDefault="00630469"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Expense ratio-</w:t>
      </w:r>
      <w:r w:rsidRPr="00AF08E7">
        <w:rPr>
          <w:rFonts w:ascii="Times New Roman" w:hAnsi="Times New Roman" w:cs="Times New Roman"/>
          <w:sz w:val="24"/>
          <w:szCs w:val="24"/>
        </w:rPr>
        <w:t xml:space="preserve"> </w:t>
      </w:r>
      <w:r w:rsidR="000A298D" w:rsidRPr="00AF08E7">
        <w:rPr>
          <w:rFonts w:ascii="Times New Roman" w:hAnsi="Times New Roman" w:cs="Times New Roman"/>
          <w:sz w:val="24"/>
          <w:szCs w:val="24"/>
        </w:rPr>
        <w:t>this ratio defines the expenses whether administrative or other towards the total fund assets of Chocos plc. This ratio is also same for both years that is 0.4 which is considered to be appropriate for company</w:t>
      </w:r>
      <w:r w:rsidR="00793528" w:rsidRPr="00AF08E7">
        <w:rPr>
          <w:rFonts w:ascii="Times New Roman" w:hAnsi="Times New Roman" w:cs="Times New Roman"/>
          <w:sz w:val="24"/>
          <w:szCs w:val="24"/>
        </w:rPr>
        <w:t xml:space="preserve"> (Hayes 2020)</w:t>
      </w:r>
      <w:r w:rsidR="000A298D" w:rsidRPr="00AF08E7">
        <w:rPr>
          <w:rFonts w:ascii="Times New Roman" w:hAnsi="Times New Roman" w:cs="Times New Roman"/>
          <w:sz w:val="24"/>
          <w:szCs w:val="24"/>
        </w:rPr>
        <w:t xml:space="preserve">.  </w:t>
      </w:r>
    </w:p>
    <w:p w14:paraId="0766BD93" w14:textId="77777777" w:rsidR="000A298D" w:rsidRPr="00AF08E7" w:rsidRDefault="000A298D" w:rsidP="00CB737A">
      <w:pPr>
        <w:pStyle w:val="ListParagraph"/>
        <w:jc w:val="both"/>
        <w:rPr>
          <w:rFonts w:ascii="Times New Roman" w:hAnsi="Times New Roman" w:cs="Times New Roman"/>
          <w:sz w:val="24"/>
          <w:szCs w:val="24"/>
        </w:rPr>
      </w:pPr>
    </w:p>
    <w:p w14:paraId="0B83556C" w14:textId="77777777" w:rsidR="000A298D" w:rsidRPr="00AF08E7" w:rsidRDefault="000A298D" w:rsidP="00CB737A">
      <w:pPr>
        <w:pStyle w:val="ListParagraph"/>
        <w:jc w:val="both"/>
        <w:rPr>
          <w:rFonts w:ascii="Times New Roman" w:hAnsi="Times New Roman" w:cs="Times New Roman"/>
          <w:sz w:val="24"/>
          <w:szCs w:val="24"/>
        </w:rPr>
      </w:pPr>
      <w:r w:rsidRPr="00AF08E7">
        <w:rPr>
          <w:rFonts w:ascii="Times New Roman" w:hAnsi="Times New Roman" w:cs="Times New Roman"/>
          <w:b/>
          <w:sz w:val="24"/>
          <w:szCs w:val="24"/>
        </w:rPr>
        <w:t>Cash flow to sales ratio-</w:t>
      </w:r>
      <w:r w:rsidRPr="00AF08E7">
        <w:rPr>
          <w:rFonts w:ascii="Times New Roman" w:hAnsi="Times New Roman" w:cs="Times New Roman"/>
          <w:sz w:val="24"/>
          <w:szCs w:val="24"/>
        </w:rPr>
        <w:t xml:space="preserve"> this ratio defines the generation of cash flow for Chocos plc in proportion to the volume of sales. As per this ratio the company needs to invest more in overheads as its sales would increase. This will then reduce the growth in the cash flow. </w:t>
      </w:r>
    </w:p>
    <w:p w14:paraId="4870B95F" w14:textId="77777777" w:rsidR="00981C5C" w:rsidRPr="00AF08E7" w:rsidRDefault="00981C5C" w:rsidP="00CB737A">
      <w:pPr>
        <w:pStyle w:val="ListParagraph"/>
        <w:jc w:val="both"/>
        <w:rPr>
          <w:rFonts w:ascii="Times New Roman" w:hAnsi="Times New Roman" w:cs="Times New Roman"/>
          <w:sz w:val="24"/>
          <w:szCs w:val="24"/>
        </w:rPr>
      </w:pPr>
    </w:p>
    <w:p w14:paraId="278440A3" w14:textId="77777777" w:rsidR="00981C5C" w:rsidRPr="00AF08E7" w:rsidRDefault="00981C5C"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 xml:space="preserve">These ratio defines the overall position of Chocos plc which is consider to be good and appropriate, just that it needs to improve in liquidity ratios slightly more to deal with its current liabilities for better situation. In case of other ratios the company is doing well. </w:t>
      </w:r>
    </w:p>
    <w:p w14:paraId="17B07FDD" w14:textId="77777777" w:rsidR="00981C5C" w:rsidRPr="00AF08E7" w:rsidRDefault="00981C5C" w:rsidP="00CB737A">
      <w:pPr>
        <w:pStyle w:val="ListParagraph"/>
        <w:jc w:val="both"/>
        <w:rPr>
          <w:rFonts w:ascii="Times New Roman" w:hAnsi="Times New Roman" w:cs="Times New Roman"/>
          <w:sz w:val="24"/>
          <w:szCs w:val="24"/>
        </w:rPr>
      </w:pPr>
    </w:p>
    <w:p w14:paraId="6926022C" w14:textId="77777777" w:rsidR="00981C5C" w:rsidRPr="00AF08E7" w:rsidRDefault="00981C5C" w:rsidP="00CB737A">
      <w:pPr>
        <w:pStyle w:val="ListParagraph"/>
        <w:jc w:val="both"/>
        <w:rPr>
          <w:rFonts w:ascii="Times New Roman" w:hAnsi="Times New Roman" w:cs="Times New Roman"/>
          <w:b/>
          <w:sz w:val="24"/>
          <w:szCs w:val="24"/>
          <w:u w:val="single"/>
        </w:rPr>
      </w:pPr>
      <w:r w:rsidRPr="00AF08E7">
        <w:rPr>
          <w:rFonts w:ascii="Times New Roman" w:hAnsi="Times New Roman" w:cs="Times New Roman"/>
          <w:b/>
          <w:sz w:val="24"/>
          <w:szCs w:val="24"/>
          <w:u w:val="single"/>
        </w:rPr>
        <w:t>Needs of users of financial statement-</w:t>
      </w:r>
    </w:p>
    <w:p w14:paraId="722E375C" w14:textId="77777777" w:rsidR="00DB290E" w:rsidRPr="00AF08E7" w:rsidRDefault="00DB290E" w:rsidP="00CB737A">
      <w:pPr>
        <w:pStyle w:val="ListParagraph"/>
        <w:jc w:val="both"/>
        <w:rPr>
          <w:rFonts w:ascii="Times New Roman" w:hAnsi="Times New Roman" w:cs="Times New Roman"/>
          <w:b/>
          <w:sz w:val="24"/>
          <w:szCs w:val="24"/>
        </w:rPr>
      </w:pPr>
    </w:p>
    <w:p w14:paraId="720EBB68" w14:textId="2075892E" w:rsidR="00981C5C" w:rsidRPr="00AF08E7" w:rsidRDefault="0058152F"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C</w:t>
      </w:r>
      <w:r w:rsidR="00981C5C" w:rsidRPr="00AF08E7">
        <w:rPr>
          <w:rFonts w:ascii="Times New Roman" w:hAnsi="Times New Roman" w:cs="Times New Roman"/>
          <w:sz w:val="24"/>
          <w:szCs w:val="24"/>
        </w:rPr>
        <w:t xml:space="preserve">ompany has various user of financial statement </w:t>
      </w:r>
      <w:r w:rsidR="00961342" w:rsidRPr="00AF08E7">
        <w:rPr>
          <w:rFonts w:ascii="Times New Roman" w:hAnsi="Times New Roman" w:cs="Times New Roman"/>
          <w:sz w:val="24"/>
          <w:szCs w:val="24"/>
        </w:rPr>
        <w:t xml:space="preserve">such as management competitors, customers, investors, employees, lenders, suppliers, etc. </w:t>
      </w:r>
      <w:r w:rsidR="00981C5C" w:rsidRPr="00AF08E7">
        <w:rPr>
          <w:rFonts w:ascii="Times New Roman" w:hAnsi="Times New Roman" w:cs="Times New Roman"/>
          <w:sz w:val="24"/>
          <w:szCs w:val="24"/>
        </w:rPr>
        <w:t xml:space="preserve">and have their own purpose of using </w:t>
      </w:r>
      <w:r w:rsidR="00793528" w:rsidRPr="00AF08E7">
        <w:rPr>
          <w:rFonts w:ascii="Times New Roman" w:hAnsi="Times New Roman" w:cs="Times New Roman"/>
          <w:sz w:val="24"/>
          <w:szCs w:val="24"/>
        </w:rPr>
        <w:t>those (Accounting tools 2020)</w:t>
      </w:r>
      <w:r w:rsidR="00981C5C" w:rsidRPr="00AF08E7">
        <w:rPr>
          <w:rFonts w:ascii="Times New Roman" w:hAnsi="Times New Roman" w:cs="Times New Roman"/>
          <w:sz w:val="24"/>
          <w:szCs w:val="24"/>
        </w:rPr>
        <w:t xml:space="preserve">. </w:t>
      </w:r>
      <w:r w:rsidR="00961342" w:rsidRPr="00AF08E7">
        <w:rPr>
          <w:rFonts w:ascii="Times New Roman" w:hAnsi="Times New Roman" w:cs="Times New Roman"/>
          <w:sz w:val="24"/>
          <w:szCs w:val="24"/>
        </w:rPr>
        <w:t>These are useful by the for analysing the financial performance, liquid</w:t>
      </w:r>
      <w:r w:rsidR="00793528" w:rsidRPr="00AF08E7">
        <w:rPr>
          <w:rFonts w:ascii="Times New Roman" w:hAnsi="Times New Roman" w:cs="Times New Roman"/>
          <w:sz w:val="24"/>
          <w:szCs w:val="24"/>
        </w:rPr>
        <w:t>ity, cask flows, strategies, etc</w:t>
      </w:r>
      <w:r w:rsidR="00961342" w:rsidRPr="00AF08E7">
        <w:rPr>
          <w:rFonts w:ascii="Times New Roman" w:hAnsi="Times New Roman" w:cs="Times New Roman"/>
          <w:sz w:val="24"/>
          <w:szCs w:val="24"/>
        </w:rPr>
        <w:t>. these are used for better understanding of the present and analysing the future conditions based on them for various respective purposes. These are the good and authenticated conveyer of the financial position and business activities of a company. Since they are audited hence they are reliable as well as accurate for the users</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Lin, et.al 2018)</w:t>
      </w:r>
      <w:r w:rsidR="00961342" w:rsidRPr="00AF08E7">
        <w:rPr>
          <w:rFonts w:ascii="Times New Roman" w:hAnsi="Times New Roman" w:cs="Times New Roman"/>
          <w:sz w:val="24"/>
          <w:szCs w:val="24"/>
        </w:rPr>
        <w:t>.</w:t>
      </w:r>
    </w:p>
    <w:p w14:paraId="3A386FB4" w14:textId="77777777" w:rsidR="00981C5C" w:rsidRPr="00AF08E7" w:rsidRDefault="00981C5C" w:rsidP="00CB737A">
      <w:pPr>
        <w:pStyle w:val="ListParagraph"/>
        <w:jc w:val="both"/>
        <w:rPr>
          <w:rFonts w:ascii="Times New Roman" w:hAnsi="Times New Roman" w:cs="Times New Roman"/>
          <w:sz w:val="24"/>
          <w:szCs w:val="24"/>
        </w:rPr>
      </w:pPr>
    </w:p>
    <w:p w14:paraId="22222E06" w14:textId="77777777" w:rsidR="00981C5C" w:rsidRPr="00AF08E7" w:rsidRDefault="00981C5C" w:rsidP="00CB737A">
      <w:pPr>
        <w:pStyle w:val="ListParagraph"/>
        <w:jc w:val="both"/>
        <w:rPr>
          <w:rFonts w:ascii="Times New Roman" w:hAnsi="Times New Roman" w:cs="Times New Roman"/>
          <w:sz w:val="24"/>
          <w:szCs w:val="24"/>
        </w:rPr>
      </w:pPr>
    </w:p>
    <w:p w14:paraId="144C69A9" w14:textId="77777777" w:rsidR="00981C5C" w:rsidRPr="00AF08E7" w:rsidRDefault="00981C5C" w:rsidP="00CB737A">
      <w:pPr>
        <w:pStyle w:val="ListParagraph"/>
        <w:jc w:val="both"/>
        <w:rPr>
          <w:rFonts w:ascii="Times New Roman" w:hAnsi="Times New Roman" w:cs="Times New Roman"/>
          <w:b/>
          <w:sz w:val="24"/>
          <w:szCs w:val="24"/>
          <w:u w:val="single"/>
        </w:rPr>
      </w:pPr>
      <w:r w:rsidRPr="00AF08E7">
        <w:rPr>
          <w:rFonts w:ascii="Times New Roman" w:hAnsi="Times New Roman" w:cs="Times New Roman"/>
          <w:b/>
          <w:sz w:val="24"/>
          <w:szCs w:val="24"/>
          <w:u w:val="single"/>
        </w:rPr>
        <w:t>Limitations of financial statement-</w:t>
      </w:r>
      <w:r w:rsidR="00961342" w:rsidRPr="00AF08E7">
        <w:rPr>
          <w:rFonts w:ascii="Times New Roman" w:hAnsi="Times New Roman" w:cs="Times New Roman"/>
          <w:b/>
          <w:sz w:val="24"/>
          <w:szCs w:val="24"/>
          <w:u w:val="single"/>
        </w:rPr>
        <w:t xml:space="preserve"> </w:t>
      </w:r>
    </w:p>
    <w:p w14:paraId="527E24D4" w14:textId="77777777" w:rsidR="00DB290E" w:rsidRPr="00AF08E7" w:rsidRDefault="00DB290E" w:rsidP="00CB737A">
      <w:pPr>
        <w:pStyle w:val="ListParagraph"/>
        <w:jc w:val="both"/>
        <w:rPr>
          <w:rFonts w:ascii="Times New Roman" w:hAnsi="Times New Roman" w:cs="Times New Roman"/>
          <w:sz w:val="24"/>
          <w:szCs w:val="24"/>
        </w:rPr>
      </w:pPr>
    </w:p>
    <w:p w14:paraId="4C57A7D7" w14:textId="77777777" w:rsidR="00981C5C" w:rsidRPr="00AF08E7" w:rsidRDefault="00961342" w:rsidP="00CB737A">
      <w:pPr>
        <w:pStyle w:val="ListParagraph"/>
        <w:numPr>
          <w:ilvl w:val="0"/>
          <w:numId w:val="2"/>
        </w:numPr>
        <w:jc w:val="both"/>
        <w:rPr>
          <w:rFonts w:ascii="Times New Roman" w:hAnsi="Times New Roman" w:cs="Times New Roman"/>
          <w:sz w:val="24"/>
          <w:szCs w:val="24"/>
        </w:rPr>
      </w:pPr>
      <w:r w:rsidRPr="00AF08E7">
        <w:rPr>
          <w:rFonts w:ascii="Times New Roman" w:hAnsi="Times New Roman" w:cs="Times New Roman"/>
          <w:sz w:val="24"/>
          <w:szCs w:val="24"/>
        </w:rPr>
        <w:t xml:space="preserve">Considers historical cost- the asset are initially </w:t>
      </w:r>
      <w:r w:rsidR="00FA1B7E" w:rsidRPr="00AF08E7">
        <w:rPr>
          <w:rFonts w:ascii="Times New Roman" w:hAnsi="Times New Roman" w:cs="Times New Roman"/>
          <w:sz w:val="24"/>
          <w:szCs w:val="24"/>
        </w:rPr>
        <w:t>recorded</w:t>
      </w:r>
      <w:r w:rsidRPr="00AF08E7">
        <w:rPr>
          <w:rFonts w:ascii="Times New Roman" w:hAnsi="Times New Roman" w:cs="Times New Roman"/>
          <w:sz w:val="24"/>
          <w:szCs w:val="24"/>
        </w:rPr>
        <w:t xml:space="preserve"> at their purchase cost, which may change </w:t>
      </w:r>
      <w:r w:rsidR="00FA1B7E" w:rsidRPr="00AF08E7">
        <w:rPr>
          <w:rFonts w:ascii="Times New Roman" w:hAnsi="Times New Roman" w:cs="Times New Roman"/>
          <w:sz w:val="24"/>
          <w:szCs w:val="24"/>
        </w:rPr>
        <w:t xml:space="preserve">over time and do not match with the existing market value and depicts the wrong information to the user about the assets of the company. </w:t>
      </w:r>
    </w:p>
    <w:p w14:paraId="59CEC03D" w14:textId="77777777" w:rsidR="00FA1B7E" w:rsidRPr="00AF08E7" w:rsidRDefault="00FA1B7E" w:rsidP="00CB737A">
      <w:pPr>
        <w:pStyle w:val="ListParagraph"/>
        <w:numPr>
          <w:ilvl w:val="0"/>
          <w:numId w:val="2"/>
        </w:numPr>
        <w:jc w:val="both"/>
        <w:rPr>
          <w:rFonts w:ascii="Times New Roman" w:hAnsi="Times New Roman" w:cs="Times New Roman"/>
          <w:sz w:val="24"/>
          <w:szCs w:val="24"/>
        </w:rPr>
      </w:pPr>
      <w:r w:rsidRPr="00AF08E7">
        <w:rPr>
          <w:rFonts w:ascii="Times New Roman" w:hAnsi="Times New Roman" w:cs="Times New Roman"/>
          <w:sz w:val="24"/>
          <w:szCs w:val="24"/>
        </w:rPr>
        <w:t>Inflation- the effect of high low inflation is nor consider</w:t>
      </w:r>
      <w:r w:rsidR="00B67D2D" w:rsidRPr="00AF08E7">
        <w:rPr>
          <w:rFonts w:ascii="Times New Roman" w:hAnsi="Times New Roman" w:cs="Times New Roman"/>
          <w:sz w:val="24"/>
          <w:szCs w:val="24"/>
        </w:rPr>
        <w:t xml:space="preserve"> and also not adjusted for inflation</w:t>
      </w:r>
      <w:r w:rsidRPr="00AF08E7">
        <w:rPr>
          <w:rFonts w:ascii="Times New Roman" w:hAnsi="Times New Roman" w:cs="Times New Roman"/>
          <w:sz w:val="24"/>
          <w:szCs w:val="24"/>
        </w:rPr>
        <w:t>, which may affect the exact position of long term asset which most affected by the inflation</w:t>
      </w:r>
      <w:r w:rsidR="00793528" w:rsidRPr="00AF08E7">
        <w:rPr>
          <w:rFonts w:ascii="Times New Roman" w:hAnsi="Times New Roman" w:cs="Times New Roman"/>
          <w:sz w:val="24"/>
          <w:szCs w:val="24"/>
        </w:rPr>
        <w:t xml:space="preserve"> (</w:t>
      </w:r>
      <w:r w:rsidR="00793528" w:rsidRPr="00AF08E7">
        <w:rPr>
          <w:rFonts w:ascii="Times New Roman" w:hAnsi="Times New Roman" w:cs="Times New Roman"/>
          <w:sz w:val="24"/>
          <w:szCs w:val="24"/>
          <w:shd w:val="clear" w:color="auto" w:fill="FFFFFF"/>
        </w:rPr>
        <w:t>Robison, Barry 2020)</w:t>
      </w:r>
      <w:r w:rsidRPr="00AF08E7">
        <w:rPr>
          <w:rFonts w:ascii="Times New Roman" w:hAnsi="Times New Roman" w:cs="Times New Roman"/>
          <w:sz w:val="24"/>
          <w:szCs w:val="24"/>
        </w:rPr>
        <w:t xml:space="preserve">. </w:t>
      </w:r>
    </w:p>
    <w:p w14:paraId="6BB1DBE5" w14:textId="77777777" w:rsidR="00B67D2D" w:rsidRPr="00AF08E7" w:rsidRDefault="00B67D2D" w:rsidP="00CB737A">
      <w:pPr>
        <w:pStyle w:val="ListParagraph"/>
        <w:numPr>
          <w:ilvl w:val="0"/>
          <w:numId w:val="2"/>
        </w:numPr>
        <w:jc w:val="both"/>
        <w:rPr>
          <w:rFonts w:ascii="Times New Roman" w:hAnsi="Times New Roman" w:cs="Times New Roman"/>
          <w:sz w:val="24"/>
          <w:szCs w:val="24"/>
        </w:rPr>
      </w:pPr>
      <w:r w:rsidRPr="00AF08E7">
        <w:rPr>
          <w:rFonts w:ascii="Times New Roman" w:hAnsi="Times New Roman" w:cs="Times New Roman"/>
          <w:sz w:val="24"/>
          <w:szCs w:val="24"/>
        </w:rPr>
        <w:t xml:space="preserve">Non-financial issues- It does not take into consideration the non-financial issues in the operations of the company like attentiveness towards the environment. </w:t>
      </w:r>
    </w:p>
    <w:p w14:paraId="214DC413" w14:textId="77777777" w:rsidR="00961342" w:rsidRPr="00AF08E7" w:rsidRDefault="00961342" w:rsidP="00CB737A">
      <w:pPr>
        <w:pStyle w:val="ListParagraph"/>
        <w:jc w:val="both"/>
        <w:rPr>
          <w:rFonts w:ascii="Times New Roman" w:hAnsi="Times New Roman" w:cs="Times New Roman"/>
          <w:sz w:val="24"/>
          <w:szCs w:val="24"/>
        </w:rPr>
      </w:pPr>
    </w:p>
    <w:p w14:paraId="3F67C553" w14:textId="77777777" w:rsidR="00961342" w:rsidRPr="00AF08E7" w:rsidRDefault="00961342" w:rsidP="00CB737A">
      <w:pPr>
        <w:pStyle w:val="ListParagraph"/>
        <w:jc w:val="both"/>
        <w:rPr>
          <w:rFonts w:ascii="Times New Roman" w:hAnsi="Times New Roman" w:cs="Times New Roman"/>
          <w:sz w:val="24"/>
          <w:szCs w:val="24"/>
        </w:rPr>
      </w:pPr>
    </w:p>
    <w:p w14:paraId="0B09D261" w14:textId="77777777" w:rsidR="00961342" w:rsidRPr="00AF08E7" w:rsidRDefault="00961342" w:rsidP="00CB737A">
      <w:pPr>
        <w:pStyle w:val="ListParagraph"/>
        <w:jc w:val="both"/>
        <w:rPr>
          <w:rFonts w:ascii="Times New Roman" w:hAnsi="Times New Roman" w:cs="Times New Roman"/>
          <w:sz w:val="24"/>
          <w:szCs w:val="24"/>
        </w:rPr>
      </w:pPr>
    </w:p>
    <w:p w14:paraId="12D882D2" w14:textId="77777777" w:rsidR="00961342" w:rsidRPr="00AF08E7" w:rsidRDefault="00961342" w:rsidP="00CB737A">
      <w:pPr>
        <w:pStyle w:val="ListParagraph"/>
        <w:jc w:val="both"/>
        <w:rPr>
          <w:rFonts w:ascii="Times New Roman" w:hAnsi="Times New Roman" w:cs="Times New Roman"/>
          <w:sz w:val="24"/>
          <w:szCs w:val="24"/>
        </w:rPr>
      </w:pPr>
    </w:p>
    <w:p w14:paraId="171F72E1" w14:textId="77777777" w:rsidR="00DB290E" w:rsidRPr="00AF08E7" w:rsidRDefault="00DB290E"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2C86EB3F" w14:textId="77777777" w:rsidR="00981C5C" w:rsidRPr="00AF08E7" w:rsidRDefault="00981C5C" w:rsidP="00CB737A">
      <w:pPr>
        <w:pStyle w:val="ListParagraph"/>
        <w:jc w:val="both"/>
        <w:rPr>
          <w:rFonts w:ascii="Times New Roman" w:hAnsi="Times New Roman" w:cs="Times New Roman"/>
          <w:b/>
          <w:sz w:val="24"/>
          <w:szCs w:val="24"/>
          <w:u w:val="single"/>
        </w:rPr>
      </w:pPr>
      <w:r w:rsidRPr="00AF08E7">
        <w:rPr>
          <w:rFonts w:ascii="Times New Roman" w:hAnsi="Times New Roman" w:cs="Times New Roman"/>
          <w:b/>
          <w:sz w:val="24"/>
          <w:szCs w:val="24"/>
          <w:u w:val="single"/>
        </w:rPr>
        <w:lastRenderedPageBreak/>
        <w:t>Understanding of accounting regulations-</w:t>
      </w:r>
      <w:r w:rsidR="001B5CEA" w:rsidRPr="00AF08E7">
        <w:rPr>
          <w:rFonts w:ascii="Times New Roman" w:hAnsi="Times New Roman" w:cs="Times New Roman"/>
          <w:b/>
          <w:sz w:val="24"/>
          <w:szCs w:val="24"/>
          <w:u w:val="single"/>
        </w:rPr>
        <w:t xml:space="preserve">  </w:t>
      </w:r>
    </w:p>
    <w:p w14:paraId="4EFB8AA1" w14:textId="77777777" w:rsidR="00DB290E" w:rsidRPr="00AF08E7" w:rsidRDefault="00DB290E" w:rsidP="00CB737A">
      <w:pPr>
        <w:pStyle w:val="ListParagraph"/>
        <w:jc w:val="both"/>
        <w:rPr>
          <w:rFonts w:ascii="Times New Roman" w:hAnsi="Times New Roman" w:cs="Times New Roman"/>
          <w:sz w:val="24"/>
          <w:szCs w:val="24"/>
        </w:rPr>
      </w:pPr>
    </w:p>
    <w:p w14:paraId="23022BEA" w14:textId="657A89D6" w:rsidR="00112258" w:rsidRPr="00AF08E7" w:rsidRDefault="0058152F" w:rsidP="00CB737A">
      <w:pPr>
        <w:pStyle w:val="ListParagraph"/>
        <w:jc w:val="both"/>
        <w:rPr>
          <w:rFonts w:ascii="Times New Roman" w:hAnsi="Times New Roman" w:cs="Times New Roman"/>
          <w:sz w:val="24"/>
          <w:szCs w:val="24"/>
        </w:rPr>
      </w:pPr>
      <w:r w:rsidRPr="00AF08E7">
        <w:rPr>
          <w:rFonts w:ascii="Times New Roman" w:hAnsi="Times New Roman" w:cs="Times New Roman"/>
          <w:sz w:val="24"/>
          <w:szCs w:val="24"/>
        </w:rPr>
        <w:t>A</w:t>
      </w:r>
      <w:r w:rsidR="001B5CEA" w:rsidRPr="00AF08E7">
        <w:rPr>
          <w:rFonts w:ascii="Times New Roman" w:hAnsi="Times New Roman" w:cs="Times New Roman"/>
          <w:sz w:val="24"/>
          <w:szCs w:val="24"/>
        </w:rPr>
        <w:t xml:space="preserve">ccounting regulations aims to concentrate on the accounting principle, financial accounting. The accounting regulations comprises of accounting standards, the licenses and the compliances, framework applicable, etc. </w:t>
      </w:r>
      <w:r w:rsidR="00112258" w:rsidRPr="00AF08E7">
        <w:rPr>
          <w:rFonts w:ascii="Times New Roman" w:hAnsi="Times New Roman" w:cs="Times New Roman"/>
          <w:sz w:val="24"/>
          <w:szCs w:val="24"/>
        </w:rPr>
        <w:t>this legal framework is very essential and critical to the regulations of accounting</w:t>
      </w:r>
      <w:r w:rsidR="00793528" w:rsidRPr="00AF08E7">
        <w:rPr>
          <w:rFonts w:ascii="Times New Roman" w:hAnsi="Times New Roman" w:cs="Times New Roman"/>
          <w:sz w:val="24"/>
          <w:szCs w:val="24"/>
        </w:rPr>
        <w:t xml:space="preserve"> (Kenton 2020)</w:t>
      </w:r>
      <w:r w:rsidR="00112258" w:rsidRPr="00AF08E7">
        <w:rPr>
          <w:rFonts w:ascii="Times New Roman" w:hAnsi="Times New Roman" w:cs="Times New Roman"/>
          <w:sz w:val="24"/>
          <w:szCs w:val="24"/>
        </w:rPr>
        <w:t>. It also defines the type of entities that are there under the law. The accounting standards has a principles set, standards to be followed, and the defined procedures which forms the base for the accounting preparation and presentation of the financial statement of the company. At some places the GAAP is used as the set of accounting to be considered by an organisation</w:t>
      </w:r>
      <w:r w:rsidR="00793528" w:rsidRPr="00AF08E7">
        <w:rPr>
          <w:rFonts w:ascii="Times New Roman" w:hAnsi="Times New Roman" w:cs="Times New Roman"/>
          <w:sz w:val="24"/>
          <w:szCs w:val="24"/>
        </w:rPr>
        <w:t xml:space="preserve"> (Murphy 2020)</w:t>
      </w:r>
      <w:r w:rsidR="00112258" w:rsidRPr="00AF08E7">
        <w:rPr>
          <w:rFonts w:ascii="Times New Roman" w:hAnsi="Times New Roman" w:cs="Times New Roman"/>
          <w:sz w:val="24"/>
          <w:szCs w:val="24"/>
        </w:rPr>
        <w:t xml:space="preserve">. </w:t>
      </w:r>
    </w:p>
    <w:p w14:paraId="255B794A" w14:textId="77777777" w:rsidR="00112258" w:rsidRPr="00AF08E7" w:rsidRDefault="00112258"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4148D816" w14:textId="77777777" w:rsidR="00981C5C" w:rsidRPr="00AF08E7" w:rsidRDefault="00112258" w:rsidP="00CB737A">
      <w:pPr>
        <w:pStyle w:val="Heading1"/>
        <w:jc w:val="both"/>
        <w:rPr>
          <w:rFonts w:cs="Times New Roman"/>
          <w:sz w:val="24"/>
          <w:szCs w:val="24"/>
        </w:rPr>
      </w:pPr>
      <w:bookmarkStart w:id="7" w:name="_Toc55482064"/>
      <w:r w:rsidRPr="00AF08E7">
        <w:rPr>
          <w:rFonts w:cs="Times New Roman"/>
          <w:sz w:val="24"/>
          <w:szCs w:val="24"/>
        </w:rPr>
        <w:lastRenderedPageBreak/>
        <w:t>Conclusion-</w:t>
      </w:r>
      <w:bookmarkEnd w:id="7"/>
    </w:p>
    <w:p w14:paraId="6BB3D47F" w14:textId="77777777" w:rsidR="0058152F" w:rsidRPr="00AF08E7" w:rsidRDefault="0058152F" w:rsidP="00CB737A">
      <w:pPr>
        <w:jc w:val="both"/>
        <w:rPr>
          <w:rFonts w:ascii="Times New Roman" w:hAnsi="Times New Roman" w:cs="Times New Roman"/>
          <w:sz w:val="24"/>
          <w:szCs w:val="24"/>
        </w:rPr>
      </w:pPr>
    </w:p>
    <w:p w14:paraId="2296936B" w14:textId="73E3229D" w:rsidR="00112258" w:rsidRPr="00AF08E7" w:rsidRDefault="00112258" w:rsidP="00CB737A">
      <w:pPr>
        <w:jc w:val="both"/>
        <w:rPr>
          <w:rFonts w:ascii="Times New Roman" w:hAnsi="Times New Roman" w:cs="Times New Roman"/>
          <w:sz w:val="24"/>
          <w:szCs w:val="24"/>
        </w:rPr>
      </w:pPr>
      <w:r w:rsidRPr="00AF08E7">
        <w:rPr>
          <w:rFonts w:ascii="Times New Roman" w:hAnsi="Times New Roman" w:cs="Times New Roman"/>
          <w:sz w:val="24"/>
          <w:szCs w:val="24"/>
        </w:rPr>
        <w:t xml:space="preserve">This report is based on the understanding of the financial statement being used by the various user and the investors for the better understanding of the position of the company. This report also includes the understanding of </w:t>
      </w:r>
      <w:r w:rsidR="00755B8B" w:rsidRPr="00AF08E7">
        <w:rPr>
          <w:rFonts w:ascii="Times New Roman" w:hAnsi="Times New Roman" w:cs="Times New Roman"/>
          <w:sz w:val="24"/>
          <w:szCs w:val="24"/>
        </w:rPr>
        <w:t>the</w:t>
      </w:r>
      <w:r w:rsidRPr="00AF08E7">
        <w:rPr>
          <w:rFonts w:ascii="Times New Roman" w:hAnsi="Times New Roman" w:cs="Times New Roman"/>
          <w:sz w:val="24"/>
          <w:szCs w:val="24"/>
        </w:rPr>
        <w:t xml:space="preserve"> relevant of the financial </w:t>
      </w:r>
      <w:r w:rsidR="00755B8B" w:rsidRPr="00AF08E7">
        <w:rPr>
          <w:rFonts w:ascii="Times New Roman" w:hAnsi="Times New Roman" w:cs="Times New Roman"/>
          <w:sz w:val="24"/>
          <w:szCs w:val="24"/>
        </w:rPr>
        <w:t>statement</w:t>
      </w:r>
      <w:r w:rsidRPr="00AF08E7">
        <w:rPr>
          <w:rFonts w:ascii="Times New Roman" w:hAnsi="Times New Roman" w:cs="Times New Roman"/>
          <w:sz w:val="24"/>
          <w:szCs w:val="24"/>
        </w:rPr>
        <w:t xml:space="preserve"> and the </w:t>
      </w:r>
      <w:r w:rsidR="00755B8B" w:rsidRPr="00AF08E7">
        <w:rPr>
          <w:rFonts w:ascii="Times New Roman" w:hAnsi="Times New Roman" w:cs="Times New Roman"/>
          <w:sz w:val="24"/>
          <w:szCs w:val="24"/>
        </w:rPr>
        <w:t>accounting</w:t>
      </w:r>
      <w:r w:rsidRPr="00AF08E7">
        <w:rPr>
          <w:rFonts w:ascii="Times New Roman" w:hAnsi="Times New Roman" w:cs="Times New Roman"/>
          <w:sz w:val="24"/>
          <w:szCs w:val="24"/>
        </w:rPr>
        <w:t xml:space="preserve"> </w:t>
      </w:r>
      <w:r w:rsidR="00755B8B" w:rsidRPr="00AF08E7">
        <w:rPr>
          <w:rFonts w:ascii="Times New Roman" w:hAnsi="Times New Roman" w:cs="Times New Roman"/>
          <w:sz w:val="24"/>
          <w:szCs w:val="24"/>
        </w:rPr>
        <w:t>regulations</w:t>
      </w:r>
      <w:r w:rsidRPr="00AF08E7">
        <w:rPr>
          <w:rFonts w:ascii="Times New Roman" w:hAnsi="Times New Roman" w:cs="Times New Roman"/>
          <w:sz w:val="24"/>
          <w:szCs w:val="24"/>
        </w:rPr>
        <w:t xml:space="preserve"> for the company. It </w:t>
      </w:r>
      <w:r w:rsidR="00755B8B" w:rsidRPr="00AF08E7">
        <w:rPr>
          <w:rFonts w:ascii="Times New Roman" w:hAnsi="Times New Roman" w:cs="Times New Roman"/>
          <w:sz w:val="24"/>
          <w:szCs w:val="24"/>
        </w:rPr>
        <w:t>in</w:t>
      </w:r>
      <w:r w:rsidRPr="00AF08E7">
        <w:rPr>
          <w:rFonts w:ascii="Times New Roman" w:hAnsi="Times New Roman" w:cs="Times New Roman"/>
          <w:sz w:val="24"/>
          <w:szCs w:val="24"/>
        </w:rPr>
        <w:t xml:space="preserve">cludes the </w:t>
      </w:r>
      <w:r w:rsidR="00755B8B" w:rsidRPr="00AF08E7">
        <w:rPr>
          <w:rFonts w:ascii="Times New Roman" w:hAnsi="Times New Roman" w:cs="Times New Roman"/>
          <w:sz w:val="24"/>
          <w:szCs w:val="24"/>
        </w:rPr>
        <w:t>analysis</w:t>
      </w:r>
      <w:r w:rsidRPr="00AF08E7">
        <w:rPr>
          <w:rFonts w:ascii="Times New Roman" w:hAnsi="Times New Roman" w:cs="Times New Roman"/>
          <w:sz w:val="24"/>
          <w:szCs w:val="24"/>
        </w:rPr>
        <w:t xml:space="preserve"> of the </w:t>
      </w:r>
      <w:r w:rsidR="00755B8B" w:rsidRPr="00AF08E7">
        <w:rPr>
          <w:rFonts w:ascii="Times New Roman" w:hAnsi="Times New Roman" w:cs="Times New Roman"/>
          <w:sz w:val="24"/>
          <w:szCs w:val="24"/>
        </w:rPr>
        <w:t xml:space="preserve">income statement, analysis of ratios and the financial performance in the given situations of the company. This report also includes the preparation of the financial statement and its analysis for the given situations. This helps in better understanding of the accounting system of the company. </w:t>
      </w:r>
    </w:p>
    <w:p w14:paraId="05A23808" w14:textId="77777777" w:rsidR="00630469" w:rsidRPr="00AF08E7" w:rsidRDefault="00630469" w:rsidP="00CB737A">
      <w:pPr>
        <w:pStyle w:val="ListParagraph"/>
        <w:jc w:val="both"/>
        <w:rPr>
          <w:rFonts w:ascii="Times New Roman" w:hAnsi="Times New Roman" w:cs="Times New Roman"/>
          <w:sz w:val="24"/>
          <w:szCs w:val="24"/>
        </w:rPr>
      </w:pPr>
    </w:p>
    <w:p w14:paraId="3B4C3B4F" w14:textId="77777777" w:rsidR="00630469" w:rsidRPr="00AF08E7" w:rsidRDefault="00630469" w:rsidP="00CB737A">
      <w:pPr>
        <w:pStyle w:val="ListParagraph"/>
        <w:jc w:val="both"/>
        <w:rPr>
          <w:rFonts w:ascii="Times New Roman" w:hAnsi="Times New Roman" w:cs="Times New Roman"/>
          <w:sz w:val="24"/>
          <w:szCs w:val="24"/>
        </w:rPr>
      </w:pPr>
    </w:p>
    <w:p w14:paraId="768C2C93" w14:textId="77777777" w:rsidR="00626D9D" w:rsidRPr="00AF08E7" w:rsidRDefault="00626D9D" w:rsidP="00CB737A">
      <w:pPr>
        <w:pStyle w:val="ListParagraph"/>
        <w:jc w:val="both"/>
        <w:rPr>
          <w:rFonts w:ascii="Times New Roman" w:hAnsi="Times New Roman" w:cs="Times New Roman"/>
          <w:sz w:val="24"/>
          <w:szCs w:val="24"/>
        </w:rPr>
      </w:pPr>
    </w:p>
    <w:p w14:paraId="7A96EC4C" w14:textId="77777777" w:rsidR="002203B2" w:rsidRPr="00AF08E7" w:rsidRDefault="002203B2" w:rsidP="00CB737A">
      <w:pPr>
        <w:pStyle w:val="ListParagraph"/>
        <w:jc w:val="both"/>
        <w:rPr>
          <w:rFonts w:ascii="Times New Roman" w:hAnsi="Times New Roman" w:cs="Times New Roman"/>
          <w:sz w:val="24"/>
          <w:szCs w:val="24"/>
        </w:rPr>
      </w:pPr>
    </w:p>
    <w:p w14:paraId="0AF42B34" w14:textId="77777777" w:rsidR="002203B2" w:rsidRPr="00AF08E7" w:rsidRDefault="002203B2" w:rsidP="00CB737A">
      <w:pPr>
        <w:pStyle w:val="ListParagraph"/>
        <w:jc w:val="both"/>
        <w:rPr>
          <w:rFonts w:ascii="Times New Roman" w:hAnsi="Times New Roman" w:cs="Times New Roman"/>
          <w:sz w:val="24"/>
          <w:szCs w:val="24"/>
        </w:rPr>
      </w:pPr>
    </w:p>
    <w:p w14:paraId="542A2CA7" w14:textId="77777777" w:rsidR="00E647C4" w:rsidRPr="00AF08E7" w:rsidRDefault="00E647C4" w:rsidP="00CB737A">
      <w:pPr>
        <w:jc w:val="both"/>
        <w:rPr>
          <w:rFonts w:ascii="Times New Roman" w:hAnsi="Times New Roman" w:cs="Times New Roman"/>
          <w:sz w:val="24"/>
          <w:szCs w:val="24"/>
        </w:rPr>
      </w:pPr>
      <w:r w:rsidRPr="00AF08E7">
        <w:rPr>
          <w:rFonts w:ascii="Times New Roman" w:hAnsi="Times New Roman" w:cs="Times New Roman"/>
          <w:sz w:val="24"/>
          <w:szCs w:val="24"/>
        </w:rPr>
        <w:br w:type="page"/>
      </w:r>
    </w:p>
    <w:p w14:paraId="70FFD66F" w14:textId="77777777" w:rsidR="00DB290E" w:rsidRPr="00AF08E7" w:rsidRDefault="00DB290E" w:rsidP="00CB737A">
      <w:pPr>
        <w:pStyle w:val="Heading1"/>
        <w:jc w:val="both"/>
        <w:rPr>
          <w:rFonts w:cs="Times New Roman"/>
          <w:sz w:val="24"/>
          <w:szCs w:val="24"/>
        </w:rPr>
      </w:pPr>
      <w:bookmarkStart w:id="8" w:name="_Toc55482065"/>
      <w:r w:rsidRPr="00AF08E7">
        <w:rPr>
          <w:rFonts w:cs="Times New Roman"/>
          <w:sz w:val="24"/>
          <w:szCs w:val="24"/>
        </w:rPr>
        <w:lastRenderedPageBreak/>
        <w:t>References-</w:t>
      </w:r>
      <w:bookmarkEnd w:id="8"/>
    </w:p>
    <w:p w14:paraId="21D26360" w14:textId="77777777" w:rsidR="00DB290E" w:rsidRPr="00AF08E7" w:rsidRDefault="00DB290E" w:rsidP="00CB737A">
      <w:pPr>
        <w:pStyle w:val="ListParagraph"/>
        <w:jc w:val="both"/>
        <w:rPr>
          <w:rFonts w:ascii="Times New Roman" w:hAnsi="Times New Roman" w:cs="Times New Roman"/>
          <w:sz w:val="24"/>
          <w:szCs w:val="24"/>
          <w:shd w:val="clear" w:color="auto" w:fill="FFFFFF"/>
        </w:rPr>
      </w:pPr>
    </w:p>
    <w:p w14:paraId="1F3B27E1" w14:textId="77777777" w:rsidR="00DB290E" w:rsidRPr="00AF08E7" w:rsidRDefault="00DB290E" w:rsidP="00CB737A">
      <w:pPr>
        <w:pStyle w:val="ListParagraph"/>
        <w:jc w:val="both"/>
        <w:rPr>
          <w:rFonts w:ascii="Times New Roman" w:hAnsi="Times New Roman" w:cs="Times New Roman"/>
          <w:sz w:val="24"/>
          <w:szCs w:val="24"/>
          <w:shd w:val="clear" w:color="auto" w:fill="FFFFFF"/>
        </w:rPr>
      </w:pPr>
    </w:p>
    <w:p w14:paraId="7A70023C" w14:textId="77777777" w:rsidR="000336B7" w:rsidRPr="00AF08E7" w:rsidRDefault="000336B7" w:rsidP="00CB737A">
      <w:pPr>
        <w:pStyle w:val="ListParagraph"/>
        <w:numPr>
          <w:ilvl w:val="0"/>
          <w:numId w:val="8"/>
        </w:numPr>
        <w:jc w:val="both"/>
        <w:rPr>
          <w:rFonts w:ascii="Times New Roman" w:hAnsi="Times New Roman" w:cs="Times New Roman"/>
          <w:sz w:val="24"/>
          <w:szCs w:val="24"/>
        </w:rPr>
      </w:pPr>
      <w:r w:rsidRPr="00AF08E7">
        <w:rPr>
          <w:rFonts w:ascii="Times New Roman" w:hAnsi="Times New Roman" w:cs="Times New Roman"/>
          <w:sz w:val="24"/>
          <w:szCs w:val="24"/>
        </w:rPr>
        <w:t>Accounting tools, 2020. Users of financial statements. Accounting tools</w:t>
      </w:r>
      <w:r w:rsidRPr="00AF08E7">
        <w:rPr>
          <w:rFonts w:ascii="Times New Roman" w:hAnsi="Times New Roman" w:cs="Times New Roman"/>
          <w:sz w:val="24"/>
          <w:szCs w:val="24"/>
          <w:shd w:val="clear" w:color="auto" w:fill="FFFFFF"/>
        </w:rPr>
        <w:t xml:space="preserve">, </w:t>
      </w:r>
      <w:r w:rsidRPr="00AF08E7">
        <w:rPr>
          <w:rFonts w:ascii="Times New Roman" w:hAnsi="Times New Roman" w:cs="Times New Roman"/>
          <w:sz w:val="24"/>
          <w:szCs w:val="24"/>
        </w:rPr>
        <w:t xml:space="preserve">[online], Available at: </w:t>
      </w:r>
      <w:hyperlink r:id="rId10" w:history="1">
        <w:r w:rsidRPr="00AF08E7">
          <w:rPr>
            <w:rStyle w:val="Hyperlink"/>
            <w:rFonts w:ascii="Times New Roman" w:hAnsi="Times New Roman" w:cs="Times New Roman"/>
            <w:color w:val="auto"/>
            <w:sz w:val="24"/>
            <w:szCs w:val="24"/>
          </w:rPr>
          <w:t>https://www.accountingtools.com/articles/users-of-financial-statements.html</w:t>
        </w:r>
      </w:hyperlink>
      <w:r w:rsidRPr="00AF08E7">
        <w:rPr>
          <w:rFonts w:ascii="Times New Roman" w:hAnsi="Times New Roman" w:cs="Times New Roman"/>
          <w:sz w:val="24"/>
          <w:szCs w:val="24"/>
        </w:rPr>
        <w:t>. [Accessed on: 03/11/2020]</w:t>
      </w:r>
    </w:p>
    <w:p w14:paraId="3612A318"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Bahnson, P.R., Koeppen, D. &amp; Hyatt, T. 2017, "Improving Income Statement Reporting of Debt Extinguishments: Certified Public Accountant", </w:t>
      </w:r>
      <w:r w:rsidRPr="00AF08E7">
        <w:rPr>
          <w:rFonts w:ascii="Times New Roman" w:hAnsi="Times New Roman" w:cs="Times New Roman"/>
          <w:i/>
          <w:iCs/>
          <w:sz w:val="24"/>
          <w:szCs w:val="24"/>
          <w:shd w:val="clear" w:color="auto" w:fill="FFFFFF"/>
        </w:rPr>
        <w:t>The CPA Journal, </w:t>
      </w:r>
      <w:r w:rsidRPr="00AF08E7">
        <w:rPr>
          <w:rFonts w:ascii="Times New Roman" w:hAnsi="Times New Roman" w:cs="Times New Roman"/>
          <w:sz w:val="24"/>
          <w:szCs w:val="24"/>
          <w:shd w:val="clear" w:color="auto" w:fill="FFFFFF"/>
        </w:rPr>
        <w:t>vol. 87, no. 11, pp. 48-51.</w:t>
      </w:r>
    </w:p>
    <w:p w14:paraId="0407ADC2"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Decker, J. &amp; Kizirian, T. 2017, "Potential Indicators Of Balance Sheet And Income Statement Fraud", </w:t>
      </w:r>
      <w:r w:rsidRPr="00AF08E7">
        <w:rPr>
          <w:rFonts w:ascii="Times New Roman" w:hAnsi="Times New Roman" w:cs="Times New Roman"/>
          <w:i/>
          <w:iCs/>
          <w:sz w:val="24"/>
          <w:szCs w:val="24"/>
          <w:shd w:val="clear" w:color="auto" w:fill="FFFFFF"/>
        </w:rPr>
        <w:t>Journal of Business Case Studies (Online), </w:t>
      </w:r>
      <w:r w:rsidRPr="00AF08E7">
        <w:rPr>
          <w:rFonts w:ascii="Times New Roman" w:hAnsi="Times New Roman" w:cs="Times New Roman"/>
          <w:sz w:val="24"/>
          <w:szCs w:val="24"/>
          <w:shd w:val="clear" w:color="auto" w:fill="FFFFFF"/>
        </w:rPr>
        <w:t>vol. 13, no. 4, pp. 109-114.</w:t>
      </w:r>
    </w:p>
    <w:p w14:paraId="35A19D61" w14:textId="77777777" w:rsidR="000336B7" w:rsidRPr="00AF08E7" w:rsidRDefault="000336B7" w:rsidP="00CB737A">
      <w:pPr>
        <w:pStyle w:val="ListParagraph"/>
        <w:numPr>
          <w:ilvl w:val="0"/>
          <w:numId w:val="8"/>
        </w:numPr>
        <w:jc w:val="both"/>
        <w:rPr>
          <w:rFonts w:ascii="Times New Roman" w:hAnsi="Times New Roman" w:cs="Times New Roman"/>
          <w:sz w:val="24"/>
          <w:szCs w:val="24"/>
        </w:rPr>
      </w:pPr>
      <w:r w:rsidRPr="00AF08E7">
        <w:rPr>
          <w:rFonts w:ascii="Times New Roman" w:hAnsi="Times New Roman" w:cs="Times New Roman"/>
          <w:sz w:val="24"/>
          <w:szCs w:val="24"/>
        </w:rPr>
        <w:t xml:space="preserve">Hayes, A.2020. Expense Ratio Definition. Investopedia, [online], Available at: </w:t>
      </w:r>
      <w:hyperlink r:id="rId11" w:history="1">
        <w:r w:rsidRPr="00AF08E7">
          <w:rPr>
            <w:rStyle w:val="Hyperlink"/>
            <w:rFonts w:ascii="Times New Roman" w:hAnsi="Times New Roman" w:cs="Times New Roman"/>
            <w:color w:val="auto"/>
            <w:sz w:val="24"/>
            <w:szCs w:val="24"/>
          </w:rPr>
          <w:t>https://www.investopedia.com/terms/e/expenseratio.asp</w:t>
        </w:r>
      </w:hyperlink>
      <w:r w:rsidRPr="00AF08E7">
        <w:rPr>
          <w:rFonts w:ascii="Times New Roman" w:hAnsi="Times New Roman" w:cs="Times New Roman"/>
          <w:sz w:val="24"/>
          <w:szCs w:val="24"/>
        </w:rPr>
        <w:t>. [Accessed on: 03/11/2020]</w:t>
      </w:r>
    </w:p>
    <w:p w14:paraId="141F6B08"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Izzalqurny, T.R., Subroto, B. &amp; Ghofar, A. 2019, "Relationship between Financial Ratio and Financial Statement Fraud Risk Moderated by Auditor Quality", </w:t>
      </w:r>
      <w:r w:rsidRPr="00AF08E7">
        <w:rPr>
          <w:rFonts w:ascii="Times New Roman" w:hAnsi="Times New Roman" w:cs="Times New Roman"/>
          <w:i/>
          <w:iCs/>
          <w:sz w:val="24"/>
          <w:szCs w:val="24"/>
          <w:shd w:val="clear" w:color="auto" w:fill="FFFFFF"/>
        </w:rPr>
        <w:t>International Journal of Research in Business and Social Science, </w:t>
      </w:r>
      <w:r w:rsidRPr="00AF08E7">
        <w:rPr>
          <w:rFonts w:ascii="Times New Roman" w:hAnsi="Times New Roman" w:cs="Times New Roman"/>
          <w:sz w:val="24"/>
          <w:szCs w:val="24"/>
          <w:shd w:val="clear" w:color="auto" w:fill="FFFFFF"/>
        </w:rPr>
        <w:t>vol. 8, no. 4, pp. 34-43.</w:t>
      </w:r>
    </w:p>
    <w:p w14:paraId="1459CEC0" w14:textId="77777777" w:rsidR="000336B7" w:rsidRPr="00AF08E7" w:rsidRDefault="000336B7" w:rsidP="00CB737A">
      <w:pPr>
        <w:pStyle w:val="ListParagraph"/>
        <w:numPr>
          <w:ilvl w:val="0"/>
          <w:numId w:val="8"/>
        </w:numPr>
        <w:jc w:val="both"/>
        <w:rPr>
          <w:rFonts w:ascii="Times New Roman" w:hAnsi="Times New Roman" w:cs="Times New Roman"/>
          <w:sz w:val="24"/>
          <w:szCs w:val="24"/>
        </w:rPr>
      </w:pPr>
      <w:r w:rsidRPr="00AF08E7">
        <w:rPr>
          <w:rFonts w:ascii="Times New Roman" w:hAnsi="Times New Roman" w:cs="Times New Roman"/>
          <w:sz w:val="24"/>
          <w:szCs w:val="24"/>
        </w:rPr>
        <w:t xml:space="preserve">Kenton, W. 2020. Accounting Standard. Investopedia, [online], Available at: </w:t>
      </w:r>
      <w:hyperlink r:id="rId12" w:anchor=":~:text=Key%20Takeaways,An%20accounting%20standard%20is%20a%20common%20set%20of%20principles%2C%20standards,%2C%20expenses%20and%20shareholders'%20equity" w:history="1">
        <w:r w:rsidRPr="00AF08E7">
          <w:rPr>
            <w:rStyle w:val="Hyperlink"/>
            <w:rFonts w:ascii="Times New Roman" w:hAnsi="Times New Roman" w:cs="Times New Roman"/>
            <w:color w:val="auto"/>
            <w:sz w:val="24"/>
            <w:szCs w:val="24"/>
          </w:rPr>
          <w:t>https://www.investopedia.com/terms/a/accountingstandard.asp#:~:text=Key%20Takeaways,An%20accounting%20standard%20is%20a%20common%20set%20of%20principles%2C%20standards,%2C%20expenses%20and%20shareholders'%20equity</w:t>
        </w:r>
      </w:hyperlink>
      <w:r w:rsidRPr="00AF08E7">
        <w:rPr>
          <w:rFonts w:ascii="Times New Roman" w:hAnsi="Times New Roman" w:cs="Times New Roman"/>
          <w:sz w:val="24"/>
          <w:szCs w:val="24"/>
        </w:rPr>
        <w:t>. [Accessed on: 03/11/2020]</w:t>
      </w:r>
    </w:p>
    <w:p w14:paraId="545D621B"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Lin, S., Donel, M., Wang, C. &amp; Ya-wen, Y. 2018, "Is Other Comprehensive Income Reported in the Income Statement More Value Relevant? The Role of Financial Statement Presentation", </w:t>
      </w:r>
      <w:r w:rsidRPr="00AF08E7">
        <w:rPr>
          <w:rFonts w:ascii="Times New Roman" w:hAnsi="Times New Roman" w:cs="Times New Roman"/>
          <w:i/>
          <w:iCs/>
          <w:sz w:val="24"/>
          <w:szCs w:val="24"/>
          <w:shd w:val="clear" w:color="auto" w:fill="FFFFFF"/>
        </w:rPr>
        <w:t>Journal of Accounting, Auditing &amp; Finance, </w:t>
      </w:r>
      <w:r w:rsidRPr="00AF08E7">
        <w:rPr>
          <w:rFonts w:ascii="Times New Roman" w:hAnsi="Times New Roman" w:cs="Times New Roman"/>
          <w:sz w:val="24"/>
          <w:szCs w:val="24"/>
          <w:shd w:val="clear" w:color="auto" w:fill="FFFFFF"/>
        </w:rPr>
        <w:t>vol. 33, no. 4, pp. 624-646.</w:t>
      </w:r>
    </w:p>
    <w:p w14:paraId="1D899528" w14:textId="77777777" w:rsidR="000336B7" w:rsidRPr="00AF08E7" w:rsidRDefault="000336B7" w:rsidP="00CB737A">
      <w:pPr>
        <w:pStyle w:val="ListParagraph"/>
        <w:numPr>
          <w:ilvl w:val="0"/>
          <w:numId w:val="8"/>
        </w:numPr>
        <w:jc w:val="both"/>
        <w:rPr>
          <w:rFonts w:ascii="Times New Roman" w:hAnsi="Times New Roman" w:cs="Times New Roman"/>
          <w:sz w:val="24"/>
          <w:szCs w:val="24"/>
        </w:rPr>
      </w:pPr>
      <w:r w:rsidRPr="00AF08E7">
        <w:rPr>
          <w:rFonts w:ascii="Times New Roman" w:hAnsi="Times New Roman" w:cs="Times New Roman"/>
          <w:sz w:val="24"/>
          <w:szCs w:val="24"/>
        </w:rPr>
        <w:t xml:space="preserve">Murphy, C. 2020. Financial Statements. Investopedia, [online], Available at: </w:t>
      </w:r>
      <w:hyperlink r:id="rId13" w:history="1">
        <w:r w:rsidRPr="00AF08E7">
          <w:rPr>
            <w:rStyle w:val="Hyperlink"/>
            <w:rFonts w:ascii="Times New Roman" w:hAnsi="Times New Roman" w:cs="Times New Roman"/>
            <w:color w:val="auto"/>
            <w:sz w:val="24"/>
            <w:szCs w:val="24"/>
          </w:rPr>
          <w:t>https://www.investopedia.com/terms/f/financial-statements.asp</w:t>
        </w:r>
      </w:hyperlink>
      <w:r w:rsidRPr="00AF08E7">
        <w:rPr>
          <w:rFonts w:ascii="Times New Roman" w:hAnsi="Times New Roman" w:cs="Times New Roman"/>
          <w:sz w:val="24"/>
          <w:szCs w:val="24"/>
        </w:rPr>
        <w:t>. [Accessed on: 03/11/2020]</w:t>
      </w:r>
    </w:p>
    <w:p w14:paraId="422BCFDC"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Robison, L.J. &amp; Barry, P.J. 2020, "Accrual income statements and present value models", </w:t>
      </w:r>
      <w:r w:rsidRPr="00AF08E7">
        <w:rPr>
          <w:rFonts w:ascii="Times New Roman" w:hAnsi="Times New Roman" w:cs="Times New Roman"/>
          <w:i/>
          <w:iCs/>
          <w:sz w:val="24"/>
          <w:szCs w:val="24"/>
          <w:shd w:val="clear" w:color="auto" w:fill="FFFFFF"/>
        </w:rPr>
        <w:t>Agricultural Finance Review, </w:t>
      </w:r>
      <w:r w:rsidRPr="00AF08E7">
        <w:rPr>
          <w:rFonts w:ascii="Times New Roman" w:hAnsi="Times New Roman" w:cs="Times New Roman"/>
          <w:sz w:val="24"/>
          <w:szCs w:val="24"/>
          <w:shd w:val="clear" w:color="auto" w:fill="FFFFFF"/>
        </w:rPr>
        <w:t>vol. 80, no. 5, pp. 715-731.</w:t>
      </w:r>
    </w:p>
    <w:p w14:paraId="25D20AD5"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Tagkalakis, A.O. 2015, "ESTIMATING THE ELASTICITY OF PERSONAL INCOME TAX TO GROSS EARNINGS FROM INCOME TAX STATEMENTS IN GREECE: IMPLICATIONS FOR TAX BUOYANCY", </w:t>
      </w:r>
      <w:r w:rsidRPr="00AF08E7">
        <w:rPr>
          <w:rFonts w:ascii="Times New Roman" w:hAnsi="Times New Roman" w:cs="Times New Roman"/>
          <w:i/>
          <w:iCs/>
          <w:sz w:val="24"/>
          <w:szCs w:val="24"/>
          <w:shd w:val="clear" w:color="auto" w:fill="FFFFFF"/>
        </w:rPr>
        <w:t>Public Finance and Management, </w:t>
      </w:r>
      <w:r w:rsidRPr="00AF08E7">
        <w:rPr>
          <w:rFonts w:ascii="Times New Roman" w:hAnsi="Times New Roman" w:cs="Times New Roman"/>
          <w:sz w:val="24"/>
          <w:szCs w:val="24"/>
          <w:shd w:val="clear" w:color="auto" w:fill="FFFFFF"/>
        </w:rPr>
        <w:t>vol. 15, no. 1, pp. 47-64. Lee, B.B., Shin, H., Vetter, W. &amp; Kim, D.W. 2017, "Management of income statement variables to report small positive earnings numbers", </w:t>
      </w:r>
      <w:r w:rsidRPr="00AF08E7">
        <w:rPr>
          <w:rFonts w:ascii="Times New Roman" w:hAnsi="Times New Roman" w:cs="Times New Roman"/>
          <w:i/>
          <w:iCs/>
          <w:sz w:val="24"/>
          <w:szCs w:val="24"/>
          <w:shd w:val="clear" w:color="auto" w:fill="FFFFFF"/>
        </w:rPr>
        <w:t>Asian Review of Accounting, </w:t>
      </w:r>
      <w:r w:rsidRPr="00AF08E7">
        <w:rPr>
          <w:rFonts w:ascii="Times New Roman" w:hAnsi="Times New Roman" w:cs="Times New Roman"/>
          <w:sz w:val="24"/>
          <w:szCs w:val="24"/>
          <w:shd w:val="clear" w:color="auto" w:fill="FFFFFF"/>
        </w:rPr>
        <w:t>vol. 25, no. 1, pp. 58-84.</w:t>
      </w:r>
    </w:p>
    <w:p w14:paraId="05F6540A" w14:textId="77777777" w:rsidR="000336B7" w:rsidRPr="00AF08E7" w:rsidRDefault="000336B7" w:rsidP="00CB737A">
      <w:pPr>
        <w:pStyle w:val="ListParagraph"/>
        <w:numPr>
          <w:ilvl w:val="0"/>
          <w:numId w:val="8"/>
        </w:numPr>
        <w:jc w:val="both"/>
        <w:rPr>
          <w:rFonts w:ascii="Times New Roman" w:hAnsi="Times New Roman" w:cs="Times New Roman"/>
          <w:sz w:val="24"/>
          <w:szCs w:val="24"/>
          <w:shd w:val="clear" w:color="auto" w:fill="FFFFFF"/>
        </w:rPr>
      </w:pPr>
      <w:r w:rsidRPr="00AF08E7">
        <w:rPr>
          <w:rFonts w:ascii="Times New Roman" w:hAnsi="Times New Roman" w:cs="Times New Roman"/>
          <w:sz w:val="24"/>
          <w:szCs w:val="24"/>
          <w:shd w:val="clear" w:color="auto" w:fill="FFFFFF"/>
        </w:rPr>
        <w:t>Tenney, J.A. &amp; Kalenkoski, C.M. 2019, "Financial Ratios and Financial Satisfaction: Exploring Associations Between Objective and Subjective Measures of Financial Well-Being Among Older Americans", </w:t>
      </w:r>
      <w:r w:rsidRPr="00AF08E7">
        <w:rPr>
          <w:rFonts w:ascii="Times New Roman" w:hAnsi="Times New Roman" w:cs="Times New Roman"/>
          <w:i/>
          <w:iCs/>
          <w:sz w:val="24"/>
          <w:szCs w:val="24"/>
          <w:shd w:val="clear" w:color="auto" w:fill="FFFFFF"/>
        </w:rPr>
        <w:t>Journal of Financial Counseling and Planning, </w:t>
      </w:r>
      <w:r w:rsidRPr="00AF08E7">
        <w:rPr>
          <w:rFonts w:ascii="Times New Roman" w:hAnsi="Times New Roman" w:cs="Times New Roman"/>
          <w:sz w:val="24"/>
          <w:szCs w:val="24"/>
          <w:shd w:val="clear" w:color="auto" w:fill="FFFFFF"/>
        </w:rPr>
        <w:t>vol. 30, no. 2, pp. 231-243.</w:t>
      </w:r>
    </w:p>
    <w:p w14:paraId="276CB994" w14:textId="77777777" w:rsidR="009E1A36" w:rsidRPr="00CB737A" w:rsidRDefault="009E1A36" w:rsidP="00CB737A">
      <w:pPr>
        <w:pStyle w:val="ListParagraph"/>
        <w:jc w:val="both"/>
        <w:rPr>
          <w:rFonts w:ascii="Times New Roman" w:hAnsi="Times New Roman" w:cs="Times New Roman"/>
          <w:sz w:val="24"/>
          <w:szCs w:val="24"/>
          <w:shd w:val="clear" w:color="auto" w:fill="FFFFFF"/>
        </w:rPr>
      </w:pPr>
    </w:p>
    <w:p w14:paraId="1118314B" w14:textId="77777777" w:rsidR="009E1A36" w:rsidRPr="00CB737A" w:rsidRDefault="009E1A36" w:rsidP="00CB737A">
      <w:pPr>
        <w:pStyle w:val="ListParagraph"/>
        <w:jc w:val="both"/>
        <w:rPr>
          <w:rFonts w:ascii="Times New Roman" w:hAnsi="Times New Roman" w:cs="Times New Roman"/>
          <w:sz w:val="24"/>
          <w:szCs w:val="24"/>
          <w:shd w:val="clear" w:color="auto" w:fill="FFFFFF"/>
        </w:rPr>
      </w:pPr>
    </w:p>
    <w:p w14:paraId="6827CB82" w14:textId="77777777" w:rsidR="009E1A36" w:rsidRPr="00CB737A" w:rsidRDefault="009E1A36" w:rsidP="00CB737A">
      <w:pPr>
        <w:pStyle w:val="ListParagraph"/>
        <w:jc w:val="both"/>
        <w:rPr>
          <w:rFonts w:ascii="Times New Roman" w:hAnsi="Times New Roman" w:cs="Times New Roman"/>
          <w:sz w:val="24"/>
          <w:szCs w:val="24"/>
        </w:rPr>
      </w:pPr>
    </w:p>
    <w:sectPr w:rsidR="009E1A36" w:rsidRPr="00CB737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595C2" w14:textId="77777777" w:rsidR="005C562C" w:rsidRDefault="005C562C" w:rsidP="00A02635">
      <w:pPr>
        <w:spacing w:after="0" w:line="240" w:lineRule="auto"/>
      </w:pPr>
      <w:r>
        <w:separator/>
      </w:r>
    </w:p>
  </w:endnote>
  <w:endnote w:type="continuationSeparator" w:id="0">
    <w:p w14:paraId="62F5D452" w14:textId="77777777" w:rsidR="005C562C" w:rsidRDefault="005C562C" w:rsidP="00A02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725445"/>
      <w:docPartObj>
        <w:docPartGallery w:val="Page Numbers (Bottom of Page)"/>
        <w:docPartUnique/>
      </w:docPartObj>
    </w:sdtPr>
    <w:sdtEndPr>
      <w:rPr>
        <w:noProof/>
      </w:rPr>
    </w:sdtEndPr>
    <w:sdtContent>
      <w:p w14:paraId="77FD0AFE" w14:textId="0B743702" w:rsidR="005C562C" w:rsidRDefault="005C56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CA02F6" w14:textId="77777777" w:rsidR="005C562C" w:rsidRDefault="005C5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B2071B" w14:textId="77777777" w:rsidR="005C562C" w:rsidRDefault="005C562C" w:rsidP="00A02635">
      <w:pPr>
        <w:spacing w:after="0" w:line="240" w:lineRule="auto"/>
      </w:pPr>
      <w:r>
        <w:separator/>
      </w:r>
    </w:p>
  </w:footnote>
  <w:footnote w:type="continuationSeparator" w:id="0">
    <w:p w14:paraId="0ABF239F" w14:textId="77777777" w:rsidR="005C562C" w:rsidRDefault="005C562C" w:rsidP="00A02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37FDD"/>
    <w:multiLevelType w:val="hybridMultilevel"/>
    <w:tmpl w:val="280002A2"/>
    <w:lvl w:ilvl="0" w:tplc="4009000B">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15:restartNumberingAfterBreak="0">
    <w:nsid w:val="0DA64287"/>
    <w:multiLevelType w:val="hybridMultilevel"/>
    <w:tmpl w:val="802444E2"/>
    <w:lvl w:ilvl="0" w:tplc="00E24A72">
      <w:start w:val="2"/>
      <w:numFmt w:val="bullet"/>
      <w:lvlText w:val=""/>
      <w:lvlJc w:val="left"/>
      <w:pPr>
        <w:ind w:left="1080" w:hanging="360"/>
      </w:pPr>
      <w:rPr>
        <w:rFonts w:ascii="Symbol" w:eastAsiaTheme="minorHAnsi" w:hAnsi="Symbol"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DAF12EE"/>
    <w:multiLevelType w:val="hybridMultilevel"/>
    <w:tmpl w:val="CAEC7A10"/>
    <w:lvl w:ilvl="0" w:tplc="00E24A72">
      <w:start w:val="2"/>
      <w:numFmt w:val="bullet"/>
      <w:lvlText w:val=""/>
      <w:lvlJc w:val="left"/>
      <w:pPr>
        <w:ind w:left="1800" w:hanging="360"/>
      </w:pPr>
      <w:rPr>
        <w:rFonts w:ascii="Symbol" w:eastAsiaTheme="minorHAnsi" w:hAnsi="Symbol" w:cs="Times New Roman"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0DB62705"/>
    <w:multiLevelType w:val="hybridMultilevel"/>
    <w:tmpl w:val="A75C02B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EB03303"/>
    <w:multiLevelType w:val="hybridMultilevel"/>
    <w:tmpl w:val="DCE4BAB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24454D"/>
    <w:multiLevelType w:val="hybridMultilevel"/>
    <w:tmpl w:val="77C66A1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7BA3851"/>
    <w:multiLevelType w:val="hybridMultilevel"/>
    <w:tmpl w:val="D9A8AB6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4A47E00"/>
    <w:multiLevelType w:val="hybridMultilevel"/>
    <w:tmpl w:val="941A150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3"/>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493"/>
    <w:rsid w:val="000336B7"/>
    <w:rsid w:val="00064115"/>
    <w:rsid w:val="000802AC"/>
    <w:rsid w:val="000A298D"/>
    <w:rsid w:val="00105BB0"/>
    <w:rsid w:val="00112258"/>
    <w:rsid w:val="001716C4"/>
    <w:rsid w:val="001A1E47"/>
    <w:rsid w:val="001B0612"/>
    <w:rsid w:val="001B5CEA"/>
    <w:rsid w:val="001D5BA1"/>
    <w:rsid w:val="002155F9"/>
    <w:rsid w:val="002203B2"/>
    <w:rsid w:val="00253E48"/>
    <w:rsid w:val="003127C3"/>
    <w:rsid w:val="00462FBB"/>
    <w:rsid w:val="004F302D"/>
    <w:rsid w:val="00533DA5"/>
    <w:rsid w:val="0058152F"/>
    <w:rsid w:val="005C562C"/>
    <w:rsid w:val="00626D9D"/>
    <w:rsid w:val="00630469"/>
    <w:rsid w:val="00666EFB"/>
    <w:rsid w:val="00713850"/>
    <w:rsid w:val="00755B8B"/>
    <w:rsid w:val="0078119F"/>
    <w:rsid w:val="00786493"/>
    <w:rsid w:val="00793528"/>
    <w:rsid w:val="00806D9F"/>
    <w:rsid w:val="00836874"/>
    <w:rsid w:val="00894A59"/>
    <w:rsid w:val="00961342"/>
    <w:rsid w:val="00967632"/>
    <w:rsid w:val="00981C5C"/>
    <w:rsid w:val="009A6DF0"/>
    <w:rsid w:val="009E1A36"/>
    <w:rsid w:val="009F370C"/>
    <w:rsid w:val="009F4823"/>
    <w:rsid w:val="00A02635"/>
    <w:rsid w:val="00A231D2"/>
    <w:rsid w:val="00A2440D"/>
    <w:rsid w:val="00A86935"/>
    <w:rsid w:val="00AA32DE"/>
    <w:rsid w:val="00AF08E7"/>
    <w:rsid w:val="00B67D2D"/>
    <w:rsid w:val="00B83DA4"/>
    <w:rsid w:val="00CB737A"/>
    <w:rsid w:val="00D94B25"/>
    <w:rsid w:val="00DB290E"/>
    <w:rsid w:val="00DB5C3D"/>
    <w:rsid w:val="00E647C4"/>
    <w:rsid w:val="00ED1023"/>
    <w:rsid w:val="00EF757A"/>
    <w:rsid w:val="00F2475A"/>
    <w:rsid w:val="00F2637D"/>
    <w:rsid w:val="00FA1B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6EDF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32DE"/>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autoRedefine/>
    <w:uiPriority w:val="9"/>
    <w:unhideWhenUsed/>
    <w:qFormat/>
    <w:rsid w:val="00DB290E"/>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2D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B290E"/>
    <w:rPr>
      <w:rFonts w:ascii="Times New Roman" w:eastAsiaTheme="majorEastAsia" w:hAnsi="Times New Roman" w:cstheme="majorBidi"/>
      <w:b/>
      <w:sz w:val="26"/>
      <w:szCs w:val="26"/>
    </w:rPr>
  </w:style>
  <w:style w:type="paragraph" w:styleId="ListParagraph">
    <w:name w:val="List Paragraph"/>
    <w:basedOn w:val="Normal"/>
    <w:uiPriority w:val="34"/>
    <w:qFormat/>
    <w:rsid w:val="004F302D"/>
    <w:pPr>
      <w:ind w:left="720"/>
      <w:contextualSpacing/>
    </w:pPr>
  </w:style>
  <w:style w:type="character" w:styleId="Hyperlink">
    <w:name w:val="Hyperlink"/>
    <w:basedOn w:val="DefaultParagraphFont"/>
    <w:uiPriority w:val="99"/>
    <w:unhideWhenUsed/>
    <w:rsid w:val="00836874"/>
    <w:rPr>
      <w:color w:val="0563C1" w:themeColor="hyperlink"/>
      <w:u w:val="single"/>
    </w:rPr>
  </w:style>
  <w:style w:type="paragraph" w:styleId="Header">
    <w:name w:val="header"/>
    <w:basedOn w:val="Normal"/>
    <w:link w:val="HeaderChar"/>
    <w:uiPriority w:val="99"/>
    <w:unhideWhenUsed/>
    <w:rsid w:val="00A02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635"/>
  </w:style>
  <w:style w:type="paragraph" w:styleId="Footer">
    <w:name w:val="footer"/>
    <w:basedOn w:val="Normal"/>
    <w:link w:val="FooterChar"/>
    <w:uiPriority w:val="99"/>
    <w:unhideWhenUsed/>
    <w:rsid w:val="00A02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635"/>
  </w:style>
  <w:style w:type="paragraph" w:styleId="TOCHeading">
    <w:name w:val="TOC Heading"/>
    <w:basedOn w:val="Heading1"/>
    <w:next w:val="Normal"/>
    <w:uiPriority w:val="39"/>
    <w:unhideWhenUsed/>
    <w:qFormat/>
    <w:rsid w:val="00CB737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B737A"/>
    <w:pPr>
      <w:spacing w:after="100"/>
    </w:pPr>
  </w:style>
  <w:style w:type="paragraph" w:styleId="TOC2">
    <w:name w:val="toc 2"/>
    <w:basedOn w:val="Normal"/>
    <w:next w:val="Normal"/>
    <w:autoRedefine/>
    <w:uiPriority w:val="39"/>
    <w:unhideWhenUsed/>
    <w:rsid w:val="00CB737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956106">
      <w:bodyDiv w:val="1"/>
      <w:marLeft w:val="0"/>
      <w:marRight w:val="0"/>
      <w:marTop w:val="0"/>
      <w:marBottom w:val="0"/>
      <w:divBdr>
        <w:top w:val="none" w:sz="0" w:space="0" w:color="auto"/>
        <w:left w:val="none" w:sz="0" w:space="0" w:color="auto"/>
        <w:bottom w:val="none" w:sz="0" w:space="0" w:color="auto"/>
        <w:right w:val="none" w:sz="0" w:space="0" w:color="auto"/>
      </w:divBdr>
    </w:div>
    <w:div w:id="737093958">
      <w:bodyDiv w:val="1"/>
      <w:marLeft w:val="0"/>
      <w:marRight w:val="0"/>
      <w:marTop w:val="0"/>
      <w:marBottom w:val="0"/>
      <w:divBdr>
        <w:top w:val="none" w:sz="0" w:space="0" w:color="auto"/>
        <w:left w:val="none" w:sz="0" w:space="0" w:color="auto"/>
        <w:bottom w:val="none" w:sz="0" w:space="0" w:color="auto"/>
        <w:right w:val="none" w:sz="0" w:space="0" w:color="auto"/>
      </w:divBdr>
    </w:div>
    <w:div w:id="775905390">
      <w:bodyDiv w:val="1"/>
      <w:marLeft w:val="0"/>
      <w:marRight w:val="0"/>
      <w:marTop w:val="0"/>
      <w:marBottom w:val="0"/>
      <w:divBdr>
        <w:top w:val="none" w:sz="0" w:space="0" w:color="auto"/>
        <w:left w:val="none" w:sz="0" w:space="0" w:color="auto"/>
        <w:bottom w:val="none" w:sz="0" w:space="0" w:color="auto"/>
        <w:right w:val="none" w:sz="0" w:space="0" w:color="auto"/>
      </w:divBdr>
    </w:div>
    <w:div w:id="976378370">
      <w:bodyDiv w:val="1"/>
      <w:marLeft w:val="0"/>
      <w:marRight w:val="0"/>
      <w:marTop w:val="0"/>
      <w:marBottom w:val="0"/>
      <w:divBdr>
        <w:top w:val="none" w:sz="0" w:space="0" w:color="auto"/>
        <w:left w:val="none" w:sz="0" w:space="0" w:color="auto"/>
        <w:bottom w:val="none" w:sz="0" w:space="0" w:color="auto"/>
        <w:right w:val="none" w:sz="0" w:space="0" w:color="auto"/>
      </w:divBdr>
    </w:div>
    <w:div w:id="179112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www.investopedia.com/terms/f/financial-statement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a/accountingstandard.as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e/expenseratio.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ccountingtools.com/articles/users-of-financial-statements.html"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B1C08-E0AB-4D9C-A527-035A54694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3737</Words>
  <Characters>21301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2020-11-08T17:08:00Z</dcterms:created>
  <dcterms:modified xsi:type="dcterms:W3CDTF">2020-11-08T17:08:00Z</dcterms:modified>
</cp:coreProperties>
</file>