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692" w:lineRule="auto"/>
        <w:ind w:left="0" w:firstLine="0"/>
        <w:rPr>
          <w:rFonts w:ascii="Arial" w:cs="Arial" w:eastAsia="Arial" w:hAnsi="Arial"/>
          <w:sz w:val="58"/>
          <w:szCs w:val="58"/>
        </w:rPr>
      </w:pPr>
      <w:bookmarkStart w:colFirst="0" w:colLast="0" w:name="_heading=h.j7lzkun20dzz" w:id="0"/>
      <w:bookmarkEnd w:id="0"/>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948054</wp:posOffset>
            </wp:positionH>
            <wp:positionV relativeFrom="paragraph">
              <wp:posOffset>0</wp:posOffset>
            </wp:positionV>
            <wp:extent cx="4812665" cy="1174750"/>
            <wp:effectExtent b="0" l="0" r="0" t="0"/>
            <wp:wrapSquare wrapText="bothSides" distB="0" distT="0" distL="114300" distR="114300"/>
            <wp:docPr descr="SCVO | Sandwell Council of Voluntary Organisations." id="22" name="image1.png"/>
            <a:graphic>
              <a:graphicData uri="http://schemas.openxmlformats.org/drawingml/2006/picture">
                <pic:pic>
                  <pic:nvPicPr>
                    <pic:cNvPr descr="SCVO | Sandwell Council of Voluntary Organisations." id="0" name="image1.png"/>
                    <pic:cNvPicPr preferRelativeResize="0"/>
                  </pic:nvPicPr>
                  <pic:blipFill>
                    <a:blip r:embed="rId7"/>
                    <a:srcRect b="0" l="0" r="0" t="0"/>
                    <a:stretch>
                      <a:fillRect/>
                    </a:stretch>
                  </pic:blipFill>
                  <pic:spPr>
                    <a:xfrm>
                      <a:off x="0" y="0"/>
                      <a:ext cx="4812665" cy="1174750"/>
                    </a:xfrm>
                    <a:prstGeom prst="rect"/>
                    <a:ln/>
                  </pic:spPr>
                </pic:pic>
              </a:graphicData>
            </a:graphic>
          </wp:anchor>
        </w:drawing>
      </w:r>
    </w:p>
    <w:p w:rsidR="00000000" w:rsidDel="00000000" w:rsidP="00000000" w:rsidRDefault="00000000" w:rsidRPr="00000000" w14:paraId="00000002">
      <w:pPr>
        <w:spacing w:after="240" w:before="240" w:line="360" w:lineRule="auto"/>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03">
      <w:pPr>
        <w:spacing w:after="240" w:before="240" w:line="360" w:lineRule="auto"/>
        <w:jc w:val="center"/>
        <w:rPr>
          <w:rFonts w:ascii="Arial" w:cs="Arial" w:eastAsia="Arial" w:hAnsi="Arial"/>
          <w:b w:val="1"/>
          <w:bCs w:val="1"/>
          <w:sz w:val="36"/>
          <w:szCs w:val="36"/>
        </w:rPr>
      </w:pPr>
      <w:r w:rsidDel="00000000" w:rsidR="00000000" w:rsidRPr="00000000">
        <w:rPr>
          <w:rFonts w:ascii="Arial" w:cs="Arial" w:eastAsia="Arial" w:hAnsi="Arial"/>
          <w:b w:val="1"/>
          <w:bCs w:val="1"/>
          <w:sz w:val="36"/>
          <w:szCs w:val="36"/>
          <w:rtl w:val="0"/>
        </w:rPr>
        <w:t xml:space="preserve">Exploring the Health and Social Care Experiences of People Living with HIV in the UK</w:t>
      </w:r>
    </w:p>
    <w:p w:rsidR="00000000" w:rsidDel="00000000" w:rsidP="00000000" w:rsidRDefault="00000000" w:rsidRPr="00000000" w14:paraId="00000004">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after="240" w:before="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5">
      <w:pPr>
        <w:spacing w:line="276"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Student name:</w:t>
      </w:r>
      <w:r w:rsidDel="00000000" w:rsidR="00000000" w:rsidRPr="00000000">
        <w:rPr>
          <w:rFonts w:ascii="Arial" w:cs="Arial" w:eastAsia="Arial" w:hAnsi="Arial"/>
          <w:sz w:val="22"/>
          <w:szCs w:val="22"/>
          <w:rtl w:val="0"/>
        </w:rPr>
        <w:t xml:space="preserve"> Donna Olivia Shilunga</w:t>
      </w:r>
    </w:p>
    <w:p w:rsidR="00000000" w:rsidDel="00000000" w:rsidP="00000000" w:rsidRDefault="00000000" w:rsidRPr="00000000" w14:paraId="00000006">
      <w:pPr>
        <w:spacing w:line="276"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Student ID:</w:t>
      </w:r>
      <w:r w:rsidDel="00000000" w:rsidR="00000000" w:rsidRPr="00000000">
        <w:rPr>
          <w:rFonts w:ascii="Arial" w:cs="Arial" w:eastAsia="Arial" w:hAnsi="Arial"/>
          <w:sz w:val="22"/>
          <w:szCs w:val="22"/>
          <w:rtl w:val="0"/>
        </w:rPr>
        <w:t xml:space="preserve"> 2129251</w:t>
      </w:r>
    </w:p>
    <w:p w:rsidR="00000000" w:rsidDel="00000000" w:rsidP="00000000" w:rsidRDefault="00000000" w:rsidRPr="00000000" w14:paraId="00000007">
      <w:pPr>
        <w:spacing w:line="276"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Programme: </w:t>
      </w:r>
      <w:r w:rsidDel="00000000" w:rsidR="00000000" w:rsidRPr="00000000">
        <w:rPr>
          <w:rFonts w:ascii="Arial" w:cs="Arial" w:eastAsia="Arial" w:hAnsi="Arial"/>
          <w:sz w:val="22"/>
          <w:szCs w:val="22"/>
          <w:rtl w:val="0"/>
        </w:rPr>
        <w:t xml:space="preserve">MSc Public Health and social care in Practice</w:t>
      </w:r>
    </w:p>
    <w:p w:rsidR="00000000" w:rsidDel="00000000" w:rsidP="00000000" w:rsidRDefault="00000000" w:rsidRPr="00000000" w14:paraId="00000008">
      <w:pPr>
        <w:spacing w:line="276"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Module: </w:t>
      </w:r>
      <w:r w:rsidDel="00000000" w:rsidR="00000000" w:rsidRPr="00000000">
        <w:rPr>
          <w:rFonts w:ascii="Arial" w:cs="Arial" w:eastAsia="Arial" w:hAnsi="Arial"/>
          <w:sz w:val="22"/>
          <w:szCs w:val="22"/>
          <w:rtl w:val="0"/>
        </w:rPr>
        <w:t xml:space="preserve">Public health and social care Dissertation</w:t>
      </w:r>
    </w:p>
    <w:p w:rsidR="00000000" w:rsidDel="00000000" w:rsidP="00000000" w:rsidRDefault="00000000" w:rsidRPr="00000000" w14:paraId="00000009">
      <w:pPr>
        <w:spacing w:line="276"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Module code: </w:t>
      </w:r>
      <w:r w:rsidDel="00000000" w:rsidR="00000000" w:rsidRPr="00000000">
        <w:rPr>
          <w:rFonts w:ascii="Arial" w:cs="Arial" w:eastAsia="Arial" w:hAnsi="Arial"/>
          <w:sz w:val="22"/>
          <w:szCs w:val="22"/>
          <w:rtl w:val="0"/>
        </w:rPr>
        <w:t xml:space="preserve">LCHS7004</w:t>
      </w:r>
    </w:p>
    <w:p w:rsidR="00000000" w:rsidDel="00000000" w:rsidP="00000000" w:rsidRDefault="00000000" w:rsidRPr="00000000" w14:paraId="0000000A">
      <w:pPr>
        <w:spacing w:line="276"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Lecturer: </w:t>
      </w:r>
      <w:r w:rsidDel="00000000" w:rsidR="00000000" w:rsidRPr="00000000">
        <w:rPr>
          <w:rFonts w:ascii="Arial" w:cs="Arial" w:eastAsia="Arial" w:hAnsi="Arial"/>
          <w:sz w:val="22"/>
          <w:szCs w:val="22"/>
          <w:rtl w:val="0"/>
        </w:rPr>
        <w:t xml:space="preserve">Dr Hamdi Hussain</w:t>
      </w:r>
    </w:p>
    <w:p w:rsidR="00000000" w:rsidDel="00000000" w:rsidP="00000000" w:rsidRDefault="00000000" w:rsidRPr="00000000" w14:paraId="0000000B">
      <w:pPr>
        <w:spacing w:line="276"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Supervisor Name:</w:t>
      </w:r>
      <w:r w:rsidDel="00000000" w:rsidR="00000000" w:rsidRPr="00000000">
        <w:rPr>
          <w:rFonts w:ascii="Arial" w:cs="Arial" w:eastAsia="Arial" w:hAnsi="Arial"/>
          <w:sz w:val="22"/>
          <w:szCs w:val="22"/>
          <w:rtl w:val="0"/>
        </w:rPr>
        <w:t xml:space="preserve"> Dr. Zeno Leung</w:t>
      </w:r>
    </w:p>
    <w:p w:rsidR="00000000" w:rsidDel="00000000" w:rsidP="00000000" w:rsidRDefault="00000000" w:rsidRPr="00000000" w14:paraId="0000000C">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 May 2026</w:t>
      </w:r>
    </w:p>
    <w:p w:rsidR="00000000" w:rsidDel="00000000" w:rsidP="00000000" w:rsidRDefault="00000000" w:rsidRPr="00000000" w14:paraId="0000000D">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after="240" w:before="240"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E">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after="240" w:before="240"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after="240" w:before="240"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0">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after="240" w:before="240"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1">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after="240" w:before="240"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2">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after="240" w:before="240"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3">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after="240" w:before="240" w:line="360" w:lineRule="auto"/>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4">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after="240" w:before="240" w:line="360" w:lineRule="auto"/>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5">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after="240" w:before="240"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6">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after="240" w:before="240" w:line="360"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Dissertation submitted as part of the requirements for the award of MSc Public Health and Social Care in Practice.</w:t>
      </w:r>
      <w:r w:rsidDel="00000000" w:rsidR="00000000" w:rsidRPr="00000000">
        <w:br w:type="page"/>
      </w:r>
      <w:r w:rsidDel="00000000" w:rsidR="00000000" w:rsidRPr="00000000">
        <w:rPr>
          <w:rtl w:val="0"/>
        </w:rPr>
      </w:r>
    </w:p>
    <w:p w:rsidR="00000000" w:rsidDel="00000000" w:rsidP="00000000" w:rsidRDefault="00000000" w:rsidRPr="00000000" w14:paraId="00000017">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after="240" w:before="240" w:line="36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8">
      <w:pPr>
        <w:spacing w:after="240" w:before="240" w:line="360" w:lineRule="auto"/>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DECLARATION</w:t>
      </w:r>
    </w:p>
    <w:p w:rsidR="00000000" w:rsidDel="00000000" w:rsidP="00000000" w:rsidRDefault="00000000" w:rsidRPr="00000000" w14:paraId="00000019">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 Donna Olivia Shilinga,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rsidR="00000000" w:rsidDel="00000000" w:rsidP="00000000" w:rsidRDefault="00000000" w:rsidRPr="00000000" w14:paraId="0000001A">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B">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Signature: </w:t>
      </w:r>
      <w:r w:rsidDel="00000000" w:rsidR="00000000" w:rsidRPr="00000000">
        <w:rPr>
          <w:rFonts w:ascii="Arial" w:cs="Arial" w:eastAsia="Arial" w:hAnsi="Arial"/>
          <w:b w:val="1"/>
          <w:bCs w:val="1"/>
          <w:sz w:val="22"/>
          <w:szCs w:val="22"/>
          <w:rtl w:val="0"/>
        </w:rPr>
        <w:t xml:space="preserve">Donna Olivia Shilinga (DS)</w:t>
      </w:r>
      <w:r w:rsidDel="00000000" w:rsidR="00000000" w:rsidRPr="00000000">
        <w:rPr>
          <w:rtl w:val="0"/>
        </w:rPr>
      </w:r>
    </w:p>
    <w:p w:rsidR="00000000" w:rsidDel="00000000" w:rsidP="00000000" w:rsidRDefault="00000000" w:rsidRPr="00000000" w14:paraId="0000001C">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D">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Date: …1 May 2026…………………</w:t>
      </w:r>
    </w:p>
    <w:p w:rsidR="00000000" w:rsidDel="00000000" w:rsidP="00000000" w:rsidRDefault="00000000" w:rsidRPr="00000000" w14:paraId="0000001E">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F">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0">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1">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2">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3">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4">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5">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6">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7">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8">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9">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A">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B">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C">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D">
      <w:pPr>
        <w:rPr>
          <w:rFonts w:ascii="Arial" w:cs="Arial" w:eastAsia="Arial" w:hAnsi="Arial"/>
          <w:b w:val="1"/>
          <w:bCs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2E">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F">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after="240" w:before="240" w:line="360" w:lineRule="auto"/>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Acknowledgements</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ffffff" w:val="clear"/>
        <w:spacing w:after="240" w:before="24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would like to thank my supervisor as he has supported me, guiding me, and giving me useful feedback all the way through the completion of this dissertation. Their academic wisdom and motivation have played a critical role in influencing this study. I am thankful as well to the faculty and librarians who made the necessary materials and advice on the literature and research tools available to me. I would also like to mention my peers and colleagues who supported, discussed, and encouraged me throughout this process. Lastly, I owe a lot of credit to my family who has constantly supported, been patient, and understanding and helped me to accomplish this dissertation.</w:t>
      </w:r>
    </w:p>
    <w:p w:rsidR="00000000" w:rsidDel="00000000" w:rsidP="00000000" w:rsidRDefault="00000000" w:rsidRPr="00000000" w14:paraId="00000031">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2">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3">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4">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5">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6">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7">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8">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9">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A">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B">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C">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D">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E">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3F">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40">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41">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42">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43">
      <w:pPr>
        <w:rPr>
          <w:rFonts w:ascii="Arial" w:cs="Arial" w:eastAsia="Arial" w:hAnsi="Arial"/>
          <w:b w:val="1"/>
          <w:bCs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44">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45">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Abstract</w:t>
      </w:r>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Human Immunodeficiency Virus (HIV) has been transformed into a disease that can be controlled over time as a long-term disease rather than a life-threatening disease with the development of antiretroviral therapy. In the United Kingdom, longer life expectancy of people living with HIV (PLWH) has changed the perspective of care towards survival and long-term experiences of health and social care. Nevertheless, issues like stigma, poor service fragmentation, and social inequalities are still a challenge to patient wellbeing. This paper will discuss the health and social care experiences of people living with HIV in the UK.</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This study used a systematic literature review methodology in line with PRISMA methodology. The databases such as PubMed, Scopus, CINAHL, Web of Science, and Google Scholar were searched in detail. The study selected twelve articles published in the past five years (2010-2025) according to the predetermined inclusion and exclusion criteria. The review involved quantitative, and mixed-method research that concentrated on lived experiences of PLWH in the UK. Thematic analysis was used to extract and analyse data in order to present significant patterns and themes.</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analysis resulted in four major themes, namely, the continued stigma towards HIV, the disintegration of health and social care service, the issues of ageing with HIV, and the impact of cultural and social disparities. The results show that although clinical outcomes have improved, stigma is a major obstacle to access to healthcare and psychosocial wellbeing. Moreover, there is the deficiency in integration of healthcare services, which adds to inconsistency in the experiences of care. It was found that older adults and minority groups had further throughput issues because of complicated health requirements and social obstacles.</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research finds that although the UK has recorded significant achievements in the biomedical management of HIV, there are still critical gaps in the provision of health and social care services to the broader population of PLWH. More person-centred, culturally sensitive care models, which are more integrated, are required to enhance patient outcomes and improve the quality of life.</w:t>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Keywords</w:t>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HIV, health and social care, stigma, integrated care, qualitative research, United Kingdom.</w:t>
      </w:r>
    </w:p>
    <w:p w:rsidR="00000000" w:rsidDel="00000000" w:rsidP="00000000" w:rsidRDefault="00000000" w:rsidRPr="00000000" w14:paraId="0000004C">
      <w:pPr>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4D">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320" w:line="36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Table of Contents</w:t>
      </w:r>
      <w:r w:rsidDel="00000000" w:rsidR="00000000" w:rsidRPr="00000000">
        <w:rPr>
          <w:rtl w:val="0"/>
        </w:rPr>
      </w:r>
    </w:p>
    <w:sdt>
      <w:sdtPr>
        <w:id w:val="-1480809225"/>
        <w:docPartObj>
          <w:docPartGallery w:val="Table of Contents"/>
          <w:docPartUnique w:val="1"/>
        </w:docPartObj>
      </w:sdtPr>
      <w:sdtContent>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24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rqf8pckgrv84">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1.</w:t>
              <w:tab/>
              <w:t xml:space="preserve">Chapter 1: Introduction and Background</w:t>
              <w:tab/>
              <w:t xml:space="preserve">11</w:t>
            </w:r>
          </w:hyperlink>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5hy62lef3s8l">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1.1.</w:t>
              <w:tab/>
              <w:t xml:space="preserve">Introduction</w:t>
              <w:tab/>
              <w:t xml:space="preserve">12</w:t>
            </w:r>
          </w:hyperlink>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8d75qibhmc5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1.2.</w:t>
              <w:tab/>
              <w:t xml:space="preserve">Background and Current Context</w:t>
              <w:tab/>
              <w:t xml:space="preserve">12</w:t>
            </w:r>
          </w:hyperlink>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qu8vm46k49d5">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1.2.1.</w:t>
              <w:tab/>
              <w:t xml:space="preserve">HIV In The UK</w:t>
              <w:tab/>
              <w:t xml:space="preserve">12</w:t>
            </w:r>
          </w:hyperlink>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rxeetxknvj3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1.2.2.</w:t>
              <w:tab/>
              <w:t xml:space="preserve">HIV as a Long-Term Condition</w:t>
              <w:tab/>
              <w:t xml:space="preserve">13</w:t>
            </w:r>
          </w:hyperlink>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1j2tifrejwuu">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1.2.3.</w:t>
              <w:tab/>
              <w:t xml:space="preserve">Stigma, Disclosure, and Social Inclusion</w:t>
              <w:tab/>
              <w:t xml:space="preserve">13</w:t>
            </w:r>
          </w:hyperlink>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rm60227qab3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1.2.4.</w:t>
              <w:tab/>
              <w:t xml:space="preserve">Mental Health and Quality of Life</w:t>
              <w:tab/>
              <w:t xml:space="preserve">13</w:t>
            </w:r>
          </w:hyperlink>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rvkgt97sro94">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1.2.5.</w:t>
              <w:tab/>
              <w:t xml:space="preserve">Health and Social Care Access and Service Gaps</w:t>
              <w:tab/>
              <w:t xml:space="preserve">14</w:t>
            </w:r>
          </w:hyperlink>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q4gyy67ml75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1.2.6.</w:t>
              <w:tab/>
              <w:t xml:space="preserve">Why Qualitative Evidence Matters</w:t>
              <w:tab/>
              <w:t xml:space="preserve">14</w:t>
            </w:r>
          </w:hyperlink>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fknruh7myq2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1.3.</w:t>
              <w:tab/>
              <w:t xml:space="preserve">Rationale for Research</w:t>
              <w:tab/>
              <w:t xml:space="preserve">14</w:t>
            </w:r>
          </w:hyperlink>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g3d4oohatxdm">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1.4.</w:t>
              <w:tab/>
              <w:t xml:space="preserve">Research Question</w:t>
              <w:tab/>
              <w:t xml:space="preserve">15</w:t>
            </w:r>
          </w:hyperlink>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7h98rhrnvg8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1.5.</w:t>
              <w:tab/>
              <w:t xml:space="preserve">Research Aim</w:t>
              <w:tab/>
              <w:t xml:space="preserve">15</w:t>
            </w:r>
          </w:hyperlink>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2us0m3bsswf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1.6.</w:t>
              <w:tab/>
              <w:t xml:space="preserve">Research Objectives</w:t>
              <w:tab/>
              <w:t xml:space="preserve">15</w:t>
            </w:r>
          </w:hyperlink>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hyperlink w:anchor="_heading=h.jl9j3usrbyh2">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1.7.</w:t>
              <w:tab/>
              <w:t xml:space="preserve">Chapter Summary</w:t>
              <w:tab/>
              <w:t xml:space="preserve">15</w:t>
            </w:r>
          </w:hyperlink>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016"/>
            </w:tabs>
            <w:spacing w:after="100" w:before="24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hyperlink w:anchor="_heading=h.e0d9k8qv7vsh">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2.</w:t>
              <w:tab/>
              <w:t xml:space="preserve">Chapter 2: Literature Review</w:t>
              <w:tab/>
              <w:t xml:space="preserve">16</w:t>
            </w:r>
          </w:hyperlink>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ngsuamknoiev">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w:t>
              <w:tab/>
              <w:t xml:space="preserve">Introduction to Literature Review Chapter</w:t>
              <w:tab/>
              <w:t xml:space="preserve">16</w:t>
            </w:r>
          </w:hyperlink>
          <w:r w:rsidDel="00000000" w:rsidR="00000000" w:rsidRPr="00000000">
            <w:rPr>
              <w:rtl w:val="0"/>
            </w:rPr>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2waa3amzmdwl">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w:t>
              <w:tab/>
              <w:t xml:space="preserve">Literature review</w:t>
              <w:tab/>
              <w:t xml:space="preserve">17</w:t>
            </w:r>
          </w:hyperlink>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k6iewuo3lxf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2.2.1.</w:t>
              <w:tab/>
              <w:t xml:space="preserve">HIV as a Long-Term Condition in the United Kingdom</w:t>
              <w:tab/>
              <w:t xml:space="preserve">17</w:t>
            </w:r>
          </w:hyperlink>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fbuxmzu881xe">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2.2.2.</w:t>
              <w:tab/>
              <w:t xml:space="preserve">Stigmatization and Psychosocial Effects of HIV</w:t>
              <w:tab/>
              <w:t xml:space="preserve">18</w:t>
            </w:r>
          </w:hyperlink>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qveq3qqy5fd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2.2.3.</w:t>
              <w:tab/>
              <w:t xml:space="preserve">Health and Social Care and Fragmentation of Services</w:t>
              <w:tab/>
              <w:t xml:space="preserve">18</w:t>
            </w:r>
          </w:hyperlink>
          <w:r w:rsidDel="00000000" w:rsidR="00000000" w:rsidRPr="00000000">
            <w:rPr>
              <w:rtl w:val="0"/>
            </w:rPr>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be6mrl270kq">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2.2.4.</w:t>
              <w:tab/>
              <w:t xml:space="preserve">Multimorbidity and Ageing with HIV</w:t>
              <w:tab/>
              <w:t xml:space="preserve">19</w:t>
            </w:r>
          </w:hyperlink>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30ii3jsph792">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2.2.5.</w:t>
              <w:tab/>
              <w:t xml:space="preserve">Cultural, Social and Structural Inequalities</w:t>
              <w:tab/>
              <w:t xml:space="preserve">20</w:t>
            </w:r>
          </w:hyperlink>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q4bc2xr9uvg5">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2.2.6.</w:t>
              <w:tab/>
              <w:t xml:space="preserve">Significance of Qualitative Evidence and Patient Experience Research</w:t>
              <w:tab/>
              <w:t xml:space="preserve">20</w:t>
            </w:r>
          </w:hyperlink>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z0z1yqq562vy">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w:t>
              <w:tab/>
              <w:t xml:space="preserve">Research Gap</w:t>
              <w:tab/>
              <w:t xml:space="preserve">21</w:t>
            </w:r>
          </w:hyperlink>
          <w:r w:rsidDel="00000000" w:rsidR="00000000" w:rsidRPr="00000000">
            <w:rPr>
              <w:rtl w:val="0"/>
            </w:rPr>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dfh76vvmkf9p">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w:t>
              <w:tab/>
              <w:t xml:space="preserve">Chapter Summary</w:t>
              <w:tab/>
              <w:t xml:space="preserve">21</w:t>
            </w:r>
          </w:hyperlink>
          <w:r w:rsidDel="00000000" w:rsidR="00000000" w:rsidRPr="00000000">
            <w:rPr>
              <w:rtl w:val="0"/>
            </w:rPr>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016"/>
            </w:tabs>
            <w:spacing w:after="100" w:before="24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hyperlink w:anchor="_heading=h.ipgnarl3bql9">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3.</w:t>
              <w:tab/>
              <w:t xml:space="preserve">Chapter 3: Methodology</w:t>
              <w:tab/>
              <w:t xml:space="preserve">22</w:t>
            </w:r>
          </w:hyperlink>
          <w:r w:rsidDel="00000000" w:rsidR="00000000" w:rsidRPr="00000000">
            <w:rPr>
              <w:rtl w:val="0"/>
            </w:rPr>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35pifob1hh7m">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3.1.</w:t>
              <w:tab/>
              <w:t xml:space="preserve">Introduction to Chapter</w:t>
              <w:tab/>
              <w:t xml:space="preserve">22</w:t>
            </w:r>
          </w:hyperlink>
          <w:r w:rsidDel="00000000" w:rsidR="00000000" w:rsidRPr="00000000">
            <w:rPr>
              <w:rtl w:val="0"/>
            </w:rPr>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x0h3pe62uwg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3.2.</w:t>
              <w:tab/>
              <w:t xml:space="preserve">Systematic Literature Review (SLR)</w:t>
              <w:tab/>
              <w:t xml:space="preserve">23</w:t>
            </w:r>
          </w:hyperlink>
          <w:r w:rsidDel="00000000" w:rsidR="00000000" w:rsidRPr="00000000">
            <w:rPr>
              <w:rtl w:val="0"/>
            </w:rPr>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la5lrur4pcgz">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3.3.</w:t>
              <w:tab/>
              <w:t xml:space="preserve">Search Strategy</w:t>
              <w:tab/>
              <w:t xml:space="preserve">23</w:t>
            </w:r>
          </w:hyperlink>
          <w:r w:rsidDel="00000000" w:rsidR="00000000" w:rsidRPr="00000000">
            <w:rPr>
              <w:rtl w:val="0"/>
            </w:rPr>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n2z70kp8c9w1">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3.4.</w:t>
              <w:tab/>
              <w:t xml:space="preserve">Search terms</w:t>
              <w:tab/>
              <w:t xml:space="preserve">24</w:t>
            </w:r>
          </w:hyperlink>
          <w:r w:rsidDel="00000000" w:rsidR="00000000" w:rsidRPr="00000000">
            <w:rPr>
              <w:rtl w:val="0"/>
            </w:rPr>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i5yeweyf8wb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3.5.</w:t>
              <w:tab/>
              <w:t xml:space="preserve">Key Words</w:t>
              <w:tab/>
              <w:t xml:space="preserve">25</w:t>
            </w:r>
          </w:hyperlink>
          <w:r w:rsidDel="00000000" w:rsidR="00000000" w:rsidRPr="00000000">
            <w:rPr>
              <w:rtl w:val="0"/>
            </w:rPr>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mlfcqfakfz3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3.6.</w:t>
              <w:tab/>
              <w:t xml:space="preserve">Databases</w:t>
              <w:tab/>
              <w:t xml:space="preserve">25</w:t>
            </w:r>
          </w:hyperlink>
          <w:r w:rsidDel="00000000" w:rsidR="00000000" w:rsidRPr="00000000">
            <w:rPr>
              <w:rtl w:val="0"/>
            </w:rPr>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2me33m5mvpn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3.7.</w:t>
              <w:tab/>
              <w:t xml:space="preserve">Inclusion and Exclusion Criteria</w:t>
              <w:tab/>
              <w:t xml:space="preserve">26</w:t>
            </w:r>
          </w:hyperlink>
          <w:r w:rsidDel="00000000" w:rsidR="00000000" w:rsidRPr="00000000">
            <w:rPr>
              <w:rtl w:val="0"/>
            </w:rPr>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whusi996kt2i">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3.8.</w:t>
              <w:tab/>
              <w:t xml:space="preserve">Search Results</w:t>
              <w:tab/>
              <w:t xml:space="preserve">26</w:t>
            </w:r>
          </w:hyperlink>
          <w:r w:rsidDel="00000000" w:rsidR="00000000" w:rsidRPr="00000000">
            <w:rPr>
              <w:rtl w:val="0"/>
            </w:rPr>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2m9ckwjuw7s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3.9.</w:t>
              <w:tab/>
              <w:t xml:space="preserve">Ethical Considerations</w:t>
              <w:tab/>
              <w:t xml:space="preserve">28</w:t>
            </w:r>
          </w:hyperlink>
          <w:r w:rsidDel="00000000" w:rsidR="00000000" w:rsidRPr="00000000">
            <w:rPr>
              <w:rtl w:val="0"/>
            </w:rPr>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dm9bqtwtrbm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3.10.</w:t>
              <w:tab/>
              <w:t xml:space="preserve">Chapter Summary</w:t>
              <w:tab/>
              <w:t xml:space="preserve">29</w:t>
            </w:r>
          </w:hyperlink>
          <w:r w:rsidDel="00000000" w:rsidR="00000000" w:rsidRPr="00000000">
            <w:rPr>
              <w:rtl w:val="0"/>
            </w:rPr>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016"/>
            </w:tabs>
            <w:spacing w:after="100" w:before="24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hyperlink w:anchor="_heading=h.z8za4v7c9hce">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4.</w:t>
              <w:tab/>
              <w:t xml:space="preserve">Chapter 4: Data Extraction and Evaluation</w:t>
              <w:tab/>
              <w:t xml:space="preserve">29</w:t>
            </w:r>
          </w:hyperlink>
          <w:r w:rsidDel="00000000" w:rsidR="00000000" w:rsidRPr="00000000">
            <w:rPr>
              <w:rtl w:val="0"/>
            </w:rPr>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cnwhixbgobu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4.1.</w:t>
              <w:tab/>
              <w:t xml:space="preserve">Introduction to Chapter</w:t>
              <w:tab/>
              <w:t xml:space="preserve">29</w:t>
            </w:r>
          </w:hyperlink>
          <w:r w:rsidDel="00000000" w:rsidR="00000000" w:rsidRPr="00000000">
            <w:rPr>
              <w:rtl w:val="0"/>
            </w:rPr>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6b0bq0oegt4u">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4.2.</w:t>
              <w:tab/>
              <w:t xml:space="preserve">Data Extraction</w:t>
              <w:tab/>
              <w:t xml:space="preserve">30</w:t>
            </w:r>
          </w:hyperlink>
          <w:r w:rsidDel="00000000" w:rsidR="00000000" w:rsidRPr="00000000">
            <w:rPr>
              <w:rtl w:val="0"/>
            </w:rPr>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2dy584661at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4.3.</w:t>
              <w:tab/>
              <w:t xml:space="preserve">Introduction to Critical Appraisal</w:t>
              <w:tab/>
              <w:t xml:space="preserve">30</w:t>
            </w:r>
          </w:hyperlink>
          <w:r w:rsidDel="00000000" w:rsidR="00000000" w:rsidRPr="00000000">
            <w:rPr>
              <w:rtl w:val="0"/>
            </w:rPr>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jqumr1jkll1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4.4.</w:t>
              <w:tab/>
              <w:t xml:space="preserve">Critical Appraisal Tools</w:t>
              <w:tab/>
              <w:t xml:space="preserve">30</w:t>
            </w:r>
          </w:hyperlink>
          <w:r w:rsidDel="00000000" w:rsidR="00000000" w:rsidRPr="00000000">
            <w:rPr>
              <w:rtl w:val="0"/>
            </w:rPr>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3anslwa9yi8p">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4.5.</w:t>
              <w:tab/>
              <w:t xml:space="preserve">Evaluation of Qualitative Studies- 500 words</w:t>
              <w:tab/>
              <w:t xml:space="preserve">31</w:t>
            </w:r>
          </w:hyperlink>
          <w:r w:rsidDel="00000000" w:rsidR="00000000" w:rsidRPr="00000000">
            <w:rPr>
              <w:rtl w:val="0"/>
            </w:rPr>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ub61qqu9f9j4">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4.6.</w:t>
              <w:tab/>
              <w:t xml:space="preserve">Evaluation of Quantitative Studies– 1400 words approx.</w:t>
              <w:tab/>
              <w:t xml:space="preserve">32</w:t>
            </w:r>
          </w:hyperlink>
          <w:r w:rsidDel="00000000" w:rsidR="00000000" w:rsidRPr="00000000">
            <w:rPr>
              <w:rtl w:val="0"/>
            </w:rPr>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mdzsua6k0ni0">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4.6.1.</w:t>
              <w:tab/>
              <w:t xml:space="preserve">Introduction to Quantitative Appraisal</w:t>
              <w:tab/>
              <w:t xml:space="preserve">32</w:t>
            </w:r>
          </w:hyperlink>
          <w:r w:rsidDel="00000000" w:rsidR="00000000" w:rsidRPr="00000000">
            <w:rPr>
              <w:rtl w:val="0"/>
            </w:rPr>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pfcca1pvx86m">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4.6.2.</w:t>
              <w:tab/>
              <w:t xml:space="preserve">Critical Appraisal Tool Used</w:t>
              <w:tab/>
              <w:t xml:space="preserve">33</w:t>
            </w:r>
          </w:hyperlink>
          <w:r w:rsidDel="00000000" w:rsidR="00000000" w:rsidRPr="00000000">
            <w:rPr>
              <w:rtl w:val="0"/>
            </w:rPr>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5tv6h6l7uun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4.6.3.</w:t>
              <w:tab/>
              <w:t xml:space="preserve">Overview of Quantitative Study Designs</w:t>
              <w:tab/>
              <w:t xml:space="preserve">33</w:t>
            </w:r>
          </w:hyperlink>
          <w:r w:rsidDel="00000000" w:rsidR="00000000" w:rsidRPr="00000000">
            <w:rPr>
              <w:rtl w:val="0"/>
            </w:rPr>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afdqvcm235x5">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4.6.4.</w:t>
              <w:tab/>
              <w:t xml:space="preserve">Aims and Role of Quantitative Evidence</w:t>
              <w:tab/>
              <w:t xml:space="preserve">34</w:t>
            </w:r>
          </w:hyperlink>
          <w:r w:rsidDel="00000000" w:rsidR="00000000" w:rsidRPr="00000000">
            <w:rPr>
              <w:rtl w:val="0"/>
            </w:rPr>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y1jesocy8km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4.6.5.</w:t>
              <w:tab/>
              <w:t xml:space="preserve">Critical Appraisal Findings: Internal Validity</w:t>
              <w:tab/>
              <w:t xml:space="preserve">34</w:t>
            </w:r>
          </w:hyperlink>
          <w:r w:rsidDel="00000000" w:rsidR="00000000" w:rsidRPr="00000000">
            <w:rPr>
              <w:rtl w:val="0"/>
            </w:rPr>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e7xm41iwxq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4.6.6.</w:t>
              <w:tab/>
              <w:t xml:space="preserve">Critical Appraisal Findings: Statistical and Analytical Rigor</w:t>
              <w:tab/>
              <w:t xml:space="preserve">35</w:t>
            </w:r>
          </w:hyperlink>
          <w:r w:rsidDel="00000000" w:rsidR="00000000" w:rsidRPr="00000000">
            <w:rPr>
              <w:rtl w:val="0"/>
            </w:rPr>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bjgkyjsyg8l8">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4.6.7.</w:t>
              <w:tab/>
              <w:t xml:space="preserve">External Validity and Generalisability</w:t>
              <w:tab/>
              <w:t xml:space="preserve">35</w:t>
            </w:r>
          </w:hyperlink>
          <w:r w:rsidDel="00000000" w:rsidR="00000000" w:rsidRPr="00000000">
            <w:rPr>
              <w:rtl w:val="0"/>
            </w:rPr>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7lz4pociqrd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4.6.8.</w:t>
              <w:tab/>
              <w:t xml:space="preserve">Overall Quality Assessment of Quantitative Evidence</w:t>
              <w:tab/>
              <w:t xml:space="preserve">36</w:t>
            </w:r>
          </w:hyperlink>
          <w:r w:rsidDel="00000000" w:rsidR="00000000" w:rsidRPr="00000000">
            <w:rPr>
              <w:rtl w:val="0"/>
            </w:rPr>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5vr1712o7cum">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4.7.</w:t>
              <w:tab/>
              <w:t xml:space="preserve">Evaluation of Mixed Methods Studies</w:t>
              <w:tab/>
              <w:t xml:space="preserve">36</w:t>
            </w:r>
          </w:hyperlink>
          <w:r w:rsidDel="00000000" w:rsidR="00000000" w:rsidRPr="00000000">
            <w:rPr>
              <w:rtl w:val="0"/>
            </w:rPr>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1mfg6gw81ff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4.8.</w:t>
              <w:tab/>
              <w:t xml:space="preserve">Chapter Summary</w:t>
              <w:tab/>
              <w:t xml:space="preserve">37</w:t>
            </w:r>
          </w:hyperlink>
          <w:r w:rsidDel="00000000" w:rsidR="00000000" w:rsidRPr="00000000">
            <w:rPr>
              <w:rtl w:val="0"/>
            </w:rPr>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016"/>
            </w:tabs>
            <w:spacing w:after="100" w:before="24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hyperlink w:anchor="_heading=h.bm77mmuq3ogz">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5.</w:t>
              <w:tab/>
              <w:t xml:space="preserve">Chapter 5: Data Analysis and Synthesis</w:t>
              <w:tab/>
              <w:t xml:space="preserve">38</w:t>
            </w:r>
          </w:hyperlink>
          <w:r w:rsidDel="00000000" w:rsidR="00000000" w:rsidRPr="00000000">
            <w:rPr>
              <w:rtl w:val="0"/>
            </w:rPr>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2ih95fjj3dcx">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5.1.</w:t>
              <w:tab/>
              <w:t xml:space="preserve">Introduction to Chapter</w:t>
              <w:tab/>
              <w:t xml:space="preserve">38</w:t>
            </w:r>
          </w:hyperlink>
          <w:r w:rsidDel="00000000" w:rsidR="00000000" w:rsidRPr="00000000">
            <w:rPr>
              <w:rtl w:val="0"/>
            </w:rPr>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el6f4s1ff827">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5.2.</w:t>
              <w:tab/>
              <w:t xml:space="preserve">Thematic Analysis</w:t>
              <w:tab/>
              <w:t xml:space="preserve">39</w:t>
            </w:r>
          </w:hyperlink>
          <w:r w:rsidDel="00000000" w:rsidR="00000000" w:rsidRPr="00000000">
            <w:rPr>
              <w:rtl w:val="0"/>
            </w:rPr>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wyqnuv6dd56o">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5.3.</w:t>
              <w:tab/>
              <w:t xml:space="preserve">Data analysis tool</w:t>
              <w:tab/>
              <w:t xml:space="preserve">39</w:t>
            </w:r>
          </w:hyperlink>
          <w:r w:rsidDel="00000000" w:rsidR="00000000" w:rsidRPr="00000000">
            <w:rPr>
              <w:rtl w:val="0"/>
            </w:rPr>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5e476gw7zat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5.4.</w:t>
              <w:tab/>
              <w:t xml:space="preserve">Characteristics of the identified studies</w:t>
              <w:tab/>
              <w:t xml:space="preserve">39</w:t>
            </w:r>
          </w:hyperlink>
          <w:r w:rsidDel="00000000" w:rsidR="00000000" w:rsidRPr="00000000">
            <w:rPr>
              <w:rtl w:val="0"/>
            </w:rPr>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c871nm5l66b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5.5.</w:t>
              <w:tab/>
              <w:t xml:space="preserve">Emerging Themes from included studies</w:t>
              <w:tab/>
              <w:t xml:space="preserve">40</w:t>
            </w:r>
          </w:hyperlink>
          <w:r w:rsidDel="00000000" w:rsidR="00000000" w:rsidRPr="00000000">
            <w:rPr>
              <w:rtl w:val="0"/>
            </w:rPr>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sso2vfr2soqx">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5.5.1.</w:t>
              <w:tab/>
              <w:t xml:space="preserve">Theme One: Persistent and Evolving HIV-Related Stigma</w:t>
              <w:tab/>
              <w:t xml:space="preserve">40</w:t>
            </w:r>
          </w:hyperlink>
          <w:r w:rsidDel="00000000" w:rsidR="00000000" w:rsidRPr="00000000">
            <w:rPr>
              <w:rtl w:val="0"/>
            </w:rPr>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cumic84bypi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5.5.2.</w:t>
              <w:tab/>
              <w:t xml:space="preserve">Theme Two: Inadequate Health Care Services</w:t>
              <w:tab/>
              <w:t xml:space="preserve">41</w:t>
            </w:r>
          </w:hyperlink>
          <w:r w:rsidDel="00000000" w:rsidR="00000000" w:rsidRPr="00000000">
            <w:rPr>
              <w:rtl w:val="0"/>
            </w:rPr>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r19r6nxhsxk1">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5.5.3.</w:t>
              <w:tab/>
              <w:t xml:space="preserve">Theme Three: Ageing with HIV and Multimorbidity</w:t>
              <w:tab/>
              <w:t xml:space="preserve">43</w:t>
            </w:r>
          </w:hyperlink>
          <w:r w:rsidDel="00000000" w:rsidR="00000000" w:rsidRPr="00000000">
            <w:rPr>
              <w:rtl w:val="0"/>
            </w:rPr>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2bs6q4wswjr7">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5.5.4.</w:t>
              <w:tab/>
              <w:t xml:space="preserve">Theme Four: Cultural and Community Contexts of HIV Care</w:t>
              <w:tab/>
              <w:t xml:space="preserve">45</w:t>
            </w:r>
          </w:hyperlink>
          <w:r w:rsidDel="00000000" w:rsidR="00000000" w:rsidRPr="00000000">
            <w:rPr>
              <w:rtl w:val="0"/>
            </w:rPr>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le3s4gp2f26o">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5.6.</w:t>
              <w:tab/>
              <w:t xml:space="preserve">Cross-Theme Synthesis</w:t>
              <w:tab/>
              <w:t xml:space="preserve">47</w:t>
            </w:r>
          </w:hyperlink>
          <w:r w:rsidDel="00000000" w:rsidR="00000000" w:rsidRPr="00000000">
            <w:rPr>
              <w:rtl w:val="0"/>
            </w:rPr>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wpfbydb0jlys">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5.7.</w:t>
              <w:tab/>
              <w:t xml:space="preserve">Chapter Summary</w:t>
              <w:tab/>
              <w:t xml:space="preserve">47</w:t>
            </w:r>
          </w:hyperlink>
          <w:r w:rsidDel="00000000" w:rsidR="00000000" w:rsidRPr="00000000">
            <w:rPr>
              <w:rtl w:val="0"/>
            </w:rPr>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016"/>
            </w:tabs>
            <w:spacing w:after="100" w:before="24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hyperlink w:anchor="_heading=h.o2kauy848udt">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6.</w:t>
              <w:tab/>
              <w:t xml:space="preserve">Chapter 6: Discussion</w:t>
              <w:tab/>
              <w:t xml:space="preserve">48</w:t>
            </w:r>
          </w:hyperlink>
          <w:r w:rsidDel="00000000" w:rsidR="00000000" w:rsidRPr="00000000">
            <w:rPr>
              <w:rtl w:val="0"/>
            </w:rPr>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yjzzn4rs2sj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6.1.</w:t>
              <w:tab/>
              <w:t xml:space="preserve">Introduction to Chapter</w:t>
              <w:tab/>
              <w:t xml:space="preserve">48</w:t>
            </w:r>
          </w:hyperlink>
          <w:r w:rsidDel="00000000" w:rsidR="00000000" w:rsidRPr="00000000">
            <w:rPr>
              <w:rtl w:val="0"/>
            </w:rPr>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tsn8g9lnj3i1">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6.2.</w:t>
              <w:tab/>
              <w:t xml:space="preserve">Discussion of Key findings</w:t>
              <w:tab/>
              <w:t xml:space="preserve">49</w:t>
            </w:r>
          </w:hyperlink>
          <w:r w:rsidDel="00000000" w:rsidR="00000000" w:rsidRPr="00000000">
            <w:rPr>
              <w:rtl w:val="0"/>
            </w:rPr>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6nkgldatlfu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6.2.1.</w:t>
              <w:tab/>
              <w:t xml:space="preserve">Stigma as a Persistent Structural Barrier</w:t>
              <w:tab/>
              <w:t xml:space="preserve">49</w:t>
            </w:r>
          </w:hyperlink>
          <w:r w:rsidDel="00000000" w:rsidR="00000000" w:rsidRPr="00000000">
            <w:rPr>
              <w:rtl w:val="0"/>
            </w:rPr>
          </w:r>
        </w:p>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nar3whigbhc5">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6.2.2.</w:t>
              <w:tab/>
              <w:t xml:space="preserve">Fragmentation of Care and Chronic Disease Management</w:t>
              <w:tab/>
              <w:t xml:space="preserve">50</w:t>
            </w:r>
          </w:hyperlink>
          <w:r w:rsidDel="00000000" w:rsidR="00000000" w:rsidRPr="00000000">
            <w:rPr>
              <w:rtl w:val="0"/>
            </w:rPr>
          </w:r>
        </w:p>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5n7olq7ky12i">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6.2.3.</w:t>
              <w:tab/>
              <w:t xml:space="preserve">Ageing with HIV: A System Lag</w:t>
              <w:tab/>
              <w:t xml:space="preserve">50</w:t>
            </w:r>
          </w:hyperlink>
          <w:r w:rsidDel="00000000" w:rsidR="00000000" w:rsidRPr="00000000">
            <w:rPr>
              <w:rtl w:val="0"/>
            </w:rPr>
          </w:r>
        </w:p>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1s2ojl4yivx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6.2.4.</w:t>
              <w:tab/>
              <w:t xml:space="preserve">Cultural and Intersectional Dimensions</w:t>
              <w:tab/>
              <w:t xml:space="preserve">51</w:t>
            </w:r>
          </w:hyperlink>
          <w:r w:rsidDel="00000000" w:rsidR="00000000" w:rsidRPr="00000000">
            <w:rPr>
              <w:rtl w:val="0"/>
            </w:rPr>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440"/>
              <w:tab w:val="right" w:leader="dot" w:pos="9016"/>
            </w:tabs>
            <w:spacing w:after="100" w:before="24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9a60xwuizf5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6.2.5.</w:t>
              <w:tab/>
              <w:t xml:space="preserve">Implications for Policy and Practice</w:t>
              <w:tab/>
              <w:t xml:space="preserve">52</w:t>
            </w:r>
          </w:hyperlink>
          <w:r w:rsidDel="00000000" w:rsidR="00000000" w:rsidRPr="00000000">
            <w:rPr>
              <w:rtl w:val="0"/>
            </w:rPr>
          </w:r>
        </w:p>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hnpc7hu5m0zl">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6.3.</w:t>
              <w:tab/>
              <w:t xml:space="preserve">Strengths and Limitation</w:t>
              <w:tab/>
              <w:t xml:space="preserve">52</w:t>
            </w:r>
          </w:hyperlink>
          <w:r w:rsidDel="00000000" w:rsidR="00000000" w:rsidRPr="00000000">
            <w:rPr>
              <w:rtl w:val="0"/>
            </w:rPr>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2czz5wmutcrz">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6.4.</w:t>
              <w:tab/>
              <w:t xml:space="preserve">Chapter Summary</w:t>
              <w:tab/>
              <w:t xml:space="preserve">53</w:t>
            </w:r>
          </w:hyperlink>
          <w:r w:rsidDel="00000000" w:rsidR="00000000" w:rsidRPr="00000000">
            <w:rPr>
              <w:rtl w:val="0"/>
            </w:rPr>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016"/>
            </w:tabs>
            <w:spacing w:after="100" w:before="24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hyperlink w:anchor="_heading=h.j26pwrds9oed">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7.</w:t>
              <w:tab/>
              <w:t xml:space="preserve">Chapter 7: Recommendations And Conclusion</w:t>
              <w:tab/>
              <w:t xml:space="preserve">53</w:t>
            </w:r>
          </w:hyperlink>
          <w:r w:rsidDel="00000000" w:rsidR="00000000" w:rsidRPr="00000000">
            <w:rPr>
              <w:rtl w:val="0"/>
            </w:rPr>
          </w:r>
        </w:p>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ikgbnjjtpsh7">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7.1.</w:t>
              <w:tab/>
              <w:t xml:space="preserve">Introduction to Chapter</w:t>
              <w:tab/>
              <w:t xml:space="preserve">53</w:t>
            </w:r>
          </w:hyperlink>
          <w:r w:rsidDel="00000000" w:rsidR="00000000" w:rsidRPr="00000000">
            <w:rPr>
              <w:rtl w:val="0"/>
            </w:rPr>
          </w:r>
        </w:p>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ax47mhnakqp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7.2.</w:t>
              <w:tab/>
              <w:t xml:space="preserve">Implications of Findings</w:t>
              <w:tab/>
              <w:t xml:space="preserve">54</w:t>
            </w:r>
          </w:hyperlink>
          <w:r w:rsidDel="00000000" w:rsidR="00000000" w:rsidRPr="00000000">
            <w:rPr>
              <w:rtl w:val="0"/>
            </w:rPr>
          </w:r>
        </w:p>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xr72qxfgea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7.3.</w:t>
              <w:tab/>
              <w:t xml:space="preserve">Recommendations for Practice</w:t>
              <w:tab/>
              <w:t xml:space="preserve">54</w:t>
            </w:r>
          </w:hyperlink>
          <w:r w:rsidDel="00000000" w:rsidR="00000000" w:rsidRPr="00000000">
            <w:rPr>
              <w:rtl w:val="0"/>
            </w:rPr>
          </w:r>
        </w:p>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85eiszim5ay0">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7.4.</w:t>
              <w:tab/>
              <w:t xml:space="preserve">Recommendations for Future Research</w:t>
              <w:tab/>
              <w:t xml:space="preserve">55</w:t>
            </w:r>
          </w:hyperlink>
          <w:r w:rsidDel="00000000" w:rsidR="00000000" w:rsidRPr="00000000">
            <w:rPr>
              <w:rtl w:val="0"/>
            </w:rPr>
          </w:r>
        </w:p>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24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7.5.       </w:t>
          </w:r>
          <w:hyperlink w:anchor="_heading=h.dlf1ofghxzt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Conclusion</w:t>
              <w:tab/>
              <w:t xml:space="preserve">55</w:t>
            </w:r>
          </w:hyperlink>
          <w:r w:rsidDel="00000000" w:rsidR="00000000" w:rsidRPr="00000000">
            <w:rPr>
              <w:rtl w:val="0"/>
            </w:rPr>
          </w:r>
        </w:p>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016"/>
            </w:tabs>
            <w:spacing w:after="100" w:before="24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hyperlink w:anchor="_heading=h.qnlhhjc2zxj6">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8.</w:t>
              <w:tab/>
              <w:t xml:space="preserve">Reference List</w:t>
              <w:tab/>
              <w:t xml:space="preserve">56</w:t>
            </w:r>
          </w:hyperlink>
          <w:r w:rsidDel="00000000" w:rsidR="00000000" w:rsidRPr="00000000">
            <w:rPr>
              <w:rtl w:val="0"/>
            </w:rPr>
          </w:r>
        </w:p>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40"/>
              <w:tab w:val="right" w:leader="dot" w:pos="9016"/>
            </w:tabs>
            <w:spacing w:after="100" w:before="24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hyperlink w:anchor="_heading=h.5w8x38dt5enf">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9.</w:t>
              <w:tab/>
              <w:t xml:space="preserve">Appendix</w:t>
              <w:tab/>
              <w:t xml:space="preserve">70</w:t>
            </w:r>
          </w:hyperlink>
          <w:r w:rsidDel="00000000" w:rsidR="00000000" w:rsidRPr="00000000">
            <w:rPr>
              <w:rtl w:val="0"/>
            </w:rPr>
          </w:r>
        </w:p>
        <w:p w:rsidR="00000000" w:rsidDel="00000000" w:rsidP="00000000" w:rsidRDefault="00000000" w:rsidRPr="00000000" w14:paraId="000000A1">
          <w:pPr>
            <w:spacing w:after="100" w:before="240" w:line="360" w:lineRule="auto"/>
            <w:jc w:val="center"/>
            <w:rPr>
              <w:rFonts w:ascii="Arial" w:cs="Arial" w:eastAsia="Arial" w:hAnsi="Arial"/>
              <w:b w:val="1"/>
              <w:bCs w:val="1"/>
              <w:sz w:val="22"/>
              <w:szCs w:val="2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A2">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A3">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A4">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A5">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A6">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A7">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A8">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A9">
      <w:pPr>
        <w:spacing w:after="100" w:before="240" w:line="360" w:lineRule="auto"/>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Table of Figures</w:t>
      </w:r>
    </w:p>
    <w:sdt>
      <w:sdtPr>
        <w:id w:val="795552415"/>
        <w:docPartObj>
          <w:docPartGallery w:val="Table of Contents"/>
          <w:docPartUnique w:val="1"/>
        </w:docPartObj>
      </w:sdtPr>
      <w:sdtContent>
        <w:p w:rsidR="00000000" w:rsidDel="00000000" w:rsidP="00000000" w:rsidRDefault="00000000" w:rsidRPr="00000000" w14:paraId="000000A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6"/>
            </w:tabs>
            <w:spacing w:after="240" w:before="24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gaqr7ndxqz77">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Figure 1 PRISMA Framework</w:t>
              <w:tab/>
              <w:t xml:space="preserve">26</w:t>
            </w:r>
          </w:hyperlink>
          <w:r w:rsidDel="00000000" w:rsidR="00000000" w:rsidRPr="00000000">
            <w:rPr>
              <w:rtl w:val="0"/>
            </w:rPr>
          </w:r>
        </w:p>
        <w:p w:rsidR="00000000" w:rsidDel="00000000" w:rsidP="00000000" w:rsidRDefault="00000000" w:rsidRPr="00000000" w14:paraId="000000AB">
          <w:pPr>
            <w:spacing w:after="100" w:before="240" w:line="360" w:lineRule="auto"/>
            <w:jc w:val="center"/>
            <w:rPr>
              <w:rFonts w:ascii="Arial" w:cs="Arial" w:eastAsia="Arial" w:hAnsi="Arial"/>
              <w:b w:val="1"/>
              <w:bCs w:val="1"/>
              <w:sz w:val="22"/>
              <w:szCs w:val="2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AC">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AD">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AE">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AF">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B0">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B1">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B2">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B3">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B4">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B5">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B6">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B7">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B8">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B9">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BA">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BB">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BC">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BD">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BE">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BF">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C0">
      <w:pPr>
        <w:spacing w:after="100" w:before="240" w:line="360" w:lineRule="auto"/>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List of Table </w:t>
      </w:r>
    </w:p>
    <w:sdt>
      <w:sdtPr>
        <w:id w:val="1633967826"/>
        <w:docPartObj>
          <w:docPartGallery w:val="Table of Contents"/>
          <w:docPartUnique w:val="1"/>
        </w:docPartObj>
      </w:sdtPr>
      <w:sdtContent>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62"/>
            </w:tabs>
            <w:spacing w:after="120" w:before="24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wf2j7qim3vdj">
            <w:r w:rsidDel="00000000" w:rsidR="00000000" w:rsidRPr="00000000">
              <w:rPr>
                <w:rFonts w:ascii="Calibri" w:cs="Calibri" w:eastAsia="Calibri" w:hAnsi="Calibri"/>
                <w:b w:val="0"/>
                <w:bCs w:val="0"/>
                <w:i w:val="0"/>
                <w:iCs w:val="0"/>
                <w:smallCaps w:val="0"/>
                <w:strike w:val="0"/>
                <w:color w:val="000000"/>
                <w:sz w:val="20"/>
                <w:szCs w:val="20"/>
                <w:u w:val="none"/>
                <w:shd w:fill="auto" w:val="clear"/>
                <w:vertAlign w:val="baseline"/>
                <w:rtl w:val="0"/>
              </w:rPr>
              <w:t xml:space="preserve">Table 1 PEO Framework</w:t>
              <w:tab/>
              <w:t xml:space="preserve">21</w:t>
            </w:r>
          </w:hyperlink>
          <w:r w:rsidDel="00000000" w:rsidR="00000000" w:rsidRPr="00000000">
            <w:rPr>
              <w:rtl w:val="0"/>
            </w:rPr>
          </w:r>
        </w:p>
        <w:p w:rsidR="00000000" w:rsidDel="00000000" w:rsidP="00000000" w:rsidRDefault="00000000" w:rsidRPr="00000000" w14:paraId="000000C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62"/>
            </w:tabs>
            <w:spacing w:after="120" w:before="24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7eeert7fktxi">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Table 2 Inclusion and Exclusion Criteria for the Systematic Literature Review</w:t>
            </w:r>
          </w:hyperlink>
          <w:hyperlink w:anchor="_heading=h.7eeert7fktxi">
            <w:r w:rsidDel="00000000" w:rsidR="00000000" w:rsidRPr="00000000">
              <w:rPr>
                <w:rFonts w:ascii="Calibri" w:cs="Calibri" w:eastAsia="Calibri" w:hAnsi="Calibri"/>
                <w:b w:val="0"/>
                <w:bCs w:val="0"/>
                <w:i w:val="0"/>
                <w:iCs w:val="0"/>
                <w:smallCaps w:val="0"/>
                <w:strike w:val="0"/>
                <w:color w:val="000000"/>
                <w:sz w:val="20"/>
                <w:szCs w:val="20"/>
                <w:u w:val="none"/>
                <w:shd w:fill="auto" w:val="clear"/>
                <w:vertAlign w:val="baseline"/>
                <w:rtl w:val="0"/>
              </w:rPr>
              <w:tab/>
              <w:t xml:space="preserve">25</w:t>
            </w:r>
          </w:hyperlink>
          <w:r w:rsidDel="00000000" w:rsidR="00000000" w:rsidRPr="00000000">
            <w:rPr>
              <w:rtl w:val="0"/>
            </w:rPr>
          </w:r>
        </w:p>
        <w:p w:rsidR="00000000" w:rsidDel="00000000" w:rsidP="00000000" w:rsidRDefault="00000000" w:rsidRPr="00000000" w14:paraId="000000C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62"/>
            </w:tabs>
            <w:spacing w:after="120" w:before="24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a95q6dvesu60">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(Either: Table 2 Summary characteristics of the twelve (or ten?) selected studies to be put here;</w:t>
            </w:r>
          </w:hyperlink>
          <w:hyperlink w:anchor="_heading=h.a95q6dvesu60">
            <w:r w:rsidDel="00000000" w:rsidR="00000000" w:rsidRPr="00000000">
              <w:rPr>
                <w:rFonts w:ascii="Calibri" w:cs="Calibri" w:eastAsia="Calibri" w:hAnsi="Calibri"/>
                <w:b w:val="0"/>
                <w:bCs w:val="0"/>
                <w:i w:val="0"/>
                <w:iCs w:val="0"/>
                <w:smallCaps w:val="0"/>
                <w:strike w:val="0"/>
                <w:color w:val="000000"/>
                <w:sz w:val="20"/>
                <w:szCs w:val="20"/>
                <w:u w:val="none"/>
                <w:shd w:fill="auto" w:val="clear"/>
                <w:vertAlign w:val="baseline"/>
                <w:rtl w:val="0"/>
              </w:rPr>
              <w:tab/>
              <w:t xml:space="preserve">30</w:t>
            </w:r>
          </w:hyperlink>
          <w:r w:rsidDel="00000000" w:rsidR="00000000" w:rsidRPr="00000000">
            <w:rPr>
              <w:rtl w:val="0"/>
            </w:rPr>
          </w:r>
        </w:p>
        <w:p w:rsidR="00000000" w:rsidDel="00000000" w:rsidP="00000000" w:rsidRDefault="00000000" w:rsidRPr="00000000" w14:paraId="000000C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62"/>
            </w:tabs>
            <w:spacing w:after="120" w:before="24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a625dod5ex1u">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Table 3 Overview of Identified Themes</w:t>
            </w:r>
          </w:hyperlink>
          <w:hyperlink w:anchor="_heading=h.a625dod5ex1u">
            <w:r w:rsidDel="00000000" w:rsidR="00000000" w:rsidRPr="00000000">
              <w:rPr>
                <w:rFonts w:ascii="Calibri" w:cs="Calibri" w:eastAsia="Calibri" w:hAnsi="Calibri"/>
                <w:b w:val="0"/>
                <w:bCs w:val="0"/>
                <w:i w:val="0"/>
                <w:iCs w:val="0"/>
                <w:smallCaps w:val="0"/>
                <w:strike w:val="0"/>
                <w:color w:val="000000"/>
                <w:sz w:val="20"/>
                <w:szCs w:val="20"/>
                <w:u w:val="none"/>
                <w:shd w:fill="auto" w:val="clear"/>
                <w:vertAlign w:val="baseline"/>
                <w:rtl w:val="0"/>
              </w:rPr>
              <w:tab/>
              <w:t xml:space="preserve">67</w:t>
            </w:r>
          </w:hyperlink>
          <w:r w:rsidDel="00000000" w:rsidR="00000000" w:rsidRPr="00000000">
            <w:rPr>
              <w:rtl w:val="0"/>
            </w:rPr>
          </w:r>
        </w:p>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62"/>
            </w:tabs>
            <w:spacing w:after="120" w:before="24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g0ooh1ansq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Table 4 Summary for Selected Studies</w:t>
            </w:r>
          </w:hyperlink>
          <w:hyperlink w:anchor="_heading=h.g0ooh1ansqr">
            <w:r w:rsidDel="00000000" w:rsidR="00000000" w:rsidRPr="00000000">
              <w:rPr>
                <w:rFonts w:ascii="Calibri" w:cs="Calibri" w:eastAsia="Calibri" w:hAnsi="Calibri"/>
                <w:b w:val="0"/>
                <w:bCs w:val="0"/>
                <w:i w:val="0"/>
                <w:iCs w:val="0"/>
                <w:smallCaps w:val="0"/>
                <w:strike w:val="0"/>
                <w:color w:val="000000"/>
                <w:sz w:val="20"/>
                <w:szCs w:val="20"/>
                <w:u w:val="none"/>
                <w:shd w:fill="auto" w:val="clear"/>
                <w:vertAlign w:val="baseline"/>
                <w:rtl w:val="0"/>
              </w:rPr>
              <w:tab/>
              <w:t xml:space="preserve">67</w:t>
            </w:r>
          </w:hyperlink>
          <w:r w:rsidDel="00000000" w:rsidR="00000000" w:rsidRPr="00000000">
            <w:rPr>
              <w:rtl w:val="0"/>
            </w:rPr>
          </w:r>
        </w:p>
        <w:p w:rsidR="00000000" w:rsidDel="00000000" w:rsidP="00000000" w:rsidRDefault="00000000" w:rsidRPr="00000000" w14:paraId="000000C6">
          <w:pPr>
            <w:spacing w:line="360" w:lineRule="auto"/>
            <w:rPr>
              <w:rFonts w:ascii="Arial" w:cs="Arial" w:eastAsia="Arial" w:hAnsi="Arial"/>
              <w:b w:val="1"/>
              <w:bCs w:val="1"/>
              <w:sz w:val="22"/>
              <w:szCs w:val="2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C7">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C8">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C9">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CA">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CB">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CC">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CD">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CE">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CF">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0">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1">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2">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3">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4">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5">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6">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7">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8">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9">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A">
      <w:pPr>
        <w:spacing w:line="36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B">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Abbreviations</w:t>
      </w:r>
    </w:p>
    <w:p w:rsidR="00000000" w:rsidDel="00000000" w:rsidP="00000000" w:rsidRDefault="00000000" w:rsidRPr="00000000" w14:paraId="000000DC">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AIDS: Acquired Immunodeficiency Syndrome</w:t>
      </w:r>
    </w:p>
    <w:p w:rsidR="00000000" w:rsidDel="00000000" w:rsidP="00000000" w:rsidRDefault="00000000" w:rsidRPr="00000000" w14:paraId="000000DD">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ART: Antiretroviral Therapy</w:t>
      </w:r>
    </w:p>
    <w:p w:rsidR="00000000" w:rsidDel="00000000" w:rsidP="00000000" w:rsidRDefault="00000000" w:rsidRPr="00000000" w14:paraId="000000DE">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BHIVA: British HIV Association</w:t>
      </w:r>
    </w:p>
    <w:p w:rsidR="00000000" w:rsidDel="00000000" w:rsidP="00000000" w:rsidRDefault="00000000" w:rsidRPr="00000000" w14:paraId="000000DF">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CASP: Critical Appraisal Skills Programme</w:t>
      </w:r>
    </w:p>
    <w:p w:rsidR="00000000" w:rsidDel="00000000" w:rsidP="00000000" w:rsidRDefault="00000000" w:rsidRPr="00000000" w14:paraId="000000E0">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CINAHL: Cumulative Index to Nursing and Allied Health Literature</w:t>
      </w:r>
    </w:p>
    <w:p w:rsidR="00000000" w:rsidDel="00000000" w:rsidP="00000000" w:rsidRDefault="00000000" w:rsidRPr="00000000" w14:paraId="000000E1">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GP: General Practitioner</w:t>
      </w:r>
    </w:p>
    <w:p w:rsidR="00000000" w:rsidDel="00000000" w:rsidP="00000000" w:rsidRDefault="00000000" w:rsidRPr="00000000" w14:paraId="000000E2">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HIV: Human Immunodeficiency Virus</w:t>
      </w:r>
    </w:p>
    <w:p w:rsidR="00000000" w:rsidDel="00000000" w:rsidP="00000000" w:rsidRDefault="00000000" w:rsidRPr="00000000" w14:paraId="000000E3">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MMAT: Mixed Methods Appraisal Tool</w:t>
      </w:r>
    </w:p>
    <w:p w:rsidR="00000000" w:rsidDel="00000000" w:rsidP="00000000" w:rsidRDefault="00000000" w:rsidRPr="00000000" w14:paraId="000000E4">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NHS: National Health Service</w:t>
      </w:r>
    </w:p>
    <w:p w:rsidR="00000000" w:rsidDel="00000000" w:rsidP="00000000" w:rsidRDefault="00000000" w:rsidRPr="00000000" w14:paraId="000000E5">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PLWH: People Living with HIV</w:t>
      </w:r>
    </w:p>
    <w:p w:rsidR="00000000" w:rsidDel="00000000" w:rsidP="00000000" w:rsidRDefault="00000000" w:rsidRPr="00000000" w14:paraId="000000E6">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PRISMA: Preferred Reporting Items for Systematic Reviews and Meta-Analyses</w:t>
      </w:r>
    </w:p>
    <w:p w:rsidR="00000000" w:rsidDel="00000000" w:rsidP="00000000" w:rsidRDefault="00000000" w:rsidRPr="00000000" w14:paraId="000000E7">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SLR: Systematic Literature Review</w:t>
      </w:r>
    </w:p>
    <w:p w:rsidR="00000000" w:rsidDel="00000000" w:rsidP="00000000" w:rsidRDefault="00000000" w:rsidRPr="00000000" w14:paraId="000000E8">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UK: United Kingdom</w:t>
      </w:r>
    </w:p>
    <w:p w:rsidR="00000000" w:rsidDel="00000000" w:rsidP="00000000" w:rsidRDefault="00000000" w:rsidRPr="00000000" w14:paraId="000000E9">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WHO: World Health Organization</w:t>
      </w:r>
    </w:p>
    <w:p w:rsidR="00000000" w:rsidDel="00000000" w:rsidP="00000000" w:rsidRDefault="00000000" w:rsidRPr="00000000" w14:paraId="000000EA">
      <w:pPr>
        <w:spacing w:after="100" w:before="240" w:line="360" w:lineRule="auto"/>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EB">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ind w:left="72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C">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D">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E">
      <w:pPr>
        <w:spacing w:after="240" w:before="240" w:line="360" w:lineRule="auto"/>
        <w:jc w:val="left"/>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EF">
      <w:pPr>
        <w:pStyle w:val="Heading1"/>
        <w:spacing w:after="240" w:before="240" w:line="360" w:lineRule="auto"/>
        <w:jc w:val="center"/>
        <w:rPr>
          <w:rFonts w:ascii="Arial" w:cs="Arial" w:eastAsia="Arial" w:hAnsi="Arial"/>
          <w:b w:val="1"/>
          <w:bCs w:val="1"/>
          <w:color w:val="000000"/>
          <w:sz w:val="22"/>
          <w:szCs w:val="22"/>
        </w:rPr>
      </w:pPr>
      <w:bookmarkStart w:colFirst="0" w:colLast="0" w:name="_heading=h.rqf8pckgrv84" w:id="1"/>
      <w:bookmarkEnd w:id="1"/>
      <w:r w:rsidDel="00000000" w:rsidR="00000000" w:rsidRPr="00000000">
        <w:rPr>
          <w:rFonts w:ascii="Arial" w:cs="Arial" w:eastAsia="Arial" w:hAnsi="Arial"/>
          <w:b w:val="1"/>
          <w:bCs w:val="1"/>
          <w:color w:val="000000"/>
          <w:sz w:val="22"/>
          <w:szCs w:val="22"/>
          <w:rtl w:val="0"/>
        </w:rPr>
        <w:t xml:space="preserve">Chapter 1: Introduction and Background</w:t>
      </w:r>
    </w:p>
    <w:p w:rsidR="00000000" w:rsidDel="00000000" w:rsidP="00000000" w:rsidRDefault="00000000" w:rsidRPr="00000000" w14:paraId="000000F0">
      <w:pPr>
        <w:pStyle w:val="Heading2"/>
        <w:numPr>
          <w:ilvl w:val="1"/>
          <w:numId w:val="4"/>
        </w:numPr>
        <w:spacing w:after="240" w:before="240" w:line="360" w:lineRule="auto"/>
        <w:ind w:left="1080" w:hanging="720"/>
        <w:jc w:val="both"/>
        <w:rPr>
          <w:rFonts w:ascii="Arial" w:cs="Arial" w:eastAsia="Arial" w:hAnsi="Arial"/>
          <w:sz w:val="22"/>
          <w:szCs w:val="22"/>
        </w:rPr>
      </w:pPr>
      <w:bookmarkStart w:colFirst="0" w:colLast="0" w:name="_heading=h.5hy62lef3s8l" w:id="2"/>
      <w:bookmarkEnd w:id="2"/>
      <w:r w:rsidDel="00000000" w:rsidR="00000000" w:rsidRPr="00000000">
        <w:rPr>
          <w:rFonts w:ascii="Arial" w:cs="Arial" w:eastAsia="Arial" w:hAnsi="Arial"/>
          <w:b w:val="1"/>
          <w:bCs w:val="1"/>
          <w:sz w:val="22"/>
          <w:szCs w:val="22"/>
          <w:rtl w:val="0"/>
        </w:rPr>
        <w:t xml:space="preserve">Introduction</w:t>
      </w:r>
    </w:p>
    <w:p w:rsidR="00000000" w:rsidDel="00000000" w:rsidP="00000000" w:rsidRDefault="00000000" w:rsidRPr="00000000" w14:paraId="000000F1">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Human Immunodeficiency Virus (HIV) is a chronic disease, which invades the immune system and may eventually develop into acquired immunodeficiency syndrome (AIDS) (WHO, 2025). Owing to the development of the antiretroviral therapy, people living with HIV (PLWH) gained almost normal life expectancy, which turned HIV into a long-term disease and a burden on health and social services. The experiences of health and social care are defined as the way patients use, access, and experience the healthcare provision mechanisms, social support, and welfare systems throughout the duration of the condition (Drageset, 2021). Nevertheless, with clinical management, PLWH also have a substantial psychosocial burden, which comprises stigma, discrimination, anxiety, depression, and social isolation. HIV is one of the most pressing public health and social care concerns in the UK, and more than 100,000 people receive HIV care (National AIDS Trust, 2024). The population is getting older, which reveals the necessity of long-term support and health disparities. Even with the positive results of biomedical measurements, it is reported that there are still gaps in integrated care, which refers to the coordinated services, meaning those that fulfil the needs of the body and mind as well as social aspects.</w:t>
      </w:r>
    </w:p>
    <w:p w:rsidR="00000000" w:rsidDel="00000000" w:rsidP="00000000" w:rsidRDefault="00000000" w:rsidRPr="00000000" w14:paraId="000000F2">
      <w:pPr>
        <w:pStyle w:val="Heading2"/>
        <w:numPr>
          <w:ilvl w:val="1"/>
          <w:numId w:val="4"/>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8d75qibhmc5h" w:id="3"/>
      <w:bookmarkEnd w:id="3"/>
      <w:r w:rsidDel="00000000" w:rsidR="00000000" w:rsidRPr="00000000">
        <w:rPr>
          <w:rFonts w:ascii="Arial" w:cs="Arial" w:eastAsia="Arial" w:hAnsi="Arial"/>
          <w:b w:val="1"/>
          <w:bCs w:val="1"/>
          <w:color w:val="000000"/>
          <w:sz w:val="22"/>
          <w:szCs w:val="22"/>
          <w:rtl w:val="0"/>
        </w:rPr>
        <w:t xml:space="preserve">Background and Current Context</w:t>
      </w:r>
    </w:p>
    <w:p w:rsidR="00000000" w:rsidDel="00000000" w:rsidP="00000000" w:rsidRDefault="00000000" w:rsidRPr="00000000" w14:paraId="000000F3">
      <w:pPr>
        <w:pStyle w:val="Heading3"/>
        <w:numPr>
          <w:ilvl w:val="2"/>
          <w:numId w:val="4"/>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qu8vm46k49d5" w:id="4"/>
      <w:bookmarkEnd w:id="4"/>
      <w:r w:rsidDel="00000000" w:rsidR="00000000" w:rsidRPr="00000000">
        <w:rPr>
          <w:rFonts w:ascii="Arial" w:cs="Arial" w:eastAsia="Arial" w:hAnsi="Arial"/>
          <w:b w:val="1"/>
          <w:bCs w:val="1"/>
          <w:color w:val="000000"/>
          <w:sz w:val="22"/>
          <w:szCs w:val="22"/>
          <w:rtl w:val="0"/>
        </w:rPr>
        <w:t xml:space="preserve">HIV In The UK</w:t>
      </w:r>
    </w:p>
    <w:p w:rsidR="00000000" w:rsidDel="00000000" w:rsidP="00000000" w:rsidRDefault="00000000" w:rsidRPr="00000000" w14:paraId="000000F4">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HIV is a major health issue in the UK, and 107,949 individuals were under HIV treatment in 2023, showing that it has always been a persistent problem, despite effective prevention and treatment measures (GOV.UK, 2024). Elimination of HIV has been a central focus of national policy, and the HIV Action Plan of England aims to cut HIV transmission by 80 per cent between 2019 and 2025 (NHS, 2026). Although some advances have been made in reducing the number of new diagnoses, the demographic configuration of individuals living with HIV has also changed significantly. More than 51 per cent of people receiving HIV care are aged 50 years and above, and this signifies the rise of an ageing HIV population with multifaceted and chronic health and social care requirements (Kokorelias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2025). This demographic increases burden on the health and social care initiatives because older PLWH are now exposed to multimorbidity, social isolation, and reduced social support. HIV in the UK has become such a long-term issue, and not a prevention or acute issue, thus requiring long-term integrated health and social care measures.</w:t>
      </w:r>
    </w:p>
    <w:p w:rsidR="00000000" w:rsidDel="00000000" w:rsidP="00000000" w:rsidRDefault="00000000" w:rsidRPr="00000000" w14:paraId="000000F5">
      <w:pPr>
        <w:pStyle w:val="Heading3"/>
        <w:numPr>
          <w:ilvl w:val="2"/>
          <w:numId w:val="4"/>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rxeetxknvj3j" w:id="5"/>
      <w:bookmarkEnd w:id="5"/>
      <w:r w:rsidDel="00000000" w:rsidR="00000000" w:rsidRPr="00000000">
        <w:rPr>
          <w:rFonts w:ascii="Arial" w:cs="Arial" w:eastAsia="Arial" w:hAnsi="Arial"/>
          <w:b w:val="1"/>
          <w:bCs w:val="1"/>
          <w:color w:val="000000"/>
          <w:sz w:val="22"/>
          <w:szCs w:val="22"/>
          <w:rtl w:val="0"/>
        </w:rPr>
        <w:t xml:space="preserve">HIV as a Long-Term Condition</w:t>
      </w:r>
    </w:p>
    <w:p w:rsidR="00000000" w:rsidDel="00000000" w:rsidP="00000000" w:rsidRDefault="00000000" w:rsidRPr="00000000" w14:paraId="000000F6">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advances in antiretroviral treatment (ART) have rendered HIV a chronic and manageable disease, providing a nearly normal life span in those with HIV (Łupina et al., 2025).  Viral suppression levels are high in the UK, and ART has lowered HIV morbidity and mortality rates to a considerable degree. Yet qualitative evidence points to the chronic disparity between clinical success and experience. Despite positive changes in biomedical outcomes, patients face HIV as a distinctly burdensome experience caused by stigmatisation, life-long treatment, and psychosocial stress (Coker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2025). UK HIV clinics claim that people usually state that they feel medically fine but socially weak, and the idea of viral suppression and holistic wellbeing is different (BHIVA, 2024). This detachment indicates that clinical advances are not enough to consider the larger truths of living with HIV and supports the argument that a method should be developed to study the experiences beyond the biomedical indicators.</w:t>
      </w:r>
    </w:p>
    <w:p w:rsidR="00000000" w:rsidDel="00000000" w:rsidP="00000000" w:rsidRDefault="00000000" w:rsidRPr="00000000" w14:paraId="000000F7">
      <w:pPr>
        <w:pStyle w:val="Heading3"/>
        <w:numPr>
          <w:ilvl w:val="2"/>
          <w:numId w:val="4"/>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1j2tifrejwuu" w:id="6"/>
      <w:bookmarkEnd w:id="6"/>
      <w:r w:rsidDel="00000000" w:rsidR="00000000" w:rsidRPr="00000000">
        <w:rPr>
          <w:rFonts w:ascii="Arial" w:cs="Arial" w:eastAsia="Arial" w:hAnsi="Arial"/>
          <w:b w:val="1"/>
          <w:bCs w:val="1"/>
          <w:color w:val="000000"/>
          <w:sz w:val="22"/>
          <w:szCs w:val="22"/>
          <w:rtl w:val="0"/>
        </w:rPr>
        <w:t xml:space="preserve">Stigma, Disclosure, and Social Inclusion</w:t>
      </w:r>
    </w:p>
    <w:p w:rsidR="00000000" w:rsidDel="00000000" w:rsidP="00000000" w:rsidRDefault="00000000" w:rsidRPr="00000000" w14:paraId="000000F8">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Stigma is one of the most widespread issues that PLWH in the UK must encounter, and it still defines social inclusion and engagement with services. The results of the Positive Voices study showed that 45.1% of the participants felt ashamed of being diagnosed with HIV, and 32.1% said that having HIV had a detrimental impact on their self-esteem (UK Health Security Agency, 2024). Flint, Günsche and Burns (2022) provide qualitative descriptions of the accounts of people who have been actively hiding their status at workplaces and social environments, fearing that they will be treated differently (Flint, Günsche and Burns, 2022). These experiences demonstrate that stigma acts at the interpersonal scale as well as the structural level, affecting access to work, interpersonal and social life.</w:t>
      </w:r>
    </w:p>
    <w:p w:rsidR="00000000" w:rsidDel="00000000" w:rsidP="00000000" w:rsidRDefault="00000000" w:rsidRPr="00000000" w14:paraId="000000F9">
      <w:pPr>
        <w:pStyle w:val="Heading3"/>
        <w:numPr>
          <w:ilvl w:val="2"/>
          <w:numId w:val="4"/>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rm60227qab3n" w:id="7"/>
      <w:bookmarkEnd w:id="7"/>
      <w:r w:rsidDel="00000000" w:rsidR="00000000" w:rsidRPr="00000000">
        <w:rPr>
          <w:rFonts w:ascii="Arial" w:cs="Arial" w:eastAsia="Arial" w:hAnsi="Arial"/>
          <w:b w:val="1"/>
          <w:bCs w:val="1"/>
          <w:color w:val="000000"/>
          <w:sz w:val="22"/>
          <w:szCs w:val="22"/>
          <w:rtl w:val="0"/>
        </w:rPr>
        <w:t xml:space="preserve">Mental Health and Quality of Life</w:t>
      </w:r>
    </w:p>
    <w:p w:rsidR="00000000" w:rsidDel="00000000" w:rsidP="00000000" w:rsidRDefault="00000000" w:rsidRPr="00000000" w14:paraId="000000FA">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PLWH have mental health challenges disproportionately, and quality of life and care participation are greatly impacted. Individuals with HIV are two times as likely to encounter symptoms of depression as the rest of the population (EATG, 2024). Experiences of stigma, social isolation, and worries about ageing with HIV are often associated with feelings of anxiety, depression, and emotional distress. Lacking mental health is closely intertwined with diminished ART adherence, which results in inferior long-term health practices available to individuals despite effective treatment. People tend to find mental health services as a secondary or an unavailable part of the HIV services, which leads to failures in addressing the psychosocial needs (Justiz, Gulick and Swinkels, 2024). Mental health, adherence to treatment, and quality of life are interconnected issues that require more attention in the UK due to the importance of mental well-being as a critical aspect of HIV care.</w:t>
      </w:r>
    </w:p>
    <w:p w:rsidR="00000000" w:rsidDel="00000000" w:rsidP="00000000" w:rsidRDefault="00000000" w:rsidRPr="00000000" w14:paraId="000000FB">
      <w:pPr>
        <w:pStyle w:val="Heading3"/>
        <w:numPr>
          <w:ilvl w:val="2"/>
          <w:numId w:val="4"/>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rvkgt97sro94" w:id="8"/>
      <w:bookmarkEnd w:id="8"/>
      <w:r w:rsidDel="00000000" w:rsidR="00000000" w:rsidRPr="00000000">
        <w:rPr>
          <w:rFonts w:ascii="Arial" w:cs="Arial" w:eastAsia="Arial" w:hAnsi="Arial"/>
          <w:b w:val="1"/>
          <w:bCs w:val="1"/>
          <w:color w:val="000000"/>
          <w:sz w:val="22"/>
          <w:szCs w:val="22"/>
          <w:rtl w:val="0"/>
        </w:rPr>
        <w:t xml:space="preserve">Health and Social Care Access and Service Gaps</w:t>
      </w:r>
    </w:p>
    <w:p w:rsidR="00000000" w:rsidDel="00000000" w:rsidP="00000000" w:rsidRDefault="00000000" w:rsidRPr="00000000" w14:paraId="000000FC">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Although the policy has guaranteed person-centred care, there has been an indication that HIV services in the UK continue to exhibit a biomedical orientation. ART management and viral load monitoring are also put in the focus of HIV clinics, so psychosocial problems are often transferred to external mental health practice or general practitioners, resulting in disjointed care trajectories (Okonji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2020). Similar reports by real-life experiences of PLWH relate to challenges of accessing different services, excessive waiting periods during mental health referrals, and varied assistance in some areas compared to others (Sikkema et al., 2015). This fragmentation specifically is a concern to older PLWH and those with a marginalised background, as they may experience compounded barriers due to their age, ethnicity, or socioeconomic status. Lack of integrated models of care that include physical, mental, and social needs at the same time is one of the causes of the continuous disparities in health outcomes and service satisfaction.</w:t>
      </w:r>
    </w:p>
    <w:p w:rsidR="00000000" w:rsidDel="00000000" w:rsidP="00000000" w:rsidRDefault="00000000" w:rsidRPr="00000000" w14:paraId="000000FD">
      <w:pPr>
        <w:pStyle w:val="Heading3"/>
        <w:numPr>
          <w:ilvl w:val="2"/>
          <w:numId w:val="4"/>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q4gyy67ml75k" w:id="9"/>
      <w:bookmarkEnd w:id="9"/>
      <w:r w:rsidDel="00000000" w:rsidR="00000000" w:rsidRPr="00000000">
        <w:rPr>
          <w:rFonts w:ascii="Arial" w:cs="Arial" w:eastAsia="Arial" w:hAnsi="Arial"/>
          <w:b w:val="1"/>
          <w:bCs w:val="1"/>
          <w:color w:val="000000"/>
          <w:sz w:val="22"/>
          <w:szCs w:val="22"/>
          <w:rtl w:val="0"/>
        </w:rPr>
        <w:t xml:space="preserve">Why Qualitative Evidence Matters</w:t>
      </w:r>
    </w:p>
    <w:p w:rsidR="00000000" w:rsidDel="00000000" w:rsidP="00000000" w:rsidRDefault="00000000" w:rsidRPr="00000000" w14:paraId="000000FE">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Although quantitative surveillance data are useful in terms of prevalence, treatment uptake, and clinical outcomes, they do not reveal much regarding the way people experience HIV care in their daily lives. Learning the meanings, emotions and social context of health behaviours and service engagement can only be learnt through qualitative evidence (Bijkerk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The synthesis of lived experience studies, including those incorporated in qualitative systematic reviews, shows patterns of stigma, lack of psychosocial needs, and fragmentation of services that are not evident through clinical metrics only. Qualitative research by anticipating the voices of PLWH informs more attentive and inclusive service design, allowing policymakers and practitioners to improve the mismatch between policy purpose and reality-as-lived.</w:t>
      </w:r>
    </w:p>
    <w:p w:rsidR="00000000" w:rsidDel="00000000" w:rsidP="00000000" w:rsidRDefault="00000000" w:rsidRPr="00000000" w14:paraId="000000FF">
      <w:pPr>
        <w:pStyle w:val="Heading2"/>
        <w:numPr>
          <w:ilvl w:val="1"/>
          <w:numId w:val="4"/>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fknruh7myq2a" w:id="10"/>
      <w:bookmarkEnd w:id="10"/>
      <w:r w:rsidDel="00000000" w:rsidR="00000000" w:rsidRPr="00000000">
        <w:rPr>
          <w:rFonts w:ascii="Arial" w:cs="Arial" w:eastAsia="Arial" w:hAnsi="Arial"/>
          <w:b w:val="1"/>
          <w:bCs w:val="1"/>
          <w:color w:val="000000"/>
          <w:sz w:val="22"/>
          <w:szCs w:val="22"/>
          <w:rtl w:val="0"/>
        </w:rPr>
        <w:t xml:space="preserve">Rationale for Research</w:t>
      </w:r>
    </w:p>
    <w:p w:rsidR="00000000" w:rsidDel="00000000" w:rsidP="00000000" w:rsidRDefault="00000000" w:rsidRPr="00000000" w14:paraId="00000100">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Although there have been enormous biomedical improvements in the treatment of HIV, there are still barriers in the psychosocial and service domains of people living with HIV (PLHW) in the United Kingdom. Although most people have increased their life expectancy and clinical response because of antiretroviral therapy, it is still accompanied by stigma, social isolation and unmet mental health issues that are currently unmet in the existing care structures (Remien et al., 2019). This provision of psychosocial support has a more disruptive route, unlike integrated services, and hinders continuity of care and health disparity, particularly between the elderly and marginalised groups. This study looks into the gap between the medical success and the lived health and social care outcomes of PLWH. The proposed study will be focused on the synthesis of the qualitative evidence in the setting of the UK-based research published after 2010-2025, which reflects the experience of stigma, access to services, mental well-being, and social support. This study will contribute to making the person-centred approaches to HIV care more holistic by paying more attention to the experiential evidence rather than the biomedical outcomes.</w:t>
      </w:r>
    </w:p>
    <w:p w:rsidR="00000000" w:rsidDel="00000000" w:rsidP="00000000" w:rsidRDefault="00000000" w:rsidRPr="00000000" w14:paraId="00000101">
      <w:pPr>
        <w:pStyle w:val="Heading2"/>
        <w:numPr>
          <w:ilvl w:val="1"/>
          <w:numId w:val="4"/>
        </w:numPr>
        <w:spacing w:after="240" w:before="240" w:line="360" w:lineRule="auto"/>
        <w:ind w:left="1080" w:hanging="720"/>
        <w:jc w:val="both"/>
        <w:rPr>
          <w:rFonts w:ascii="Arial" w:cs="Arial" w:eastAsia="Arial" w:hAnsi="Arial"/>
          <w:b w:val="1"/>
          <w:bCs w:val="1"/>
          <w:sz w:val="22"/>
          <w:szCs w:val="22"/>
        </w:rPr>
      </w:pPr>
      <w:bookmarkStart w:colFirst="0" w:colLast="0" w:name="_heading=h.g3d4oohatxdm" w:id="11"/>
      <w:bookmarkEnd w:id="11"/>
      <w:r w:rsidDel="00000000" w:rsidR="00000000" w:rsidRPr="00000000">
        <w:rPr>
          <w:rFonts w:ascii="Arial" w:cs="Arial" w:eastAsia="Arial" w:hAnsi="Arial"/>
          <w:b w:val="1"/>
          <w:bCs w:val="1"/>
          <w:sz w:val="22"/>
          <w:szCs w:val="22"/>
          <w:rtl w:val="0"/>
        </w:rPr>
        <w:t xml:space="preserve">Research Question</w:t>
      </w:r>
    </w:p>
    <w:p w:rsidR="00000000" w:rsidDel="00000000" w:rsidP="00000000" w:rsidRDefault="00000000" w:rsidRPr="00000000" w14:paraId="00000102">
      <w:pPr>
        <w:spacing w:after="240" w:before="240" w:line="360" w:lineRule="auto"/>
        <w:jc w:val="both"/>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What are the health and social care experiences of those living with HIV in the UK?</w:t>
      </w:r>
    </w:p>
    <w:p w:rsidR="00000000" w:rsidDel="00000000" w:rsidP="00000000" w:rsidRDefault="00000000" w:rsidRPr="00000000" w14:paraId="00000103">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involves experience of accessing and navigating health and social care services, experience of stigma, discrimination, effects on mental wellbeing and access to and sufficiency of social and psychosocial support.</w:t>
      </w:r>
    </w:p>
    <w:p w:rsidR="00000000" w:rsidDel="00000000" w:rsidP="00000000" w:rsidRDefault="00000000" w:rsidRPr="00000000" w14:paraId="00000104">
      <w:pPr>
        <w:pStyle w:val="Heading2"/>
        <w:numPr>
          <w:ilvl w:val="1"/>
          <w:numId w:val="4"/>
        </w:numPr>
        <w:spacing w:after="240" w:before="240" w:line="360" w:lineRule="auto"/>
        <w:ind w:left="1080" w:hanging="720"/>
        <w:jc w:val="both"/>
        <w:rPr>
          <w:rFonts w:ascii="Arial" w:cs="Arial" w:eastAsia="Arial" w:hAnsi="Arial"/>
          <w:b w:val="1"/>
          <w:bCs w:val="1"/>
          <w:sz w:val="22"/>
          <w:szCs w:val="22"/>
        </w:rPr>
      </w:pPr>
      <w:bookmarkStart w:colFirst="0" w:colLast="0" w:name="_heading=h.7h98rhrnvg89" w:id="12"/>
      <w:bookmarkEnd w:id="12"/>
      <w:r w:rsidDel="00000000" w:rsidR="00000000" w:rsidRPr="00000000">
        <w:rPr>
          <w:rFonts w:ascii="Arial" w:cs="Arial" w:eastAsia="Arial" w:hAnsi="Arial"/>
          <w:b w:val="1"/>
          <w:bCs w:val="1"/>
          <w:sz w:val="22"/>
          <w:szCs w:val="22"/>
          <w:rtl w:val="0"/>
        </w:rPr>
        <w:t xml:space="preserve">Research Aim</w:t>
      </w:r>
    </w:p>
    <w:p w:rsidR="00000000" w:rsidDel="00000000" w:rsidP="00000000" w:rsidRDefault="00000000" w:rsidRPr="00000000" w14:paraId="00000105">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To determine the effect of HIV on physical, emotional and social well-being and to determine the quality of health and social care services.</w:t>
      </w:r>
    </w:p>
    <w:p w:rsidR="00000000" w:rsidDel="00000000" w:rsidP="00000000" w:rsidRDefault="00000000" w:rsidRPr="00000000" w14:paraId="00000106">
      <w:pPr>
        <w:pStyle w:val="Heading2"/>
        <w:numPr>
          <w:ilvl w:val="1"/>
          <w:numId w:val="4"/>
        </w:numPr>
        <w:spacing w:after="240" w:before="240" w:line="360" w:lineRule="auto"/>
        <w:ind w:left="1080" w:hanging="720"/>
        <w:jc w:val="both"/>
        <w:rPr>
          <w:rFonts w:ascii="Arial" w:cs="Arial" w:eastAsia="Arial" w:hAnsi="Arial"/>
          <w:b w:val="1"/>
          <w:bCs w:val="1"/>
          <w:sz w:val="22"/>
          <w:szCs w:val="22"/>
        </w:rPr>
      </w:pPr>
      <w:bookmarkStart w:colFirst="0" w:colLast="0" w:name="_heading=h.2us0m3bsswff" w:id="13"/>
      <w:bookmarkEnd w:id="13"/>
      <w:r w:rsidDel="00000000" w:rsidR="00000000" w:rsidRPr="00000000">
        <w:rPr>
          <w:rFonts w:ascii="Arial" w:cs="Arial" w:eastAsia="Arial" w:hAnsi="Arial"/>
          <w:b w:val="1"/>
          <w:bCs w:val="1"/>
          <w:sz w:val="22"/>
          <w:szCs w:val="22"/>
          <w:rtl w:val="0"/>
        </w:rPr>
        <w:t xml:space="preserve">Research Objectives</w:t>
      </w:r>
    </w:p>
    <w:p w:rsidR="00000000" w:rsidDel="00000000" w:rsidP="00000000" w:rsidRDefault="00000000" w:rsidRPr="00000000" w14:paraId="0000010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investigate the prevalence and health outcomes of HIV in the UK.</w:t>
      </w:r>
    </w:p>
    <w:p w:rsidR="00000000" w:rsidDel="00000000" w:rsidP="00000000" w:rsidRDefault="00000000" w:rsidRPr="00000000" w14:paraId="0000010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investigate the experience of accessing and using health and social care services.</w:t>
      </w:r>
    </w:p>
    <w:p w:rsidR="00000000" w:rsidDel="00000000" w:rsidP="00000000" w:rsidRDefault="00000000" w:rsidRPr="00000000" w14:paraId="0000010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determine how the existing services can be improved and what they lack.</w:t>
      </w:r>
    </w:p>
    <w:p w:rsidR="00000000" w:rsidDel="00000000" w:rsidP="00000000" w:rsidRDefault="00000000" w:rsidRPr="00000000" w14:paraId="0000010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0" w:line="360" w:lineRule="auto"/>
        <w:ind w:left="720" w:right="0" w:hanging="36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generate evidence to reduce stigma and support more inclusive, patient-centred HIV care.</w:t>
      </w:r>
    </w:p>
    <w:p w:rsidR="00000000" w:rsidDel="00000000" w:rsidP="00000000" w:rsidRDefault="00000000" w:rsidRPr="00000000" w14:paraId="0000010B">
      <w:pPr>
        <w:pStyle w:val="Heading2"/>
        <w:numPr>
          <w:ilvl w:val="1"/>
          <w:numId w:val="4"/>
        </w:numPr>
        <w:spacing w:after="240" w:before="240" w:line="360" w:lineRule="auto"/>
        <w:ind w:left="1080" w:hanging="720"/>
        <w:jc w:val="both"/>
        <w:rPr>
          <w:rFonts w:ascii="Arial" w:cs="Arial" w:eastAsia="Arial" w:hAnsi="Arial"/>
          <w:b w:val="1"/>
          <w:bCs w:val="1"/>
          <w:sz w:val="22"/>
          <w:szCs w:val="22"/>
        </w:rPr>
      </w:pPr>
      <w:bookmarkStart w:colFirst="0" w:colLast="0" w:name="_heading=h.jl9j3usrbyh2" w:id="14"/>
      <w:bookmarkEnd w:id="14"/>
      <w:r w:rsidDel="00000000" w:rsidR="00000000" w:rsidRPr="00000000">
        <w:rPr>
          <w:rFonts w:ascii="Arial" w:cs="Arial" w:eastAsia="Arial" w:hAnsi="Arial"/>
          <w:b w:val="1"/>
          <w:bCs w:val="1"/>
          <w:sz w:val="22"/>
          <w:szCs w:val="22"/>
          <w:rtl w:val="0"/>
        </w:rPr>
        <w:t xml:space="preserve">Chapter Summary</w:t>
      </w:r>
    </w:p>
    <w:p w:rsidR="00000000" w:rsidDel="00000000" w:rsidP="00000000" w:rsidRDefault="00000000" w:rsidRPr="00000000" w14:paraId="0000010C">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the UK, the current stigmatisation and psychological health issues and the absence of integrated care regarding biomedical knowledge development, despite advances in biomedical knowledge, have defined HIV as a perennial social care and health challenge in the UK. It has presented the justification and research objectives. Chapter 2 examines the literature sources regarding HIV-related stigma, mental well-being, health and social care access, integrated care and qualitative evidence of lived experiences.</w:t>
      </w:r>
    </w:p>
    <w:p w:rsidR="00000000" w:rsidDel="00000000" w:rsidP="00000000" w:rsidRDefault="00000000" w:rsidRPr="00000000" w14:paraId="0000010D">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E">
      <w:pPr>
        <w:pStyle w:val="Heading1"/>
        <w:numPr>
          <w:ilvl w:val="0"/>
          <w:numId w:val="5"/>
        </w:numPr>
        <w:spacing w:after="240" w:before="240" w:line="360" w:lineRule="auto"/>
        <w:ind w:left="720" w:hanging="360"/>
        <w:jc w:val="center"/>
        <w:rPr>
          <w:rFonts w:ascii="Arial" w:cs="Arial" w:eastAsia="Arial" w:hAnsi="Arial"/>
          <w:b w:val="1"/>
          <w:bCs w:val="1"/>
          <w:color w:val="000000"/>
          <w:sz w:val="22"/>
          <w:szCs w:val="22"/>
        </w:rPr>
      </w:pPr>
      <w:bookmarkStart w:colFirst="0" w:colLast="0" w:name="_heading=h.e0d9k8qv7vsh" w:id="15"/>
      <w:bookmarkEnd w:id="15"/>
      <w:r w:rsidDel="00000000" w:rsidR="00000000" w:rsidRPr="00000000">
        <w:rPr>
          <w:rFonts w:ascii="Arial" w:cs="Arial" w:eastAsia="Arial" w:hAnsi="Arial"/>
          <w:b w:val="1"/>
          <w:bCs w:val="1"/>
          <w:color w:val="000000"/>
          <w:sz w:val="22"/>
          <w:szCs w:val="22"/>
          <w:rtl w:val="0"/>
        </w:rPr>
        <w:t xml:space="preserve">Chapter 2: Literature Review</w:t>
      </w:r>
    </w:p>
    <w:p w:rsidR="00000000" w:rsidDel="00000000" w:rsidP="00000000" w:rsidRDefault="00000000" w:rsidRPr="00000000" w14:paraId="0000010F">
      <w:pPr>
        <w:pStyle w:val="Heading2"/>
        <w:numPr>
          <w:ilvl w:val="1"/>
          <w:numId w:val="5"/>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ngsuamknoiev" w:id="16"/>
      <w:bookmarkEnd w:id="16"/>
      <w:r w:rsidDel="00000000" w:rsidR="00000000" w:rsidRPr="00000000">
        <w:rPr>
          <w:rFonts w:ascii="Arial" w:cs="Arial" w:eastAsia="Arial" w:hAnsi="Arial"/>
          <w:b w:val="1"/>
          <w:bCs w:val="1"/>
          <w:color w:val="000000"/>
          <w:sz w:val="22"/>
          <w:szCs w:val="22"/>
          <w:rtl w:val="0"/>
        </w:rPr>
        <w:t xml:space="preserve">Introduction to Literature Review Chapter</w:t>
      </w:r>
    </w:p>
    <w:p w:rsidR="00000000" w:rsidDel="00000000" w:rsidP="00000000" w:rsidRDefault="00000000" w:rsidRPr="00000000" w14:paraId="00000110">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chapter reviews existing academic and scholarly literature related to the health and social care experiences of people living with HIV in the United Kingdom. The review examines research on HIV as a long-term condition, the impact of stigma, access to health and social care services, ageing with HIV, and the influence of cultural and social factors on care experiences. The chapter also evaluates the strengths and limitations of previous studies and identifies gaps in current knowledge, providing the rationale for the methodological approach adopted in the following chapter. </w:t>
      </w:r>
    </w:p>
    <w:p w:rsidR="00000000" w:rsidDel="00000000" w:rsidP="00000000" w:rsidRDefault="00000000" w:rsidRPr="00000000" w14:paraId="00000111">
      <w:pPr>
        <w:pStyle w:val="Heading2"/>
        <w:numPr>
          <w:ilvl w:val="1"/>
          <w:numId w:val="5"/>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2waa3amzmdwl" w:id="17"/>
      <w:bookmarkEnd w:id="17"/>
      <w:r w:rsidDel="00000000" w:rsidR="00000000" w:rsidRPr="00000000">
        <w:rPr>
          <w:rFonts w:ascii="Arial" w:cs="Arial" w:eastAsia="Arial" w:hAnsi="Arial"/>
          <w:b w:val="1"/>
          <w:bCs w:val="1"/>
          <w:color w:val="000000"/>
          <w:sz w:val="22"/>
          <w:szCs w:val="22"/>
          <w:rtl w:val="0"/>
        </w:rPr>
        <w:t xml:space="preserve">Literature review</w:t>
      </w:r>
    </w:p>
    <w:p w:rsidR="00000000" w:rsidDel="00000000" w:rsidP="00000000" w:rsidRDefault="00000000" w:rsidRPr="00000000" w14:paraId="00000112">
      <w:pPr>
        <w:pStyle w:val="Heading3"/>
        <w:numPr>
          <w:ilvl w:val="2"/>
          <w:numId w:val="5"/>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k6iewuo3lxfh" w:id="18"/>
      <w:bookmarkEnd w:id="18"/>
      <w:r w:rsidDel="00000000" w:rsidR="00000000" w:rsidRPr="00000000">
        <w:rPr>
          <w:rFonts w:ascii="Arial" w:cs="Arial" w:eastAsia="Arial" w:hAnsi="Arial"/>
          <w:b w:val="1"/>
          <w:bCs w:val="1"/>
          <w:color w:val="000000"/>
          <w:sz w:val="22"/>
          <w:szCs w:val="22"/>
          <w:rtl w:val="0"/>
        </w:rPr>
        <w:t xml:space="preserve">HIV as a Long-Term Condition in the United Kingdom</w:t>
      </w:r>
    </w:p>
    <w:p w:rsidR="00000000" w:rsidDel="00000000" w:rsidP="00000000" w:rsidRDefault="00000000" w:rsidRPr="00000000" w14:paraId="00000113">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development of antiretroviral therapy (ART) has turned HIV into a life-long condition and a significant issue in health and social care requirements of people living with HIV (PLWH). The higher life expectancy in the United Kingdom has led to the emergence of a larger number of people who need long-term follow-ups and psychological assistance as well as coordinated care instead of short-term clinical care (McKee et al., 2021). This has altered the outcome of studies toward quality of life, psychosocial wellbeing, and the experience of patients in the health and social care systems instead of survival and effectiveness of treatment (Remien et al., 2019).</w:t>
      </w:r>
    </w:p>
    <w:p w:rsidR="00000000" w:rsidDel="00000000" w:rsidP="00000000" w:rsidRDefault="00000000" w:rsidRPr="00000000" w14:paraId="00000114">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Qualitative studies in the UK are going to prove that people tend to explain HIV as a life-long condition, presupposing constant interaction with health care facilities and coping with social difficulties. Results of the research provided on many individuals living with HIV, they remain uncertain, fear having disclosure, and worry about a social evaluation despite good treatment (Flint, Günsche and Burns, 2022). These results indicate that long-term social and psychological support cannot be eliminated by biomedical success.</w:t>
      </w:r>
    </w:p>
    <w:p w:rsidR="00000000" w:rsidDel="00000000" w:rsidP="00000000" w:rsidRDefault="00000000" w:rsidRPr="00000000" w14:paraId="00000115">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Nonetheless, the services provided in healthcare were initially intended to address the HIV as an epidemic crisis and not a chronic condition. Consequently, service models usually stick to the specialist clinical instead of the combined long-term care. The chronic disease management reviews suggest that long-term conditions should be managed by the combination of primary care, specialists, and social support, but such integration is not always done in the case of HIV care (Mkumba et al., 2021). The given gap between clinical success and lived experience indicates the necessity of additional research that would focus on the health and social care experiences.</w:t>
      </w:r>
    </w:p>
    <w:p w:rsidR="00000000" w:rsidDel="00000000" w:rsidP="00000000" w:rsidRDefault="00000000" w:rsidRPr="00000000" w14:paraId="00000116">
      <w:pPr>
        <w:pStyle w:val="Heading3"/>
        <w:numPr>
          <w:ilvl w:val="2"/>
          <w:numId w:val="5"/>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fbuxmzu881xe" w:id="19"/>
      <w:bookmarkEnd w:id="19"/>
      <w:r w:rsidDel="00000000" w:rsidR="00000000" w:rsidRPr="00000000">
        <w:rPr>
          <w:rFonts w:ascii="Arial" w:cs="Arial" w:eastAsia="Arial" w:hAnsi="Arial"/>
          <w:b w:val="1"/>
          <w:bCs w:val="1"/>
          <w:color w:val="000000"/>
          <w:sz w:val="22"/>
          <w:szCs w:val="22"/>
          <w:rtl w:val="0"/>
        </w:rPr>
        <w:t xml:space="preserve">Stigmatization and Psychosocial Effects of HIV</w:t>
      </w:r>
    </w:p>
    <w:p w:rsidR="00000000" w:rsidDel="00000000" w:rsidP="00000000" w:rsidRDefault="00000000" w:rsidRPr="00000000" w14:paraId="00000117">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Stigma has been one of the most popular topics of study on HIV literature and still impacts the health and wellbeing of individuals who are living with it. Stigma of HIV may take place on the internal, interpersonal, and institutional levels, which are affecting mental health, interpersonal relationships, and interactions with healthcare services (Turan et al., 2016). It has been found that stigma is closely linked with depression, anxiety, and poor quality of life among PLWH (Zhang et al., 2023).</w:t>
      </w:r>
    </w:p>
    <w:p w:rsidR="00000000" w:rsidDel="00000000" w:rsidP="00000000" w:rsidRDefault="00000000" w:rsidRPr="00000000" w14:paraId="00000118">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Research studies carried out in the UK show that stigma has evolved over time and has not vanished. In a study by Hedge et al. (2021), the authors discovered that even though the levels of overt discrimination have gotten lower since the introduction of ART, the levels of stigma and fear of disclosure still exist, especially among men who have sex with men and minor ethnicities (Hedge et al., 2021).</w:t>
      </w:r>
    </w:p>
    <w:p w:rsidR="00000000" w:rsidDel="00000000" w:rsidP="00000000" w:rsidRDefault="00000000" w:rsidRPr="00000000" w14:paraId="00000119">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It is especially necessary to focus on healthcare-related stigma since it can influence service access. According to Wiginton et al. (2021), victims of discrimination in healthcare were more likely to be unmet by mental health and social support needs (Wiginton et al., 2021). Furthermore, Rai et al. (2019) discovered that not all patients were comfortable discussing HIV-related problems with the general practitioners because they either felt ignorant or were afraid of being judged, which can decrease the trust in primary care services (Rai et al., 2019).</w:t>
      </w:r>
    </w:p>
    <w:p w:rsidR="00000000" w:rsidDel="00000000" w:rsidP="00000000" w:rsidRDefault="00000000" w:rsidRPr="00000000" w14:paraId="0000011A">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As much as these studies give sufficient evidence on the ongoing effects of stigma, there are a number of limitations. Most of them are based on self-reported information and are frequently performed in specialist clinics in major cities especially London. This reduces the extrapolability of the results to other regions in the UK. Moreover, although the stigma is extensively characterized, not many studies investigate how the healthcare systems can be successful in minimizing stigma.</w:t>
      </w:r>
    </w:p>
    <w:p w:rsidR="00000000" w:rsidDel="00000000" w:rsidP="00000000" w:rsidRDefault="00000000" w:rsidRPr="00000000" w14:paraId="0000011B">
      <w:pPr>
        <w:pStyle w:val="Heading3"/>
        <w:numPr>
          <w:ilvl w:val="2"/>
          <w:numId w:val="5"/>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qveq3qqy5fdr" w:id="20"/>
      <w:bookmarkEnd w:id="20"/>
      <w:r w:rsidDel="00000000" w:rsidR="00000000" w:rsidRPr="00000000">
        <w:rPr>
          <w:rFonts w:ascii="Arial" w:cs="Arial" w:eastAsia="Arial" w:hAnsi="Arial"/>
          <w:b w:val="1"/>
          <w:bCs w:val="1"/>
          <w:color w:val="000000"/>
          <w:sz w:val="22"/>
          <w:szCs w:val="22"/>
          <w:rtl w:val="0"/>
        </w:rPr>
        <w:t xml:space="preserve">Health and Social Care and Fragmentation of Services</w:t>
      </w:r>
    </w:p>
    <w:p w:rsidR="00000000" w:rsidDel="00000000" w:rsidP="00000000" w:rsidRDefault="00000000" w:rsidRPr="00000000" w14:paraId="0000011C">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Since HIV has become a chronic illness, the people are usually in need of the assistance of various services, such as the specialist clinics, general practitioners, mental health services, and social caregivers (WHO, 2025). Good management is hence based on the coordination of various aspects of the healthcare system, but studies indicate that service fragmentation is still an issue in most cases.</w:t>
      </w:r>
    </w:p>
    <w:p w:rsidR="00000000" w:rsidDel="00000000" w:rsidP="00000000" w:rsidRDefault="00000000" w:rsidRPr="00000000" w14:paraId="0000011D">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Most of the patients have positive experiences in specialist HIV clinics but lose confidence when using general practice. Rai et al. (2019) stated that despite the majority of the participants being registered with a GP, a smaller number stated that they feel comfortable to discuss HIV-related issues because of fear of stigma or because of the primary care staff not being knowledgeable enough. Likewise, Keogh, Weatherburn and Reid (2016) established that disclosure was constrained by some patients in order to avoid negative responses, which may decrease continuity of care (Keogh, Weatherburn and Reid, 2016).</w:t>
      </w:r>
    </w:p>
    <w:p w:rsidR="00000000" w:rsidDel="00000000" w:rsidP="00000000" w:rsidRDefault="00000000" w:rsidRPr="00000000" w14:paraId="0000011E">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It is also proposed that patients have a tendency to stay in expert HIV services since they find these places more educated and helpful (Pollard et al., 2017). This choice can restrain the performance of shared-care models that are promoted by NHS policy and focus on the treatment of long-term conditions in primary care (Healey et al., 2015).</w:t>
      </w:r>
    </w:p>
    <w:p w:rsidR="00000000" w:rsidDel="00000000" w:rsidP="00000000" w:rsidRDefault="00000000" w:rsidRPr="00000000" w14:paraId="0000011F">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Though literature is clear that fragmentation is one of the issues, there is scanty literature that assesses the effectiveness of integrated care models in practice. The majority of the studies outline patient experiences as opposed to looking at the results of service delivery meaning that there is a gap that needs to be filled with research on how the health and social care systems work in tandem.</w:t>
      </w:r>
    </w:p>
    <w:p w:rsidR="00000000" w:rsidDel="00000000" w:rsidP="00000000" w:rsidRDefault="00000000" w:rsidRPr="00000000" w14:paraId="00000120">
      <w:pPr>
        <w:pStyle w:val="Heading3"/>
        <w:numPr>
          <w:ilvl w:val="2"/>
          <w:numId w:val="5"/>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be6mrl270kq" w:id="21"/>
      <w:bookmarkEnd w:id="21"/>
      <w:r w:rsidDel="00000000" w:rsidR="00000000" w:rsidRPr="00000000">
        <w:rPr>
          <w:rFonts w:ascii="Arial" w:cs="Arial" w:eastAsia="Arial" w:hAnsi="Arial"/>
          <w:b w:val="1"/>
          <w:bCs w:val="1"/>
          <w:color w:val="000000"/>
          <w:sz w:val="22"/>
          <w:szCs w:val="22"/>
          <w:rtl w:val="0"/>
        </w:rPr>
        <w:t xml:space="preserve">Multimorbidity and Ageing with HIV</w:t>
      </w:r>
    </w:p>
    <w:p w:rsidR="00000000" w:rsidDel="00000000" w:rsidP="00000000" w:rsidRDefault="00000000" w:rsidRPr="00000000" w14:paraId="00000121">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With the emergence of new health and social care challenges, most people are living longer due to the improved treatment, putting pressure on health and social care systems. The elderly people with HIV are at risk of acquiring other chronic issues, such as cardiovascular disease, mental health issues, and medication-related issues, necessitating the interdisciplinary approach of having multiple services (Kokorelias et al., 2025).</w:t>
      </w:r>
    </w:p>
    <w:p w:rsidR="00000000" w:rsidDel="00000000" w:rsidP="00000000" w:rsidRDefault="00000000" w:rsidRPr="00000000" w14:paraId="00000122">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Elderly people might also encounter special psychosocial problems. Yousef et al. (2018) discovered that the older adults were less prone to the perception of risk of HIV that can result in later diagnosis and worse health outcomes (Youssef et al., 2018).  Pollard et al. (2018) also found that a large number of older patients do not want to leave the specialist HIV clinics due to their fears of confidentiality and their ignorance of general practice. This implies that the existing service models can be not entirely ready to address the needs of an ageing population.</w:t>
      </w:r>
    </w:p>
    <w:p w:rsidR="00000000" w:rsidDel="00000000" w:rsidP="00000000" w:rsidRDefault="00000000" w:rsidRPr="00000000" w14:paraId="00000123">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Still, there are numerous studies based on clinical outcomes and few studies are aimed at the lived experience and prevalence of ageing with HIV in the UK. This underscores the importance of possible qualitative research studies that investigate the experiences of older adults regarding the health and social care services.</w:t>
      </w:r>
    </w:p>
    <w:p w:rsidR="00000000" w:rsidDel="00000000" w:rsidP="00000000" w:rsidRDefault="00000000" w:rsidRPr="00000000" w14:paraId="00000124">
      <w:pPr>
        <w:pStyle w:val="Heading3"/>
        <w:numPr>
          <w:ilvl w:val="2"/>
          <w:numId w:val="5"/>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30ii3jsph792" w:id="22"/>
      <w:bookmarkEnd w:id="22"/>
      <w:r w:rsidDel="00000000" w:rsidR="00000000" w:rsidRPr="00000000">
        <w:rPr>
          <w:rFonts w:ascii="Arial" w:cs="Arial" w:eastAsia="Arial" w:hAnsi="Arial"/>
          <w:b w:val="1"/>
          <w:bCs w:val="1"/>
          <w:color w:val="000000"/>
          <w:sz w:val="22"/>
          <w:szCs w:val="22"/>
          <w:rtl w:val="0"/>
        </w:rPr>
        <w:t xml:space="preserve">Cultural, Social and Structural Inequalities</w:t>
      </w:r>
    </w:p>
    <w:p w:rsidR="00000000" w:rsidDel="00000000" w:rsidP="00000000" w:rsidRDefault="00000000" w:rsidRPr="00000000" w14:paraId="00000125">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Social and cultural factors that affect experiences of HIV care include ethnicity, gender, sexuality, and status of migration. According to intersectionality theory, people can be exposed to more than one type of disadvantage simultaneously, which can have an impact on the access to healthcare and overall wellness (Crenshaw, 1989).</w:t>
      </w:r>
    </w:p>
    <w:p w:rsidR="00000000" w:rsidDel="00000000" w:rsidP="00000000" w:rsidRDefault="00000000" w:rsidRPr="00000000" w14:paraId="00000126">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Research carried out with the African and Caribbean people in the UK demonstrates that cultural beliefs and fear of social disassociation could contribute to stigma. Cultural and religious perception towards HIV influenced HIV treatment and disclosure among Black Africans and the Caribbean participants (Ngcobo and Zhandire, 2025). African and Caribbean females mentioned the fear of being judged by the community and the distrust towards healthcare services.</w:t>
      </w:r>
    </w:p>
    <w:p w:rsidR="00000000" w:rsidDel="00000000" w:rsidP="00000000" w:rsidRDefault="00000000" w:rsidRPr="00000000" w14:paraId="00000127">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studies on migrant women are no exception because it has been found that legal status, social isolation, and cultural expectations can impact the service utilization. Ndirangu and Evans (2008) discovered that positive relationships with health practitioners contributed to managing the stigma in the individuals, yet the culture and migration barriers were still critical (Ndirangu and Evans, 2008).</w:t>
      </w:r>
    </w:p>
    <w:p w:rsidR="00000000" w:rsidDel="00000000" w:rsidP="00000000" w:rsidRDefault="00000000" w:rsidRPr="00000000" w14:paraId="00000128">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Even though more studies are conducted about particular populations, most of them focus on individual populations but not on the comparison of the experiences of different groups. This renders the concept of social inequalities and interaction with healthcare systems hard to comprehend, meaning the necessity of the research that will generalise evidence among various groups.</w:t>
      </w:r>
    </w:p>
    <w:p w:rsidR="00000000" w:rsidDel="00000000" w:rsidP="00000000" w:rsidRDefault="00000000" w:rsidRPr="00000000" w14:paraId="00000129">
      <w:pPr>
        <w:pStyle w:val="Heading3"/>
        <w:numPr>
          <w:ilvl w:val="2"/>
          <w:numId w:val="5"/>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q4bc2xr9uvg5" w:id="23"/>
      <w:bookmarkEnd w:id="23"/>
      <w:r w:rsidDel="00000000" w:rsidR="00000000" w:rsidRPr="00000000">
        <w:rPr>
          <w:rFonts w:ascii="Arial" w:cs="Arial" w:eastAsia="Arial" w:hAnsi="Arial"/>
          <w:b w:val="1"/>
          <w:bCs w:val="1"/>
          <w:color w:val="000000"/>
          <w:sz w:val="22"/>
          <w:szCs w:val="22"/>
          <w:rtl w:val="0"/>
        </w:rPr>
        <w:t xml:space="preserve">Significance of Qualitative Evidence and Patient Experience Research</w:t>
      </w:r>
    </w:p>
    <w:p w:rsidR="00000000" w:rsidDel="00000000" w:rsidP="00000000" w:rsidRDefault="00000000" w:rsidRPr="00000000" w14:paraId="0000012A">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Quantitative studies have volunteered helpful information regarding prevalence, treatment results and utilisation of services, yet it does not enlighten fully on how individuals live with HIV. Qualitative study enables the examination of feelings, interpersonal relations, and daily difficulties, which are necessary to comprehend the health and social care requirements (Pyo et al., 2023).</w:t>
      </w:r>
    </w:p>
    <w:p w:rsidR="00000000" w:rsidDel="00000000" w:rsidP="00000000" w:rsidRDefault="00000000" w:rsidRPr="00000000" w14:paraId="0000012B">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Long-term conditions are especially vulnerable to patient experience studies as they can show a problem that might not be apparent in clinical data, like fear of stigma, dissatisfaction with services, or problems navigating the healthcare systems (Zhu et al., 2022). Such a review of qualitative research highlights that the analysis of lived experience can inform the creation of more person-oriented services.</w:t>
      </w:r>
    </w:p>
    <w:p w:rsidR="00000000" w:rsidDel="00000000" w:rsidP="00000000" w:rsidRDefault="00000000" w:rsidRPr="00000000" w14:paraId="0000012C">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Although a number of qualitative studies have been increasing, these are not synthesized in terms of the UK context, or in terms of health and social care experiences and not prevention or treatment outcomes. This lapse is the reason why the current study will be relevant, as the purpose is to synthesise the current body of qualitative and mixed-method research in order to gain a better insight into how individuals with HIV perceive health and social care in the United Kingdom.</w:t>
      </w:r>
    </w:p>
    <w:p w:rsidR="00000000" w:rsidDel="00000000" w:rsidP="00000000" w:rsidRDefault="00000000" w:rsidRPr="00000000" w14:paraId="0000012D">
      <w:pPr>
        <w:pStyle w:val="Heading2"/>
        <w:numPr>
          <w:ilvl w:val="1"/>
          <w:numId w:val="5"/>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z0z1yqq562vy" w:id="24"/>
      <w:bookmarkEnd w:id="24"/>
      <w:r w:rsidDel="00000000" w:rsidR="00000000" w:rsidRPr="00000000">
        <w:rPr>
          <w:rFonts w:ascii="Arial" w:cs="Arial" w:eastAsia="Arial" w:hAnsi="Arial"/>
          <w:b w:val="1"/>
          <w:bCs w:val="1"/>
          <w:color w:val="000000"/>
          <w:sz w:val="22"/>
          <w:szCs w:val="22"/>
          <w:rtl w:val="0"/>
        </w:rPr>
        <w:t xml:space="preserve">Research Gap</w:t>
      </w:r>
    </w:p>
    <w:p w:rsidR="00000000" w:rsidDel="00000000" w:rsidP="00000000" w:rsidRDefault="00000000" w:rsidRPr="00000000" w14:paraId="0000012E">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Despite an extensive literature that has been conducted to understand stigma, access to healthcare, ageing with HIV and the effects of culture on the lives of people living with HIV in the United Kingdom, the literature has a number of gaps that have been left. Numerous investigations have been conducted on particular matters including stigma, primary care experience, ageing with HIV, or cultural barriers among minority communities, but few studies have detailed these issues in the same framework of health and social care experiences. Moreover, it is possible that a large part of the existing literature utilises small qualitative samples or is done in specialised clinics in London, which further restricts the external validity of the results to the general UK population. The positive voices study presented quantitative surveys that are wider, but they fail to elaborate on lived experiences. Besides, limited research has integrated qualitative and mixed-method evidence to comprehend the interplay between stigma, fragmentation in the service, ageing, and social inequalities to impact the experience of patients throughout the health and social care system. Thus, the systematic review that will bring together the available literature to gain a deeper insight into the health and social care experiences of HIV-affected individuals in the UK is required, and it is against this that the current study is based.</w:t>
      </w:r>
    </w:p>
    <w:p w:rsidR="00000000" w:rsidDel="00000000" w:rsidP="00000000" w:rsidRDefault="00000000" w:rsidRPr="00000000" w14:paraId="0000012F">
      <w:pPr>
        <w:pStyle w:val="Heading2"/>
        <w:numPr>
          <w:ilvl w:val="1"/>
          <w:numId w:val="5"/>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dfh76vvmkf9p" w:id="25"/>
      <w:bookmarkEnd w:id="25"/>
      <w:r w:rsidDel="00000000" w:rsidR="00000000" w:rsidRPr="00000000">
        <w:rPr>
          <w:rFonts w:ascii="Arial" w:cs="Arial" w:eastAsia="Arial" w:hAnsi="Arial"/>
          <w:b w:val="1"/>
          <w:bCs w:val="1"/>
          <w:color w:val="000000"/>
          <w:sz w:val="22"/>
          <w:szCs w:val="22"/>
          <w:rtl w:val="0"/>
        </w:rPr>
        <w:t xml:space="preserve">Chapter Summary</w:t>
      </w:r>
    </w:p>
    <w:p w:rsidR="00000000" w:rsidDel="00000000" w:rsidP="00000000" w:rsidRDefault="00000000" w:rsidRPr="00000000" w14:paraId="00000130">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chapter has examined the current literature on health and social care experiences of people living with HIV </w:t>
      </w:r>
      <w:r w:rsidDel="00000000" w:rsidR="00000000" w:rsidRPr="00000000">
        <w:rPr>
          <w:rFonts w:ascii="Arial" w:cs="Arial" w:eastAsia="Arial" w:hAnsi="Arial"/>
          <w:sz w:val="22"/>
          <w:szCs w:val="22"/>
          <w:rtl w:val="0"/>
        </w:rPr>
        <w:t xml:space="preserve">in United</w:t>
      </w:r>
      <w:r w:rsidDel="00000000" w:rsidR="00000000" w:rsidRPr="00000000">
        <w:rPr>
          <w:rFonts w:ascii="Arial" w:cs="Arial" w:eastAsia="Arial" w:hAnsi="Arial"/>
          <w:sz w:val="22"/>
          <w:szCs w:val="22"/>
          <w:rtl w:val="0"/>
        </w:rPr>
        <w:t xml:space="preserve"> Kingdom based on HIV as a long-term condition, the effects of stigma, access to healthcare services, ageing with HIV, and the role of social and cultural factors. The review has indicated that even with the positive outcomes brought about by biomedical treatment and issues of stigma, disjointed care and inequalities still exist. It is based on the gaps found in existing research that the rationale behind this study is contained. The next chapter contains the description of the methodology applied to perform the systematic review.</w:t>
      </w:r>
    </w:p>
    <w:p w:rsidR="00000000" w:rsidDel="00000000" w:rsidP="00000000" w:rsidRDefault="00000000" w:rsidRPr="00000000" w14:paraId="00000131">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2">
      <w:pPr>
        <w:pStyle w:val="Heading1"/>
        <w:numPr>
          <w:ilvl w:val="0"/>
          <w:numId w:val="6"/>
        </w:numPr>
        <w:spacing w:after="240" w:before="240" w:line="360" w:lineRule="auto"/>
        <w:ind w:left="720" w:hanging="360"/>
        <w:jc w:val="center"/>
        <w:rPr>
          <w:rFonts w:ascii="Arial" w:cs="Arial" w:eastAsia="Arial" w:hAnsi="Arial"/>
          <w:b w:val="1"/>
          <w:bCs w:val="1"/>
          <w:color w:val="000000"/>
          <w:sz w:val="22"/>
          <w:szCs w:val="22"/>
        </w:rPr>
      </w:pPr>
      <w:bookmarkStart w:colFirst="0" w:colLast="0" w:name="_heading=h.ipgnarl3bql9" w:id="26"/>
      <w:bookmarkEnd w:id="26"/>
      <w:r w:rsidDel="00000000" w:rsidR="00000000" w:rsidRPr="00000000">
        <w:rPr>
          <w:rFonts w:ascii="Arial" w:cs="Arial" w:eastAsia="Arial" w:hAnsi="Arial"/>
          <w:b w:val="1"/>
          <w:bCs w:val="1"/>
          <w:color w:val="000000"/>
          <w:sz w:val="22"/>
          <w:szCs w:val="22"/>
          <w:rtl w:val="0"/>
        </w:rPr>
        <w:t xml:space="preserve">Chapter 3: Methodology</w:t>
      </w:r>
    </w:p>
    <w:p w:rsidR="00000000" w:rsidDel="00000000" w:rsidP="00000000" w:rsidRDefault="00000000" w:rsidRPr="00000000" w14:paraId="00000133">
      <w:pPr>
        <w:pStyle w:val="Heading2"/>
        <w:numPr>
          <w:ilvl w:val="1"/>
          <w:numId w:val="6"/>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35pifob1hh7m" w:id="27"/>
      <w:bookmarkEnd w:id="27"/>
      <w:r w:rsidDel="00000000" w:rsidR="00000000" w:rsidRPr="00000000">
        <w:rPr>
          <w:rFonts w:ascii="Arial" w:cs="Arial" w:eastAsia="Arial" w:hAnsi="Arial"/>
          <w:b w:val="1"/>
          <w:bCs w:val="1"/>
          <w:color w:val="000000"/>
          <w:sz w:val="22"/>
          <w:szCs w:val="22"/>
          <w:rtl w:val="0"/>
        </w:rPr>
        <w:t xml:space="preserve">Introduction to Chapter</w:t>
      </w:r>
    </w:p>
    <w:p w:rsidR="00000000" w:rsidDel="00000000" w:rsidP="00000000" w:rsidRDefault="00000000" w:rsidRPr="00000000" w14:paraId="00000134">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 systematic literature review (SLR) was selected to justify a rigorous and transparent synthesis of qualitative evidence in responding to the research question (Gusenbauer and Gauster, 2024). The search strategy on the premises of the PEO framework, search terms and key aspects of the search design, selection and exclusion criteria of databases, and design of the search are described in the chapter. It also provides a description of the selection process of the research according to the PRISMA guideline and ethical concerns of the secondary research. </w:t>
      </w:r>
    </w:p>
    <w:p w:rsidR="00000000" w:rsidDel="00000000" w:rsidP="00000000" w:rsidRDefault="00000000" w:rsidRPr="00000000" w14:paraId="00000135">
      <w:pPr>
        <w:pStyle w:val="Heading2"/>
        <w:numPr>
          <w:ilvl w:val="1"/>
          <w:numId w:val="6"/>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x0h3pe62uwgc" w:id="28"/>
      <w:bookmarkEnd w:id="28"/>
      <w:r w:rsidDel="00000000" w:rsidR="00000000" w:rsidRPr="00000000">
        <w:rPr>
          <w:rFonts w:ascii="Arial" w:cs="Arial" w:eastAsia="Arial" w:hAnsi="Arial"/>
          <w:b w:val="1"/>
          <w:bCs w:val="1"/>
          <w:color w:val="000000"/>
          <w:sz w:val="22"/>
          <w:szCs w:val="22"/>
          <w:rtl w:val="0"/>
        </w:rPr>
        <w:t xml:space="preserve">Systematic Literature Review (SLR)</w:t>
      </w:r>
    </w:p>
    <w:p w:rsidR="00000000" w:rsidDel="00000000" w:rsidP="00000000" w:rsidRDefault="00000000" w:rsidRPr="00000000" w14:paraId="00000136">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research has embraced a systematic literature review (SLR) to find, evaluate, and integrate qualitative evidence concerning the health and social care experience of people with HIV in the UK. A well-defined research question and a clearly defined, well-transmitted protocol was applied to prevent bias and, consequently, improve the reproducibility of the review. The SLR in the present research included a systematic search of several academic databases, including PubMed, CINAHL, Scopus, Web of Science, JSTOR, and Google Scholar, using structured search strings based on the PEO framework below.</w:t>
      </w:r>
    </w:p>
    <w:p w:rsidR="00000000" w:rsidDel="00000000" w:rsidP="00000000" w:rsidRDefault="00000000" w:rsidRPr="00000000" w14:paraId="00000137">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8">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9">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A">
      <w:pPr>
        <w:spacing w:after="240" w:before="240" w:line="360" w:lineRule="auto"/>
        <w:jc w:val="both"/>
        <w:rPr>
          <w:rFonts w:ascii="Arial" w:cs="Arial" w:eastAsia="Arial" w:hAnsi="Arial"/>
          <w:sz w:val="22"/>
          <w:szCs w:val="22"/>
        </w:rPr>
      </w:pPr>
      <w:r w:rsidDel="00000000" w:rsidR="00000000" w:rsidRPr="00000000">
        <w:rPr>
          <w:rtl w:val="0"/>
        </w:rPr>
      </w:r>
    </w:p>
    <w:tbl>
      <w:tblPr>
        <w:tblStyle w:val="Table1"/>
        <w:tblpPr w:leftFromText="180" w:rightFromText="180" w:topFromText="0" w:bottomFromText="0" w:vertAnchor="text" w:horzAnchor="text" w:tblpX="0" w:tblpY="111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437"/>
        <w:gridCol w:w="6579"/>
        <w:tblGridChange w:id="0">
          <w:tblGrid>
            <w:gridCol w:w="2437"/>
            <w:gridCol w:w="6579"/>
          </w:tblGrid>
        </w:tblGridChange>
      </w:tblGrid>
      <w:tr>
        <w:trPr>
          <w:cantSplit w:val="0"/>
          <w:tblHeader w:val="0"/>
        </w:trPr>
        <w:tc>
          <w:tcPr>
            <w:vAlign w:val="center"/>
          </w:tcPr>
          <w:p w:rsidR="00000000" w:rsidDel="00000000" w:rsidP="00000000" w:rsidRDefault="00000000" w:rsidRPr="00000000" w14:paraId="0000013B">
            <w:pPr>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PEO Component</w:t>
            </w:r>
            <w:r w:rsidDel="00000000" w:rsidR="00000000" w:rsidRPr="00000000">
              <w:rPr>
                <w:rtl w:val="0"/>
              </w:rPr>
            </w:r>
          </w:p>
        </w:tc>
        <w:tc>
          <w:tcPr>
            <w:vAlign w:val="center"/>
          </w:tcPr>
          <w:p w:rsidR="00000000" w:rsidDel="00000000" w:rsidP="00000000" w:rsidRDefault="00000000" w:rsidRPr="00000000" w14:paraId="0000013C">
            <w:pPr>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Description</w:t>
            </w:r>
            <w:r w:rsidDel="00000000" w:rsidR="00000000" w:rsidRPr="00000000">
              <w:rPr>
                <w:rtl w:val="0"/>
              </w:rPr>
            </w:r>
          </w:p>
        </w:tc>
      </w:tr>
      <w:tr>
        <w:trPr>
          <w:cantSplit w:val="0"/>
          <w:tblHeader w:val="0"/>
        </w:trPr>
        <w:tc>
          <w:tcPr>
            <w:vAlign w:val="center"/>
          </w:tcPr>
          <w:p w:rsidR="00000000" w:rsidDel="00000000" w:rsidP="00000000" w:rsidRDefault="00000000" w:rsidRPr="00000000" w14:paraId="0000013D">
            <w:pPr>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Population (P)</w:t>
            </w:r>
            <w:r w:rsidDel="00000000" w:rsidR="00000000" w:rsidRPr="00000000">
              <w:rPr>
                <w:rtl w:val="0"/>
              </w:rPr>
            </w:r>
          </w:p>
        </w:tc>
        <w:tc>
          <w:tcPr>
            <w:vAlign w:val="center"/>
          </w:tcPr>
          <w:p w:rsidR="00000000" w:rsidDel="00000000" w:rsidP="00000000" w:rsidRDefault="00000000" w:rsidRPr="00000000" w14:paraId="0000013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People living with HIV (PLWH) in the United Kingdom</w:t>
            </w:r>
          </w:p>
        </w:tc>
      </w:tr>
      <w:tr>
        <w:trPr>
          <w:cantSplit w:val="0"/>
          <w:tblHeader w:val="0"/>
        </w:trPr>
        <w:tc>
          <w:tcPr>
            <w:vAlign w:val="center"/>
          </w:tcPr>
          <w:p w:rsidR="00000000" w:rsidDel="00000000" w:rsidP="00000000" w:rsidRDefault="00000000" w:rsidRPr="00000000" w14:paraId="0000013F">
            <w:pPr>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Exposure (E)</w:t>
            </w:r>
            <w:r w:rsidDel="00000000" w:rsidR="00000000" w:rsidRPr="00000000">
              <w:rPr>
                <w:rtl w:val="0"/>
              </w:rPr>
            </w:r>
          </w:p>
        </w:tc>
        <w:tc>
          <w:tcPr>
            <w:vAlign w:val="center"/>
          </w:tcPr>
          <w:p w:rsidR="00000000" w:rsidDel="00000000" w:rsidP="00000000" w:rsidRDefault="00000000" w:rsidRPr="00000000" w14:paraId="00000140">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Experiences of health and social care services, including access to care, stigma, discrimination, and service provision</w:t>
            </w:r>
          </w:p>
        </w:tc>
      </w:tr>
      <w:tr>
        <w:trPr>
          <w:cantSplit w:val="0"/>
          <w:trHeight w:val="660" w:hRule="atLeast"/>
          <w:tblHeader w:val="0"/>
        </w:trPr>
        <w:tc>
          <w:tcPr>
            <w:vAlign w:val="center"/>
          </w:tcPr>
          <w:p w:rsidR="00000000" w:rsidDel="00000000" w:rsidP="00000000" w:rsidRDefault="00000000" w:rsidRPr="00000000" w14:paraId="00000141">
            <w:pPr>
              <w:spacing w:line="36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Outcome (O)</w:t>
            </w:r>
            <w:r w:rsidDel="00000000" w:rsidR="00000000" w:rsidRPr="00000000">
              <w:rPr>
                <w:rtl w:val="0"/>
              </w:rPr>
            </w:r>
          </w:p>
        </w:tc>
        <w:tc>
          <w:tcPr>
            <w:vAlign w:val="center"/>
          </w:tcPr>
          <w:p w:rsidR="00000000" w:rsidDel="00000000" w:rsidP="00000000" w:rsidRDefault="00000000" w:rsidRPr="00000000" w14:paraId="0000014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Mental wellbeing, social support, quality of life, and perceived adequacy of health and social care</w:t>
            </w:r>
          </w:p>
        </w:tc>
      </w:tr>
    </w:tbl>
    <w:p w:rsidR="00000000" w:rsidDel="00000000" w:rsidP="00000000" w:rsidRDefault="00000000" w:rsidRPr="00000000" w14:paraId="00000143">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(Table 1 PEO Framework should be put here.)</w:t>
      </w:r>
    </w:p>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center"/>
        <w:rPr>
          <w:rFonts w:ascii="Arial" w:cs="Arial" w:eastAsia="Arial" w:hAnsi="Arial"/>
          <w:b w:val="1"/>
          <w:bCs w:val="1"/>
          <w:i w:val="0"/>
          <w:iCs w:val="0"/>
          <w:smallCaps w:val="1"/>
          <w:strike w:val="0"/>
          <w:color w:val="595959"/>
          <w:sz w:val="22"/>
          <w:szCs w:val="22"/>
          <w:u w:val="none"/>
          <w:shd w:fill="auto" w:val="clear"/>
          <w:vertAlign w:val="baseline"/>
        </w:rPr>
      </w:pPr>
      <w:bookmarkStart w:colFirst="0" w:colLast="0" w:name="_heading=h.wf2j7qim3vdj" w:id="29"/>
      <w:bookmarkEnd w:id="29"/>
      <w:r w:rsidDel="00000000" w:rsidR="00000000" w:rsidRPr="00000000">
        <w:rPr>
          <w:rFonts w:ascii="Calibri" w:cs="Calibri" w:eastAsia="Calibri" w:hAnsi="Calibri"/>
          <w:b w:val="1"/>
          <w:bCs w:val="1"/>
          <w:i w:val="0"/>
          <w:iCs w:val="0"/>
          <w:smallCaps w:val="1"/>
          <w:strike w:val="0"/>
          <w:color w:val="595959"/>
          <w:sz w:val="20"/>
          <w:szCs w:val="20"/>
          <w:u w:val="none"/>
          <w:shd w:fill="auto" w:val="clear"/>
          <w:vertAlign w:val="baseline"/>
          <w:rtl w:val="0"/>
        </w:rPr>
        <w:t xml:space="preserve">Table 1 PEO Framework</w:t>
      </w:r>
      <w:r w:rsidDel="00000000" w:rsidR="00000000" w:rsidRPr="00000000">
        <w:rPr>
          <w:rtl w:val="0"/>
        </w:rPr>
      </w:r>
    </w:p>
    <w:p w:rsidR="00000000" w:rsidDel="00000000" w:rsidP="00000000" w:rsidRDefault="00000000" w:rsidRPr="00000000" w14:paraId="00000145">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6">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searches were restricted to studies published in English since 2010 and to populations within the UK. The student researcher reviewed the retrieved records twice, first with title and abstract screening, then with full-text screening against established inclusion and exclusion criteria. Relevant, high-quality methodological eligibility criteria were critically appraised, and the synthesis of findings was done using thematic analysis. This strategy enabled a stringent, thorough qualitative study to address the research purpose and inform policy, practice, and subsequent research decisions (Alessandro et al., 2025).</w:t>
      </w:r>
    </w:p>
    <w:p w:rsidR="00000000" w:rsidDel="00000000" w:rsidP="00000000" w:rsidRDefault="00000000" w:rsidRPr="00000000" w14:paraId="00000147">
      <w:pPr>
        <w:pStyle w:val="Heading2"/>
        <w:numPr>
          <w:ilvl w:val="1"/>
          <w:numId w:val="6"/>
        </w:numPr>
        <w:spacing w:after="240" w:before="240" w:line="360" w:lineRule="auto"/>
        <w:ind w:left="1080" w:hanging="720"/>
        <w:jc w:val="both"/>
        <w:rPr>
          <w:rFonts w:ascii="Arial" w:cs="Arial" w:eastAsia="Arial" w:hAnsi="Arial"/>
          <w:b w:val="1"/>
          <w:bCs w:val="1"/>
          <w:sz w:val="22"/>
          <w:szCs w:val="22"/>
        </w:rPr>
      </w:pPr>
      <w:bookmarkStart w:colFirst="0" w:colLast="0" w:name="_heading=h.la5lrur4pcgz" w:id="30"/>
      <w:bookmarkEnd w:id="30"/>
      <w:r w:rsidDel="00000000" w:rsidR="00000000" w:rsidRPr="00000000">
        <w:rPr>
          <w:rFonts w:ascii="Arial" w:cs="Arial" w:eastAsia="Arial" w:hAnsi="Arial"/>
          <w:b w:val="1"/>
          <w:bCs w:val="1"/>
          <w:sz w:val="22"/>
          <w:szCs w:val="22"/>
          <w:rtl w:val="0"/>
        </w:rPr>
        <w:t xml:space="preserve">Search Strategy</w:t>
      </w:r>
    </w:p>
    <w:p w:rsidR="00000000" w:rsidDel="00000000" w:rsidP="00000000" w:rsidRDefault="00000000" w:rsidRPr="00000000" w14:paraId="00000148">
      <w:pPr>
        <w:spacing w:after="240" w:before="240" w:line="360" w:lineRule="auto"/>
        <w:jc w:val="both"/>
        <w:rPr>
          <w:rFonts w:ascii="Arial" w:cs="Arial" w:eastAsia="Arial" w:hAnsi="Arial"/>
          <w:sz w:val="22"/>
          <w:szCs w:val="22"/>
          <w:highlight w:val="white"/>
        </w:rPr>
      </w:pPr>
      <w:r w:rsidDel="00000000" w:rsidR="00000000" w:rsidRPr="00000000">
        <w:rPr>
          <w:rFonts w:ascii="Arial" w:cs="Arial" w:eastAsia="Arial" w:hAnsi="Arial"/>
          <w:sz w:val="22"/>
          <w:szCs w:val="22"/>
          <w:highlight w:val="white"/>
          <w:rtl w:val="0"/>
        </w:rPr>
        <w:t xml:space="preserve">Brammer et al. (2018) define a search strategy as a methodical and repeatable procedure to find useful literature. As part of this work, the search strategy was developed to identify evidence concerning the health and social care experience of individuals living with HIV in the UK, especially in terms of HIV as a long-term condition with antiretroviral therapy (ART) as the most widespread approach to managing HIV that has increased life expectancy and shifted research priorities towards the quality of life and long-term care requirement (Remien et al., 2019; World Health Organization, The search was organized using the PEO (Population, Exposure, Outcome) framework, which is most appropriate to qualitative studies that examine lived experiences (Capili, 2020). The population was made up of individuals who are living with HIV in the UK, the exposure was on health and social care service experiences including stigma, access, support and the outcomes included mental wellbeing, social experiences and quality of life. A meticulous search took place in databases like PubMed, CINAHL, Scopus, Web of science and Google scholar, as well as grey literature databases such as NHS and UK Health security agency reports. Only the studies published in English in 2010-2025 were considered to correspond to the current HIV care practices and policies.</w:t>
      </w:r>
    </w:p>
    <w:p w:rsidR="00000000" w:rsidDel="00000000" w:rsidP="00000000" w:rsidRDefault="00000000" w:rsidRPr="00000000" w14:paraId="00000149">
      <w:pPr>
        <w:keepNext w:val="0"/>
        <w:keepLines w:val="0"/>
        <w:pageBreakBefore w:val="0"/>
        <w:widowControl w:val="1"/>
        <w:numPr>
          <w:ilvl w:val="1"/>
          <w:numId w:val="6"/>
        </w:numPr>
        <w:pBdr>
          <w:top w:space="0" w:sz="0" w:val="nil"/>
          <w:left w:space="0" w:sz="0" w:val="nil"/>
          <w:bottom w:space="0" w:sz="0" w:val="nil"/>
          <w:right w:space="0" w:sz="0" w:val="nil"/>
          <w:between w:space="0" w:sz="0" w:val="nil"/>
        </w:pBdr>
        <w:shd w:fill="auto" w:val="clear"/>
        <w:spacing w:after="240" w:before="240" w:line="360" w:lineRule="auto"/>
        <w:ind w:left="1080" w:right="0" w:hanging="720"/>
        <w:jc w:val="both"/>
        <w:rPr>
          <w:rFonts w:ascii="Arial" w:cs="Arial" w:eastAsia="Arial" w:hAnsi="Arial"/>
          <w:b w:val="1"/>
          <w:bCs w:val="1"/>
          <w:i w:val="0"/>
          <w:iCs w:val="0"/>
          <w:smallCaps w:val="0"/>
          <w:strike w:val="0"/>
          <w:color w:val="000000"/>
          <w:sz w:val="22"/>
          <w:szCs w:val="22"/>
          <w:u w:val="none"/>
          <w:shd w:fill="auto" w:val="clear"/>
          <w:vertAlign w:val="baseline"/>
        </w:rPr>
      </w:pPr>
      <w:bookmarkStart w:colFirst="0" w:colLast="0" w:name="_heading=h.n2z70kp8c9w1" w:id="31"/>
      <w:bookmarkEnd w:id="31"/>
      <w:r w:rsidDel="00000000" w:rsidR="00000000" w:rsidRPr="00000000">
        <w:rPr>
          <w:rFonts w:ascii="Arial" w:cs="Arial" w:eastAsia="Arial" w:hAnsi="Arial"/>
          <w:b w:val="1"/>
          <w:bCs w:val="1"/>
          <w:i w:val="0"/>
          <w:iCs w:val="0"/>
          <w:smallCaps w:val="0"/>
          <w:strike w:val="0"/>
          <w:color w:val="404040"/>
          <w:sz w:val="22"/>
          <w:szCs w:val="22"/>
          <w:u w:val="none"/>
          <w:shd w:fill="auto" w:val="clear"/>
          <w:vertAlign w:val="baseline"/>
          <w:rtl w:val="0"/>
        </w:rPr>
        <w:t xml:space="preserve">Search terms</w:t>
      </w:r>
      <w:r w:rsidDel="00000000" w:rsidR="00000000" w:rsidRPr="00000000">
        <w:rPr>
          <w:rtl w:val="0"/>
        </w:rPr>
      </w:r>
    </w:p>
    <w:p w:rsidR="00000000" w:rsidDel="00000000" w:rsidP="00000000" w:rsidRDefault="00000000" w:rsidRPr="00000000" w14:paraId="0000014A">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Search terms refer to specific words and phrases that are employed to locate the pertinent literature in the academic databases in a reproducible and methodical way (University of Leeds, 2022). When conducting research, search terms should be selected carefully so that all the studies which are of interest are searched and less irrelevant materials are retrieved. Well-defined search terms are also used to enhance the sensitivity and specificity of the search and maximise the comprehensiveness and validity of the systematic literature review (Ciemer et al., 2025).</w:t>
      </w:r>
    </w:p>
    <w:p w:rsidR="00000000" w:rsidDel="00000000" w:rsidP="00000000" w:rsidRDefault="00000000" w:rsidRPr="00000000" w14:paraId="0000014B">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Systematic reviews are especially sensitive in terms of the use of synonyms and other related terms since different authors might employ various terminology to mean the same thing (Martinez et al., 2025). As an example, individuals with HIV can also be addressed as PLWH, HIV-positive people, or persons with HIV, whereas health and social care services can be addressed with references to such words as service access, care utilisation, or patient experiences. The use of synonyms, spelling differences, and other related expressions would make sure that one does not filter away the appropriate studies because there was a variation in the use of language across different disciplines and databases (Henriksson et al., 2014).</w:t>
      </w:r>
    </w:p>
    <w:p w:rsidR="00000000" w:rsidDel="00000000" w:rsidP="00000000" w:rsidRDefault="00000000" w:rsidRPr="00000000" w14:paraId="0000014C">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following search question was used to conduct the review: What are the health and social care experiences of people with HIV in the UK? The search of the database was done systematically in the form of breaking down the PEO components into individual search blocks.</w:t>
      </w:r>
    </w:p>
    <w:p w:rsidR="00000000" w:rsidDel="00000000" w:rsidP="00000000" w:rsidRDefault="00000000" w:rsidRPr="00000000" w14:paraId="0000014D">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Search 1 (Population) was searching for individuals with HIV using the following syntax:</w:t>
        <w:br w:type="textWrapping"/>
        <w:t xml:space="preserve">AND (HIV OR human immunodeficiency virus or HIV-positive or people living with HIV).</w:t>
      </w:r>
    </w:p>
    <w:p w:rsidR="00000000" w:rsidDel="00000000" w:rsidP="00000000" w:rsidRDefault="00000000" w:rsidRPr="00000000" w14:paraId="0000014E">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Search 2 (Exposure) covered the experience of health and social care and had the syntax:</w:t>
        <w:br w:type="textWrapping"/>
        <w:t xml:space="preserve">(“health care” OR “social care” OR “service access”) OR “stigma” OR “discrimination” OR “patient experience”).</w:t>
      </w:r>
    </w:p>
    <w:p w:rsidR="00000000" w:rsidDel="00000000" w:rsidP="00000000" w:rsidRDefault="00000000" w:rsidRPr="00000000" w14:paraId="0000014F">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Search 3 (Outcome): The psychosocial outcomes were captured with the following syntax:</w:t>
        <w:br w:type="textWrapping"/>
        <w:t xml:space="preserve">(“mental health” OR “wellbeing” OR “quality of life” OR “social support”)</w:t>
      </w:r>
    </w:p>
    <w:p w:rsidR="00000000" w:rsidDel="00000000" w:rsidP="00000000" w:rsidRDefault="00000000" w:rsidRPr="00000000" w14:paraId="00000150">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Using the Boolean operator AND, the last database searches were a combination of all three search blocks as shown below: </w:t>
      </w:r>
    </w:p>
    <w:p w:rsidR="00000000" w:rsidDel="00000000" w:rsidP="00000000" w:rsidRDefault="00000000" w:rsidRPr="00000000" w14:paraId="00000151">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And (HIV OR human immunodeficiency virus OR HIV-positive OR people living with HIV) AND (health care or social care or service access or stigma or discrimination or patient experience) AND (mental health or wellbeing or quality of life or social support).</w:t>
      </w:r>
    </w:p>
    <w:p w:rsidR="00000000" w:rsidDel="00000000" w:rsidP="00000000" w:rsidRDefault="00000000" w:rsidRPr="00000000" w14:paraId="00000152">
      <w:pPr>
        <w:pStyle w:val="Heading2"/>
        <w:numPr>
          <w:ilvl w:val="1"/>
          <w:numId w:val="6"/>
        </w:numPr>
        <w:spacing w:after="240" w:before="240" w:line="360" w:lineRule="auto"/>
        <w:ind w:left="1080" w:hanging="720"/>
        <w:jc w:val="both"/>
        <w:rPr>
          <w:rFonts w:ascii="Arial" w:cs="Arial" w:eastAsia="Arial" w:hAnsi="Arial"/>
          <w:b w:val="1"/>
          <w:bCs w:val="1"/>
          <w:sz w:val="22"/>
          <w:szCs w:val="22"/>
        </w:rPr>
      </w:pPr>
      <w:bookmarkStart w:colFirst="0" w:colLast="0" w:name="_heading=h.i5yeweyf8wbc" w:id="32"/>
      <w:bookmarkEnd w:id="32"/>
      <w:r w:rsidDel="00000000" w:rsidR="00000000" w:rsidRPr="00000000">
        <w:rPr>
          <w:rFonts w:ascii="Arial" w:cs="Arial" w:eastAsia="Arial" w:hAnsi="Arial"/>
          <w:b w:val="1"/>
          <w:bCs w:val="1"/>
          <w:sz w:val="22"/>
          <w:szCs w:val="22"/>
          <w:rtl w:val="0"/>
        </w:rPr>
        <w:t xml:space="preserve">Key Words</w:t>
      </w:r>
    </w:p>
    <w:p w:rsidR="00000000" w:rsidDel="00000000" w:rsidP="00000000" w:rsidRDefault="00000000" w:rsidRPr="00000000" w14:paraId="00000153">
      <w:pPr>
        <w:spacing w:after="240" w:before="240" w:line="360" w:lineRule="auto"/>
        <w:jc w:val="both"/>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Keywords are the short words that describe the essence of a research topic and allow for the retrieval of relevant literature in academic databases (Corrin et al., 2022). They assist in efficient searching, increase the precision of the search, and improve the transparency and reproducibility of systematic reviews. The key words taken into consideration in this research were </w:t>
      </w:r>
      <w:r w:rsidDel="00000000" w:rsidR="00000000" w:rsidRPr="00000000">
        <w:rPr>
          <w:rFonts w:ascii="Arial" w:cs="Arial" w:eastAsia="Arial" w:hAnsi="Arial"/>
          <w:b w:val="1"/>
          <w:bCs w:val="1"/>
          <w:i w:val="1"/>
          <w:iCs w:val="1"/>
          <w:sz w:val="22"/>
          <w:szCs w:val="22"/>
          <w:rtl w:val="0"/>
        </w:rPr>
        <w:t xml:space="preserve">HIV, People Living With HIV, Health Care Access, Social Care, Stigma, Mental Well-Being, Quality Of Life, Patient Experiences, The United Kingdom.</w:t>
      </w:r>
      <w:r w:rsidDel="00000000" w:rsidR="00000000" w:rsidRPr="00000000">
        <w:rPr>
          <w:rtl w:val="0"/>
        </w:rPr>
      </w:r>
    </w:p>
    <w:p w:rsidR="00000000" w:rsidDel="00000000" w:rsidP="00000000" w:rsidRDefault="00000000" w:rsidRPr="00000000" w14:paraId="00000154">
      <w:pPr>
        <w:pStyle w:val="Heading2"/>
        <w:numPr>
          <w:ilvl w:val="1"/>
          <w:numId w:val="6"/>
        </w:numPr>
        <w:spacing w:after="240" w:before="240" w:line="360" w:lineRule="auto"/>
        <w:ind w:left="1080" w:hanging="720"/>
        <w:jc w:val="both"/>
        <w:rPr>
          <w:rFonts w:ascii="Arial" w:cs="Arial" w:eastAsia="Arial" w:hAnsi="Arial"/>
          <w:b w:val="1"/>
          <w:bCs w:val="1"/>
          <w:sz w:val="22"/>
          <w:szCs w:val="22"/>
        </w:rPr>
      </w:pPr>
      <w:bookmarkStart w:colFirst="0" w:colLast="0" w:name="_heading=h.mlfcqfakfz3c" w:id="33"/>
      <w:bookmarkEnd w:id="33"/>
      <w:r w:rsidDel="00000000" w:rsidR="00000000" w:rsidRPr="00000000">
        <w:rPr>
          <w:rFonts w:ascii="Arial" w:cs="Arial" w:eastAsia="Arial" w:hAnsi="Arial"/>
          <w:b w:val="1"/>
          <w:bCs w:val="1"/>
          <w:sz w:val="22"/>
          <w:szCs w:val="22"/>
          <w:rtl w:val="0"/>
        </w:rPr>
        <w:t xml:space="preserve">Databases</w:t>
      </w:r>
    </w:p>
    <w:p w:rsidR="00000000" w:rsidDel="00000000" w:rsidP="00000000" w:rsidRDefault="00000000" w:rsidRPr="00000000" w14:paraId="00000155">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Data to be used in this study were obtained by performing systematic searches of various academic and grey literature databases in order to have all evidence covered. Academic databases are crucial in research because they not only provide peer-reviewed, high-quality source material but also limit the chances of bias in a source when sources are searched singly (Ewald et al., 2022). It has been indicated that the use of a single database may lead to missing out on any pertinent research, as the journal is indexed differently in different fields, especially in interdisciplinary subjects, such as in the case of public health and social care. This is why the systematic reviews increase in sensitivity and completeness when a number of databases are searched (Lam and McDiarmid, 2016). In this research, the databases were chosen in order to identify medical and nursing literature, psychological and social science literature on HIV care experiences. PubMed, CINAHL, Scopus, Web of Science, and JSTOR databases were searched. Relevant grey literature was also identified by using Google Scholar, whereas NHS Digital reports and UK Health Security Agency reports were also accessed to put findings in perspective with UK policy and practice.</w:t>
      </w:r>
    </w:p>
    <w:p w:rsidR="00000000" w:rsidDel="00000000" w:rsidP="00000000" w:rsidRDefault="00000000" w:rsidRPr="00000000" w14:paraId="00000156">
      <w:pPr>
        <w:pStyle w:val="Heading2"/>
        <w:numPr>
          <w:ilvl w:val="1"/>
          <w:numId w:val="6"/>
        </w:numPr>
        <w:spacing w:after="240" w:before="240" w:line="360" w:lineRule="auto"/>
        <w:ind w:left="1080" w:hanging="720"/>
        <w:jc w:val="both"/>
        <w:rPr>
          <w:rFonts w:ascii="Arial" w:cs="Arial" w:eastAsia="Arial" w:hAnsi="Arial"/>
          <w:b w:val="1"/>
          <w:bCs w:val="1"/>
          <w:sz w:val="22"/>
          <w:szCs w:val="22"/>
        </w:rPr>
      </w:pPr>
      <w:bookmarkStart w:colFirst="0" w:colLast="0" w:name="_heading=h.2me33m5mvpnj" w:id="34"/>
      <w:bookmarkEnd w:id="34"/>
      <w:r w:rsidDel="00000000" w:rsidR="00000000" w:rsidRPr="00000000">
        <w:rPr>
          <w:rFonts w:ascii="Arial" w:cs="Arial" w:eastAsia="Arial" w:hAnsi="Arial"/>
          <w:b w:val="1"/>
          <w:bCs w:val="1"/>
          <w:sz w:val="22"/>
          <w:szCs w:val="22"/>
          <w:rtl w:val="0"/>
        </w:rPr>
        <w:t xml:space="preserve">Inclusion and Exclusion Criteria</w:t>
      </w:r>
    </w:p>
    <w:p w:rsidR="00000000" w:rsidDel="00000000" w:rsidP="00000000" w:rsidRDefault="00000000" w:rsidRPr="00000000" w14:paraId="00000157">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Inclusion and exclusion criteria are fixed parameters applied to check what studies can be included in a systematic literature review (Patino and Ferreira, 2018). They aim at foundational zing transparency, consistency, and methodological rigour through defining the extent of the review clearly and minimising the selection bias. The use of explicit criteria boosts the validity and reliability of the obtained results because only the studies that are directly related to the research question are taken into consideration (Mohajan, 2017). This research used the research aim and the PEO framework to inform the criteria for identifying high-quality qualitative evidence that can capture the lived experiences of health and social care of people living with HIV in the UK.</w:t>
      </w:r>
    </w:p>
    <w:p w:rsidR="00000000" w:rsidDel="00000000" w:rsidP="00000000" w:rsidRDefault="00000000" w:rsidRPr="00000000" w14:paraId="00000158">
      <w:pPr>
        <w:spacing w:after="240" w:before="240" w:line="360" w:lineRule="auto"/>
        <w:jc w:val="both"/>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Inclusion Criteria</w:t>
      </w:r>
    </w:p>
    <w:p w:rsidR="00000000" w:rsidDel="00000000" w:rsidP="00000000" w:rsidRDefault="00000000" w:rsidRPr="00000000" w14:paraId="00000159">
      <w:pPr>
        <w:spacing w:after="240" w:before="240" w:line="360" w:lineRule="auto"/>
        <w:jc w:val="both"/>
        <w:rPr>
          <w:rFonts w:ascii="Arial" w:cs="Arial" w:eastAsia="Arial" w:hAnsi="Arial"/>
          <w:sz w:val="22"/>
          <w:szCs w:val="22"/>
        </w:rPr>
      </w:pPr>
      <w:bookmarkStart w:colFirst="0" w:colLast="0" w:name="_heading=h.bbixme7w10gq" w:id="35"/>
      <w:bookmarkEnd w:id="35"/>
      <w:r w:rsidDel="00000000" w:rsidR="00000000" w:rsidRPr="00000000">
        <w:rPr>
          <w:rFonts w:ascii="Arial" w:cs="Arial" w:eastAsia="Arial" w:hAnsi="Arial"/>
          <w:sz w:val="22"/>
          <w:szCs w:val="22"/>
          <w:rtl w:val="0"/>
        </w:rPr>
        <w:t xml:space="preserve">The inclusion criteria comprised studies that dealt with individuals who lived with HIV in the UK set-up and examined health and social care experiences. Qualified studies were those that are qualitative or mixed that contain a definite experience aspect and are published in peer-reviewed journals or credible reports during 2010-2025. Studies that have been published only in English were incorporated because of the need to have a correct interpretation and uniformity in the same.</w:t>
      </w:r>
    </w:p>
    <w:p w:rsidR="00000000" w:rsidDel="00000000" w:rsidP="00000000" w:rsidRDefault="00000000" w:rsidRPr="00000000" w14:paraId="0000015A">
      <w:pPr>
        <w:spacing w:after="240" w:before="240" w:line="360" w:lineRule="auto"/>
        <w:jc w:val="both"/>
        <w:rPr>
          <w:rFonts w:ascii="Arial" w:cs="Arial" w:eastAsia="Arial" w:hAnsi="Arial"/>
          <w:b w:val="1"/>
          <w:bCs w:val="1"/>
          <w:i w:val="1"/>
          <w:iCs w:val="1"/>
          <w:sz w:val="22"/>
          <w:szCs w:val="22"/>
        </w:rPr>
      </w:pPr>
      <w:r w:rsidDel="00000000" w:rsidR="00000000" w:rsidRPr="00000000">
        <w:rPr>
          <w:rFonts w:ascii="Arial" w:cs="Arial" w:eastAsia="Arial" w:hAnsi="Arial"/>
          <w:b w:val="1"/>
          <w:bCs w:val="1"/>
          <w:i w:val="1"/>
          <w:iCs w:val="1"/>
          <w:sz w:val="22"/>
          <w:szCs w:val="22"/>
          <w:rtl w:val="0"/>
        </w:rPr>
        <w:t xml:space="preserve">Exclusion Criteria</w:t>
      </w:r>
    </w:p>
    <w:p w:rsidR="00000000" w:rsidDel="00000000" w:rsidP="00000000" w:rsidRDefault="00000000" w:rsidRPr="00000000" w14:paraId="0000015B">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studies were screened out according to the following criteria as these had to be carried out in the United Kingdom, the year they were published was not earlier than 2010 and did not concentrate on biomedical or clinical outcomes without mentioning any lived experiences. Only quantitative studies that do not include experiential data were excluded, non-peer reviewed materials, opinion articles, and editorials have been removed.</w:t>
      </w:r>
    </w:p>
    <w:p w:rsidR="00000000" w:rsidDel="00000000" w:rsidP="00000000" w:rsidRDefault="00000000" w:rsidRPr="00000000" w14:paraId="0000015C">
      <w:pPr>
        <w:spacing w:after="240" w:before="240" w:line="360" w:lineRule="auto"/>
        <w:rPr>
          <w:rFonts w:ascii="Arial" w:cs="Arial" w:eastAsia="Arial" w:hAnsi="Arial"/>
          <w:b w:val="1"/>
          <w:bCs w:val="1"/>
          <w:sz w:val="22"/>
          <w:szCs w:val="22"/>
        </w:rPr>
      </w:pPr>
      <w:bookmarkStart w:colFirst="0" w:colLast="0" w:name="_heading=h.7eeert7fktxi" w:id="36"/>
      <w:bookmarkEnd w:id="36"/>
      <w:r w:rsidDel="00000000" w:rsidR="00000000" w:rsidRPr="00000000">
        <w:rPr>
          <w:rFonts w:ascii="Arial" w:cs="Arial" w:eastAsia="Arial" w:hAnsi="Arial"/>
          <w:b w:val="1"/>
          <w:bCs w:val="1"/>
          <w:sz w:val="22"/>
          <w:szCs w:val="22"/>
          <w:rtl w:val="0"/>
        </w:rPr>
        <w:t xml:space="preserve">Table 2 Inclusion and Exclusion Criteria for the Systematic Literature Review</w:t>
      </w:r>
    </w:p>
    <w:tbl>
      <w:tblPr>
        <w:tblStyle w:val="Table2"/>
        <w:tblW w:w="9072.0" w:type="dxa"/>
        <w:jc w:val="center"/>
        <w:tblBorders>
          <w:top w:color="7f7f7f" w:space="0" w:sz="4" w:val="single"/>
          <w:bottom w:color="7f7f7f" w:space="0" w:sz="4" w:val="single"/>
        </w:tblBorders>
        <w:tblLayout w:type="fixed"/>
        <w:tblLook w:val="04A0"/>
      </w:tblPr>
      <w:tblGrid>
        <w:gridCol w:w="4816"/>
        <w:gridCol w:w="4256"/>
        <w:tblGridChange w:id="0">
          <w:tblGrid>
            <w:gridCol w:w="4816"/>
            <w:gridCol w:w="4256"/>
          </w:tblGrid>
        </w:tblGridChange>
      </w:tblGrid>
      <w:tr>
        <w:trPr>
          <w:cantSplit w:val="0"/>
          <w:tblHeader w:val="0"/>
        </w:trPr>
        <w:tc>
          <w:tcPr/>
          <w:p w:rsidR="00000000" w:rsidDel="00000000" w:rsidP="00000000" w:rsidRDefault="00000000" w:rsidRPr="00000000" w14:paraId="0000015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Inclusion Criteria</w:t>
            </w:r>
          </w:p>
        </w:tc>
        <w:tc>
          <w:tcPr/>
          <w:p w:rsidR="00000000" w:rsidDel="00000000" w:rsidP="00000000" w:rsidRDefault="00000000" w:rsidRPr="00000000" w14:paraId="0000015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Exclusion Criteria</w:t>
            </w:r>
          </w:p>
        </w:tc>
      </w:tr>
      <w:tr>
        <w:trPr>
          <w:cantSplit w:val="0"/>
          <w:tblHeader w:val="0"/>
        </w:trPr>
        <w:tc>
          <w:tcPr/>
          <w:p w:rsidR="00000000" w:rsidDel="00000000" w:rsidP="00000000" w:rsidRDefault="00000000" w:rsidRPr="00000000" w14:paraId="0000015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UK-based studies on people living with HIV</w:t>
            </w:r>
          </w:p>
        </w:tc>
        <w:tc>
          <w:tcPr/>
          <w:p w:rsidR="00000000" w:rsidDel="00000000" w:rsidP="00000000" w:rsidRDefault="00000000" w:rsidRPr="00000000" w14:paraId="00000160">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Studies conducted outside the UK</w:t>
            </w:r>
          </w:p>
        </w:tc>
      </w:tr>
      <w:tr>
        <w:trPr>
          <w:cantSplit w:val="0"/>
          <w:tblHeader w:val="0"/>
        </w:trPr>
        <w:tc>
          <w:tcPr/>
          <w:p w:rsidR="00000000" w:rsidDel="00000000" w:rsidP="00000000" w:rsidRDefault="00000000" w:rsidRPr="00000000" w14:paraId="0000016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Qualitative or mixed-method studies on lived experiences</w:t>
            </w:r>
          </w:p>
        </w:tc>
        <w:tc>
          <w:tcPr/>
          <w:p w:rsidR="00000000" w:rsidDel="00000000" w:rsidP="00000000" w:rsidRDefault="00000000" w:rsidRPr="00000000" w14:paraId="0000016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Quantitative-only or biomedical studies</w:t>
            </w:r>
          </w:p>
        </w:tc>
      </w:tr>
      <w:tr>
        <w:trPr>
          <w:cantSplit w:val="0"/>
          <w:tblHeader w:val="0"/>
        </w:trPr>
        <w:tc>
          <w:tcPr/>
          <w:p w:rsidR="00000000" w:rsidDel="00000000" w:rsidP="00000000" w:rsidRDefault="00000000" w:rsidRPr="00000000" w14:paraId="0000016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Studies addressing stigma, mental wellbeing, or care access</w:t>
            </w:r>
          </w:p>
        </w:tc>
        <w:tc>
          <w:tcPr/>
          <w:p w:rsidR="00000000" w:rsidDel="00000000" w:rsidP="00000000" w:rsidRDefault="00000000" w:rsidRPr="00000000" w14:paraId="0000016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Studies not focused on health or social care experiences</w:t>
            </w:r>
          </w:p>
        </w:tc>
      </w:tr>
      <w:tr>
        <w:trPr>
          <w:cantSplit w:val="0"/>
          <w:tblHeader w:val="0"/>
        </w:trPr>
        <w:tc>
          <w:tcPr/>
          <w:p w:rsidR="00000000" w:rsidDel="00000000" w:rsidP="00000000" w:rsidRDefault="00000000" w:rsidRPr="00000000" w14:paraId="0000016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Peer-reviewed and credible sources (2010–2025)</w:t>
            </w:r>
          </w:p>
        </w:tc>
        <w:tc>
          <w:tcPr/>
          <w:p w:rsidR="00000000" w:rsidDel="00000000" w:rsidP="00000000" w:rsidRDefault="00000000" w:rsidRPr="00000000" w14:paraId="0000016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Non-peer-reviewed or pre-2010 studies</w:t>
            </w:r>
          </w:p>
        </w:tc>
      </w:tr>
      <w:tr>
        <w:trPr>
          <w:cantSplit w:val="0"/>
          <w:tblHeader w:val="0"/>
        </w:trPr>
        <w:tc>
          <w:tcPr/>
          <w:p w:rsidR="00000000" w:rsidDel="00000000" w:rsidP="00000000" w:rsidRDefault="00000000" w:rsidRPr="00000000" w14:paraId="0000016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English-language publications</w:t>
            </w:r>
          </w:p>
        </w:tc>
        <w:tc>
          <w:tcPr/>
          <w:p w:rsidR="00000000" w:rsidDel="00000000" w:rsidP="00000000" w:rsidRDefault="00000000" w:rsidRPr="00000000" w14:paraId="0000016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Non-English publications</w:t>
            </w:r>
          </w:p>
        </w:tc>
      </w:tr>
    </w:tbl>
    <w:p w:rsidR="00000000" w:rsidDel="00000000" w:rsidP="00000000" w:rsidRDefault="00000000" w:rsidRPr="00000000" w14:paraId="00000169">
      <w:pPr>
        <w:pStyle w:val="Heading2"/>
        <w:numPr>
          <w:ilvl w:val="1"/>
          <w:numId w:val="6"/>
        </w:numPr>
        <w:spacing w:after="240" w:before="240" w:line="360" w:lineRule="auto"/>
        <w:ind w:left="1080" w:hanging="720"/>
        <w:jc w:val="both"/>
        <w:rPr>
          <w:rFonts w:ascii="Arial" w:cs="Arial" w:eastAsia="Arial" w:hAnsi="Arial"/>
          <w:b w:val="1"/>
          <w:bCs w:val="1"/>
          <w:sz w:val="22"/>
          <w:szCs w:val="22"/>
        </w:rPr>
      </w:pPr>
      <w:bookmarkStart w:colFirst="0" w:colLast="0" w:name="_heading=h.whusi996kt2i" w:id="37"/>
      <w:bookmarkEnd w:id="37"/>
      <w:r w:rsidDel="00000000" w:rsidR="00000000" w:rsidRPr="00000000">
        <w:rPr>
          <w:rFonts w:ascii="Arial" w:cs="Arial" w:eastAsia="Arial" w:hAnsi="Arial"/>
          <w:b w:val="1"/>
          <w:bCs w:val="1"/>
          <w:sz w:val="22"/>
          <w:szCs w:val="22"/>
          <w:rtl w:val="0"/>
        </w:rPr>
        <w:t xml:space="preserve">Search Results</w:t>
      </w:r>
    </w:p>
    <w:p w:rsidR="00000000" w:rsidDel="00000000" w:rsidP="00000000" w:rsidRDefault="00000000" w:rsidRPr="00000000" w14:paraId="0000016A">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database searches were systematised to produce a high number of records about the health and social care experiences of people with HIV in the UK. After completing the search strategy in all the databases that were chosen, records were first identified. When the duplicated records were removed, the screened materials consisted of unique articles. Title and abstract screening followed according to the specific inclusion and exclusion criteria to determine their relevance towards the research question. At this point, researchers who did not concentrate on the UK situation, were not concentrated on the lived experiences, or were purely biomedical in scope, were filtered out. The retention of articles in this first screening was to have a complete-text evaluation.</w:t>
      </w:r>
    </w:p>
    <w:p w:rsidR="00000000" w:rsidDel="00000000" w:rsidP="00000000" w:rsidRDefault="00000000" w:rsidRPr="00000000" w14:paraId="0000016B">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Screening was done in full text to establish the eligibility of the rest of the studies. In this step, papers have been filtered based on a series of criteria, including inadequacy of, and experience in the health or social care, incompetence to fulfil the publication date limit between 2010 and 2025, or absence of qualitative or experiential data. The studies that have been conducted regarding HIV as purely clinical or epidemiological without references to psychosocial or service-related experiences were also left out. After such a high-quality evaluation, the studies were selected as eligible to be included in the final review, ensuring that only good-quality evidence directly relevant to the synthesis had been included (Carmona, Baxter and Carroll, 2021).</w:t>
      </w:r>
    </w:p>
    <w:p w:rsidR="00000000" w:rsidDel="00000000" w:rsidP="00000000" w:rsidRDefault="00000000" w:rsidRPr="00000000" w14:paraId="0000016C">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PRISMA flow diagram is used to display the study selection process and offers a clear and systematic methodology with regard to how the studies were identified, screened, evaluated based on the eligibility criterion, and their inclusion in the review (McKenzie et al., 2021). The search was initiated by entering the main keywords for the topic (HIV, health and social care, stigma, wellbeing, and UK) into the chosen databases, yielding 742 records in total. The Boolean search string and the study limits were then used to narrow down the search to include the full Boolean search string and UK focus, English language, and publication years 2010-2025. When these limits were applied, 162 duplicate records were eliminated, and 580 records passed through the screen. Then titles and abstracts were filtered, and 420 were excluded because they were not based in the UK, were almost all clinical outcomes, or lacked qualitative or lived-experience information. The remaining 160 reports were pursued for full-text access as 12 were not accessible, leaving 148 full-text articles for eligibility evaluation. In full-text screening, 136 studies were excluded as 52 were quantitative-only, 48 were not on health or social care experiences, and 28 were published before 2010 and did not meet the review criteria. Consequently, 12 studies were selected for inclusion and incorporated into the final systematic review, which served as the evidence base for the thematic synthesis.</w:t>
      </w:r>
    </w:p>
    <w:p w:rsidR="00000000" w:rsidDel="00000000" w:rsidP="00000000" w:rsidRDefault="00000000" w:rsidRPr="00000000" w14:paraId="0000016D">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E">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F">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0">
      <w:pPr>
        <w:spacing w:line="360" w:lineRule="auto"/>
        <w:rPr>
          <w:rFonts w:ascii="Arial" w:cs="Arial" w:eastAsia="Arial" w:hAnsi="Arial"/>
          <w:sz w:val="22"/>
          <w:szCs w:val="22"/>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554228</wp:posOffset>
                </wp:positionH>
                <wp:positionV relativeFrom="paragraph">
                  <wp:posOffset>61545</wp:posOffset>
                </wp:positionV>
                <wp:extent cx="4370629" cy="288366"/>
                <wp:effectExtent b="0" l="0" r="0" t="0"/>
                <wp:wrapNone/>
                <wp:docPr id="5" name=""/>
                <a:graphic>
                  <a:graphicData uri="http://schemas.microsoft.com/office/word/2010/wordprocessingShape">
                    <wps:wsp>
                      <wps:cNvSpPr/>
                      <wps:cNvPr id="6" name="Shape 6"/>
                      <wps:spPr>
                        <a:xfrm>
                          <a:off x="3173386" y="3648517"/>
                          <a:ext cx="4345229" cy="262966"/>
                        </a:xfrm>
                        <a:prstGeom prst="flowChartAlternateProcess">
                          <a:avLst/>
                        </a:prstGeom>
                        <a:solidFill>
                          <a:schemeClr val="accent4"/>
                        </a:solidFill>
                        <a:ln cap="flat" cmpd="sng" w="25400">
                          <a:solidFill>
                            <a:srgbClr val="5D4876"/>
                          </a:solidFill>
                          <a:prstDash val="solid"/>
                          <a:round/>
                          <a:headEnd len="sm" w="sm" type="none"/>
                          <a:tailEnd len="sm" w="sm" type="none"/>
                        </a:ln>
                      </wps:spPr>
                      <wps:txbx>
                        <w:txbxContent>
                          <w:p w:rsidR="00000000" w:rsidDel="00000000" w:rsidP="00000000" w:rsidRDefault="00000000" w:rsidRPr="00000000">
                            <w:pPr>
                              <w:spacing w:after="120" w:before="0" w:line="264.0000057220459"/>
                              <w:ind w:left="0" w:right="0" w:firstLine="0"/>
                              <w:jc w:val="center"/>
                              <w:textDirection w:val="btLr"/>
                            </w:pPr>
                            <w:r w:rsidDel="00000000" w:rsidR="00000000" w:rsidRPr="00000000">
                              <w:rPr>
                                <w:rFonts w:ascii="Arial" w:cs="Arial" w:eastAsia="Arial" w:hAnsi="Arial"/>
                                <w:b w:val="1"/>
                                <w:i w:val="0"/>
                                <w:smallCaps w:val="0"/>
                                <w:strike w:val="0"/>
                                <w:color w:val="000000"/>
                                <w:sz w:val="18"/>
                                <w:vertAlign w:val="baseline"/>
                              </w:rPr>
                              <w:t xml:space="preserve">Identification of studies via databases and registers</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554228</wp:posOffset>
                </wp:positionH>
                <wp:positionV relativeFrom="paragraph">
                  <wp:posOffset>61545</wp:posOffset>
                </wp:positionV>
                <wp:extent cx="4370629" cy="288366"/>
                <wp:effectExtent b="0" l="0" r="0" t="0"/>
                <wp:wrapNone/>
                <wp:docPr id="5" name="image6.png"/>
                <a:graphic>
                  <a:graphicData uri="http://schemas.openxmlformats.org/drawingml/2006/picture">
                    <pic:pic>
                      <pic:nvPicPr>
                        <pic:cNvPr id="0" name="image6.png"/>
                        <pic:cNvPicPr preferRelativeResize="0"/>
                      </pic:nvPicPr>
                      <pic:blipFill>
                        <a:blip r:embed="rId8"/>
                        <a:srcRect/>
                        <a:stretch>
                          <a:fillRect/>
                        </a:stretch>
                      </pic:blipFill>
                      <pic:spPr>
                        <a:xfrm>
                          <a:off x="0" y="0"/>
                          <a:ext cx="4370629" cy="288366"/>
                        </a:xfrm>
                        <a:prstGeom prst="rect"/>
                        <a:ln/>
                      </pic:spPr>
                    </pic:pic>
                  </a:graphicData>
                </a:graphic>
              </wp:anchor>
            </w:drawing>
          </mc:Fallback>
        </mc:AlternateContent>
      </w:r>
    </w:p>
    <w:p w:rsidR="00000000" w:rsidDel="00000000" w:rsidP="00000000" w:rsidRDefault="00000000" w:rsidRPr="00000000" w14:paraId="00000171">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2">
      <w:pPr>
        <w:spacing w:line="360" w:lineRule="auto"/>
        <w:rPr>
          <w:rFonts w:ascii="Arial" w:cs="Arial" w:eastAsia="Arial" w:hAnsi="Arial"/>
          <w:sz w:val="22"/>
          <w:szCs w:val="22"/>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546913</wp:posOffset>
                </wp:positionH>
                <wp:positionV relativeFrom="paragraph">
                  <wp:posOffset>64364</wp:posOffset>
                </wp:positionV>
                <wp:extent cx="1912620" cy="1268984"/>
                <wp:effectExtent b="0" l="0" r="0" t="0"/>
                <wp:wrapNone/>
                <wp:docPr id="7" name=""/>
                <a:graphic>
                  <a:graphicData uri="http://schemas.microsoft.com/office/word/2010/wordprocessingShape">
                    <wps:wsp>
                      <wps:cNvSpPr/>
                      <wps:cNvPr id="8" name="Shape 8"/>
                      <wps:spPr>
                        <a:xfrm>
                          <a:off x="4402390" y="3158208"/>
                          <a:ext cx="1887220" cy="1243584"/>
                        </a:xfrm>
                        <a:prstGeom prst="rect">
                          <a:avLst/>
                        </a:prstGeom>
                        <a:noFill/>
                        <a:ln cap="flat" cmpd="sng" w="25400">
                          <a:solidFill>
                            <a:schemeClr val="dk1"/>
                          </a:solidFill>
                          <a:prstDash val="solid"/>
                          <a:round/>
                          <a:headEnd len="sm" w="sm" type="none"/>
                          <a:tailEnd len="sm" w="sm" type="none"/>
                        </a:ln>
                      </wps:spPr>
                      <wps:txbx>
                        <w:txbxContent>
                          <w:p w:rsidR="00000000" w:rsidDel="00000000" w:rsidP="00000000" w:rsidRDefault="00000000" w:rsidRPr="00000000">
                            <w:pPr>
                              <w:spacing w:after="120" w:before="0" w:line="264.0000057220459"/>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t xml:space="preserve">Records identified from*:</w:t>
                            </w:r>
                          </w:p>
                          <w:p w:rsidR="00000000" w:rsidDel="00000000" w:rsidP="00000000" w:rsidRDefault="00000000" w:rsidRPr="00000000">
                            <w:pPr>
                              <w:spacing w:after="120" w:before="0" w:line="264.0000057220459"/>
                              <w:ind w:left="283.99999618530273" w:right="0" w:firstLine="283.99999618530273"/>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Databases (n = 5)</w:t>
                            </w:r>
                          </w:p>
                          <w:p w:rsidR="00000000" w:rsidDel="00000000" w:rsidP="00000000" w:rsidRDefault="00000000" w:rsidRPr="00000000">
                            <w:pPr>
                              <w:spacing w:after="120" w:before="0" w:line="264.0000057220459"/>
                              <w:ind w:left="283.99999618530273" w:right="0" w:firstLine="283.99999618530273"/>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Registers (n = 742)</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546913</wp:posOffset>
                </wp:positionH>
                <wp:positionV relativeFrom="paragraph">
                  <wp:posOffset>64364</wp:posOffset>
                </wp:positionV>
                <wp:extent cx="1912620" cy="1268984"/>
                <wp:effectExtent b="0" l="0" r="0" t="0"/>
                <wp:wrapNone/>
                <wp:docPr id="7" name="image8.png"/>
                <a:graphic>
                  <a:graphicData uri="http://schemas.openxmlformats.org/drawingml/2006/picture">
                    <pic:pic>
                      <pic:nvPicPr>
                        <pic:cNvPr id="0" name="image8.png"/>
                        <pic:cNvPicPr preferRelativeResize="0"/>
                      </pic:nvPicPr>
                      <pic:blipFill>
                        <a:blip r:embed="rId8"/>
                        <a:srcRect/>
                        <a:stretch>
                          <a:fillRect/>
                        </a:stretch>
                      </pic:blipFill>
                      <pic:spPr>
                        <a:xfrm>
                          <a:off x="0" y="0"/>
                          <a:ext cx="1912620" cy="1268984"/>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3026766</wp:posOffset>
                </wp:positionH>
                <wp:positionV relativeFrom="paragraph">
                  <wp:posOffset>64364</wp:posOffset>
                </wp:positionV>
                <wp:extent cx="1912620" cy="1268399"/>
                <wp:effectExtent b="0" l="0" r="0" t="0"/>
                <wp:wrapNone/>
                <wp:docPr id="21" name=""/>
                <a:graphic>
                  <a:graphicData uri="http://schemas.microsoft.com/office/word/2010/wordprocessingShape">
                    <wps:wsp>
                      <wps:cNvSpPr/>
                      <wps:cNvPr id="22" name="Shape 22"/>
                      <wps:spPr>
                        <a:xfrm>
                          <a:off x="4402390" y="3158501"/>
                          <a:ext cx="1887220" cy="1242999"/>
                        </a:xfrm>
                        <a:prstGeom prst="rect">
                          <a:avLst/>
                        </a:prstGeom>
                        <a:noFill/>
                        <a:ln cap="flat" cmpd="sng" w="25400">
                          <a:solidFill>
                            <a:schemeClr val="dk1"/>
                          </a:solidFill>
                          <a:prstDash val="solid"/>
                          <a:round/>
                          <a:headEnd len="sm" w="sm" type="none"/>
                          <a:tailEnd len="sm" w="sm" type="none"/>
                        </a:ln>
                      </wps:spPr>
                      <wps:txbx>
                        <w:txbxContent>
                          <w:p w:rsidR="00000000" w:rsidDel="00000000" w:rsidP="00000000" w:rsidRDefault="00000000" w:rsidRPr="00000000">
                            <w:pPr>
                              <w:spacing w:after="120" w:before="0" w:line="264.0000057220459"/>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t xml:space="preserve">Records removed </w:t>
                            </w:r>
                            <w:r w:rsidDel="00000000" w:rsidR="00000000" w:rsidRPr="00000000">
                              <w:rPr>
                                <w:rFonts w:ascii="Arial" w:cs="Arial" w:eastAsia="Arial" w:hAnsi="Arial"/>
                                <w:b w:val="0"/>
                                <w:i w:val="1"/>
                                <w:smallCaps w:val="0"/>
                                <w:strike w:val="0"/>
                                <w:color w:val="000000"/>
                                <w:sz w:val="18"/>
                                <w:vertAlign w:val="baseline"/>
                              </w:rPr>
                              <w:t xml:space="preserve">before screening</w:t>
                            </w:r>
                            <w:r w:rsidDel="00000000" w:rsidR="00000000" w:rsidRPr="00000000">
                              <w:rPr>
                                <w:rFonts w:ascii="Arial" w:cs="Arial" w:eastAsia="Arial" w:hAnsi="Arial"/>
                                <w:b w:val="0"/>
                                <w:i w:val="0"/>
                                <w:smallCaps w:val="0"/>
                                <w:strike w:val="0"/>
                                <w:color w:val="000000"/>
                                <w:sz w:val="18"/>
                                <w:vertAlign w:val="baseline"/>
                              </w:rPr>
                              <w:t xml:space="preserve">:</w:t>
                            </w:r>
                          </w:p>
                          <w:p w:rsidR="00000000" w:rsidDel="00000000" w:rsidP="00000000" w:rsidRDefault="00000000" w:rsidRPr="00000000">
                            <w:pPr>
                              <w:spacing w:after="120" w:before="0" w:line="264.0000057220459"/>
                              <w:ind w:left="283.99999618530273" w:right="0" w:firstLine="283.99999618530273"/>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Duplicate records removed (n = 162 )</w:t>
                            </w:r>
                          </w:p>
                          <w:p w:rsidR="00000000" w:rsidDel="00000000" w:rsidP="00000000" w:rsidRDefault="00000000" w:rsidRPr="00000000">
                            <w:pPr>
                              <w:spacing w:after="120" w:before="0" w:line="264.0000057220459"/>
                              <w:ind w:left="283.99999618530273" w:right="0" w:firstLine="283.99999618530273"/>
                              <w:jc w:val="left"/>
                              <w:textDirection w:val="btLr"/>
                            </w:pPr>
                            <w:r w:rsidDel="00000000" w:rsidR="00000000" w:rsidRPr="00000000">
                              <w:rPr>
                                <w:rFonts w:ascii="Arial" w:cs="Arial" w:eastAsia="Arial" w:hAnsi="Arial"/>
                                <w:b w:val="0"/>
                                <w:i w:val="0"/>
                                <w:smallCaps w:val="0"/>
                                <w:strike w:val="0"/>
                                <w:color w:val="000000"/>
                                <w:sz w:val="18"/>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3026766</wp:posOffset>
                </wp:positionH>
                <wp:positionV relativeFrom="paragraph">
                  <wp:posOffset>64364</wp:posOffset>
                </wp:positionV>
                <wp:extent cx="1912620" cy="1268399"/>
                <wp:effectExtent b="0" l="0" r="0" t="0"/>
                <wp:wrapNone/>
                <wp:docPr id="21" name="image22.png"/>
                <a:graphic>
                  <a:graphicData uri="http://schemas.openxmlformats.org/drawingml/2006/picture">
                    <pic:pic>
                      <pic:nvPicPr>
                        <pic:cNvPr id="0" name="image22.png"/>
                        <pic:cNvPicPr preferRelativeResize="0"/>
                      </pic:nvPicPr>
                      <pic:blipFill>
                        <a:blip r:embed="rId8"/>
                        <a:srcRect/>
                        <a:stretch>
                          <a:fillRect/>
                        </a:stretch>
                      </pic:blipFill>
                      <pic:spPr>
                        <a:xfrm>
                          <a:off x="0" y="0"/>
                          <a:ext cx="1912620" cy="1268399"/>
                        </a:xfrm>
                        <a:prstGeom prst="rect"/>
                        <a:ln/>
                      </pic:spPr>
                    </pic:pic>
                  </a:graphicData>
                </a:graphic>
              </wp:anchor>
            </w:drawing>
          </mc:Fallback>
        </mc:AlternateContent>
      </w:r>
    </w:p>
    <w:p w:rsidR="00000000" w:rsidDel="00000000" w:rsidP="00000000" w:rsidRDefault="00000000" w:rsidRPr="00000000" w14:paraId="00000173">
      <w:pPr>
        <w:spacing w:line="360" w:lineRule="auto"/>
        <w:rPr>
          <w:rFonts w:ascii="Arial" w:cs="Arial" w:eastAsia="Arial" w:hAnsi="Arial"/>
          <w:sz w:val="22"/>
          <w:szCs w:val="22"/>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96594</wp:posOffset>
                </wp:positionH>
                <wp:positionV relativeFrom="paragraph">
                  <wp:posOffset>-269046</wp:posOffset>
                </wp:positionV>
                <wp:extent cx="288290" cy="1302385"/>
                <wp:effectExtent b="0" l="0" r="0" t="0"/>
                <wp:wrapNone/>
                <wp:docPr id="11" name=""/>
                <a:graphic>
                  <a:graphicData uri="http://schemas.microsoft.com/office/word/2010/wordprocessingShape">
                    <wps:wsp>
                      <wps:cNvSpPr/>
                      <wps:cNvPr id="12" name="Shape 12"/>
                      <wps:spPr>
                        <a:xfrm rot="-5400000">
                          <a:off x="4707508" y="3648555"/>
                          <a:ext cx="1276985" cy="262890"/>
                        </a:xfrm>
                        <a:prstGeom prst="flowChartAlternateProcess">
                          <a:avLst/>
                        </a:prstGeom>
                        <a:solidFill>
                          <a:srgbClr val="92CCDC"/>
                        </a:solidFill>
                        <a:ln cap="flat" cmpd="sng" w="25400">
                          <a:solidFill>
                            <a:schemeClr val="dk1"/>
                          </a:solidFill>
                          <a:prstDash val="solid"/>
                          <a:round/>
                          <a:headEnd len="sm" w="sm" type="none"/>
                          <a:tailEnd len="sm" w="sm" type="none"/>
                        </a:ln>
                      </wps:spPr>
                      <wps:txbx>
                        <w:txbxContent>
                          <w:p w:rsidR="00000000" w:rsidDel="00000000" w:rsidP="00000000" w:rsidRDefault="00000000" w:rsidRPr="00000000">
                            <w:pPr>
                              <w:spacing w:after="120" w:before="0" w:line="264.0000057220459"/>
                              <w:ind w:left="0" w:right="0" w:firstLine="0"/>
                              <w:jc w:val="center"/>
                              <w:textDirection w:val="btLr"/>
                            </w:pPr>
                            <w:r w:rsidDel="00000000" w:rsidR="00000000" w:rsidRPr="00000000">
                              <w:rPr>
                                <w:rFonts w:ascii="Arial" w:cs="Arial" w:eastAsia="Arial" w:hAnsi="Arial"/>
                                <w:b w:val="1"/>
                                <w:i w:val="0"/>
                                <w:smallCaps w:val="0"/>
                                <w:strike w:val="0"/>
                                <w:color w:val="000000"/>
                                <w:sz w:val="18"/>
                                <w:vertAlign w:val="baseline"/>
                              </w:rPr>
                              <w:t xml:space="preserve">Identification</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96594</wp:posOffset>
                </wp:positionH>
                <wp:positionV relativeFrom="paragraph">
                  <wp:posOffset>-269046</wp:posOffset>
                </wp:positionV>
                <wp:extent cx="288290" cy="1302385"/>
                <wp:effectExtent b="0" l="0" r="0" t="0"/>
                <wp:wrapNone/>
                <wp:docPr id="11" name="image12.png"/>
                <a:graphic>
                  <a:graphicData uri="http://schemas.openxmlformats.org/drawingml/2006/picture">
                    <pic:pic>
                      <pic:nvPicPr>
                        <pic:cNvPr id="0" name="image12.png"/>
                        <pic:cNvPicPr preferRelativeResize="0"/>
                      </pic:nvPicPr>
                      <pic:blipFill>
                        <a:blip r:embed="rId8"/>
                        <a:srcRect/>
                        <a:stretch>
                          <a:fillRect/>
                        </a:stretch>
                      </pic:blipFill>
                      <pic:spPr>
                        <a:xfrm>
                          <a:off x="0" y="0"/>
                          <a:ext cx="288290" cy="1302385"/>
                        </a:xfrm>
                        <a:prstGeom prst="rect"/>
                        <a:ln/>
                      </pic:spPr>
                    </pic:pic>
                  </a:graphicData>
                </a:graphic>
              </wp:anchor>
            </w:drawing>
          </mc:Fallback>
        </mc:AlternateContent>
      </w:r>
    </w:p>
    <w:p w:rsidR="00000000" w:rsidDel="00000000" w:rsidP="00000000" w:rsidRDefault="00000000" w:rsidRPr="00000000" w14:paraId="00000174">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5">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6">
      <w:pPr>
        <w:spacing w:line="360" w:lineRule="auto"/>
        <w:rPr>
          <w:rFonts w:ascii="Arial" w:cs="Arial" w:eastAsia="Arial" w:hAnsi="Arial"/>
          <w:sz w:val="22"/>
          <w:szCs w:val="22"/>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3041602</wp:posOffset>
                </wp:positionH>
                <wp:positionV relativeFrom="paragraph">
                  <wp:posOffset>244768</wp:posOffset>
                </wp:positionV>
                <wp:extent cx="2878455" cy="911225"/>
                <wp:effectExtent b="0" l="0" r="0" t="0"/>
                <wp:wrapNone/>
                <wp:docPr id="17" name=""/>
                <a:graphic>
                  <a:graphicData uri="http://schemas.microsoft.com/office/word/2010/wordprocessingShape">
                    <wps:wsp>
                      <wps:cNvSpPr/>
                      <wps:cNvPr id="18" name="Shape 18"/>
                      <wps:spPr>
                        <a:xfrm>
                          <a:off x="3919473" y="3337088"/>
                          <a:ext cx="2853055" cy="885825"/>
                        </a:xfrm>
                        <a:prstGeom prst="rect">
                          <a:avLst/>
                        </a:prstGeom>
                        <a:noFill/>
                        <a:ln cap="flat" cmpd="sng" w="25400">
                          <a:solidFill>
                            <a:schemeClr val="dk1"/>
                          </a:solidFill>
                          <a:prstDash val="solid"/>
                          <a:round/>
                          <a:headEnd len="sm" w="sm" type="none"/>
                          <a:tailEnd len="sm" w="sm" type="none"/>
                        </a:ln>
                      </wps:spPr>
                      <wps:txbx>
                        <w:txbxContent>
                          <w:p w:rsidR="00000000" w:rsidDel="00000000" w:rsidP="00000000" w:rsidRDefault="00000000" w:rsidRPr="00000000">
                            <w:pPr>
                              <w:spacing w:after="120" w:before="0" w:line="264.0000057220459"/>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t xml:space="preserve">Records excluded</w:t>
                            </w:r>
                          </w:p>
                          <w:p w:rsidR="00000000" w:rsidDel="00000000" w:rsidP="00000000" w:rsidRDefault="00000000" w:rsidRPr="00000000">
                            <w:pPr>
                              <w:spacing w:after="120" w:before="0" w:line="264.0000057220459"/>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(n = 420)</w:t>
                            </w:r>
                          </w:p>
                          <w:p w:rsidR="00000000" w:rsidDel="00000000" w:rsidP="00000000" w:rsidRDefault="00000000" w:rsidRPr="00000000">
                            <w:pPr>
                              <w:spacing w:after="120" w:before="0" w:line="264.0000057220459"/>
                              <w:ind w:left="720" w:right="0" w:firstLine="360"/>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1"/>
                                <w:smallCaps w:val="0"/>
                                <w:strike w:val="0"/>
                                <w:color w:val="000000"/>
                                <w:sz w:val="18"/>
                                <w:vertAlign w:val="baseline"/>
                              </w:rPr>
                              <w:t xml:space="preserve">(Non-UK studies, biomedical focus, no experiential data)</w:t>
                            </w:r>
                          </w:p>
                          <w:p w:rsidR="00000000" w:rsidDel="00000000" w:rsidP="00000000" w:rsidRDefault="00000000" w:rsidRPr="00000000">
                            <w:pPr>
                              <w:spacing w:after="120" w:before="0" w:line="264.0000057220459"/>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3041602</wp:posOffset>
                </wp:positionH>
                <wp:positionV relativeFrom="paragraph">
                  <wp:posOffset>244768</wp:posOffset>
                </wp:positionV>
                <wp:extent cx="2878455" cy="911225"/>
                <wp:effectExtent b="0" l="0" r="0" t="0"/>
                <wp:wrapNone/>
                <wp:docPr id="17" name="image18.png"/>
                <a:graphic>
                  <a:graphicData uri="http://schemas.openxmlformats.org/drawingml/2006/picture">
                    <pic:pic>
                      <pic:nvPicPr>
                        <pic:cNvPr id="0" name="image18.png"/>
                        <pic:cNvPicPr preferRelativeResize="0"/>
                      </pic:nvPicPr>
                      <pic:blipFill>
                        <a:blip r:embed="rId8"/>
                        <a:srcRect/>
                        <a:stretch>
                          <a:fillRect/>
                        </a:stretch>
                      </pic:blipFill>
                      <pic:spPr>
                        <a:xfrm>
                          <a:off x="0" y="0"/>
                          <a:ext cx="2878455" cy="911225"/>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2454250</wp:posOffset>
                </wp:positionH>
                <wp:positionV relativeFrom="paragraph">
                  <wp:posOffset>-3149</wp:posOffset>
                </wp:positionV>
                <wp:extent cx="563270" cy="25400"/>
                <wp:effectExtent b="0" l="0" r="0" t="0"/>
                <wp:wrapNone/>
                <wp:docPr id="15" name=""/>
                <a:graphic>
                  <a:graphicData uri="http://schemas.microsoft.com/office/word/2010/wordprocessingShape">
                    <wps:wsp>
                      <wps:cNvCnPr/>
                      <wps:spPr>
                        <a:xfrm>
                          <a:off x="5064365" y="3780000"/>
                          <a:ext cx="563270" cy="0"/>
                        </a:xfrm>
                        <a:prstGeom prst="straightConnector1">
                          <a:avLst/>
                        </a:prstGeom>
                        <a:noFill/>
                        <a:ln cap="flat" cmpd="sng" w="9525">
                          <a:solidFill>
                            <a:schemeClr val="dk1"/>
                          </a:solidFill>
                          <a:prstDash val="solid"/>
                          <a:round/>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2454250</wp:posOffset>
                </wp:positionH>
                <wp:positionV relativeFrom="paragraph">
                  <wp:posOffset>-3149</wp:posOffset>
                </wp:positionV>
                <wp:extent cx="563270" cy="25400"/>
                <wp:effectExtent b="0" l="0" r="0" t="0"/>
                <wp:wrapNone/>
                <wp:docPr id="15" name="image16.png"/>
                <a:graphic>
                  <a:graphicData uri="http://schemas.openxmlformats.org/drawingml/2006/picture">
                    <pic:pic>
                      <pic:nvPicPr>
                        <pic:cNvPr id="0" name="image16.png"/>
                        <pic:cNvPicPr preferRelativeResize="0"/>
                      </pic:nvPicPr>
                      <pic:blipFill>
                        <a:blip r:embed="rId8"/>
                        <a:srcRect/>
                        <a:stretch>
                          <a:fillRect/>
                        </a:stretch>
                      </pic:blipFill>
                      <pic:spPr>
                        <a:xfrm>
                          <a:off x="0" y="0"/>
                          <a:ext cx="563270" cy="25400"/>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1376865</wp:posOffset>
                </wp:positionH>
                <wp:positionV relativeFrom="paragraph">
                  <wp:posOffset>90499</wp:posOffset>
                </wp:positionV>
                <wp:extent cx="25400" cy="281305"/>
                <wp:effectExtent b="0" l="0" r="0" t="0"/>
                <wp:wrapNone/>
                <wp:docPr id="3" name=""/>
                <a:graphic>
                  <a:graphicData uri="http://schemas.microsoft.com/office/word/2010/wordprocessingShape">
                    <wps:wsp>
                      <wps:cNvCnPr/>
                      <wps:spPr>
                        <a:xfrm>
                          <a:off x="5346000" y="3639348"/>
                          <a:ext cx="0" cy="281305"/>
                        </a:xfrm>
                        <a:prstGeom prst="straightConnector1">
                          <a:avLst/>
                        </a:prstGeom>
                        <a:noFill/>
                        <a:ln cap="flat" cmpd="sng" w="9525">
                          <a:solidFill>
                            <a:schemeClr val="dk1"/>
                          </a:solidFill>
                          <a:prstDash val="solid"/>
                          <a:round/>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1376865</wp:posOffset>
                </wp:positionH>
                <wp:positionV relativeFrom="paragraph">
                  <wp:posOffset>90499</wp:posOffset>
                </wp:positionV>
                <wp:extent cx="25400" cy="281305"/>
                <wp:effectExtent b="0" l="0" r="0" t="0"/>
                <wp:wrapNone/>
                <wp:docPr id="3" name="image4.png"/>
                <a:graphic>
                  <a:graphicData uri="http://schemas.openxmlformats.org/drawingml/2006/picture">
                    <pic:pic>
                      <pic:nvPicPr>
                        <pic:cNvPr id="0" name="image4.png"/>
                        <pic:cNvPicPr preferRelativeResize="0"/>
                      </pic:nvPicPr>
                      <pic:blipFill>
                        <a:blip r:embed="rId8"/>
                        <a:srcRect/>
                        <a:stretch>
                          <a:fillRect/>
                        </a:stretch>
                      </pic:blipFill>
                      <pic:spPr>
                        <a:xfrm>
                          <a:off x="0" y="0"/>
                          <a:ext cx="25400" cy="281305"/>
                        </a:xfrm>
                        <a:prstGeom prst="rect"/>
                        <a:ln/>
                      </pic:spPr>
                    </pic:pic>
                  </a:graphicData>
                </a:graphic>
              </wp:anchor>
            </w:drawing>
          </mc:Fallback>
        </mc:AlternateContent>
      </w:r>
    </w:p>
    <w:p w:rsidR="00000000" w:rsidDel="00000000" w:rsidP="00000000" w:rsidRDefault="00000000" w:rsidRPr="00000000" w14:paraId="00000177">
      <w:pPr>
        <w:spacing w:line="360" w:lineRule="auto"/>
        <w:rPr>
          <w:rFonts w:ascii="Arial" w:cs="Arial" w:eastAsia="Arial" w:hAnsi="Arial"/>
          <w:sz w:val="22"/>
          <w:szCs w:val="22"/>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505951</wp:posOffset>
                </wp:positionH>
                <wp:positionV relativeFrom="paragraph">
                  <wp:posOffset>188499</wp:posOffset>
                </wp:positionV>
                <wp:extent cx="1912620" cy="551815"/>
                <wp:effectExtent b="0" l="0" r="0" t="0"/>
                <wp:wrapNone/>
                <wp:docPr id="14" name=""/>
                <a:graphic>
                  <a:graphicData uri="http://schemas.microsoft.com/office/word/2010/wordprocessingShape">
                    <wps:wsp>
                      <wps:cNvSpPr/>
                      <wps:cNvPr id="15" name="Shape 15"/>
                      <wps:spPr>
                        <a:xfrm>
                          <a:off x="4402390" y="3516793"/>
                          <a:ext cx="1887220" cy="526415"/>
                        </a:xfrm>
                        <a:prstGeom prst="rect">
                          <a:avLst/>
                        </a:prstGeom>
                        <a:noFill/>
                        <a:ln cap="flat" cmpd="sng" w="25400">
                          <a:solidFill>
                            <a:schemeClr val="dk1"/>
                          </a:solidFill>
                          <a:prstDash val="solid"/>
                          <a:round/>
                          <a:headEnd len="sm" w="sm" type="none"/>
                          <a:tailEnd len="sm" w="sm" type="none"/>
                        </a:ln>
                      </wps:spPr>
                      <wps:txbx>
                        <w:txbxContent>
                          <w:p w:rsidR="00000000" w:rsidDel="00000000" w:rsidP="00000000" w:rsidRDefault="00000000" w:rsidRPr="00000000">
                            <w:pPr>
                              <w:spacing w:after="120" w:before="0" w:line="264.0000057220459"/>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t xml:space="preserve">Records screened</w:t>
                            </w:r>
                          </w:p>
                          <w:p w:rsidR="00000000" w:rsidDel="00000000" w:rsidP="00000000" w:rsidRDefault="00000000" w:rsidRPr="00000000">
                            <w:pPr>
                              <w:spacing w:after="120" w:before="0" w:line="264.0000057220459"/>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(n = 580)</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505951</wp:posOffset>
                </wp:positionH>
                <wp:positionV relativeFrom="paragraph">
                  <wp:posOffset>188499</wp:posOffset>
                </wp:positionV>
                <wp:extent cx="1912620" cy="551815"/>
                <wp:effectExtent b="0" l="0" r="0" t="0"/>
                <wp:wrapNone/>
                <wp:docPr id="14" name="image15.png"/>
                <a:graphic>
                  <a:graphicData uri="http://schemas.openxmlformats.org/drawingml/2006/picture">
                    <pic:pic>
                      <pic:nvPicPr>
                        <pic:cNvPr id="0" name="image15.png"/>
                        <pic:cNvPicPr preferRelativeResize="0"/>
                      </pic:nvPicPr>
                      <pic:blipFill>
                        <a:blip r:embed="rId8"/>
                        <a:srcRect/>
                        <a:stretch>
                          <a:fillRect/>
                        </a:stretch>
                      </pic:blipFill>
                      <pic:spPr>
                        <a:xfrm>
                          <a:off x="0" y="0"/>
                          <a:ext cx="1912620" cy="551815"/>
                        </a:xfrm>
                        <a:prstGeom prst="rect"/>
                        <a:ln/>
                      </pic:spPr>
                    </pic:pic>
                  </a:graphicData>
                </a:graphic>
              </wp:anchor>
            </w:drawing>
          </mc:Fallback>
        </mc:AlternateContent>
      </w:r>
    </w:p>
    <w:p w:rsidR="00000000" w:rsidDel="00000000" w:rsidP="00000000" w:rsidRDefault="00000000" w:rsidRPr="00000000" w14:paraId="00000178">
      <w:pPr>
        <w:spacing w:line="360" w:lineRule="auto"/>
        <w:rPr>
          <w:rFonts w:ascii="Arial" w:cs="Arial" w:eastAsia="Arial" w:hAnsi="Arial"/>
          <w:sz w:val="22"/>
          <w:szCs w:val="22"/>
        </w:rPr>
      </w:pPr>
      <w:r w:rsidDel="00000000" w:rsidR="00000000" w:rsidRPr="00000000">
        <w:rPr>
          <w:rtl w:val="0"/>
        </w:rPr>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2442064</wp:posOffset>
                </wp:positionH>
                <wp:positionV relativeFrom="paragraph">
                  <wp:posOffset>68845</wp:posOffset>
                </wp:positionV>
                <wp:extent cx="563245" cy="25400"/>
                <wp:effectExtent b="0" l="0" r="0" t="0"/>
                <wp:wrapNone/>
                <wp:docPr id="10" name=""/>
                <a:graphic>
                  <a:graphicData uri="http://schemas.microsoft.com/office/word/2010/wordprocessingShape">
                    <wps:wsp>
                      <wps:cNvCnPr/>
                      <wps:spPr>
                        <a:xfrm>
                          <a:off x="5064378" y="3780000"/>
                          <a:ext cx="563245" cy="0"/>
                        </a:xfrm>
                        <a:prstGeom prst="straightConnector1">
                          <a:avLst/>
                        </a:prstGeom>
                        <a:noFill/>
                        <a:ln cap="flat" cmpd="sng" w="9525">
                          <a:solidFill>
                            <a:schemeClr val="dk1"/>
                          </a:solidFill>
                          <a:prstDash val="solid"/>
                          <a:round/>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2442064</wp:posOffset>
                </wp:positionH>
                <wp:positionV relativeFrom="paragraph">
                  <wp:posOffset>68845</wp:posOffset>
                </wp:positionV>
                <wp:extent cx="563245" cy="25400"/>
                <wp:effectExtent b="0" l="0" r="0" t="0"/>
                <wp:wrapNone/>
                <wp:docPr id="10" name="image11.png"/>
                <a:graphic>
                  <a:graphicData uri="http://schemas.openxmlformats.org/drawingml/2006/picture">
                    <pic:pic>
                      <pic:nvPicPr>
                        <pic:cNvPr id="0" name="image11.png"/>
                        <pic:cNvPicPr preferRelativeResize="0"/>
                      </pic:nvPicPr>
                      <pic:blipFill>
                        <a:blip r:embed="rId8"/>
                        <a:srcRect/>
                        <a:stretch>
                          <a:fillRect/>
                        </a:stretch>
                      </pic:blipFill>
                      <pic:spPr>
                        <a:xfrm>
                          <a:off x="0" y="0"/>
                          <a:ext cx="563245" cy="25400"/>
                        </a:xfrm>
                        <a:prstGeom prst="rect"/>
                        <a:ln/>
                      </pic:spPr>
                    </pic:pic>
                  </a:graphicData>
                </a:graphic>
              </wp:anchor>
            </w:drawing>
          </mc:Fallback>
        </mc:AlternateContent>
      </w:r>
    </w:p>
    <w:p w:rsidR="00000000" w:rsidDel="00000000" w:rsidP="00000000" w:rsidRDefault="00000000" w:rsidRPr="00000000" w14:paraId="00000179">
      <w:pPr>
        <w:spacing w:line="360" w:lineRule="auto"/>
        <w:rPr>
          <w:rFonts w:ascii="Arial" w:cs="Arial" w:eastAsia="Arial" w:hAnsi="Arial"/>
          <w:sz w:val="22"/>
          <w:szCs w:val="22"/>
        </w:rPr>
      </w:pPr>
      <w:r w:rsidDel="00000000" w:rsidR="00000000" w:rsidRPr="00000000">
        <w:rPr>
          <w:rtl w:val="0"/>
        </w:rPr>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1427986</wp:posOffset>
                </wp:positionH>
                <wp:positionV relativeFrom="paragraph">
                  <wp:posOffset>48107</wp:posOffset>
                </wp:positionV>
                <wp:extent cx="25400" cy="281305"/>
                <wp:effectExtent b="0" l="0" r="0" t="0"/>
                <wp:wrapNone/>
                <wp:docPr id="16" name=""/>
                <a:graphic>
                  <a:graphicData uri="http://schemas.microsoft.com/office/word/2010/wordprocessingShape">
                    <wps:wsp>
                      <wps:cNvCnPr/>
                      <wps:spPr>
                        <a:xfrm>
                          <a:off x="5346000" y="3639348"/>
                          <a:ext cx="0" cy="281305"/>
                        </a:xfrm>
                        <a:prstGeom prst="straightConnector1">
                          <a:avLst/>
                        </a:prstGeom>
                        <a:noFill/>
                        <a:ln cap="flat" cmpd="sng" w="9525">
                          <a:solidFill>
                            <a:schemeClr val="dk1"/>
                          </a:solidFill>
                          <a:prstDash val="solid"/>
                          <a:round/>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1427986</wp:posOffset>
                </wp:positionH>
                <wp:positionV relativeFrom="paragraph">
                  <wp:posOffset>48107</wp:posOffset>
                </wp:positionV>
                <wp:extent cx="25400" cy="281305"/>
                <wp:effectExtent b="0" l="0" r="0" t="0"/>
                <wp:wrapNone/>
                <wp:docPr id="16" name="image17.png"/>
                <a:graphic>
                  <a:graphicData uri="http://schemas.openxmlformats.org/drawingml/2006/picture">
                    <pic:pic>
                      <pic:nvPicPr>
                        <pic:cNvPr id="0" name="image17.png"/>
                        <pic:cNvPicPr preferRelativeResize="0"/>
                      </pic:nvPicPr>
                      <pic:blipFill>
                        <a:blip r:embed="rId8"/>
                        <a:srcRect/>
                        <a:stretch>
                          <a:fillRect/>
                        </a:stretch>
                      </pic:blipFill>
                      <pic:spPr>
                        <a:xfrm>
                          <a:off x="0" y="0"/>
                          <a:ext cx="25400" cy="281305"/>
                        </a:xfrm>
                        <a:prstGeom prst="rect"/>
                        <a:ln/>
                      </pic:spPr>
                    </pic:pic>
                  </a:graphicData>
                </a:graphic>
              </wp:anchor>
            </w:drawing>
          </mc:Fallback>
        </mc:AlternateContent>
      </w:r>
    </w:p>
    <w:p w:rsidR="00000000" w:rsidDel="00000000" w:rsidP="00000000" w:rsidRDefault="00000000" w:rsidRPr="00000000" w14:paraId="0000017A">
      <w:pPr>
        <w:spacing w:line="360" w:lineRule="auto"/>
        <w:rPr>
          <w:rFonts w:ascii="Arial" w:cs="Arial" w:eastAsia="Arial" w:hAnsi="Arial"/>
          <w:sz w:val="22"/>
          <w:szCs w:val="22"/>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495300</wp:posOffset>
                </wp:positionH>
                <wp:positionV relativeFrom="paragraph">
                  <wp:posOffset>131606</wp:posOffset>
                </wp:positionV>
                <wp:extent cx="1912620" cy="551815"/>
                <wp:effectExtent b="0" l="0" r="0" t="0"/>
                <wp:wrapNone/>
                <wp:docPr id="12" name=""/>
                <a:graphic>
                  <a:graphicData uri="http://schemas.microsoft.com/office/word/2010/wordprocessingShape">
                    <wps:wsp>
                      <wps:cNvSpPr/>
                      <wps:cNvPr id="13" name="Shape 13"/>
                      <wps:spPr>
                        <a:xfrm>
                          <a:off x="4402390" y="3516793"/>
                          <a:ext cx="1887220" cy="526415"/>
                        </a:xfrm>
                        <a:prstGeom prst="rect">
                          <a:avLst/>
                        </a:prstGeom>
                        <a:noFill/>
                        <a:ln cap="flat" cmpd="sng" w="25400">
                          <a:solidFill>
                            <a:schemeClr val="dk1"/>
                          </a:solidFill>
                          <a:prstDash val="solid"/>
                          <a:round/>
                          <a:headEnd len="sm" w="sm" type="none"/>
                          <a:tailEnd len="sm" w="sm" type="none"/>
                        </a:ln>
                      </wps:spPr>
                      <wps:txbx>
                        <w:txbxContent>
                          <w:p w:rsidR="00000000" w:rsidDel="00000000" w:rsidP="00000000" w:rsidRDefault="00000000" w:rsidRPr="00000000">
                            <w:pPr>
                              <w:spacing w:after="120" w:before="0" w:line="264.0000057220459"/>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t xml:space="preserve">Reports sought for retrieval</w:t>
                            </w:r>
                          </w:p>
                          <w:p w:rsidR="00000000" w:rsidDel="00000000" w:rsidP="00000000" w:rsidRDefault="00000000" w:rsidRPr="00000000">
                            <w:pPr>
                              <w:spacing w:after="120" w:before="0" w:line="264.0000057220459"/>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(n = 160 )</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495300</wp:posOffset>
                </wp:positionH>
                <wp:positionV relativeFrom="paragraph">
                  <wp:posOffset>131606</wp:posOffset>
                </wp:positionV>
                <wp:extent cx="1912620" cy="551815"/>
                <wp:effectExtent b="0" l="0" r="0" t="0"/>
                <wp:wrapNone/>
                <wp:docPr id="12" name="image13.png"/>
                <a:graphic>
                  <a:graphicData uri="http://schemas.openxmlformats.org/drawingml/2006/picture">
                    <pic:pic>
                      <pic:nvPicPr>
                        <pic:cNvPr id="0" name="image13.png"/>
                        <pic:cNvPicPr preferRelativeResize="0"/>
                      </pic:nvPicPr>
                      <pic:blipFill>
                        <a:blip r:embed="rId8"/>
                        <a:srcRect/>
                        <a:stretch>
                          <a:fillRect/>
                        </a:stretch>
                      </pic:blipFill>
                      <pic:spPr>
                        <a:xfrm>
                          <a:off x="0" y="0"/>
                          <a:ext cx="1912620" cy="55181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3042647</wp:posOffset>
                </wp:positionH>
                <wp:positionV relativeFrom="paragraph">
                  <wp:posOffset>44378</wp:posOffset>
                </wp:positionV>
                <wp:extent cx="2387600" cy="551815"/>
                <wp:effectExtent b="0" l="0" r="0" t="0"/>
                <wp:wrapNone/>
                <wp:docPr id="9" name=""/>
                <a:graphic>
                  <a:graphicData uri="http://schemas.microsoft.com/office/word/2010/wordprocessingShape">
                    <wps:wsp>
                      <wps:cNvSpPr/>
                      <wps:cNvPr id="10" name="Shape 10"/>
                      <wps:spPr>
                        <a:xfrm>
                          <a:off x="4164900" y="3516793"/>
                          <a:ext cx="2362200" cy="526415"/>
                        </a:xfrm>
                        <a:prstGeom prst="rect">
                          <a:avLst/>
                        </a:prstGeom>
                        <a:noFill/>
                        <a:ln cap="flat" cmpd="sng" w="25400">
                          <a:solidFill>
                            <a:schemeClr val="dk1"/>
                          </a:solidFill>
                          <a:prstDash val="solid"/>
                          <a:round/>
                          <a:headEnd len="sm" w="sm" type="none"/>
                          <a:tailEnd len="sm" w="sm" type="none"/>
                        </a:ln>
                      </wps:spPr>
                      <wps:txbx>
                        <w:txbxContent>
                          <w:p w:rsidR="00000000" w:rsidDel="00000000" w:rsidP="00000000" w:rsidRDefault="00000000" w:rsidRPr="00000000">
                            <w:pPr>
                              <w:spacing w:after="120" w:before="0" w:line="264.0000057220459"/>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t xml:space="preserve">Reports not retrieved</w:t>
                            </w:r>
                          </w:p>
                          <w:p w:rsidR="00000000" w:rsidDel="00000000" w:rsidP="00000000" w:rsidRDefault="00000000" w:rsidRPr="00000000">
                            <w:pPr>
                              <w:spacing w:after="120" w:before="0" w:line="264.0000057220459"/>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(n = 12)</w:t>
                            </w:r>
                          </w:p>
                          <w:p w:rsidR="00000000" w:rsidDel="00000000" w:rsidP="00000000" w:rsidRDefault="00000000" w:rsidRPr="00000000">
                            <w:pPr>
                              <w:spacing w:after="120" w:before="0" w:line="264.0000057220459"/>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(Full text unavailable or inaccessible)</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3042647</wp:posOffset>
                </wp:positionH>
                <wp:positionV relativeFrom="paragraph">
                  <wp:posOffset>44378</wp:posOffset>
                </wp:positionV>
                <wp:extent cx="2387600" cy="551815"/>
                <wp:effectExtent b="0" l="0" r="0" t="0"/>
                <wp:wrapNone/>
                <wp:docPr id="9" name="image10.png"/>
                <a:graphic>
                  <a:graphicData uri="http://schemas.openxmlformats.org/drawingml/2006/picture">
                    <pic:pic>
                      <pic:nvPicPr>
                        <pic:cNvPr id="0" name="image10.png"/>
                        <pic:cNvPicPr preferRelativeResize="0"/>
                      </pic:nvPicPr>
                      <pic:blipFill>
                        <a:blip r:embed="rId8"/>
                        <a:srcRect/>
                        <a:stretch>
                          <a:fillRect/>
                        </a:stretch>
                      </pic:blipFill>
                      <pic:spPr>
                        <a:xfrm>
                          <a:off x="0" y="0"/>
                          <a:ext cx="2387600" cy="551815"/>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2417412</wp:posOffset>
                </wp:positionH>
                <wp:positionV relativeFrom="paragraph">
                  <wp:posOffset>260101</wp:posOffset>
                </wp:positionV>
                <wp:extent cx="563245" cy="25400"/>
                <wp:effectExtent b="0" l="0" r="0" t="0"/>
                <wp:wrapNone/>
                <wp:docPr id="18" name=""/>
                <a:graphic>
                  <a:graphicData uri="http://schemas.microsoft.com/office/word/2010/wordprocessingShape">
                    <wps:wsp>
                      <wps:cNvCnPr/>
                      <wps:spPr>
                        <a:xfrm>
                          <a:off x="5064378" y="3780000"/>
                          <a:ext cx="563245" cy="0"/>
                        </a:xfrm>
                        <a:prstGeom prst="straightConnector1">
                          <a:avLst/>
                        </a:prstGeom>
                        <a:noFill/>
                        <a:ln cap="flat" cmpd="sng" w="9525">
                          <a:solidFill>
                            <a:schemeClr val="dk1"/>
                          </a:solidFill>
                          <a:prstDash val="solid"/>
                          <a:round/>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2417412</wp:posOffset>
                </wp:positionH>
                <wp:positionV relativeFrom="paragraph">
                  <wp:posOffset>260101</wp:posOffset>
                </wp:positionV>
                <wp:extent cx="563245" cy="25400"/>
                <wp:effectExtent b="0" l="0" r="0" t="0"/>
                <wp:wrapNone/>
                <wp:docPr id="18" name="image19.png"/>
                <a:graphic>
                  <a:graphicData uri="http://schemas.openxmlformats.org/drawingml/2006/picture">
                    <pic:pic>
                      <pic:nvPicPr>
                        <pic:cNvPr id="0" name="image19.png"/>
                        <pic:cNvPicPr preferRelativeResize="0"/>
                      </pic:nvPicPr>
                      <pic:blipFill>
                        <a:blip r:embed="rId8"/>
                        <a:srcRect/>
                        <a:stretch>
                          <a:fillRect/>
                        </a:stretch>
                      </pic:blipFill>
                      <pic:spPr>
                        <a:xfrm>
                          <a:off x="0" y="0"/>
                          <a:ext cx="563245" cy="25400"/>
                        </a:xfrm>
                        <a:prstGeom prst="rect"/>
                        <a:ln/>
                      </pic:spPr>
                    </pic:pic>
                  </a:graphicData>
                </a:graphic>
              </wp:anchor>
            </w:drawing>
          </mc:Fallback>
        </mc:AlternateContent>
      </w:r>
    </w:p>
    <w:p w:rsidR="00000000" w:rsidDel="00000000" w:rsidP="00000000" w:rsidRDefault="00000000" w:rsidRPr="00000000" w14:paraId="0000017B">
      <w:pPr>
        <w:spacing w:line="360" w:lineRule="auto"/>
        <w:rPr>
          <w:rFonts w:ascii="Arial" w:cs="Arial" w:eastAsia="Arial" w:hAnsi="Arial"/>
          <w:sz w:val="22"/>
          <w:szCs w:val="22"/>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88265</wp:posOffset>
                </wp:positionH>
                <wp:positionV relativeFrom="paragraph">
                  <wp:posOffset>-1029897</wp:posOffset>
                </wp:positionV>
                <wp:extent cx="288290" cy="2812415"/>
                <wp:effectExtent b="0" l="0" r="0" t="0"/>
                <wp:wrapNone/>
                <wp:docPr id="2" name=""/>
                <a:graphic>
                  <a:graphicData uri="http://schemas.microsoft.com/office/word/2010/wordprocessingShape">
                    <wps:wsp>
                      <wps:cNvSpPr/>
                      <wps:cNvPr id="3" name="Shape 3"/>
                      <wps:spPr>
                        <a:xfrm rot="-5400000">
                          <a:off x="3952493" y="3648555"/>
                          <a:ext cx="2787015" cy="262890"/>
                        </a:xfrm>
                        <a:prstGeom prst="flowChartAlternateProcess">
                          <a:avLst/>
                        </a:prstGeom>
                        <a:solidFill>
                          <a:srgbClr val="92CCDC"/>
                        </a:solidFill>
                        <a:ln cap="flat" cmpd="sng" w="25400">
                          <a:solidFill>
                            <a:schemeClr val="dk1"/>
                          </a:solidFill>
                          <a:prstDash val="solid"/>
                          <a:round/>
                          <a:headEnd len="sm" w="sm" type="none"/>
                          <a:tailEnd len="sm" w="sm" type="none"/>
                        </a:ln>
                      </wps:spPr>
                      <wps:txbx>
                        <w:txbxContent>
                          <w:p w:rsidR="00000000" w:rsidDel="00000000" w:rsidP="00000000" w:rsidRDefault="00000000" w:rsidRPr="00000000">
                            <w:pPr>
                              <w:spacing w:after="120" w:before="0" w:line="264.0000057220459"/>
                              <w:ind w:left="0" w:right="0" w:firstLine="0"/>
                              <w:jc w:val="center"/>
                              <w:textDirection w:val="btLr"/>
                            </w:pPr>
                            <w:r w:rsidDel="00000000" w:rsidR="00000000" w:rsidRPr="00000000">
                              <w:rPr>
                                <w:rFonts w:ascii="Arial" w:cs="Arial" w:eastAsia="Arial" w:hAnsi="Arial"/>
                                <w:b w:val="1"/>
                                <w:i w:val="0"/>
                                <w:smallCaps w:val="0"/>
                                <w:strike w:val="0"/>
                                <w:color w:val="000000"/>
                                <w:sz w:val="18"/>
                                <w:vertAlign w:val="baseline"/>
                              </w:rPr>
                              <w:t xml:space="preserve">Screening</w:t>
                            </w:r>
                          </w:p>
                          <w:p w:rsidR="00000000" w:rsidDel="00000000" w:rsidP="00000000" w:rsidRDefault="00000000" w:rsidRPr="00000000">
                            <w:pPr>
                              <w:spacing w:after="120" w:before="0" w:line="264.0000057220459"/>
                              <w:ind w:left="0" w:right="0" w:firstLine="0"/>
                              <w:jc w:val="left"/>
                              <w:textDirection w:val="btLr"/>
                            </w:pPr>
                            <w:r w:rsidDel="00000000" w:rsidR="00000000" w:rsidRPr="00000000">
                              <w:rPr>
                                <w:rFonts w:ascii="Arial" w:cs="Arial" w:eastAsia="Arial" w:hAnsi="Arial"/>
                                <w:b w:val="1"/>
                                <w:i w:val="0"/>
                                <w:smallCaps w:val="0"/>
                                <w:strike w:val="0"/>
                                <w:color w:val="000000"/>
                                <w:sz w:val="18"/>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88265</wp:posOffset>
                </wp:positionH>
                <wp:positionV relativeFrom="paragraph">
                  <wp:posOffset>-1029897</wp:posOffset>
                </wp:positionV>
                <wp:extent cx="288290" cy="2812415"/>
                <wp:effectExtent b="0" l="0" r="0" t="0"/>
                <wp:wrapNone/>
                <wp:docPr id="2" name="image3.png"/>
                <a:graphic>
                  <a:graphicData uri="http://schemas.openxmlformats.org/drawingml/2006/picture">
                    <pic:pic>
                      <pic:nvPicPr>
                        <pic:cNvPr id="0" name="image3.png"/>
                        <pic:cNvPicPr preferRelativeResize="0"/>
                      </pic:nvPicPr>
                      <pic:blipFill>
                        <a:blip r:embed="rId8"/>
                        <a:srcRect/>
                        <a:stretch>
                          <a:fillRect/>
                        </a:stretch>
                      </pic:blipFill>
                      <pic:spPr>
                        <a:xfrm>
                          <a:off x="0" y="0"/>
                          <a:ext cx="288290" cy="2812415"/>
                        </a:xfrm>
                        <a:prstGeom prst="rect"/>
                        <a:ln/>
                      </pic:spPr>
                    </pic:pic>
                  </a:graphicData>
                </a:graphic>
              </wp:anchor>
            </w:drawing>
          </mc:Fallback>
        </mc:AlternateContent>
      </w:r>
    </w:p>
    <w:p w:rsidR="00000000" w:rsidDel="00000000" w:rsidP="00000000" w:rsidRDefault="00000000" w:rsidRPr="00000000" w14:paraId="0000017C">
      <w:pPr>
        <w:spacing w:line="360" w:lineRule="auto"/>
        <w:rPr>
          <w:rFonts w:ascii="Arial" w:cs="Arial" w:eastAsia="Arial" w:hAnsi="Arial"/>
          <w:sz w:val="22"/>
          <w:szCs w:val="22"/>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2967038</wp:posOffset>
                </wp:positionH>
                <wp:positionV relativeFrom="paragraph">
                  <wp:posOffset>219075</wp:posOffset>
                </wp:positionV>
                <wp:extent cx="2533650" cy="1488737"/>
                <wp:effectExtent b="0" l="0" r="0" t="0"/>
                <wp:wrapNone/>
                <wp:docPr id="13" name=""/>
                <a:graphic>
                  <a:graphicData uri="http://schemas.microsoft.com/office/word/2010/wordprocessingShape">
                    <wps:wsp>
                      <wps:cNvSpPr/>
                      <wps:cNvPr id="14" name="Shape 14"/>
                      <wps:spPr>
                        <a:xfrm>
                          <a:off x="4092642" y="3073099"/>
                          <a:ext cx="2506717" cy="1413803"/>
                        </a:xfrm>
                        <a:prstGeom prst="rect">
                          <a:avLst/>
                        </a:prstGeom>
                        <a:noFill/>
                        <a:ln cap="flat" cmpd="sng" w="25400">
                          <a:solidFill>
                            <a:schemeClr val="dk1"/>
                          </a:solidFill>
                          <a:prstDash val="solid"/>
                          <a:round/>
                          <a:headEnd len="sm" w="sm" type="none"/>
                          <a:tailEnd len="sm" w="sm" type="none"/>
                        </a:ln>
                      </wps:spPr>
                      <wps:txbx>
                        <w:txbxContent>
                          <w:p w:rsidR="00000000" w:rsidDel="00000000" w:rsidP="00000000" w:rsidRDefault="00000000" w:rsidRPr="00000000">
                            <w:pPr>
                              <w:spacing w:after="120" w:before="0" w:line="264.0000057220459"/>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t xml:space="preserve">Reports excluded:</w:t>
                            </w:r>
                          </w:p>
                          <w:p w:rsidR="00000000" w:rsidDel="00000000" w:rsidP="00000000" w:rsidRDefault="00000000" w:rsidRPr="00000000">
                            <w:pPr>
                              <w:spacing w:after="120" w:before="0" w:line="264.0000057220459"/>
                              <w:ind w:left="720" w:right="0" w:firstLine="360"/>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Reason 1: Quantitative-only studies (n = </w:t>
                            </w:r>
                            <w:r w:rsidDel="00000000" w:rsidR="00000000" w:rsidRPr="00000000">
                              <w:rPr>
                                <w:rFonts w:ascii="Arial" w:cs="Arial" w:eastAsia="Arial" w:hAnsi="Arial"/>
                                <w:b w:val="1"/>
                                <w:i w:val="0"/>
                                <w:smallCaps w:val="0"/>
                                <w:strike w:val="0"/>
                                <w:color w:val="000000"/>
                                <w:sz w:val="18"/>
                                <w:vertAlign w:val="baseline"/>
                              </w:rPr>
                              <w:t xml:space="preserve">52</w:t>
                            </w:r>
                            <w:r w:rsidDel="00000000" w:rsidR="00000000" w:rsidRPr="00000000">
                              <w:rPr>
                                <w:rFonts w:ascii="Arial" w:cs="Arial" w:eastAsia="Arial" w:hAnsi="Arial"/>
                                <w:b w:val="0"/>
                                <w:i w:val="0"/>
                                <w:smallCaps w:val="0"/>
                                <w:strike w:val="0"/>
                                <w:color w:val="000000"/>
                                <w:sz w:val="18"/>
                                <w:vertAlign w:val="baseline"/>
                              </w:rPr>
                              <w:t xml:space="preserve">)</w:t>
                            </w:r>
                          </w:p>
                          <w:p w:rsidR="00000000" w:rsidDel="00000000" w:rsidP="00000000" w:rsidRDefault="00000000" w:rsidRPr="00000000">
                            <w:pPr>
                              <w:spacing w:after="120" w:before="0" w:line="264.0000057220459"/>
                              <w:ind w:left="720" w:right="0" w:firstLine="360"/>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Reason 2: No focus on health or social care experiences (n = </w:t>
                            </w:r>
                            <w:r w:rsidDel="00000000" w:rsidR="00000000" w:rsidRPr="00000000">
                              <w:rPr>
                                <w:rFonts w:ascii="Arial" w:cs="Arial" w:eastAsia="Arial" w:hAnsi="Arial"/>
                                <w:b w:val="1"/>
                                <w:i w:val="0"/>
                                <w:smallCaps w:val="0"/>
                                <w:strike w:val="0"/>
                                <w:color w:val="000000"/>
                                <w:sz w:val="18"/>
                                <w:vertAlign w:val="baseline"/>
                              </w:rPr>
                              <w:t xml:space="preserve">46</w:t>
                            </w:r>
                            <w:r w:rsidDel="00000000" w:rsidR="00000000" w:rsidRPr="00000000">
                              <w:rPr>
                                <w:rFonts w:ascii="Arial" w:cs="Arial" w:eastAsia="Arial" w:hAnsi="Arial"/>
                                <w:b w:val="0"/>
                                <w:i w:val="0"/>
                                <w:smallCaps w:val="0"/>
                                <w:strike w:val="0"/>
                                <w:color w:val="000000"/>
                                <w:sz w:val="18"/>
                                <w:vertAlign w:val="baseline"/>
                              </w:rPr>
                              <w:t xml:space="preserve">)</w:t>
                            </w:r>
                          </w:p>
                          <w:p w:rsidR="00000000" w:rsidDel="00000000" w:rsidP="00000000" w:rsidRDefault="00000000" w:rsidRPr="00000000">
                            <w:pPr>
                              <w:spacing w:after="120" w:before="0" w:line="264.0000057220459"/>
                              <w:ind w:left="720" w:right="0" w:firstLine="360"/>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Reason 3: Outside publication date range (pre-2010) (n = </w:t>
                            </w:r>
                            <w:r w:rsidDel="00000000" w:rsidR="00000000" w:rsidRPr="00000000">
                              <w:rPr>
                                <w:rFonts w:ascii="Arial" w:cs="Arial" w:eastAsia="Arial" w:hAnsi="Arial"/>
                                <w:b w:val="1"/>
                                <w:i w:val="0"/>
                                <w:smallCaps w:val="0"/>
                                <w:strike w:val="0"/>
                                <w:color w:val="000000"/>
                                <w:sz w:val="18"/>
                                <w:vertAlign w:val="baseline"/>
                              </w:rPr>
                              <w:t xml:space="preserve">28</w:t>
                            </w:r>
                            <w:r w:rsidDel="00000000" w:rsidR="00000000" w:rsidRPr="00000000">
                              <w:rPr>
                                <w:rFonts w:ascii="Arial" w:cs="Arial" w:eastAsia="Arial" w:hAnsi="Arial"/>
                                <w:b w:val="0"/>
                                <w:i w:val="0"/>
                                <w:smallCaps w:val="0"/>
                                <w:strike w:val="0"/>
                                <w:color w:val="000000"/>
                                <w:sz w:val="18"/>
                                <w:vertAlign w:val="baseline"/>
                              </w:rPr>
                              <w:t xml:space="preserve">)</w:t>
                            </w:r>
                          </w:p>
                          <w:p w:rsidR="00000000" w:rsidDel="00000000" w:rsidP="00000000" w:rsidRDefault="00000000" w:rsidRPr="00000000">
                            <w:pPr>
                              <w:spacing w:after="120" w:before="0" w:line="264.0000057220459"/>
                              <w:ind w:left="720" w:right="0" w:firstLine="360"/>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Reason 4: Insufficient methodological detail (n = </w:t>
                            </w:r>
                            <w:r w:rsidDel="00000000" w:rsidR="00000000" w:rsidRPr="00000000">
                              <w:rPr>
                                <w:rFonts w:ascii="Arial" w:cs="Arial" w:eastAsia="Arial" w:hAnsi="Arial"/>
                                <w:b w:val="1"/>
                                <w:i w:val="0"/>
                                <w:smallCaps w:val="0"/>
                                <w:strike w:val="0"/>
                                <w:color w:val="000000"/>
                                <w:sz w:val="18"/>
                                <w:vertAlign w:val="baseline"/>
                              </w:rPr>
                              <w:t xml:space="preserve">10</w:t>
                            </w:r>
                            <w:r w:rsidDel="00000000" w:rsidR="00000000" w:rsidRPr="00000000">
                              <w:rPr>
                                <w:rFonts w:ascii="Arial" w:cs="Arial" w:eastAsia="Arial" w:hAnsi="Arial"/>
                                <w:b w:val="0"/>
                                <w:i w:val="0"/>
                                <w:smallCaps w:val="0"/>
                                <w:strike w:val="0"/>
                                <w:color w:val="000000"/>
                                <w:sz w:val="18"/>
                                <w:vertAlign w:val="baseline"/>
                              </w:rPr>
                              <w:t xml:space="preserve">)</w:t>
                            </w:r>
                          </w:p>
                          <w:p w:rsidR="00000000" w:rsidDel="00000000" w:rsidP="00000000" w:rsidRDefault="00000000" w:rsidRPr="00000000">
                            <w:pPr>
                              <w:spacing w:after="120" w:before="0" w:line="264.0000057220459"/>
                              <w:ind w:left="283.99999618530273" w:right="0" w:firstLine="283.99999618530273"/>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1"/>
                                <w:i w:val="0"/>
                                <w:smallCaps w:val="0"/>
                                <w:strike w:val="0"/>
                                <w:color w:val="000000"/>
                                <w:sz w:val="18"/>
                                <w:vertAlign w:val="baseline"/>
                              </w:rPr>
                              <w:t xml:space="preserve">Total reports excluded at full-text stage = 136</w:t>
                            </w:r>
                          </w:p>
                          <w:p w:rsidR="00000000" w:rsidDel="00000000" w:rsidP="00000000" w:rsidRDefault="00000000" w:rsidRPr="00000000">
                            <w:pPr>
                              <w:spacing w:after="120" w:before="0" w:line="264.0000057220459"/>
                              <w:ind w:left="283.99999618530273" w:right="0" w:firstLine="283.99999618530273"/>
                              <w:jc w:val="left"/>
                              <w:textDirection w:val="btLr"/>
                            </w:pPr>
                            <w:r w:rsidDel="00000000" w:rsidR="00000000" w:rsidRPr="00000000">
                              <w:rPr>
                                <w:rFonts w:ascii="Arial" w:cs="Arial" w:eastAsia="Arial" w:hAnsi="Arial"/>
                                <w:b w:val="0"/>
                                <w:i w:val="0"/>
                                <w:smallCaps w:val="0"/>
                                <w:strike w:val="0"/>
                                <w:color w:val="000000"/>
                                <w:sz w:val="18"/>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2967038</wp:posOffset>
                </wp:positionH>
                <wp:positionV relativeFrom="paragraph">
                  <wp:posOffset>219075</wp:posOffset>
                </wp:positionV>
                <wp:extent cx="2533650" cy="1488737"/>
                <wp:effectExtent b="0" l="0" r="0" t="0"/>
                <wp:wrapNone/>
                <wp:docPr id="13" name="image14.png"/>
                <a:graphic>
                  <a:graphicData uri="http://schemas.openxmlformats.org/drawingml/2006/picture">
                    <pic:pic>
                      <pic:nvPicPr>
                        <pic:cNvPr id="0" name="image14.png"/>
                        <pic:cNvPicPr preferRelativeResize="0"/>
                      </pic:nvPicPr>
                      <pic:blipFill>
                        <a:blip r:embed="rId8"/>
                        <a:srcRect/>
                        <a:stretch>
                          <a:fillRect/>
                        </a:stretch>
                      </pic:blipFill>
                      <pic:spPr>
                        <a:xfrm>
                          <a:off x="0" y="0"/>
                          <a:ext cx="2533650" cy="1488737"/>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1385425</wp:posOffset>
                </wp:positionH>
                <wp:positionV relativeFrom="paragraph">
                  <wp:posOffset>88860</wp:posOffset>
                </wp:positionV>
                <wp:extent cx="25400" cy="281305"/>
                <wp:effectExtent b="0" l="0" r="0" t="0"/>
                <wp:wrapNone/>
                <wp:docPr id="8" name=""/>
                <a:graphic>
                  <a:graphicData uri="http://schemas.microsoft.com/office/word/2010/wordprocessingShape">
                    <wps:wsp>
                      <wps:cNvCnPr/>
                      <wps:spPr>
                        <a:xfrm>
                          <a:off x="5346000" y="3639348"/>
                          <a:ext cx="0" cy="281305"/>
                        </a:xfrm>
                        <a:prstGeom prst="straightConnector1">
                          <a:avLst/>
                        </a:prstGeom>
                        <a:noFill/>
                        <a:ln cap="flat" cmpd="sng" w="9525">
                          <a:solidFill>
                            <a:schemeClr val="dk1"/>
                          </a:solidFill>
                          <a:prstDash val="solid"/>
                          <a:round/>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1385425</wp:posOffset>
                </wp:positionH>
                <wp:positionV relativeFrom="paragraph">
                  <wp:posOffset>88860</wp:posOffset>
                </wp:positionV>
                <wp:extent cx="25400" cy="281305"/>
                <wp:effectExtent b="0" l="0" r="0" t="0"/>
                <wp:wrapNone/>
                <wp:docPr id="8" name="image9.png"/>
                <a:graphic>
                  <a:graphicData uri="http://schemas.openxmlformats.org/drawingml/2006/picture">
                    <pic:pic>
                      <pic:nvPicPr>
                        <pic:cNvPr id="0" name="image9.png"/>
                        <pic:cNvPicPr preferRelativeResize="0"/>
                      </pic:nvPicPr>
                      <pic:blipFill>
                        <a:blip r:embed="rId8"/>
                        <a:srcRect/>
                        <a:stretch>
                          <a:fillRect/>
                        </a:stretch>
                      </pic:blipFill>
                      <pic:spPr>
                        <a:xfrm>
                          <a:off x="0" y="0"/>
                          <a:ext cx="25400" cy="281305"/>
                        </a:xfrm>
                        <a:prstGeom prst="rect"/>
                        <a:ln/>
                      </pic:spPr>
                    </pic:pic>
                  </a:graphicData>
                </a:graphic>
              </wp:anchor>
            </w:drawing>
          </mc:Fallback>
        </mc:AlternateContent>
      </w:r>
    </w:p>
    <w:p w:rsidR="00000000" w:rsidDel="00000000" w:rsidP="00000000" w:rsidRDefault="00000000" w:rsidRPr="00000000" w14:paraId="0000017D">
      <w:pPr>
        <w:spacing w:line="360" w:lineRule="auto"/>
        <w:rPr>
          <w:rFonts w:ascii="Arial" w:cs="Arial" w:eastAsia="Arial" w:hAnsi="Arial"/>
          <w:sz w:val="22"/>
          <w:szCs w:val="22"/>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467923</wp:posOffset>
                </wp:positionH>
                <wp:positionV relativeFrom="paragraph">
                  <wp:posOffset>186031</wp:posOffset>
                </wp:positionV>
                <wp:extent cx="1912620" cy="551815"/>
                <wp:effectExtent b="0" l="0" r="0" t="0"/>
                <wp:wrapNone/>
                <wp:docPr id="19" name=""/>
                <a:graphic>
                  <a:graphicData uri="http://schemas.microsoft.com/office/word/2010/wordprocessingShape">
                    <wps:wsp>
                      <wps:cNvSpPr/>
                      <wps:cNvPr id="20" name="Shape 20"/>
                      <wps:spPr>
                        <a:xfrm>
                          <a:off x="4402390" y="3516793"/>
                          <a:ext cx="1887220" cy="526415"/>
                        </a:xfrm>
                        <a:prstGeom prst="rect">
                          <a:avLst/>
                        </a:prstGeom>
                        <a:noFill/>
                        <a:ln cap="flat" cmpd="sng" w="25400">
                          <a:solidFill>
                            <a:schemeClr val="dk1"/>
                          </a:solidFill>
                          <a:prstDash val="solid"/>
                          <a:round/>
                          <a:headEnd len="sm" w="sm" type="none"/>
                          <a:tailEnd len="sm" w="sm" type="none"/>
                        </a:ln>
                      </wps:spPr>
                      <wps:txbx>
                        <w:txbxContent>
                          <w:p w:rsidR="00000000" w:rsidDel="00000000" w:rsidP="00000000" w:rsidRDefault="00000000" w:rsidRPr="00000000">
                            <w:pPr>
                              <w:spacing w:after="120" w:before="0" w:line="264.0000057220459"/>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t xml:space="preserve">Reports assessed for eligibility</w:t>
                            </w:r>
                          </w:p>
                          <w:p w:rsidR="00000000" w:rsidDel="00000000" w:rsidP="00000000" w:rsidRDefault="00000000" w:rsidRPr="00000000">
                            <w:pPr>
                              <w:spacing w:after="120" w:before="0" w:line="264.0000057220459"/>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(n = 148)</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467923</wp:posOffset>
                </wp:positionH>
                <wp:positionV relativeFrom="paragraph">
                  <wp:posOffset>186031</wp:posOffset>
                </wp:positionV>
                <wp:extent cx="1912620" cy="551815"/>
                <wp:effectExtent b="0" l="0" r="0" t="0"/>
                <wp:wrapNone/>
                <wp:docPr id="19" name="image20.png"/>
                <a:graphic>
                  <a:graphicData uri="http://schemas.openxmlformats.org/drawingml/2006/picture">
                    <pic:pic>
                      <pic:nvPicPr>
                        <pic:cNvPr id="0" name="image20.png"/>
                        <pic:cNvPicPr preferRelativeResize="0"/>
                      </pic:nvPicPr>
                      <pic:blipFill>
                        <a:blip r:embed="rId8"/>
                        <a:srcRect/>
                        <a:stretch>
                          <a:fillRect/>
                        </a:stretch>
                      </pic:blipFill>
                      <pic:spPr>
                        <a:xfrm>
                          <a:off x="0" y="0"/>
                          <a:ext cx="1912620" cy="551815"/>
                        </a:xfrm>
                        <a:prstGeom prst="rect"/>
                        <a:ln/>
                      </pic:spPr>
                    </pic:pic>
                  </a:graphicData>
                </a:graphic>
              </wp:anchor>
            </w:drawing>
          </mc:Fallback>
        </mc:AlternateContent>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2418626</wp:posOffset>
                </wp:positionH>
                <wp:positionV relativeFrom="paragraph">
                  <wp:posOffset>261395</wp:posOffset>
                </wp:positionV>
                <wp:extent cx="563245" cy="25400"/>
                <wp:effectExtent b="0" l="0" r="0" t="0"/>
                <wp:wrapNone/>
                <wp:docPr id="20" name=""/>
                <a:graphic>
                  <a:graphicData uri="http://schemas.microsoft.com/office/word/2010/wordprocessingShape">
                    <wps:wsp>
                      <wps:cNvCnPr/>
                      <wps:spPr>
                        <a:xfrm>
                          <a:off x="5064378" y="3780000"/>
                          <a:ext cx="563245" cy="0"/>
                        </a:xfrm>
                        <a:prstGeom prst="straightConnector1">
                          <a:avLst/>
                        </a:prstGeom>
                        <a:noFill/>
                        <a:ln cap="flat" cmpd="sng" w="9525">
                          <a:solidFill>
                            <a:schemeClr val="dk1"/>
                          </a:solidFill>
                          <a:prstDash val="solid"/>
                          <a:round/>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2418626</wp:posOffset>
                </wp:positionH>
                <wp:positionV relativeFrom="paragraph">
                  <wp:posOffset>261395</wp:posOffset>
                </wp:positionV>
                <wp:extent cx="563245" cy="25400"/>
                <wp:effectExtent b="0" l="0" r="0" t="0"/>
                <wp:wrapNone/>
                <wp:docPr id="20" name="image21.png"/>
                <a:graphic>
                  <a:graphicData uri="http://schemas.openxmlformats.org/drawingml/2006/picture">
                    <pic:pic>
                      <pic:nvPicPr>
                        <pic:cNvPr id="0" name="image21.png"/>
                        <pic:cNvPicPr preferRelativeResize="0"/>
                      </pic:nvPicPr>
                      <pic:blipFill>
                        <a:blip r:embed="rId8"/>
                        <a:srcRect/>
                        <a:stretch>
                          <a:fillRect/>
                        </a:stretch>
                      </pic:blipFill>
                      <pic:spPr>
                        <a:xfrm>
                          <a:off x="0" y="0"/>
                          <a:ext cx="563245" cy="25400"/>
                        </a:xfrm>
                        <a:prstGeom prst="rect"/>
                        <a:ln/>
                      </pic:spPr>
                    </pic:pic>
                  </a:graphicData>
                </a:graphic>
              </wp:anchor>
            </w:drawing>
          </mc:Fallback>
        </mc:AlternateContent>
      </w:r>
    </w:p>
    <w:p w:rsidR="00000000" w:rsidDel="00000000" w:rsidP="00000000" w:rsidRDefault="00000000" w:rsidRPr="00000000" w14:paraId="0000017E">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F">
      <w:pPr>
        <w:spacing w:line="360" w:lineRule="auto"/>
        <w:rPr>
          <w:rFonts w:ascii="Arial" w:cs="Arial" w:eastAsia="Arial" w:hAnsi="Arial"/>
          <w:sz w:val="22"/>
          <w:szCs w:val="22"/>
        </w:rPr>
      </w:pPr>
      <w:r w:rsidDel="00000000" w:rsidR="00000000" w:rsidRPr="00000000">
        <w:rPr>
          <w:rtl w:val="0"/>
        </w:rPr>
      </w:r>
      <w:r w:rsidDel="00000000" w:rsidR="00000000" w:rsidRPr="00000000">
        <mc:AlternateContent>
          <mc:Choice Requires="wps">
            <w:drawing>
              <wp:anchor allowOverlap="1" behindDoc="0" distB="0" distT="0" distL="114300" distR="114300" hidden="0" layoutInCell="1" locked="0" relativeHeight="0" simplePos="0">
                <wp:simplePos x="0" y="0"/>
                <wp:positionH relativeFrom="column">
                  <wp:posOffset>1370256</wp:posOffset>
                </wp:positionH>
                <wp:positionV relativeFrom="paragraph">
                  <wp:posOffset>174890</wp:posOffset>
                </wp:positionV>
                <wp:extent cx="25400" cy="746151"/>
                <wp:effectExtent b="0" l="0" r="0" t="0"/>
                <wp:wrapNone/>
                <wp:docPr id="6" name=""/>
                <a:graphic>
                  <a:graphicData uri="http://schemas.microsoft.com/office/word/2010/wordprocessingShape">
                    <wps:wsp>
                      <wps:cNvCnPr/>
                      <wps:spPr>
                        <a:xfrm>
                          <a:off x="5346000" y="3406925"/>
                          <a:ext cx="0" cy="746151"/>
                        </a:xfrm>
                        <a:prstGeom prst="straightConnector1">
                          <a:avLst/>
                        </a:prstGeom>
                        <a:noFill/>
                        <a:ln cap="flat" cmpd="sng" w="9525">
                          <a:solidFill>
                            <a:schemeClr val="dk1"/>
                          </a:solidFill>
                          <a:prstDash val="solid"/>
                          <a:round/>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1370256</wp:posOffset>
                </wp:positionH>
                <wp:positionV relativeFrom="paragraph">
                  <wp:posOffset>174890</wp:posOffset>
                </wp:positionV>
                <wp:extent cx="25400" cy="746151"/>
                <wp:effectExtent b="0" l="0" r="0" t="0"/>
                <wp:wrapNone/>
                <wp:docPr id="6" name="image7.png"/>
                <a:graphic>
                  <a:graphicData uri="http://schemas.openxmlformats.org/drawingml/2006/picture">
                    <pic:pic>
                      <pic:nvPicPr>
                        <pic:cNvPr id="0" name="image7.png"/>
                        <pic:cNvPicPr preferRelativeResize="0"/>
                      </pic:nvPicPr>
                      <pic:blipFill>
                        <a:blip r:embed="rId8"/>
                        <a:srcRect/>
                        <a:stretch>
                          <a:fillRect/>
                        </a:stretch>
                      </pic:blipFill>
                      <pic:spPr>
                        <a:xfrm>
                          <a:off x="0" y="0"/>
                          <a:ext cx="25400" cy="746151"/>
                        </a:xfrm>
                        <a:prstGeom prst="rect"/>
                        <a:ln/>
                      </pic:spPr>
                    </pic:pic>
                  </a:graphicData>
                </a:graphic>
              </wp:anchor>
            </w:drawing>
          </mc:Fallback>
        </mc:AlternateContent>
      </w:r>
    </w:p>
    <w:p w:rsidR="00000000" w:rsidDel="00000000" w:rsidP="00000000" w:rsidRDefault="00000000" w:rsidRPr="00000000" w14:paraId="00000180">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1">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2">
      <w:pPr>
        <w:spacing w:line="360" w:lineRule="auto"/>
        <w:rPr>
          <w:rFonts w:ascii="Arial" w:cs="Arial" w:eastAsia="Arial" w:hAnsi="Arial"/>
          <w:sz w:val="22"/>
          <w:szCs w:val="22"/>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465992</wp:posOffset>
                </wp:positionH>
                <wp:positionV relativeFrom="paragraph">
                  <wp:posOffset>217780</wp:posOffset>
                </wp:positionV>
                <wp:extent cx="1912620" cy="758287"/>
                <wp:effectExtent b="0" l="0" r="0" t="0"/>
                <wp:wrapNone/>
                <wp:docPr id="1" name=""/>
                <a:graphic>
                  <a:graphicData uri="http://schemas.microsoft.com/office/word/2010/wordprocessingShape">
                    <wps:wsp>
                      <wps:cNvSpPr/>
                      <wps:cNvPr id="2" name="Shape 2"/>
                      <wps:spPr>
                        <a:xfrm>
                          <a:off x="4402390" y="3413557"/>
                          <a:ext cx="1887220" cy="732887"/>
                        </a:xfrm>
                        <a:prstGeom prst="rect">
                          <a:avLst/>
                        </a:prstGeom>
                        <a:noFill/>
                        <a:ln cap="flat" cmpd="sng" w="25400">
                          <a:solidFill>
                            <a:schemeClr val="dk1"/>
                          </a:solidFill>
                          <a:prstDash val="solid"/>
                          <a:round/>
                          <a:headEnd len="sm" w="sm" type="none"/>
                          <a:tailEnd len="sm" w="sm" type="none"/>
                        </a:ln>
                      </wps:spPr>
                      <wps:txbx>
                        <w:txbxContent>
                          <w:p w:rsidR="00000000" w:rsidDel="00000000" w:rsidP="00000000" w:rsidRDefault="00000000" w:rsidRPr="00000000">
                            <w:pPr>
                              <w:spacing w:after="120" w:before="0" w:line="264.0000057220459"/>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t xml:space="preserve">Studies included in review</w:t>
                            </w:r>
                          </w:p>
                          <w:p w:rsidR="00000000" w:rsidDel="00000000" w:rsidP="00000000" w:rsidRDefault="00000000" w:rsidRPr="00000000">
                            <w:pPr>
                              <w:spacing w:after="120" w:before="0" w:line="264.0000057220459"/>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r>
                            <w:r w:rsidDel="00000000" w:rsidR="00000000" w:rsidRPr="00000000">
                              <w:rPr>
                                <w:rFonts w:ascii="Arial" w:cs="Arial" w:eastAsia="Arial" w:hAnsi="Arial"/>
                                <w:b w:val="0"/>
                                <w:i w:val="0"/>
                                <w:smallCaps w:val="0"/>
                                <w:strike w:val="0"/>
                                <w:color w:val="000000"/>
                                <w:sz w:val="18"/>
                                <w:vertAlign w:val="baseline"/>
                              </w:rPr>
                              <w:t xml:space="preserve">(n = 12)</w:t>
                            </w:r>
                          </w:p>
                          <w:p w:rsidR="00000000" w:rsidDel="00000000" w:rsidP="00000000" w:rsidRDefault="00000000" w:rsidRPr="00000000">
                            <w:pPr>
                              <w:spacing w:after="120" w:before="0" w:line="264.0000057220459"/>
                              <w:ind w:left="0" w:right="0" w:firstLine="0"/>
                              <w:jc w:val="left"/>
                              <w:textDirection w:val="btLr"/>
                            </w:pPr>
                            <w:r w:rsidDel="00000000" w:rsidR="00000000" w:rsidRPr="00000000">
                              <w:rPr>
                                <w:rFonts w:ascii="Arial" w:cs="Arial" w:eastAsia="Arial" w:hAnsi="Arial"/>
                                <w:b w:val="0"/>
                                <w:i w:val="0"/>
                                <w:smallCaps w:val="0"/>
                                <w:strike w:val="0"/>
                                <w:color w:val="000000"/>
                                <w:sz w:val="18"/>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465992</wp:posOffset>
                </wp:positionH>
                <wp:positionV relativeFrom="paragraph">
                  <wp:posOffset>217780</wp:posOffset>
                </wp:positionV>
                <wp:extent cx="1912620" cy="758287"/>
                <wp:effectExtent b="0" l="0" r="0" t="0"/>
                <wp:wrapNone/>
                <wp:docPr id="1" name="image2.png"/>
                <a:graphic>
                  <a:graphicData uri="http://schemas.openxmlformats.org/drawingml/2006/picture">
                    <pic:pic>
                      <pic:nvPicPr>
                        <pic:cNvPr id="0" name="image2.png"/>
                        <pic:cNvPicPr preferRelativeResize="0"/>
                      </pic:nvPicPr>
                      <pic:blipFill>
                        <a:blip r:embed="rId8"/>
                        <a:srcRect/>
                        <a:stretch>
                          <a:fillRect/>
                        </a:stretch>
                      </pic:blipFill>
                      <pic:spPr>
                        <a:xfrm>
                          <a:off x="0" y="0"/>
                          <a:ext cx="1912620" cy="758287"/>
                        </a:xfrm>
                        <a:prstGeom prst="rect"/>
                        <a:ln/>
                      </pic:spPr>
                    </pic:pic>
                  </a:graphicData>
                </a:graphic>
              </wp:anchor>
            </w:drawing>
          </mc:Fallback>
        </mc:AlternateContent>
      </w:r>
    </w:p>
    <w:p w:rsidR="00000000" w:rsidDel="00000000" w:rsidP="00000000" w:rsidRDefault="00000000" w:rsidRPr="00000000" w14:paraId="00000183">
      <w:pPr>
        <w:spacing w:line="360" w:lineRule="auto"/>
        <w:rPr>
          <w:rFonts w:ascii="Arial" w:cs="Arial" w:eastAsia="Arial" w:hAnsi="Arial"/>
          <w:sz w:val="22"/>
          <w:szCs w:val="22"/>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86387</wp:posOffset>
                </wp:positionH>
                <wp:positionV relativeFrom="paragraph">
                  <wp:posOffset>-125269</wp:posOffset>
                </wp:positionV>
                <wp:extent cx="288290" cy="789623"/>
                <wp:effectExtent b="0" l="0" r="0" t="0"/>
                <wp:wrapNone/>
                <wp:docPr id="4" name=""/>
                <a:graphic>
                  <a:graphicData uri="http://schemas.microsoft.com/office/word/2010/wordprocessingShape">
                    <wps:wsp>
                      <wps:cNvSpPr/>
                      <wps:cNvPr id="5" name="Shape 5"/>
                      <wps:spPr>
                        <a:xfrm rot="-5400000">
                          <a:off x="4963889" y="3648555"/>
                          <a:ext cx="764223" cy="262890"/>
                        </a:xfrm>
                        <a:prstGeom prst="flowChartAlternateProcess">
                          <a:avLst/>
                        </a:prstGeom>
                        <a:solidFill>
                          <a:srgbClr val="92CCDC"/>
                        </a:solidFill>
                        <a:ln cap="flat" cmpd="sng" w="25400">
                          <a:solidFill>
                            <a:schemeClr val="dk1"/>
                          </a:solidFill>
                          <a:prstDash val="solid"/>
                          <a:round/>
                          <a:headEnd len="sm" w="sm" type="none"/>
                          <a:tailEnd len="sm" w="sm" type="none"/>
                        </a:ln>
                      </wps:spPr>
                      <wps:txbx>
                        <w:txbxContent>
                          <w:p w:rsidR="00000000" w:rsidDel="00000000" w:rsidP="00000000" w:rsidRDefault="00000000" w:rsidRPr="00000000">
                            <w:pPr>
                              <w:spacing w:after="120" w:before="0" w:line="264.0000057220459"/>
                              <w:ind w:left="0" w:right="0" w:firstLine="0"/>
                              <w:jc w:val="center"/>
                              <w:textDirection w:val="btLr"/>
                            </w:pPr>
                            <w:r w:rsidDel="00000000" w:rsidR="00000000" w:rsidRPr="00000000">
                              <w:rPr>
                                <w:rFonts w:ascii="Arial" w:cs="Arial" w:eastAsia="Arial" w:hAnsi="Arial"/>
                                <w:b w:val="1"/>
                                <w:i w:val="0"/>
                                <w:smallCaps w:val="0"/>
                                <w:strike w:val="0"/>
                                <w:color w:val="000000"/>
                                <w:sz w:val="18"/>
                                <w:vertAlign w:val="baseline"/>
                              </w:rPr>
                              <w:t xml:space="preserve">Included</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86387</wp:posOffset>
                </wp:positionH>
                <wp:positionV relativeFrom="paragraph">
                  <wp:posOffset>-125269</wp:posOffset>
                </wp:positionV>
                <wp:extent cx="288290" cy="789623"/>
                <wp:effectExtent b="0" l="0" r="0" t="0"/>
                <wp:wrapNone/>
                <wp:docPr id="4" name="image5.png"/>
                <a:graphic>
                  <a:graphicData uri="http://schemas.openxmlformats.org/drawingml/2006/picture">
                    <pic:pic>
                      <pic:nvPicPr>
                        <pic:cNvPr id="0" name="image5.png"/>
                        <pic:cNvPicPr preferRelativeResize="0"/>
                      </pic:nvPicPr>
                      <pic:blipFill>
                        <a:blip r:embed="rId8"/>
                        <a:srcRect/>
                        <a:stretch>
                          <a:fillRect/>
                        </a:stretch>
                      </pic:blipFill>
                      <pic:spPr>
                        <a:xfrm>
                          <a:off x="0" y="0"/>
                          <a:ext cx="288290" cy="789623"/>
                        </a:xfrm>
                        <a:prstGeom prst="rect"/>
                        <a:ln/>
                      </pic:spPr>
                    </pic:pic>
                  </a:graphicData>
                </a:graphic>
              </wp:anchor>
            </w:drawing>
          </mc:Fallback>
        </mc:AlternateContent>
      </w:r>
    </w:p>
    <w:p w:rsidR="00000000" w:rsidDel="00000000" w:rsidP="00000000" w:rsidRDefault="00000000" w:rsidRPr="00000000" w14:paraId="00000184">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5">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6">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7">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center"/>
        <w:rPr>
          <w:rFonts w:ascii="Arial" w:cs="Arial" w:eastAsia="Arial" w:hAnsi="Arial"/>
          <w:b w:val="0"/>
          <w:bCs w:val="0"/>
          <w:i w:val="1"/>
          <w:iCs w:val="1"/>
          <w:smallCaps w:val="1"/>
          <w:strike w:val="0"/>
          <w:color w:val="000000"/>
          <w:sz w:val="22"/>
          <w:szCs w:val="22"/>
          <w:u w:val="none"/>
          <w:shd w:fill="auto" w:val="clear"/>
          <w:vertAlign w:val="baseline"/>
        </w:rPr>
      </w:pPr>
      <w:bookmarkStart w:colFirst="0" w:colLast="0" w:name="_heading=h.gaqr7ndxqz77" w:id="38"/>
      <w:bookmarkEnd w:id="38"/>
      <w:r w:rsidDel="00000000" w:rsidR="00000000" w:rsidRPr="00000000">
        <w:rPr>
          <w:rFonts w:ascii="Arial" w:cs="Arial" w:eastAsia="Arial" w:hAnsi="Arial"/>
          <w:b w:val="1"/>
          <w:bCs w:val="1"/>
          <w:i w:val="0"/>
          <w:iCs w:val="0"/>
          <w:smallCaps w:val="1"/>
          <w:strike w:val="0"/>
          <w:color w:val="000000"/>
          <w:sz w:val="22"/>
          <w:szCs w:val="22"/>
          <w:u w:val="none"/>
          <w:shd w:fill="auto" w:val="clear"/>
          <w:vertAlign w:val="baseline"/>
          <w:rtl w:val="0"/>
        </w:rPr>
        <w:t xml:space="preserve">Figure 1 PRISMA Framework</w:t>
      </w:r>
      <w:r w:rsidDel="00000000" w:rsidR="00000000" w:rsidRPr="00000000">
        <w:rPr>
          <w:rtl w:val="0"/>
        </w:rPr>
      </w:r>
    </w:p>
    <w:p w:rsidR="00000000" w:rsidDel="00000000" w:rsidP="00000000" w:rsidRDefault="00000000" w:rsidRPr="00000000" w14:paraId="00000189">
      <w:pPr>
        <w:pStyle w:val="Heading2"/>
        <w:numPr>
          <w:ilvl w:val="1"/>
          <w:numId w:val="6"/>
        </w:numPr>
        <w:spacing w:after="240" w:before="240" w:line="360" w:lineRule="auto"/>
        <w:ind w:left="1080" w:hanging="720"/>
        <w:jc w:val="both"/>
        <w:rPr>
          <w:rFonts w:ascii="Arial" w:cs="Arial" w:eastAsia="Arial" w:hAnsi="Arial"/>
          <w:b w:val="1"/>
          <w:bCs w:val="1"/>
          <w:sz w:val="22"/>
          <w:szCs w:val="22"/>
        </w:rPr>
      </w:pPr>
      <w:bookmarkStart w:colFirst="0" w:colLast="0" w:name="_heading=h.2m9ckwjuw7sj" w:id="39"/>
      <w:bookmarkEnd w:id="39"/>
      <w:r w:rsidDel="00000000" w:rsidR="00000000" w:rsidRPr="00000000">
        <w:rPr>
          <w:rFonts w:ascii="Arial" w:cs="Arial" w:eastAsia="Arial" w:hAnsi="Arial"/>
          <w:b w:val="1"/>
          <w:bCs w:val="1"/>
          <w:sz w:val="22"/>
          <w:szCs w:val="22"/>
          <w:rtl w:val="0"/>
        </w:rPr>
        <w:t xml:space="preserve">Ethical Considerations</w:t>
      </w:r>
    </w:p>
    <w:p w:rsidR="00000000" w:rsidDel="00000000" w:rsidP="00000000" w:rsidRDefault="00000000" w:rsidRPr="00000000" w14:paraId="0000018A">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Ethics in research means those principles which include integrity, respect and responsibility in the research work and communication of research. Though secondary data were used in this research, ethical issues became a part of the study design and literature selection. The entire body of research used was peer-reviewed or reliable organisational reports, in that the research on which the results were compiled had obtained the necessary ethical approval and informed consent of the subjects. Special attention was paid to reflecting on findings that were accurate, non-selective, and non-stigmatising, especially since the experiences associated with HIV are sensitive. The given approach will guarantee the transparency, respect, and academic honesty of the review as per ethical standards.</w:t>
      </w:r>
    </w:p>
    <w:p w:rsidR="00000000" w:rsidDel="00000000" w:rsidP="00000000" w:rsidRDefault="00000000" w:rsidRPr="00000000" w14:paraId="0000018B">
      <w:pPr>
        <w:pStyle w:val="Heading2"/>
        <w:numPr>
          <w:ilvl w:val="1"/>
          <w:numId w:val="6"/>
        </w:numPr>
        <w:spacing w:after="240" w:before="240" w:line="360" w:lineRule="auto"/>
        <w:ind w:left="1080" w:hanging="720"/>
        <w:jc w:val="both"/>
        <w:rPr>
          <w:rFonts w:ascii="Arial" w:cs="Arial" w:eastAsia="Arial" w:hAnsi="Arial"/>
          <w:b w:val="1"/>
          <w:bCs w:val="1"/>
          <w:sz w:val="22"/>
          <w:szCs w:val="22"/>
        </w:rPr>
      </w:pPr>
      <w:bookmarkStart w:colFirst="0" w:colLast="0" w:name="_heading=h.dm9bqtwtrbmh" w:id="40"/>
      <w:bookmarkEnd w:id="40"/>
      <w:r w:rsidDel="00000000" w:rsidR="00000000" w:rsidRPr="00000000">
        <w:rPr>
          <w:rFonts w:ascii="Arial" w:cs="Arial" w:eastAsia="Arial" w:hAnsi="Arial"/>
          <w:b w:val="1"/>
          <w:bCs w:val="1"/>
          <w:sz w:val="22"/>
          <w:szCs w:val="22"/>
          <w:rtl w:val="0"/>
        </w:rPr>
        <w:t xml:space="preserve">Chapter Summary</w:t>
      </w:r>
    </w:p>
    <w:p w:rsidR="00000000" w:rsidDel="00000000" w:rsidP="00000000" w:rsidRDefault="00000000" w:rsidRPr="00000000" w14:paraId="0000018C">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chapter outlined a systematic literature review approach, which involves a search strategy, the PEW framework, the selection of the studies and ethical implications. It instituted the rigour and transparency of the methodology. Chapter 4 provides the results of the review in the form of a thematic analysis of the involved studies.</w:t>
      </w:r>
    </w:p>
    <w:p w:rsidR="00000000" w:rsidDel="00000000" w:rsidP="00000000" w:rsidRDefault="00000000" w:rsidRPr="00000000" w14:paraId="0000018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8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9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9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9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9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9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9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96">
      <w:pPr>
        <w:pStyle w:val="Heading1"/>
        <w:spacing w:after="240" w:before="240" w:line="360" w:lineRule="auto"/>
        <w:jc w:val="center"/>
        <w:rPr>
          <w:rFonts w:ascii="Arial" w:cs="Arial" w:eastAsia="Arial" w:hAnsi="Arial"/>
          <w:b w:val="1"/>
          <w:bCs w:val="1"/>
          <w:color w:val="000000"/>
          <w:sz w:val="22"/>
          <w:szCs w:val="22"/>
        </w:rPr>
      </w:pPr>
      <w:bookmarkStart w:colFirst="0" w:colLast="0" w:name="_heading=h.z8za4v7c9hce" w:id="41"/>
      <w:bookmarkEnd w:id="41"/>
      <w:r w:rsidDel="00000000" w:rsidR="00000000" w:rsidRPr="00000000">
        <w:rPr>
          <w:rFonts w:ascii="Arial" w:cs="Arial" w:eastAsia="Arial" w:hAnsi="Arial"/>
          <w:b w:val="1"/>
          <w:bCs w:val="1"/>
          <w:color w:val="000000"/>
          <w:sz w:val="22"/>
          <w:szCs w:val="22"/>
          <w:rtl w:val="0"/>
        </w:rPr>
        <w:t xml:space="preserve">Chapter 4: Data Extraction and Evaluation</w:t>
      </w:r>
    </w:p>
    <w:p w:rsidR="00000000" w:rsidDel="00000000" w:rsidP="00000000" w:rsidRDefault="00000000" w:rsidRPr="00000000" w14:paraId="00000197">
      <w:pPr>
        <w:pStyle w:val="Heading2"/>
        <w:numPr>
          <w:ilvl w:val="1"/>
          <w:numId w:val="2"/>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cnwhixbgobut" w:id="42"/>
      <w:bookmarkEnd w:id="42"/>
      <w:r w:rsidDel="00000000" w:rsidR="00000000" w:rsidRPr="00000000">
        <w:rPr>
          <w:rFonts w:ascii="Arial" w:cs="Arial" w:eastAsia="Arial" w:hAnsi="Arial"/>
          <w:b w:val="1"/>
          <w:bCs w:val="1"/>
          <w:color w:val="000000"/>
          <w:sz w:val="22"/>
          <w:szCs w:val="22"/>
          <w:rtl w:val="0"/>
        </w:rPr>
        <w:t xml:space="preserve">Introduction to Chapter </w:t>
      </w:r>
    </w:p>
    <w:p w:rsidR="00000000" w:rsidDel="00000000" w:rsidP="00000000" w:rsidRDefault="00000000" w:rsidRPr="00000000" w14:paraId="0000019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bookmarkStart w:colFirst="0" w:colLast="0" w:name="_heading=h.vjsxr3aagyfe" w:id="43"/>
      <w:bookmarkEnd w:id="43"/>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This chapter provides the methodological derivation and critical analysis of the twelve studies that were incorporated in this review. It describes data extraction procedure with the help of a pre-designed extraction form and the summary of the main features of the chosen papers. It is followed by the critical appraisal of the methodological quality of the incorporated qualitative, quantitative, and mixed-methods studies with the help of the relevant appraisal tools such as CASP checklist and MMAT. The credibility, rigour, and limitations </w:t>
      </w:r>
      <w:r w:rsidDel="00000000" w:rsidR="00000000" w:rsidRPr="00000000">
        <w:rPr>
          <w:rFonts w:ascii="Arial" w:cs="Arial" w:eastAsia="Arial" w:hAnsi="Arial"/>
          <w:sz w:val="22"/>
          <w:szCs w:val="22"/>
          <w:rtl w:val="0"/>
        </w:rPr>
        <w:t xml:space="preserve">of the evidence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base are determined so that the following thematic synthesis is based on a methodologically sound and reliable research. </w:t>
      </w:r>
    </w:p>
    <w:p w:rsidR="00000000" w:rsidDel="00000000" w:rsidP="00000000" w:rsidRDefault="00000000" w:rsidRPr="00000000" w14:paraId="00000199">
      <w:pPr>
        <w:pStyle w:val="Heading2"/>
        <w:numPr>
          <w:ilvl w:val="1"/>
          <w:numId w:val="2"/>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6b0bq0oegt4u" w:id="44"/>
      <w:bookmarkEnd w:id="44"/>
      <w:r w:rsidDel="00000000" w:rsidR="00000000" w:rsidRPr="00000000">
        <w:rPr>
          <w:rFonts w:ascii="Arial" w:cs="Arial" w:eastAsia="Arial" w:hAnsi="Arial"/>
          <w:b w:val="1"/>
          <w:bCs w:val="1"/>
          <w:color w:val="000000"/>
          <w:sz w:val="22"/>
          <w:szCs w:val="22"/>
          <w:rtl w:val="0"/>
        </w:rPr>
        <w:t xml:space="preserve">Data Extraction</w:t>
      </w:r>
    </w:p>
    <w:p w:rsidR="00000000" w:rsidDel="00000000" w:rsidP="00000000" w:rsidRDefault="00000000" w:rsidRPr="00000000" w14:paraId="0000019A">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process of identifying, recording and organising major information of included studies in a structured way in order to achieve transparency, consistency, and accuracy in evidence synthesis is called data extraction (Schmidt et al., 2023). A pre-developed data extraction form was applied in this review to create a characteristic table, which summarised the important information of each of the twelve studies considered. The information that was extracted were the author(s), year, study site, research objectives, research design, sample size, characteristics of the participants, methods used in data collection, method of analysis, main findings which have some implications to health and social care experiences and limitations. This systematic methodology brought the studies under comparability and provided a solid basis on which future critical appraisal and thematic synthesis was to be carried out.</w:t>
      </w:r>
    </w:p>
    <w:p w:rsidR="00000000" w:rsidDel="00000000" w:rsidP="00000000" w:rsidRDefault="00000000" w:rsidRPr="00000000" w14:paraId="0000019B">
      <w:pPr>
        <w:pStyle w:val="Heading2"/>
        <w:numPr>
          <w:ilvl w:val="1"/>
          <w:numId w:val="2"/>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2dy584661atc" w:id="45"/>
      <w:bookmarkEnd w:id="45"/>
      <w:r w:rsidDel="00000000" w:rsidR="00000000" w:rsidRPr="00000000">
        <w:rPr>
          <w:rFonts w:ascii="Arial" w:cs="Arial" w:eastAsia="Arial" w:hAnsi="Arial"/>
          <w:b w:val="1"/>
          <w:bCs w:val="1"/>
          <w:color w:val="000000"/>
          <w:sz w:val="22"/>
          <w:szCs w:val="22"/>
          <w:rtl w:val="0"/>
        </w:rPr>
        <w:t xml:space="preserve">Introduction to Critical Appraisal</w:t>
      </w:r>
    </w:p>
    <w:p w:rsidR="00000000" w:rsidDel="00000000" w:rsidP="00000000" w:rsidRDefault="00000000" w:rsidRPr="00000000" w14:paraId="0000019C">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Critical appraisal refers to the scientific method of evaluating research studies with the purpose of determining their quality methodology, credibility, relevance, and possible risk of bias prior to synthesising their findings (CASP, 2025). Critical appraisal was imperative in the context of this review to establish whether the twelve studies that were used in this paper were trustworthy and rigorous evidence on the health and social care experiences of individuals living with HIV. Since papers included in the research were mostly qualitative interview and focus group research, mixed-method studies, and survey-based research, there was a need to evaluate such aspects as sampling strategy, research design suitability, data analysis transparency, ethical aspects, and find clarity. The evaluation of research papers also makes sure that the conclusions made in the following chapters are based on high-quality evidence and not on methodology flaws, which contributes to the increased reliability, validity, and academic integrity of the entire systematic review (Shaheen et al., 2023).</w:t>
      </w:r>
    </w:p>
    <w:p w:rsidR="00000000" w:rsidDel="00000000" w:rsidP="00000000" w:rsidRDefault="00000000" w:rsidRPr="00000000" w14:paraId="0000019D">
      <w:pPr>
        <w:pStyle w:val="Heading2"/>
        <w:numPr>
          <w:ilvl w:val="1"/>
          <w:numId w:val="2"/>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jqumr1jkll1j" w:id="46"/>
      <w:bookmarkEnd w:id="46"/>
      <w:r w:rsidDel="00000000" w:rsidR="00000000" w:rsidRPr="00000000">
        <w:rPr>
          <w:rFonts w:ascii="Arial" w:cs="Arial" w:eastAsia="Arial" w:hAnsi="Arial"/>
          <w:b w:val="1"/>
          <w:bCs w:val="1"/>
          <w:color w:val="000000"/>
          <w:sz w:val="22"/>
          <w:szCs w:val="22"/>
          <w:rtl w:val="0"/>
        </w:rPr>
        <w:t xml:space="preserve">Critical Appraisal Tools</w:t>
      </w:r>
    </w:p>
    <w:p w:rsidR="00000000" w:rsidDel="00000000" w:rsidP="00000000" w:rsidRDefault="00000000" w:rsidRPr="00000000" w14:paraId="0000019E">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Critical appraisal tool refers to a systematic checklist or evaluation guide that helps to evaluate the methodological rigour, credibility and relevance of research studies in respect to the design in particular (Almutairi et al., 2024). The choice of the right tool is crucial as qualitative and mixed-method research utilise various assumptions of methodology, sample composition, and analytical methods and, hence, demand different appraisal standards (Pilcher and Cortazzi, 2023). The CASP Qualitative Checklist was used in this review on the qualitative research predominantly based on interviews and focus groups about stigmatization, primary care experiences, ART uptake, ageing with HIV, and culturally specific barriers among African and Caribbean populations. The Positive Voices analysis and primary care mixed-method research studies involving a survey with qualitative elements used the Mixed Methods Appraisal Tool (MMAT) (Bishop and Holmes, 2013). These tools assessed the clarity of research objectives, suitability of the qualitative design, recruitment plan, suitability of data collection tools, suitability of thematic analysis, reflexivity, ethical permission, and consistency of data and conclusion. The design-specific appraisal tools used to evaluate the twelve studies that were included in the study made sure that every study that was UK-oriented has been appraised in a consistent and adequate manner that reinforced the methodological appropriateness of the entire systematic review.</w:t>
      </w:r>
    </w:p>
    <w:p w:rsidR="00000000" w:rsidDel="00000000" w:rsidP="00000000" w:rsidRDefault="00000000" w:rsidRPr="00000000" w14:paraId="0000019F">
      <w:pPr>
        <w:pStyle w:val="Heading2"/>
        <w:numPr>
          <w:ilvl w:val="1"/>
          <w:numId w:val="2"/>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3anslwa9yi8p" w:id="47"/>
      <w:bookmarkEnd w:id="47"/>
      <w:r w:rsidDel="00000000" w:rsidR="00000000" w:rsidRPr="00000000">
        <w:rPr>
          <w:rFonts w:ascii="Arial" w:cs="Arial" w:eastAsia="Arial" w:hAnsi="Arial"/>
          <w:b w:val="1"/>
          <w:bCs w:val="1"/>
          <w:color w:val="000000"/>
          <w:sz w:val="22"/>
          <w:szCs w:val="22"/>
          <w:rtl w:val="0"/>
        </w:rPr>
        <w:t xml:space="preserve">Evaluation of Qualitative Studies</w:t>
      </w:r>
    </w:p>
    <w:p w:rsidR="00000000" w:rsidDel="00000000" w:rsidP="00000000" w:rsidRDefault="00000000" w:rsidRPr="00000000" w14:paraId="000001A0">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Critical Appraisal Skills Programme (CASP) Qualitative Checklist was identified to review the qualitative studies in this review due to the fact that the checklist is specifically made to assess the rigour, credibility and relevance of qualitative research as applied to the context of health and social care (CASP, 2024). The twelve studies incorporated in the study as described in the methodology chapter adopted qualitative designs, which are mostly semi-structured interviews and focus groups to investigate lived experiences of HIV care, stigma, mental wellbeing, service access, and ageing with HIV. CASP was hence suitable because it looks at whether the research objectives are articulated, whether qualitative methodology is warranted, whether recruitment procedures are adequate, and whether data gathering and examination is stringent and clear. CASP gives a more explicit emphasis on the methodological coherence and reflexivity as compared to other tools to assess methodological consistency like the Joanna Briggs Institute (JBI) checklist, which is especially important in studies of sensitive issues, like HIV-related stigma and disclosure (Hilton, 2024). One drawback of CASP however is that it lacks a numerical rating and is based on interpretive judgement. However, its systematic format fits into the experiential and psychosocial concepts of this review.</w:t>
      </w:r>
    </w:p>
    <w:p w:rsidR="00000000" w:rsidDel="00000000" w:rsidP="00000000" w:rsidRDefault="00000000" w:rsidRPr="00000000" w14:paraId="000001A1">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use of the CASP checklist showed that the methodological quality of the qualitative studies was moderate or high in most cases. All the studies had well-spoken research objectives, which are related to the investigation of health and social care experiences of populations living with HIV in the UK, as well as stigma in healthcare settings, obstacles to HIV testing among individuals aged 50 years and older, attitudes towards ART usage among Black African and Caribbean groups, infant-feeding choices, and GP experiences. Most of them used purposive sampling to select those with first-hand experience of HIV services as it is recommended in qualitative studies. The studies in this review predominantly used semi-structured interviews and focus groups to explore sensitive topics such as internalised stigma, discrimination, fear of disclosure, and care navigation difficulties. Their application of thematic analysis was mentioned in most of the studies, which was fairly transparent in terms of coding and theme building (Ahmed et al., 2025). The ethical approval and confidentiality process was usually recorded as there was awareness of sensitivity of HIV related research.</w:t>
      </w:r>
    </w:p>
    <w:p w:rsidR="00000000" w:rsidDel="00000000" w:rsidP="00000000" w:rsidRDefault="00000000" w:rsidRPr="00000000" w14:paraId="000001A2">
      <w:pPr>
        <w:spacing w:after="240" w:before="240" w:line="360" w:lineRule="auto"/>
        <w:jc w:val="both"/>
        <w:rPr>
          <w:rFonts w:ascii="Arial" w:cs="Arial" w:eastAsia="Arial" w:hAnsi="Arial"/>
          <w:b w:val="1"/>
          <w:bCs w:val="1"/>
          <w:sz w:val="22"/>
          <w:szCs w:val="22"/>
          <w:highlight w:val="white"/>
        </w:rPr>
      </w:pPr>
      <w:r w:rsidDel="00000000" w:rsidR="00000000" w:rsidRPr="00000000">
        <w:rPr>
          <w:rFonts w:ascii="Arial" w:cs="Arial" w:eastAsia="Arial" w:hAnsi="Arial"/>
          <w:b w:val="1"/>
          <w:bCs w:val="1"/>
          <w:sz w:val="22"/>
          <w:szCs w:val="22"/>
          <w:highlight w:val="white"/>
          <w:rtl w:val="0"/>
        </w:rPr>
        <w:t xml:space="preserve">A summary table of characteristics of the twelve selected studies examined using CASP can be found in Appendix.</w:t>
      </w:r>
    </w:p>
    <w:p w:rsidR="00000000" w:rsidDel="00000000" w:rsidP="00000000" w:rsidRDefault="00000000" w:rsidRPr="00000000" w14:paraId="000001A3">
      <w:pPr>
        <w:spacing w:after="240" w:before="240" w:line="360" w:lineRule="auto"/>
        <w:jc w:val="both"/>
        <w:rPr>
          <w:rFonts w:ascii="Arial" w:cs="Arial" w:eastAsia="Arial" w:hAnsi="Arial"/>
          <w:sz w:val="22"/>
          <w:szCs w:val="22"/>
        </w:rPr>
      </w:pPr>
      <w:sdt>
        <w:sdtPr>
          <w:id w:val="1700549264"/>
          <w:tag w:val="goog_rdk_0"/>
        </w:sdtPr>
        <w:sdtContent>
          <w:r w:rsidDel="00000000" w:rsidR="00000000" w:rsidRPr="00000000">
            <w:rPr>
              <w:rFonts w:ascii="Arial Unicode MS" w:cs="Arial Unicode MS" w:eastAsia="Arial Unicode MS" w:hAnsi="Arial Unicode MS"/>
              <w:sz w:val="22"/>
              <w:szCs w:val="22"/>
              <w:rtl w:val="0"/>
            </w:rPr>
            <w:t xml:space="preserve">Although methodological strength was found in general, certain limitations were realized. The issue of reflexivity was not always addressed, and limited information was provided on the positionality or the impact of the researchers on data interpretation. Specifically, studies like "HIV-related stigma in the UK then and now" (Hedge et al. 2021), "Factors associated with HIV testing in people aged ≥50 years" (Youssef et al., 2018), and "Perceptual barriers to ART uptake in Black African and Caribbean Communities" (Glendinning et al., 2019) did not adequately discuss the researchers' roles in shaping the findings. The information about data saturation was insufficiently discussed in some of the papers or insufficient justification of sample size, and were based and geographically focused in London or even in certain areas of England itself, which might not be representative of the UK as a whole. However, the qualitative evidence base was suitable in the methodological sense in answering the research question about the experience of health and social care among people living with HIV in the UK.</w:t>
          </w:r>
        </w:sdtContent>
      </w:sdt>
    </w:p>
    <w:p w:rsidR="00000000" w:rsidDel="00000000" w:rsidP="00000000" w:rsidRDefault="00000000" w:rsidRPr="00000000" w14:paraId="000001A4">
      <w:pPr>
        <w:pStyle w:val="Heading2"/>
        <w:numPr>
          <w:ilvl w:val="1"/>
          <w:numId w:val="2"/>
        </w:numPr>
        <w:spacing w:after="240" w:before="240" w:line="360" w:lineRule="auto"/>
        <w:ind w:left="1080" w:hanging="720"/>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Evaluation of Quantitative Components within Mixed-Methods Studies</w:t>
      </w:r>
    </w:p>
    <w:p w:rsidR="00000000" w:rsidDel="00000000" w:rsidP="00000000" w:rsidRDefault="00000000" w:rsidRPr="00000000" w14:paraId="000001A5">
      <w:pPr>
        <w:pStyle w:val="Heading3"/>
        <w:numPr>
          <w:ilvl w:val="2"/>
          <w:numId w:val="2"/>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mdzsua6k0ni0" w:id="48"/>
      <w:bookmarkEnd w:id="48"/>
      <w:r w:rsidDel="00000000" w:rsidR="00000000" w:rsidRPr="00000000">
        <w:rPr>
          <w:rFonts w:ascii="Arial" w:cs="Arial" w:eastAsia="Arial" w:hAnsi="Arial"/>
          <w:b w:val="1"/>
          <w:bCs w:val="1"/>
          <w:color w:val="000000"/>
          <w:sz w:val="22"/>
          <w:szCs w:val="22"/>
          <w:rtl w:val="0"/>
        </w:rPr>
        <w:t xml:space="preserve">Introduction to Quantitative Appraisal</w:t>
      </w:r>
    </w:p>
    <w:p w:rsidR="00000000" w:rsidDel="00000000" w:rsidP="00000000" w:rsidRDefault="00000000" w:rsidRPr="00000000" w14:paraId="000001A6">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Two of the included studies adopted a mixed-methods design and contained quantitative components in the form of cross-sectional survey data, which were used to complement qualitative findings rather than function as independent quantitative studies. They included a national survey with a large cross-sectional sample and focuses on the healthcare stigma and unmet needs of HIV in England and Wales, and one mixed-methods research with quantitative survey and qualitative interviews on primary care experiences of people living with HIV in the UK. </w:t>
      </w:r>
    </w:p>
    <w:p w:rsidR="00000000" w:rsidDel="00000000" w:rsidP="00000000" w:rsidRDefault="00000000" w:rsidRPr="00000000" w14:paraId="000001A7">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quantitative components within these mixed-method studies were used to measure the prevalence and distribution of key issues such as stigma, unmet needs, and service experiences among people living with HIV.</w:t>
      </w:r>
    </w:p>
    <w:p w:rsidR="00000000" w:rsidDel="00000000" w:rsidP="00000000" w:rsidRDefault="00000000" w:rsidRPr="00000000" w14:paraId="000001A8">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 They are mainly used in this dissertation to measure the magnitude of the problems like stigma, mental health burden, barriers to testing, and unmet service needs. Critical appraisal of these studies was done to establish methodological strength, validity, and risk of bias before they were synthesized with the qualitative data (Ma et al., 2020).</w:t>
      </w:r>
    </w:p>
    <w:p w:rsidR="00000000" w:rsidDel="00000000" w:rsidP="00000000" w:rsidRDefault="00000000" w:rsidRPr="00000000" w14:paraId="000001A9">
      <w:pPr>
        <w:pStyle w:val="Heading3"/>
        <w:numPr>
          <w:ilvl w:val="2"/>
          <w:numId w:val="2"/>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pfcca1pvx86m" w:id="49"/>
      <w:bookmarkEnd w:id="49"/>
      <w:r w:rsidDel="00000000" w:rsidR="00000000" w:rsidRPr="00000000">
        <w:rPr>
          <w:rFonts w:ascii="Arial" w:cs="Arial" w:eastAsia="Arial" w:hAnsi="Arial"/>
          <w:b w:val="1"/>
          <w:bCs w:val="1"/>
          <w:color w:val="000000"/>
          <w:sz w:val="22"/>
          <w:szCs w:val="22"/>
          <w:rtl w:val="0"/>
        </w:rPr>
        <w:t xml:space="preserve">Critical Appraisal Tool Used</w:t>
      </w:r>
    </w:p>
    <w:p w:rsidR="00000000" w:rsidDel="00000000" w:rsidP="00000000" w:rsidRDefault="00000000" w:rsidRPr="00000000" w14:paraId="000001AA">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Joana Briggs Institute (JBI) Analytical Cross-Sectional Checklist has been identified to evaluate the quantitative aspects of the studies included since both identified quantitative articles used cross-sectional survey studies (Joanna Briggs Institute, 2017). The choice of an appraisal tool should not be made randomly based on the design of the study since methodological criteria should be considered according to the selected appraisal tool. Cohort and experimental are the basic types of research, and they should be measured using design-specific techniques. The JBI checklist is used to assess several areas such as clarity of the inclusion criteria, suitability of sampling method, reliability and validity of the measurement instruments, definition of exposures and outcomes, identification and control of confounding variables, and the suitability of the statistical analysis. The tool was especially applicable considering Positive Voices survey utilized mass self-reported data on stigma and unmet healthcare needs, and such aspects like measurement validity, sampling representativeness, and confounder adjustment are of paramount importance (Sewell et al., 2024). The quality of the quantitative evidence methodology was appraised in a systematic and uniform way by employing a cross-sectional-specific tool.</w:t>
      </w:r>
    </w:p>
    <w:p w:rsidR="00000000" w:rsidDel="00000000" w:rsidP="00000000" w:rsidRDefault="00000000" w:rsidRPr="00000000" w14:paraId="000001AB">
      <w:pPr>
        <w:pStyle w:val="Heading3"/>
        <w:numPr>
          <w:ilvl w:val="2"/>
          <w:numId w:val="2"/>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5tv6h6l7uunf" w:id="50"/>
      <w:bookmarkEnd w:id="50"/>
      <w:r w:rsidDel="00000000" w:rsidR="00000000" w:rsidRPr="00000000">
        <w:rPr>
          <w:rFonts w:ascii="Arial" w:cs="Arial" w:eastAsia="Arial" w:hAnsi="Arial"/>
          <w:b w:val="1"/>
          <w:bCs w:val="1"/>
          <w:color w:val="000000"/>
          <w:sz w:val="22"/>
          <w:szCs w:val="22"/>
          <w:rtl w:val="0"/>
        </w:rPr>
        <w:t xml:space="preserve">Overview of Quantitative Study Designs</w:t>
      </w:r>
    </w:p>
    <w:p w:rsidR="00000000" w:rsidDel="00000000" w:rsidP="00000000" w:rsidRDefault="00000000" w:rsidRPr="00000000" w14:paraId="000001AC">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quantitative research designs used in both articles in the review were cross-sectional designs. The primary care mixed-method study involved the use of a quantitative component in the survey as well as qualitative interviews, but this quantitative component was also cross-sectional in nature. No cohort studies, longitudinal follow up studies or randomised controlled trials were found within the inclusion criteria of the present review because it was a research that centred on experiential and service based outcomes and not biomedical intervention efficacy (Nickolls et al., 2024). The cross-sectional design is prevalent in the literature of HIV stigma research due to the fact that it enables the researcher to quantify prevalence of psychosocial variables and to determine statistical relationships between stigma, mental health, and access to services among large populations. However, these designs are incapable of establishing cause and effect relationships; they do not show time sequence. Therefore, although there is breadth and generalisability in cross-sectional designs, the designs are weak in causation inference.</w:t>
      </w:r>
    </w:p>
    <w:p w:rsidR="00000000" w:rsidDel="00000000" w:rsidP="00000000" w:rsidRDefault="00000000" w:rsidRPr="00000000" w14:paraId="000001AD">
      <w:pPr>
        <w:pStyle w:val="Heading3"/>
        <w:numPr>
          <w:ilvl w:val="2"/>
          <w:numId w:val="2"/>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afdqvcm235x5" w:id="51"/>
      <w:bookmarkEnd w:id="51"/>
      <w:r w:rsidDel="00000000" w:rsidR="00000000" w:rsidRPr="00000000">
        <w:rPr>
          <w:rFonts w:ascii="Arial" w:cs="Arial" w:eastAsia="Arial" w:hAnsi="Arial"/>
          <w:b w:val="1"/>
          <w:bCs w:val="1"/>
          <w:color w:val="000000"/>
          <w:sz w:val="22"/>
          <w:szCs w:val="22"/>
          <w:rtl w:val="0"/>
        </w:rPr>
        <w:t xml:space="preserve">Aims and Role of Quantitative Evidence</w:t>
      </w:r>
    </w:p>
    <w:p w:rsidR="00000000" w:rsidDel="00000000" w:rsidP="00000000" w:rsidRDefault="00000000" w:rsidRPr="00000000" w14:paraId="000001AE">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quantitative research in this review was utilized to a great extent to estimate the extent and dispersion of stigma, mental health burden, and unmet service needs among the HIV individuals living in the UK. The Positive Voices survey measured the percentage of individuals who reported experiencing discrimination in healthcare and showed statistical relationships between stigma experiences and unmet mental health, social support, and chronic care needs (GOV.UK, 2022). Quantitative elements in the primary care research presented systematized information on patient satisfaction and disclosure comfort in GP practices. The results are used to supplement qualitative evidence with population-level information that themes like anticipatory stigma, fragmented care and distrust in primary healthcare have. The generalisability and policy relevance are enhanced by quantitative evidence which proves that these problems are not individual experiences but quantifiable trends influencing large segments of PLWH. Nonetheless, the use of self-reported survey data creates the risk of bias in responses, and cross-sectional research methods restrict the use of causal inferences. Thus, although quantitative data supplements depth and contributes to the arguments that health policy, it should be carefully incorporated with the qualitative data to provide a full-fledged picture of health and social care experiences.</w:t>
      </w:r>
    </w:p>
    <w:p w:rsidR="00000000" w:rsidDel="00000000" w:rsidP="00000000" w:rsidRDefault="00000000" w:rsidRPr="00000000" w14:paraId="000001AF">
      <w:pPr>
        <w:pStyle w:val="Heading3"/>
        <w:numPr>
          <w:ilvl w:val="2"/>
          <w:numId w:val="2"/>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y1jesocy8kmj" w:id="52"/>
      <w:bookmarkEnd w:id="52"/>
      <w:r w:rsidDel="00000000" w:rsidR="00000000" w:rsidRPr="00000000">
        <w:rPr>
          <w:rFonts w:ascii="Arial" w:cs="Arial" w:eastAsia="Arial" w:hAnsi="Arial"/>
          <w:b w:val="1"/>
          <w:bCs w:val="1"/>
          <w:color w:val="000000"/>
          <w:sz w:val="22"/>
          <w:szCs w:val="22"/>
          <w:rtl w:val="0"/>
        </w:rPr>
        <w:t xml:space="preserve">Critical Appraisal Findings: Internal Validity</w:t>
      </w:r>
    </w:p>
    <w:p w:rsidR="00000000" w:rsidDel="00000000" w:rsidP="00000000" w:rsidRDefault="00000000" w:rsidRPr="00000000" w14:paraId="000001B0">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evaluation of internal validity was directed to the representativity of the sample, reliability of measurement, and the possibility to have biasing factors in the cross-sectional studies. However, the responses were based on voluntary survey filling using HIV clinics, which might bring about selection bias since people who were uninvolved with the services or those who were heavily stigmatized might have been underrepresented. The mixed-method primary care study utilized the existing clinic population when recruiting its participants, a fact that could also rule out individuals who are not actively involved in care. The bias in recruitment can thus not be eliminated. Healthcare stigma measurement and unmet needs measurement relied on self-report instruments in a structured form, thus increasing the standardisation of the measurement (Malone et al., 2025). However, the use of subjective reports increases the risk of response bias and social desirability bias, especially when sensitive issues, like discrimination or mental illness, are examined. Mental health reduction was self-reported not clinically determined, which can compromise measurement accuracy (Menezes-Júnior et al., 2026). The national study utilized validated survey frameworks, but the cross-sectional design does not allow one to establish whether the reported stigma came before the unmet care needs.</w:t>
      </w:r>
    </w:p>
    <w:p w:rsidR="00000000" w:rsidDel="00000000" w:rsidP="00000000" w:rsidRDefault="00000000" w:rsidRPr="00000000" w14:paraId="000001B1">
      <w:pPr>
        <w:pStyle w:val="Heading3"/>
        <w:numPr>
          <w:ilvl w:val="2"/>
          <w:numId w:val="2"/>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e7xm41iwxqk" w:id="53"/>
      <w:bookmarkEnd w:id="53"/>
      <w:r w:rsidDel="00000000" w:rsidR="00000000" w:rsidRPr="00000000">
        <w:rPr>
          <w:rFonts w:ascii="Arial" w:cs="Arial" w:eastAsia="Arial" w:hAnsi="Arial"/>
          <w:b w:val="1"/>
          <w:bCs w:val="1"/>
          <w:color w:val="000000"/>
          <w:sz w:val="22"/>
          <w:szCs w:val="22"/>
          <w:rtl w:val="0"/>
        </w:rPr>
        <w:t xml:space="preserve">Critical Appraisal Findings: Statistical and Analytical Rigor</w:t>
      </w:r>
    </w:p>
    <w:p w:rsidR="00000000" w:rsidDel="00000000" w:rsidP="00000000" w:rsidRDefault="00000000" w:rsidRPr="00000000" w14:paraId="000001B2">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quantitative studies were mostly suitable in terms of statistical analysis in cross-sectional survey design. Positive Voices study used regression modelling to investigate the relationship between the reported healthcare stigma and unmet need allowing the control of significant demographic variables, which enhances the analytical strength. Both confidence intervals and statistical significance levels were reported, which made it possible to interpret the precision and the effect size. Mixed-method research design involved primary care that relied on descriptive statistics and inferences to put qualitative data in perspective. Nevertheless, cross-sectional analysis could not classify time or cause-effect, although statistical techniques were appropriate to determine the relationship. Despite the higher rates of unmet mental health needs that were linked to discrimination, it is not possible to decipher the contribution of stigma towards low service involvement or underlying vulnerabilities as the cause of the results (Mantovani, Pizzolati and Edge, 2016). Those concerned with self-report measurement, as well as possible missing confounders were admitted in the original research, which demonstrates analytic transparency.</w:t>
      </w:r>
    </w:p>
    <w:p w:rsidR="00000000" w:rsidDel="00000000" w:rsidP="00000000" w:rsidRDefault="00000000" w:rsidRPr="00000000" w14:paraId="000001B3">
      <w:pPr>
        <w:pStyle w:val="Heading3"/>
        <w:numPr>
          <w:ilvl w:val="2"/>
          <w:numId w:val="2"/>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bjgkyjsyg8l8" w:id="54"/>
      <w:bookmarkEnd w:id="54"/>
      <w:r w:rsidDel="00000000" w:rsidR="00000000" w:rsidRPr="00000000">
        <w:rPr>
          <w:rFonts w:ascii="Arial" w:cs="Arial" w:eastAsia="Arial" w:hAnsi="Arial"/>
          <w:b w:val="1"/>
          <w:bCs w:val="1"/>
          <w:color w:val="000000"/>
          <w:sz w:val="22"/>
          <w:szCs w:val="22"/>
          <w:rtl w:val="0"/>
        </w:rPr>
        <w:t xml:space="preserve">External Validity and Generalisability</w:t>
      </w:r>
    </w:p>
    <w:p w:rsidR="00000000" w:rsidDel="00000000" w:rsidP="00000000" w:rsidRDefault="00000000" w:rsidRPr="00000000" w14:paraId="000001B4">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External validity was different in the studies. The comprehensive national survey has high external generalisability in England and Wales since it is extensive in sample size and scope of clinics (Burt et al., 2017). Conversely, quantitative elements inherent to primary care research in London could affect its external validity because of geographic concentration and service-related circumstances. It is also possible that individuals already involved in specialist HIV services are overrepresented and misrepresent the experiences of those marginalised or not accessing care (Arrington-Sanders et al., 2020). National level results can be generalized, but there should be some contextual constraints.</w:t>
      </w:r>
    </w:p>
    <w:p w:rsidR="00000000" w:rsidDel="00000000" w:rsidP="00000000" w:rsidRDefault="00000000" w:rsidRPr="00000000" w14:paraId="000001B5">
      <w:pPr>
        <w:pStyle w:val="Heading3"/>
        <w:numPr>
          <w:ilvl w:val="2"/>
          <w:numId w:val="2"/>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7lz4pociqrdc" w:id="55"/>
      <w:bookmarkEnd w:id="55"/>
      <w:r w:rsidDel="00000000" w:rsidR="00000000" w:rsidRPr="00000000">
        <w:rPr>
          <w:rFonts w:ascii="Arial" w:cs="Arial" w:eastAsia="Arial" w:hAnsi="Arial"/>
          <w:b w:val="1"/>
          <w:bCs w:val="1"/>
          <w:color w:val="000000"/>
          <w:sz w:val="22"/>
          <w:szCs w:val="22"/>
          <w:rtl w:val="0"/>
        </w:rPr>
        <w:t xml:space="preserve">Overall Quality Assessment of Quantitative Evidence</w:t>
      </w:r>
    </w:p>
    <w:p w:rsidR="00000000" w:rsidDel="00000000" w:rsidP="00000000" w:rsidRDefault="00000000" w:rsidRPr="00000000" w14:paraId="000001B6">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general, the quantitative data indicated moderate to high methodological quality, especially because the statistical power and the design of the national survey are structured. Internal validity was supported with sampling structures and regression analyses and transparency was improved through reporting of statistical indicators. However, the use of cross-sectional and self-reported information restricts the ability to make causal inference and creates possibilities of bias. Quantitative results are useful in terms of breadth and policy relevance but they do not give the whole story of lived experiences of people living with HIV. Hence, there is a need to integrate with qualitative evidence, which is discussed in the next section on mixed-method studies.</w:t>
      </w:r>
    </w:p>
    <w:p w:rsidR="00000000" w:rsidDel="00000000" w:rsidP="00000000" w:rsidRDefault="00000000" w:rsidRPr="00000000" w14:paraId="000001B7">
      <w:pPr>
        <w:pStyle w:val="Heading2"/>
        <w:numPr>
          <w:ilvl w:val="1"/>
          <w:numId w:val="2"/>
        </w:numPr>
        <w:spacing w:after="240" w:before="240" w:line="360" w:lineRule="auto"/>
        <w:ind w:left="1080" w:hanging="720"/>
        <w:jc w:val="both"/>
        <w:rPr>
          <w:rFonts w:ascii="Arial" w:cs="Arial" w:eastAsia="Arial" w:hAnsi="Arial"/>
          <w:b w:val="1"/>
          <w:bCs w:val="1"/>
          <w:sz w:val="22"/>
          <w:szCs w:val="22"/>
        </w:rPr>
      </w:pPr>
      <w:bookmarkStart w:colFirst="0" w:colLast="0" w:name="_heading=h.5vr1712o7cum" w:id="56"/>
      <w:bookmarkEnd w:id="56"/>
      <w:r w:rsidDel="00000000" w:rsidR="00000000" w:rsidRPr="00000000">
        <w:rPr>
          <w:rFonts w:ascii="Arial" w:cs="Arial" w:eastAsia="Arial" w:hAnsi="Arial"/>
          <w:b w:val="1"/>
          <w:bCs w:val="1"/>
          <w:sz w:val="22"/>
          <w:szCs w:val="22"/>
          <w:rtl w:val="0"/>
        </w:rPr>
        <w:t xml:space="preserve">Evaluation of Mixed Methods Studies</w:t>
      </w:r>
    </w:p>
    <w:p w:rsidR="00000000" w:rsidDel="00000000" w:rsidP="00000000" w:rsidRDefault="00000000" w:rsidRPr="00000000" w14:paraId="000001B8">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methodological quality of the mixed-methods studies that were included in this review was assessed with Mixed Methods Appraisal Tool (MMAT). The MMAT is specifically created to evaluate the studies involving qualitative and quantitative elements as a part of a cohesive research design, which makes sure that both of the strands are evaluated both separately and together (Younas and Fàbregues, 2026). This instrument was especially suitable since two of the studies that were included in the review identified those that merge large-scale survey with qualitative interviews in examining experiences of healthcare stigma and primary care engagement in the UK among individuals living with HIV. The significance of the mixed-method-specific appraisal tool as a methodology consists in the fact that it not only evaluates the rigour of each of the methodological elements but also the quality of their integration. The MMAT tests the clarity of research questions, how well mixed-method design suits both parts, sufficiency of data collection in both parts, compatibility of data integration, and validity of conclusion from findings of combined research (Quan et al., 2025).</w:t>
      </w:r>
    </w:p>
    <w:p w:rsidR="00000000" w:rsidDel="00000000" w:rsidP="00000000" w:rsidRDefault="00000000" w:rsidRPr="00000000" w14:paraId="000001B9">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use of MMAT showed that the mixed-methods studies were methodologically sound. The researched questions had been clearly stated in both studies, and the authors were correct in their application of the mixed-method design since they aimed to provide both the breadth and depth that can be achieved through statistics and experiences respectively. The quantitative part used cross-sectional survey techniques to identify prevalence of stigma, unmet needs or satisfaction with GP services, with the qualitative interpretation of patterns relied upon interviews. The sampling methods suited the corresponding elements, and the analysis procedures were presented with an adequate level of transparency. The two studies indicated the use of meaningful integration and the qualitative data was applied to interpret and elaborate on the quantitative relationships, as opposed to running concurrent analysis without synthesis. This reinforced the ability of the findings to explain and improve applicability in relation to health and social care policy.</w:t>
      </w:r>
    </w:p>
    <w:p w:rsidR="00000000" w:rsidDel="00000000" w:rsidP="00000000" w:rsidRDefault="00000000" w:rsidRPr="00000000" w14:paraId="000001BA">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Nonetheless, some restrictions were determined. Despite the existence of integration, qualitative and quantitative elements were not always articulately debated and it was not clear whether one of the strands was more important as compared to the other (Skamagki et al., 2022). Similar to the quantitative studies, the cross-sectional survey factors restrain causation. Participants were mostly recruited using the services of specialists working with HIV and this will limit the generalisability to persons not engaged in care. Nevertheless, the mixed-method studies portrayed average to high methodology standards and added useful complementary evidence that completes the statistical patterns with the lived experiences.</w:t>
      </w:r>
    </w:p>
    <w:p w:rsidR="00000000" w:rsidDel="00000000" w:rsidP="00000000" w:rsidRDefault="00000000" w:rsidRPr="00000000" w14:paraId="000001BB">
      <w:pPr>
        <w:pStyle w:val="Heading2"/>
        <w:numPr>
          <w:ilvl w:val="1"/>
          <w:numId w:val="2"/>
        </w:numPr>
        <w:spacing w:after="240" w:before="240" w:line="360" w:lineRule="auto"/>
        <w:ind w:left="1080" w:hanging="720"/>
        <w:jc w:val="both"/>
        <w:rPr>
          <w:rFonts w:ascii="Arial" w:cs="Arial" w:eastAsia="Arial" w:hAnsi="Arial"/>
          <w:b w:val="1"/>
          <w:bCs w:val="1"/>
          <w:color w:val="000000"/>
          <w:sz w:val="22"/>
          <w:szCs w:val="22"/>
        </w:rPr>
      </w:pPr>
      <w:bookmarkStart w:colFirst="0" w:colLast="0" w:name="_heading=h.1mfg6gw81fft" w:id="57"/>
      <w:bookmarkEnd w:id="57"/>
      <w:r w:rsidDel="00000000" w:rsidR="00000000" w:rsidRPr="00000000">
        <w:rPr>
          <w:rFonts w:ascii="Arial" w:cs="Arial" w:eastAsia="Arial" w:hAnsi="Arial"/>
          <w:b w:val="1"/>
          <w:bCs w:val="1"/>
          <w:color w:val="000000"/>
          <w:sz w:val="22"/>
          <w:szCs w:val="22"/>
          <w:rtl w:val="0"/>
        </w:rPr>
        <w:t xml:space="preserve">Chapter Summary</w:t>
      </w:r>
    </w:p>
    <w:p w:rsidR="00000000" w:rsidDel="00000000" w:rsidP="00000000" w:rsidRDefault="00000000" w:rsidRPr="00000000" w14:paraId="000001BC">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methodological quality of the twelve studies incorporated in this review was methodologically taken out and critically assessed. A systematic data extraction procedure was used to find and compare key characteristics of the study in order to guarantee transparency and consistency. The qualitative studies were placed through the application of the CASP Qualitative Checklist, the quantitative research through the application of the JBI Analytical Cross-Sectional Checklist, and the mixed qualitative and quantitative studies through the use of the Mixed Methods Appraisal Tool (MMAT). The evidence base was found to be of moderate to high quality of methodology with certain limitations due to cross sectional limitation and sampling concentration. </w:t>
      </w:r>
    </w:p>
    <w:p w:rsidR="00000000" w:rsidDel="00000000" w:rsidP="00000000" w:rsidRDefault="00000000" w:rsidRPr="00000000" w14:paraId="000001BD">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Despite minor inadequacies observed in some studies, on the whole the twelve selected studies were considered possessing the academic vigour as required. Table 4.1 below presents a summary of qualities of these studies. With the credibility and rigour of the research works included established, the next chapter describes the thematic synthesis of the findings in the area of health and social care of individuals living with HIV in the UK.</w:t>
      </w:r>
    </w:p>
    <w:p w:rsidR="00000000" w:rsidDel="00000000" w:rsidP="00000000" w:rsidRDefault="00000000" w:rsidRPr="00000000" w14:paraId="000001BE">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F">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0">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1">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2">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3">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4">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5">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6">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7">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8">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9">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A">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B">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C">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D">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E">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F">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0">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1">
      <w:pPr>
        <w:pStyle w:val="Heading1"/>
        <w:spacing w:after="240" w:before="240" w:line="360" w:lineRule="auto"/>
        <w:ind w:left="580" w:firstLine="0"/>
        <w:jc w:val="center"/>
        <w:rPr>
          <w:rFonts w:ascii="Arial" w:cs="Arial" w:eastAsia="Arial" w:hAnsi="Arial"/>
          <w:b w:val="1"/>
          <w:bCs w:val="1"/>
          <w:color w:val="000000"/>
          <w:sz w:val="22"/>
          <w:szCs w:val="22"/>
        </w:rPr>
      </w:pPr>
      <w:bookmarkStart w:colFirst="0" w:colLast="0" w:name="_heading=h.bm77mmuq3ogz" w:id="58"/>
      <w:bookmarkEnd w:id="58"/>
      <w:r w:rsidDel="00000000" w:rsidR="00000000" w:rsidRPr="00000000">
        <w:rPr>
          <w:rFonts w:ascii="Arial" w:cs="Arial" w:eastAsia="Arial" w:hAnsi="Arial"/>
          <w:b w:val="1"/>
          <w:bCs w:val="1"/>
          <w:color w:val="000000"/>
          <w:sz w:val="22"/>
          <w:szCs w:val="22"/>
          <w:rtl w:val="0"/>
        </w:rPr>
        <w:t xml:space="preserve">Chapter 5: Data Analysis and Synthesis</w:t>
      </w:r>
    </w:p>
    <w:p w:rsidR="00000000" w:rsidDel="00000000" w:rsidP="00000000" w:rsidRDefault="00000000" w:rsidRPr="00000000" w14:paraId="000001D2">
      <w:pPr>
        <w:pStyle w:val="Heading2"/>
        <w:numPr>
          <w:ilvl w:val="1"/>
          <w:numId w:val="3"/>
        </w:numPr>
        <w:spacing w:after="240" w:before="240" w:line="360" w:lineRule="auto"/>
        <w:ind w:left="940" w:hanging="720"/>
        <w:jc w:val="both"/>
        <w:rPr>
          <w:rFonts w:ascii="Arial" w:cs="Arial" w:eastAsia="Arial" w:hAnsi="Arial"/>
          <w:b w:val="1"/>
          <w:bCs w:val="1"/>
          <w:sz w:val="22"/>
          <w:szCs w:val="22"/>
        </w:rPr>
      </w:pPr>
      <w:bookmarkStart w:colFirst="0" w:colLast="0" w:name="_heading=h.2ih95fjj3dcx" w:id="59"/>
      <w:bookmarkEnd w:id="59"/>
      <w:r w:rsidDel="00000000" w:rsidR="00000000" w:rsidRPr="00000000">
        <w:rPr>
          <w:rFonts w:ascii="Arial" w:cs="Arial" w:eastAsia="Arial" w:hAnsi="Arial"/>
          <w:b w:val="1"/>
          <w:bCs w:val="1"/>
          <w:sz w:val="22"/>
          <w:szCs w:val="22"/>
          <w:rtl w:val="0"/>
        </w:rPr>
        <w:t xml:space="preserve">Introduction to Chapter</w:t>
      </w:r>
    </w:p>
    <w:p w:rsidR="00000000" w:rsidDel="00000000" w:rsidP="00000000" w:rsidRDefault="00000000" w:rsidRPr="00000000" w14:paraId="000001D3">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chapter brings out the thematic synthesis of the twelve studies that were selected for systematic review and discusses how the experience of people living with HIV in the UK was in terms of health and social care. Combining qualitative analysis results of the experiences and quantitative analysis results of the population as a whole, this chapter will give a detailed analysis of the main themes and subsequently present the synthesis of the results.</w:t>
      </w:r>
    </w:p>
    <w:p w:rsidR="00000000" w:rsidDel="00000000" w:rsidP="00000000" w:rsidRDefault="00000000" w:rsidRPr="00000000" w14:paraId="000001D4">
      <w:pPr>
        <w:pStyle w:val="Heading2"/>
        <w:numPr>
          <w:ilvl w:val="1"/>
          <w:numId w:val="3"/>
        </w:numPr>
        <w:spacing w:after="240" w:before="240" w:line="360" w:lineRule="auto"/>
        <w:ind w:left="940" w:hanging="720"/>
        <w:jc w:val="both"/>
        <w:rPr>
          <w:rFonts w:ascii="Arial" w:cs="Arial" w:eastAsia="Arial" w:hAnsi="Arial"/>
          <w:b w:val="1"/>
          <w:bCs w:val="1"/>
          <w:sz w:val="22"/>
          <w:szCs w:val="22"/>
        </w:rPr>
      </w:pPr>
      <w:bookmarkStart w:colFirst="0" w:colLast="0" w:name="_heading=h.el6f4s1ff827" w:id="60"/>
      <w:bookmarkEnd w:id="60"/>
      <w:r w:rsidDel="00000000" w:rsidR="00000000" w:rsidRPr="00000000">
        <w:rPr>
          <w:rFonts w:ascii="Arial" w:cs="Arial" w:eastAsia="Arial" w:hAnsi="Arial"/>
          <w:b w:val="1"/>
          <w:bCs w:val="1"/>
          <w:sz w:val="22"/>
          <w:szCs w:val="22"/>
          <w:rtl w:val="0"/>
        </w:rPr>
        <w:t xml:space="preserve">Thematic Analysis</w:t>
      </w:r>
    </w:p>
    <w:p w:rsidR="00000000" w:rsidDel="00000000" w:rsidP="00000000" w:rsidRDefault="00000000" w:rsidRPr="00000000" w14:paraId="000001D5">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Thematic analysis is a qualitative analysis tool that is applied in order to identify, analyse and interpret patterns or themes in data (Ahmed et al., 2025). It is usually applied to the interview and focus group data to investigate meanings, experience and social processes. When applied </w:t>
      </w:r>
    </w:p>
    <w:p w:rsidR="00000000" w:rsidDel="00000000" w:rsidP="00000000" w:rsidRDefault="00000000" w:rsidRPr="00000000" w14:paraId="000001D6">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a systematic literature review to generalise the results of multiple researches, it is commonly called a thematic synthesis. Being traditionally qualitative, thematic analysis may be used on quantitative findings as well, as recurring patterns, trends, and relationships can be identified among the results of statistical analysis (Dawadi, 2020).</w:t>
      </w:r>
    </w:p>
    <w:p w:rsidR="00000000" w:rsidDel="00000000" w:rsidP="00000000" w:rsidRDefault="00000000" w:rsidRPr="00000000" w14:paraId="000001D7">
      <w:pPr>
        <w:pStyle w:val="Heading2"/>
        <w:numPr>
          <w:ilvl w:val="1"/>
          <w:numId w:val="3"/>
        </w:numPr>
        <w:spacing w:after="240" w:before="240" w:line="360" w:lineRule="auto"/>
        <w:ind w:left="940" w:hanging="720"/>
        <w:jc w:val="both"/>
        <w:rPr>
          <w:rFonts w:ascii="Arial" w:cs="Arial" w:eastAsia="Arial" w:hAnsi="Arial"/>
          <w:b w:val="1"/>
          <w:bCs w:val="1"/>
          <w:sz w:val="22"/>
          <w:szCs w:val="22"/>
        </w:rPr>
      </w:pPr>
      <w:bookmarkStart w:colFirst="0" w:colLast="0" w:name="_heading=h.wyqnuv6dd56o" w:id="61"/>
      <w:bookmarkEnd w:id="61"/>
      <w:r w:rsidDel="00000000" w:rsidR="00000000" w:rsidRPr="00000000">
        <w:rPr>
          <w:rFonts w:ascii="Arial" w:cs="Arial" w:eastAsia="Arial" w:hAnsi="Arial"/>
          <w:b w:val="1"/>
          <w:bCs w:val="1"/>
          <w:sz w:val="22"/>
          <w:szCs w:val="22"/>
          <w:rtl w:val="0"/>
        </w:rPr>
        <w:t xml:space="preserve">Data analysis tool</w:t>
      </w:r>
    </w:p>
    <w:p w:rsidR="00000000" w:rsidDel="00000000" w:rsidP="00000000" w:rsidRDefault="00000000" w:rsidRPr="00000000" w14:paraId="000001D8">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Thematic analysis patterns using the six-step model suggested by Braun and Clarke were determined and discussed using qualitative, quantitative, and mixed-method evidence (Braun and Clarke, 2006; Naeem et al., 2023). The data were inductively coded into themes and thus the repeated concepts and relationships came into the limelight naturally as opposed to predetermined ideas. The scheme includes the familiarisation with the information, creating the first codes, finding the themes, examining the themes, naming the themes, and creating the report. This methodology provides rigour and transparency in the process of the identification of patterns across the studies (Johnson, Adkins and Chauvin, 2020). Its use of the HIV related health and social care experiences allows systematic interpretation of multifaceted psychosocial and service related evidence.</w:t>
      </w:r>
    </w:p>
    <w:p w:rsidR="00000000" w:rsidDel="00000000" w:rsidP="00000000" w:rsidRDefault="00000000" w:rsidRPr="00000000" w14:paraId="000001D9">
      <w:pPr>
        <w:pStyle w:val="Heading2"/>
        <w:numPr>
          <w:ilvl w:val="1"/>
          <w:numId w:val="3"/>
        </w:numPr>
        <w:spacing w:after="240" w:before="240" w:line="360" w:lineRule="auto"/>
        <w:ind w:left="940" w:hanging="720"/>
        <w:jc w:val="both"/>
        <w:rPr>
          <w:rFonts w:ascii="Arial" w:cs="Arial" w:eastAsia="Arial" w:hAnsi="Arial"/>
          <w:b w:val="1"/>
          <w:bCs w:val="1"/>
          <w:sz w:val="22"/>
          <w:szCs w:val="22"/>
        </w:rPr>
      </w:pPr>
      <w:bookmarkStart w:colFirst="0" w:colLast="0" w:name="_heading=h.5e476gw7zat6" w:id="62"/>
      <w:bookmarkEnd w:id="62"/>
      <w:r w:rsidDel="00000000" w:rsidR="00000000" w:rsidRPr="00000000">
        <w:rPr>
          <w:rFonts w:ascii="Arial" w:cs="Arial" w:eastAsia="Arial" w:hAnsi="Arial"/>
          <w:b w:val="1"/>
          <w:bCs w:val="1"/>
          <w:color w:val="404040"/>
          <w:sz w:val="22"/>
          <w:szCs w:val="22"/>
          <w:rtl w:val="0"/>
        </w:rPr>
        <w:t xml:space="preserve">Characteristics of the identified studies</w:t>
      </w:r>
      <w:r w:rsidDel="00000000" w:rsidR="00000000" w:rsidRPr="00000000">
        <w:rPr>
          <w:rtl w:val="0"/>
        </w:rPr>
      </w:r>
    </w:p>
    <w:p w:rsidR="00000000" w:rsidDel="00000000" w:rsidP="00000000" w:rsidRDefault="00000000" w:rsidRPr="00000000" w14:paraId="000001DA">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Among the twelve studies making this review, ten were in the United Kingdom and made in England and some in London and South-East England. A qualitative study was held in Ireland (Vaughan et al., 2020), and one previous study based in the UK investigated the lives of African immigrant women in Nottingham (Ndirangu and Evans, 2008). Most of the studies used qualitative designs based on semi-structured interviews or focus groups, with two incorporating a major quantitative element based on cross-sectional surveys (Wiginton et al.,2021 and Rai et al., 2020). Older adults, women with HIV, African and Caribbean communities, and people involved in primary care and specialist care services were considered as groups of participants.</w:t>
      </w:r>
    </w:p>
    <w:p w:rsidR="00000000" w:rsidDel="00000000" w:rsidP="00000000" w:rsidRDefault="00000000" w:rsidRPr="00000000" w14:paraId="000001DB">
      <w:pPr>
        <w:pStyle w:val="Heading2"/>
        <w:numPr>
          <w:ilvl w:val="1"/>
          <w:numId w:val="3"/>
        </w:numPr>
        <w:spacing w:after="240" w:before="240" w:line="360" w:lineRule="auto"/>
        <w:ind w:left="940" w:hanging="720"/>
        <w:jc w:val="both"/>
        <w:rPr>
          <w:rFonts w:ascii="Arial" w:cs="Arial" w:eastAsia="Arial" w:hAnsi="Arial"/>
          <w:b w:val="1"/>
          <w:bCs w:val="1"/>
          <w:sz w:val="22"/>
          <w:szCs w:val="22"/>
        </w:rPr>
      </w:pPr>
      <w:bookmarkStart w:colFirst="0" w:colLast="0" w:name="_heading=h.c871nm5l66bn" w:id="63"/>
      <w:bookmarkEnd w:id="63"/>
      <w:r w:rsidDel="00000000" w:rsidR="00000000" w:rsidRPr="00000000">
        <w:rPr>
          <w:rFonts w:ascii="Arial" w:cs="Arial" w:eastAsia="Arial" w:hAnsi="Arial"/>
          <w:b w:val="1"/>
          <w:bCs w:val="1"/>
          <w:sz w:val="22"/>
          <w:szCs w:val="22"/>
          <w:rtl w:val="0"/>
        </w:rPr>
        <w:t xml:space="preserve">Emerging Themes from included studies</w:t>
      </w:r>
    </w:p>
    <w:p w:rsidR="00000000" w:rsidDel="00000000" w:rsidP="00000000" w:rsidRDefault="00000000" w:rsidRPr="00000000" w14:paraId="000001DC">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thematic analysis of the twelve articles involved found that there were four broad themes and a number of subthemes that were interrelated and encompassed the health and social care experiences of the people who lived with HIV in the UK. These themes were inductive and not pre-determined, as they appeared through systematic coding and comparison of studies. Qualitative interviews, focus groups and quantitative survey results were found to have consistent patterns that showed convergence between the lived experience narratives and population-wide evidence (Hennink and Kaiser, 2022). Notably, the themes were not confined to single themes, but rather they overlapped often, whereby stigma affected the fragmentation of services, ageing, care needs, and cultural backgrounds impacted the engagement. These intertwined themes in combination give a holistic synthesis of the evidence base.</w:t>
      </w:r>
    </w:p>
    <w:p w:rsidR="00000000" w:rsidDel="00000000" w:rsidP="00000000" w:rsidRDefault="00000000" w:rsidRPr="00000000" w14:paraId="000001DD">
      <w:pPr>
        <w:pStyle w:val="Heading3"/>
        <w:numPr>
          <w:ilvl w:val="2"/>
          <w:numId w:val="3"/>
        </w:numPr>
        <w:spacing w:after="240" w:before="240" w:line="360" w:lineRule="auto"/>
        <w:ind w:left="940" w:hanging="720"/>
        <w:jc w:val="both"/>
        <w:rPr>
          <w:rFonts w:ascii="Arial" w:cs="Arial" w:eastAsia="Arial" w:hAnsi="Arial"/>
          <w:b w:val="1"/>
          <w:bCs w:val="1"/>
          <w:color w:val="000000"/>
          <w:sz w:val="22"/>
          <w:szCs w:val="22"/>
        </w:rPr>
      </w:pPr>
      <w:bookmarkStart w:colFirst="0" w:colLast="0" w:name="_heading=h.sso2vfr2soqx" w:id="64"/>
      <w:bookmarkEnd w:id="64"/>
      <w:r w:rsidDel="00000000" w:rsidR="00000000" w:rsidRPr="00000000">
        <w:rPr>
          <w:rFonts w:ascii="Arial" w:cs="Arial" w:eastAsia="Arial" w:hAnsi="Arial"/>
          <w:b w:val="1"/>
          <w:bCs w:val="1"/>
          <w:color w:val="000000"/>
          <w:sz w:val="22"/>
          <w:szCs w:val="22"/>
          <w:rtl w:val="0"/>
        </w:rPr>
        <w:t xml:space="preserve">Theme One: Persistent and Evolving HIV-Related Stigma</w:t>
      </w:r>
    </w:p>
    <w:p w:rsidR="00000000" w:rsidDel="00000000" w:rsidP="00000000" w:rsidRDefault="00000000" w:rsidRPr="00000000" w14:paraId="000001DE">
      <w:pPr>
        <w:spacing w:after="240" w:before="24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Stigma within Healthcare Settings</w:t>
      </w:r>
    </w:p>
    <w:p w:rsidR="00000000" w:rsidDel="00000000" w:rsidP="00000000" w:rsidRDefault="00000000" w:rsidRPr="00000000" w14:paraId="000001DF">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Stigmatization that was enacted in the healthcare setting was regularly reported and is discussed in four of the twelve selected studies. Vaughan et al. (2020) outlined the unnecessary infection-control measures observed by the participants, including being over-gloved or visibly distanced, which reinforced the emotions of contamination. Wiginton et al. (2021) studied the data on more than 3,400 participants, in which the participants who reported having experienced healthcare discrimination were much more likely to report having unmet needs related to mental health and social support. In line with this, Hedge et al. (2021) observed that despite the reduction of overt discrimination, subtle types of stigmas are still evident especially among men who have sex with men, African and Caribbean communities. Rai et al. (2019) also observed that the perceived knowledge gaps among GP have been associated with the difference in care experiences and unwillingness to address HIV-related challenges. Conversely, supportive clinical experiences were reported by some of the participants, which implies variation in provider sensitivity.</w:t>
      </w:r>
    </w:p>
    <w:p w:rsidR="00000000" w:rsidDel="00000000" w:rsidP="00000000" w:rsidRDefault="00000000" w:rsidRPr="00000000" w14:paraId="000001E0">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1">
      <w:pPr>
        <w:spacing w:after="240" w:before="24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Anticipated Stigma and Disclosure Concerns</w:t>
      </w:r>
    </w:p>
    <w:p w:rsidR="00000000" w:rsidDel="00000000" w:rsidP="00000000" w:rsidRDefault="00000000" w:rsidRPr="00000000" w14:paraId="000001E2">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stigma that was expected became as powerful. Hedge et al. revealed that a lot of participants were afraid of being judged despite the absence of discriminatory events. In a similar case, Rai et al. found that patients did not seek HIV-related consultation with their GP because they were afraid that they would not be understood. Keogh et al. (2016) noted that patients often handled disclosure highly, restricting them in order to avoid possible bias. Bruton et al.  (2018) indicated that diagnosis was a life-changing experience at all times and eras, which was marked by a persistent fear of a rejection. On the national level, 10.4% of the respondents of Positive Voices indicated that they only disclose their status to healthcare providers, indicating limited social disclosure (Fuente-Soro et al., 2023). These trends show that stigma does not act as an overt discrimination; expectation of negative treatment influences behaviour and diminishes complete participation in services.</w:t>
      </w:r>
    </w:p>
    <w:p w:rsidR="00000000" w:rsidDel="00000000" w:rsidP="00000000" w:rsidRDefault="00000000" w:rsidRPr="00000000" w14:paraId="000001E3">
      <w:pPr>
        <w:spacing w:after="240" w:before="24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Intersectional and Structural Dimensions of Stigma</w:t>
      </w:r>
    </w:p>
    <w:p w:rsidR="00000000" w:rsidDel="00000000" w:rsidP="00000000" w:rsidRDefault="00000000" w:rsidRPr="00000000" w14:paraId="000001E4">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Intersecting social identities contributed to making stigma worse. Glendinning et al. (2019) identified that Black African and Caribbean participants presented cultural and religious discourses that viewed HIV as shameful, which influenced ART-taking and disclosure. Jones et al. (2025) found that women belonging to African and Caribbean ancestries were too scared of the community gossiping, as well as social ostracism. The status of migration and faith were identified as complications of stigma by Ndirangu and Evans (2008), which led to a higher degree of isolation. Moreover, in their study, the elderly participants of Youssef et al. (2018) also viewed HIV as a disease of the youth and did not encourage testing. These results illustrate that race, sexual activity, migration and age augment HIV stigma that generates differentiated vulnerabilities and strengthens structural disparities in care responses.</w:t>
      </w:r>
    </w:p>
    <w:p w:rsidR="00000000" w:rsidDel="00000000" w:rsidP="00000000" w:rsidRDefault="00000000" w:rsidRPr="00000000" w14:paraId="000001E5">
      <w:pPr>
        <w:pStyle w:val="Heading3"/>
        <w:numPr>
          <w:ilvl w:val="2"/>
          <w:numId w:val="3"/>
        </w:numPr>
        <w:spacing w:after="240" w:before="240" w:line="360" w:lineRule="auto"/>
        <w:ind w:left="940" w:hanging="720"/>
        <w:jc w:val="both"/>
        <w:rPr>
          <w:rFonts w:ascii="Arial" w:cs="Arial" w:eastAsia="Arial" w:hAnsi="Arial"/>
          <w:b w:val="1"/>
          <w:bCs w:val="1"/>
          <w:color w:val="000000"/>
          <w:sz w:val="22"/>
          <w:szCs w:val="22"/>
        </w:rPr>
      </w:pPr>
      <w:bookmarkStart w:colFirst="0" w:colLast="0" w:name="_heading=h.cumic84bypik" w:id="65"/>
      <w:bookmarkEnd w:id="65"/>
      <w:r w:rsidDel="00000000" w:rsidR="00000000" w:rsidRPr="00000000">
        <w:rPr>
          <w:rFonts w:ascii="Arial" w:cs="Arial" w:eastAsia="Arial" w:hAnsi="Arial"/>
          <w:b w:val="1"/>
          <w:bCs w:val="1"/>
          <w:color w:val="000000"/>
          <w:sz w:val="22"/>
          <w:szCs w:val="22"/>
          <w:rtl w:val="0"/>
        </w:rPr>
        <w:t xml:space="preserve">Theme Two: Inadequate Health Care Services</w:t>
      </w:r>
    </w:p>
    <w:p w:rsidR="00000000" w:rsidDel="00000000" w:rsidP="00000000" w:rsidRDefault="00000000" w:rsidRPr="00000000" w14:paraId="000001E6">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theme was identified in seven of the twelve studies included in the review. Across these studies, participants described a range of issues related to inadequate healthcare provision, including practitioners’ lack of HIV knowledge, trust concerns, lack of emotional support, and fragmentation between specialist and primary care services.</w:t>
      </w:r>
    </w:p>
    <w:p w:rsidR="00000000" w:rsidDel="00000000" w:rsidP="00000000" w:rsidRDefault="00000000" w:rsidRPr="00000000" w14:paraId="000001E7">
      <w:pPr>
        <w:spacing w:after="240" w:before="24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Limited HIV Knowledge and Trust in Primary Care</w:t>
      </w:r>
    </w:p>
    <w:p w:rsidR="00000000" w:rsidDel="00000000" w:rsidP="00000000" w:rsidRDefault="00000000" w:rsidRPr="00000000" w14:paraId="000001E8">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One of the similarities in research was the gap between specialist HIV clinics and general practitioner (GP) services. According to Rai et al. (2020), many of the participants shared the idea that GP care was satisfactory in general, but a significant percentage believed that it was not comfortable to talk about HIV-related matters because there was a perceived lack of knowledge. Other respondents talked about scenarios where GPs referred questions about HIV-related issues to specialist clinics, which strengthened the notion of poor primary care competence. Equally, in the study by Keogh et al., some of the participants did not reveal their HIV conditions in GPs, where they are not necessary, due to fear of misconception or lack of confidentiality.</w:t>
      </w:r>
    </w:p>
    <w:p w:rsidR="00000000" w:rsidDel="00000000" w:rsidP="00000000" w:rsidRDefault="00000000" w:rsidRPr="00000000" w14:paraId="000001E9">
      <w:pPr>
        <w:spacing w:after="240" w:before="24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Preference for Specialist Care and Confidentiality Concerns</w:t>
      </w:r>
    </w:p>
    <w:p w:rsidR="00000000" w:rsidDel="00000000" w:rsidP="00000000" w:rsidRDefault="00000000" w:rsidRPr="00000000" w14:paraId="000001EA">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Based on the ageing population, Pollard et al. found that a significant number of older adults (under non-HIV conditions) opted to stay under specialist care due to the aspect of trust, familiarity, and perceived expertise (Pollard et al., 2018). One of the participants said that she felt safer in the HIV clinic since staff members knew the entire picture, and GP visits also involved having to repeat explanations of the medication interactions. In line with this, confidentiality issues in documented GP records were often discussed. Conversely, few of the participants indicated a good GP relationship that was marked by coordinated communication and comprehensive consideration of the physical and psychosocial needs.</w:t>
      </w:r>
    </w:p>
    <w:p w:rsidR="00000000" w:rsidDel="00000000" w:rsidP="00000000" w:rsidRDefault="00000000" w:rsidRPr="00000000" w14:paraId="000001EB">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These results indicate that the level of trust towards specialist services is high whereas the level of confidence towards primary care is mixed. This gap fosters the continuation of specialty clinics and the erosion of the primary care system aiming to promote the incorporation of chronic disease management into community-based systems.</w:t>
      </w:r>
    </w:p>
    <w:p w:rsidR="00000000" w:rsidDel="00000000" w:rsidP="00000000" w:rsidRDefault="00000000" w:rsidRPr="00000000" w14:paraId="000001EC">
      <w:pPr>
        <w:spacing w:after="240" w:before="24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Limited Access to Psychosocial and Mental Health Support</w:t>
      </w:r>
    </w:p>
    <w:p w:rsidR="00000000" w:rsidDel="00000000" w:rsidP="00000000" w:rsidRDefault="00000000" w:rsidRPr="00000000" w14:paraId="000001ED">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Fragmentation was eminent especially on referral pathways and access to psychosocial services. According to the Positive Voices 2022 survey, the participants who were affected by healthcare-related stigma were much more likely to state that they had unmet needs in mental health support and chronic condition care (Sewell et al., 2024). In national data, close to 25% of the respondents expressed depression or anxiety symptoms, but most of them reported challenges in accessing timely psychological services (Hussain et al., 2013).</w:t>
      </w:r>
    </w:p>
    <w:p w:rsidR="00000000" w:rsidDel="00000000" w:rsidP="00000000" w:rsidRDefault="00000000" w:rsidRPr="00000000" w14:paraId="000001EE">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Bruton et al. (2018) explained that respondents who identified themselves as clinically stable but lacking emotional support were identified, with a focus on specialist services that tended to focus much on viral load surveillance rather than holistic wellbeing. Others said they were referred to other mental health services that had long waiting lines and they were not assisted or did not get assistance. Pollard et al. (2018) also found that the ageing population with HIV often received a wide variety of services in the comorbidities of cardiovascular disease or diabetes with limited coordination of services among providers. In one of the case scenarios, there was a repetition of appointments in various clinics without inter-service communication between them, which resulted in more confusion and emotional exhaustion. These results suggest that fragmentation is not simply administrative but has real impacts on patient wellbeing especially when the psychosocial needs are regarded as second to biomedical markers.</w:t>
      </w:r>
    </w:p>
    <w:p w:rsidR="00000000" w:rsidDel="00000000" w:rsidP="00000000" w:rsidRDefault="00000000" w:rsidRPr="00000000" w14:paraId="000001EF">
      <w:pPr>
        <w:spacing w:after="240" w:before="24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Patient Burden and Self-Coordination of Care</w:t>
      </w:r>
    </w:p>
    <w:p w:rsidR="00000000" w:rsidDel="00000000" w:rsidP="00000000" w:rsidRDefault="00000000" w:rsidRPr="00000000" w14:paraId="000001F0">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Another result of service fragmentation was that it shifted the responsibility of coordination to the patients themselves. According to Rai et al, there were those who felt the need to inform their GP about HIV medications or possible drug interactions as a means of mediation between specialized and primary care. Likewise, Keogh et al. discovered that the participants tended to track their referrals and follow-ups to ensure that no time was wasted or misunderstanding to avoid. One of the participants reported making notes in advance of GP visits to make sure that HIV would not be neglected.</w:t>
      </w:r>
    </w:p>
    <w:p w:rsidR="00000000" w:rsidDel="00000000" w:rsidP="00000000" w:rsidRDefault="00000000" w:rsidRPr="00000000" w14:paraId="000001F1">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affective and organisational labour is not just an extension of usual self-management of chronic illness, indicating institutional failures in training and communication (Morgan and Davies, 2025). Instead of indicating patient empowerment per se, the aspect of self-advocacy necessity highlights the lack of structures in the institution, which will demand structural responses. Fragmentation therefore does not only disrupt care continuity but also increases psychosocial strain due to the extra responsibility of co-ordination that is imposed on them with a lifelong condition.</w:t>
      </w:r>
    </w:p>
    <w:p w:rsidR="00000000" w:rsidDel="00000000" w:rsidP="00000000" w:rsidRDefault="00000000" w:rsidRPr="00000000" w14:paraId="000001F2">
      <w:pPr>
        <w:pStyle w:val="Heading3"/>
        <w:numPr>
          <w:ilvl w:val="2"/>
          <w:numId w:val="3"/>
        </w:numPr>
        <w:spacing w:after="240" w:before="240" w:line="360" w:lineRule="auto"/>
        <w:ind w:left="940" w:hanging="720"/>
        <w:jc w:val="both"/>
        <w:rPr>
          <w:rFonts w:ascii="Arial" w:cs="Arial" w:eastAsia="Arial" w:hAnsi="Arial"/>
          <w:b w:val="1"/>
          <w:bCs w:val="1"/>
          <w:color w:val="000000"/>
          <w:sz w:val="22"/>
          <w:szCs w:val="22"/>
        </w:rPr>
      </w:pPr>
      <w:bookmarkStart w:colFirst="0" w:colLast="0" w:name="_heading=h.r19r6nxhsxk1" w:id="66"/>
      <w:bookmarkEnd w:id="66"/>
      <w:r w:rsidDel="00000000" w:rsidR="00000000" w:rsidRPr="00000000">
        <w:rPr>
          <w:rFonts w:ascii="Arial" w:cs="Arial" w:eastAsia="Arial" w:hAnsi="Arial"/>
          <w:b w:val="1"/>
          <w:bCs w:val="1"/>
          <w:color w:val="000000"/>
          <w:sz w:val="22"/>
          <w:szCs w:val="22"/>
          <w:rtl w:val="0"/>
        </w:rPr>
        <w:t xml:space="preserve">Theme Three: Ageing with HIV and Multimorbidity</w:t>
      </w:r>
    </w:p>
    <w:p w:rsidR="00000000" w:rsidDel="00000000" w:rsidP="00000000" w:rsidRDefault="00000000" w:rsidRPr="00000000" w14:paraId="000001F3">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theme was identified in five of the twelve studies included in the review. Across these studies, ageing with HIV was associated with risk misperception, delayed diagnosis, increasing multimorbidity, and growing pressures on healthcare systems to manage complex long-term conditions.</w:t>
      </w:r>
    </w:p>
    <w:p w:rsidR="00000000" w:rsidDel="00000000" w:rsidP="00000000" w:rsidRDefault="00000000" w:rsidRPr="00000000" w14:paraId="000001F4">
      <w:pPr>
        <w:spacing w:after="240" w:before="24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Risk Misperception and Age-Related Stigma in HIV Testing</w:t>
      </w:r>
    </w:p>
    <w:p w:rsidR="00000000" w:rsidDel="00000000" w:rsidP="00000000" w:rsidRDefault="00000000" w:rsidRPr="00000000" w14:paraId="000001F5">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risk misperception and stigma of age were highly associated with testing barriers among elderly people. According to Youssef et al. (2018), most of the respondents who were 50 years old and older did not regard themselves as being at risk of having HIV as they tended to think that the virus was limited to the younger generation or those with more active sexual lives. This was further supported by shamefulness when attending sexual health clinics that were viewed as young, dominated areas. The proportion of older adults among the late diagnoses is enormous and leads to the increased morbidity and mortality.</w:t>
      </w:r>
    </w:p>
    <w:p w:rsidR="00000000" w:rsidDel="00000000" w:rsidP="00000000" w:rsidRDefault="00000000" w:rsidRPr="00000000" w14:paraId="000001F6">
      <w:pPr>
        <w:spacing w:after="240" w:before="24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Delayed Diagnosis and Age-Related Diagnostic Bias</w:t>
      </w:r>
    </w:p>
    <w:p w:rsidR="00000000" w:rsidDel="00000000" w:rsidP="00000000" w:rsidRDefault="00000000" w:rsidRPr="00000000" w14:paraId="000001F7">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On the same note, Bruton et al. (2018) have indicated that those diagnosed later in life often claimed to be shocked by the diagnosis. One of them, who was diagnosed in his late 50s, reported numerous visits to GPs with complaints of fatigue and unexplainable weight loss after which HIV testing was involved. This lag indicates a risk misperception at the patient level and possible bias on the part of the providers. Older respondents tended to position HIV as something that was not in line with their age identity which led to late help-seeking. Such results indicate that the age stigma exists at an individual and institutional level, causing diagnostic delays and resulting in poor health outcomes and complexity of care at presentation.</w:t>
      </w:r>
    </w:p>
    <w:p w:rsidR="00000000" w:rsidDel="00000000" w:rsidP="00000000" w:rsidRDefault="00000000" w:rsidRPr="00000000" w14:paraId="000001F8">
      <w:pPr>
        <w:spacing w:after="240" w:before="24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Multimorbidity and Complexity of Long-Term HIV Care</w:t>
      </w:r>
    </w:p>
    <w:p w:rsidR="00000000" w:rsidDel="00000000" w:rsidP="00000000" w:rsidRDefault="00000000" w:rsidRPr="00000000" w14:paraId="000001F9">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Due to the increasing survival rates multimorbidity has been on the rise among the ageing HIV population. According to Pollard et al., two or more other chronic conditions were more common among older participants who had HIV, cardiovascular disease, hypertension, diabetes, and osteoporosis. The Positive Voices survey also showed that those with comorbidities had a higher likelihood of reporting unmet healthcare needs especially in the area of mental health and chronic condition management (Chawla et al., 2024).</w:t>
      </w:r>
    </w:p>
    <w:p w:rsidR="00000000" w:rsidDel="00000000" w:rsidP="00000000" w:rsidRDefault="00000000" w:rsidRPr="00000000" w14:paraId="000001FA">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Bruton et al. (2018) characterised the clinically stable participants by the presence of persistent fatigue and anxiety concerning ageing and long-term medication intake. Individuals with several prescriptions given by various providers featured in case accounts, and there was a low level of communication between the services. A respondent also reported actively cross-checking the drug interactions between ART and other newly prescribed cardiovascular medication because of the potential contraindications. These illustrations underscore the difficulty of dealing with ageing with HIV in fractured systems. Though medically treated, the comorbidity management of HIV presents new levels of paradigms, patient burden, and the risk of clinical oversight.</w:t>
      </w:r>
    </w:p>
    <w:p w:rsidR="00000000" w:rsidDel="00000000" w:rsidP="00000000" w:rsidRDefault="00000000" w:rsidRPr="00000000" w14:paraId="000001FB">
      <w:pPr>
        <w:spacing w:after="240" w:before="24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Preference for Specialist HIV Care in Older Adults</w:t>
      </w:r>
    </w:p>
    <w:p w:rsidR="00000000" w:rsidDel="00000000" w:rsidP="00000000" w:rsidRDefault="00000000" w:rsidRPr="00000000" w14:paraId="000001FC">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Confidence in specialist HIV clinics was quite stable among the ageing population. Pollard et al. discovered that a significant proportion of older people wanted to continue HIV care among specialist services instead of shifting the component to primary care due to perceived expertise and perceived confidentiality. Other respondents said that they did not want to engage GPs in HIV-related conversations because of stigma or not knowing enough. On the same note, Rai et al. found that patients tended to feel better comprehended in specialized environments, where psychosocial aspects of HIV were considered alongside clinical monitoring.</w:t>
      </w:r>
    </w:p>
    <w:p w:rsidR="00000000" w:rsidDel="00000000" w:rsidP="00000000" w:rsidRDefault="00000000" w:rsidRPr="00000000" w14:paraId="000001FD">
      <w:pPr>
        <w:spacing w:after="240" w:before="24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Sustainability Challenges and the Need for Integrated Care</w:t>
      </w:r>
    </w:p>
    <w:p w:rsidR="00000000" w:rsidDel="00000000" w:rsidP="00000000" w:rsidRDefault="00000000" w:rsidRPr="00000000" w14:paraId="000001FE">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Nonetheless, the continuity of specializations has been preferred at the expense of long-term sustainability. Having more than 50 percent of individuals living with HIV above 50 years old, the specialist-only models can be a strain on services (Davis et al., 2023). The participants in the study of Pollard et al. publicly requested the use of integrated care pathways whereby HIV expertise can be combined with other age-related comorbidities in coordinated systems. The specialist preference is also indicative that mainstream healthcare systems have yet to adjust themselves to the demographic reality of long-term HIV survival. As a result, biomedical outcomes are seen to be successful but healthcare delivery models seem to fall short of the emerging demands of an ageing HIV population.</w:t>
      </w:r>
    </w:p>
    <w:p w:rsidR="00000000" w:rsidDel="00000000" w:rsidP="00000000" w:rsidRDefault="00000000" w:rsidRPr="00000000" w14:paraId="000001FF">
      <w:pPr>
        <w:pStyle w:val="Heading3"/>
        <w:numPr>
          <w:ilvl w:val="2"/>
          <w:numId w:val="3"/>
        </w:numPr>
        <w:spacing w:after="240" w:before="240" w:line="360" w:lineRule="auto"/>
        <w:ind w:left="940" w:hanging="720"/>
        <w:jc w:val="both"/>
        <w:rPr>
          <w:rFonts w:ascii="Arial" w:cs="Arial" w:eastAsia="Arial" w:hAnsi="Arial"/>
          <w:b w:val="1"/>
          <w:bCs w:val="1"/>
          <w:color w:val="000000"/>
          <w:sz w:val="22"/>
          <w:szCs w:val="22"/>
        </w:rPr>
      </w:pPr>
      <w:bookmarkStart w:colFirst="0" w:colLast="0" w:name="_heading=h.2bs6q4wswjr7" w:id="67"/>
      <w:bookmarkEnd w:id="67"/>
      <w:r w:rsidDel="00000000" w:rsidR="00000000" w:rsidRPr="00000000">
        <w:rPr>
          <w:rFonts w:ascii="Arial" w:cs="Arial" w:eastAsia="Arial" w:hAnsi="Arial"/>
          <w:b w:val="1"/>
          <w:bCs w:val="1"/>
          <w:color w:val="000000"/>
          <w:sz w:val="22"/>
          <w:szCs w:val="22"/>
          <w:rtl w:val="0"/>
        </w:rPr>
        <w:t xml:space="preserve">Theme Four: Cultural and Community Contexts of HIV Care</w:t>
      </w:r>
    </w:p>
    <w:p w:rsidR="00000000" w:rsidDel="00000000" w:rsidP="00000000" w:rsidRDefault="00000000" w:rsidRPr="00000000" w14:paraId="00000200">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Cultural and community contexts have also played a key role in influencing the way people living with HIV would interact with health and social care services (Safa et al., 2022). This theme was identified in six of the twelve studies included in the review including religious beliefs, migration histories, gender expectations, and community narratives had an impact on experiences of stigma, treatment uptake, and disclosure. These social-cultural forces acted in tandem with the biomedical realities and it proved that HIV care engagement could not be perceived in the terms of clinical indicators only but had to be interpreted in the frames of broader social and cultural context.</w:t>
      </w:r>
    </w:p>
    <w:p w:rsidR="00000000" w:rsidDel="00000000" w:rsidP="00000000" w:rsidRDefault="00000000" w:rsidRPr="00000000" w14:paraId="00000201">
      <w:pPr>
        <w:spacing w:after="240" w:before="24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Cultural and Religious Beliefs Shaping HIV Treatment Decisions</w:t>
      </w:r>
    </w:p>
    <w:p w:rsidR="00000000" w:rsidDel="00000000" w:rsidP="00000000" w:rsidRDefault="00000000" w:rsidRPr="00000000" w14:paraId="00000202">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It was discovered that cultural and religious beliefs had impacts on the perception of HIV and the choice to take antiretroviral therapy (ART). In their qualitative research of 52 Black African and Caribbean participants in the UK, Glendinning et al. found that others thought that it made no sense to start ART immediately when they were asymptomatic the prompt often being the onset of visible illness as the tipping point to start treatment (Glendinning et al., 2019). There were also concerns about the side effects in the long-term, infertility as well as the healing of the spirit. A single respondent explained how they put off ART due to feeling healthy and the fear of being perceived as a judgemental individual in the event that relatives would find out about the medication.</w:t>
      </w:r>
    </w:p>
    <w:p w:rsidR="00000000" w:rsidDel="00000000" w:rsidP="00000000" w:rsidRDefault="00000000" w:rsidRPr="00000000" w14:paraId="00000203">
      <w:pPr>
        <w:spacing w:after="240" w:before="24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Community Stigma and Social Narratives Around HIV</w:t>
      </w:r>
    </w:p>
    <w:p w:rsidR="00000000" w:rsidDel="00000000" w:rsidP="00000000" w:rsidRDefault="00000000" w:rsidRPr="00000000" w14:paraId="00000204">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On the same note, Jones et al. (2025) discovered that African and Caribbean women in England linked HIV to moral judgement in small communities, decreasing their use of testing and preventive services. The respondents said that they feared gossip and social ostracism, which affected health care-seeking behaviour. This has been of considerable importance since African and Caribbean communities are disproportionately infected by HIV in the UK. Statistics on the country reveal that Black Africans still constitute a significant share of heterosexual HIV infections (Aidsmap, 2019). Cultural stories thus come face to face with the area of public health interaction, as it affects the initiation of treatment and its continuation.</w:t>
      </w:r>
    </w:p>
    <w:p w:rsidR="00000000" w:rsidDel="00000000" w:rsidP="00000000" w:rsidRDefault="00000000" w:rsidRPr="00000000" w14:paraId="00000205">
      <w:pPr>
        <w:spacing w:after="240" w:before="24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Gender, Migration Status and Intersectional Stigma</w:t>
      </w:r>
    </w:p>
    <w:p w:rsidR="00000000" w:rsidDel="00000000" w:rsidP="00000000" w:rsidRDefault="00000000" w:rsidRPr="00000000" w14:paraId="00000206">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HIV care was also influenced by gender and migration status. In their qualitative research on African immigrant women in the UK, Ndirangu and Evans (2008) discovered that the participants were subjected to compounded stigma, based on gender role, religion and insecurity about immigration. Women reported the fear of being rejected by the community and the worry over the residential status, which increased secrecy and emotional distress.</w:t>
      </w:r>
    </w:p>
    <w:p w:rsidR="00000000" w:rsidDel="00000000" w:rsidP="00000000" w:rsidRDefault="00000000" w:rsidRPr="00000000" w14:paraId="00000207">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their study of 36 pregnant or postpartum women with HIV in the UK, Kasadha et al. (2024) pointed out the tensions where the issue of infant-feeding choices is concerned. Although clinical advice was focused on lowering the risk, the participants spoke of a balance between the medical recommendations and the cultural norms of breastfeeding, which is a sign of maternal competence. Certain women said that they would find emotional support within non-clinical environments since they believed that they were not getting culturally sensitive communication. HIV care participation amongst migrant and women population is internalized in gendered and socio-legal conditions that enta</w:t>
      </w:r>
      <w:r w:rsidDel="00000000" w:rsidR="00000000" w:rsidRPr="00000000">
        <w:rPr>
          <w:sz w:val="22"/>
          <w:szCs w:val="22"/>
          <w:rtl w:val="0"/>
        </w:rPr>
        <w:t xml:space="preserve">il the provision of culturally sensitive support </w:t>
      </w:r>
      <w:r w:rsidDel="00000000" w:rsidR="00000000" w:rsidRPr="00000000">
        <w:rPr>
          <w:rFonts w:ascii="Arial" w:cs="Arial" w:eastAsia="Arial" w:hAnsi="Arial"/>
          <w:sz w:val="22"/>
          <w:szCs w:val="22"/>
          <w:rtl w:val="0"/>
        </w:rPr>
        <w:t xml:space="preserve">frameworks (Cruz et al., 2022).</w:t>
      </w:r>
    </w:p>
    <w:p w:rsidR="00000000" w:rsidDel="00000000" w:rsidP="00000000" w:rsidRDefault="00000000" w:rsidRPr="00000000" w14:paraId="00000208">
      <w:pPr>
        <w:spacing w:after="240" w:before="240" w:line="36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Community-Level Stigma and Its Impact on Disclosure and Service Use</w:t>
      </w:r>
    </w:p>
    <w:p w:rsidR="00000000" w:rsidDel="00000000" w:rsidP="00000000" w:rsidRDefault="00000000" w:rsidRPr="00000000" w14:paraId="00000209">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attitude of the community was found to be a strong factor of service use. Jones et al. were able to single out the fear of social exclusion among ethnic communities as the hindrance to HIV testing and open disclosure. On the same note, Hedge et al. have indicated that in spite of the fact that the overt discrimination has declined in the country, internalised and anticipatory stigma still persists especially among the socially marginalised groups. The issue of community-level stigma is still a determinant of disclosure and healthcare utilisation. Thus, to advance the outcomes of HIV, clinical excellence must be accompanied by the community-based intervention to deal with the ongoing social discourses of the HIV narratives.</w:t>
      </w:r>
    </w:p>
    <w:p w:rsidR="00000000" w:rsidDel="00000000" w:rsidP="00000000" w:rsidRDefault="00000000" w:rsidRPr="00000000" w14:paraId="0000020A">
      <w:pPr>
        <w:pStyle w:val="Heading2"/>
        <w:numPr>
          <w:ilvl w:val="1"/>
          <w:numId w:val="3"/>
        </w:numPr>
        <w:spacing w:after="240" w:before="240" w:line="360" w:lineRule="auto"/>
        <w:ind w:left="940" w:hanging="720"/>
        <w:jc w:val="both"/>
        <w:rPr>
          <w:rFonts w:ascii="Arial" w:cs="Arial" w:eastAsia="Arial" w:hAnsi="Arial"/>
          <w:b w:val="1"/>
          <w:bCs w:val="1"/>
          <w:sz w:val="22"/>
          <w:szCs w:val="22"/>
        </w:rPr>
      </w:pPr>
      <w:bookmarkStart w:colFirst="0" w:colLast="0" w:name="_heading=h.le3s4gp2f26o" w:id="68"/>
      <w:bookmarkEnd w:id="68"/>
      <w:r w:rsidDel="00000000" w:rsidR="00000000" w:rsidRPr="00000000">
        <w:rPr>
          <w:rFonts w:ascii="Arial" w:cs="Arial" w:eastAsia="Arial" w:hAnsi="Arial"/>
          <w:b w:val="1"/>
          <w:bCs w:val="1"/>
          <w:sz w:val="22"/>
          <w:szCs w:val="22"/>
          <w:rtl w:val="0"/>
        </w:rPr>
        <w:t xml:space="preserve">Cross-Theme Synthesis</w:t>
      </w:r>
    </w:p>
    <w:p w:rsidR="00000000" w:rsidDel="00000000" w:rsidP="00000000" w:rsidRDefault="00000000" w:rsidRPr="00000000" w14:paraId="0000020B">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the four themes, one trend is evident as biomedical success has failed to remove the social, structural, and psychological complications of affected lives with HIV in the UK. Fragmentation of care is supported by stigma, and it affects disclosure practices as well as interacts with ageing, race, gender, and migration status to generate differentiated vulnerabilities. Although specialist service has high clinical performance, it is not well integrated with primary care, mental health, and community systems. Multimorbid ageing populations also present more points of coordination gaps, and cultural discourse is still a significant determining factor in terms of treatment engagement and testing behaviour. Combined, these interrelated results demonstrate that not only medical care but also the overall socio-cultural/institutional circumstances influence the experience of HIV care.</w:t>
      </w:r>
    </w:p>
    <w:p w:rsidR="00000000" w:rsidDel="00000000" w:rsidP="00000000" w:rsidRDefault="00000000" w:rsidRPr="00000000" w14:paraId="0000020C">
      <w:pPr>
        <w:pStyle w:val="Heading2"/>
        <w:numPr>
          <w:ilvl w:val="1"/>
          <w:numId w:val="3"/>
        </w:numPr>
        <w:spacing w:after="240" w:before="240" w:line="360" w:lineRule="auto"/>
        <w:ind w:left="940" w:hanging="720"/>
        <w:jc w:val="both"/>
        <w:rPr>
          <w:rFonts w:ascii="Arial" w:cs="Arial" w:eastAsia="Arial" w:hAnsi="Arial"/>
          <w:b w:val="1"/>
          <w:bCs w:val="1"/>
          <w:sz w:val="22"/>
          <w:szCs w:val="22"/>
        </w:rPr>
      </w:pPr>
      <w:bookmarkStart w:colFirst="0" w:colLast="0" w:name="_heading=h.wpfbydb0jlys" w:id="69"/>
      <w:bookmarkEnd w:id="69"/>
      <w:r w:rsidDel="00000000" w:rsidR="00000000" w:rsidRPr="00000000">
        <w:rPr>
          <w:rFonts w:ascii="Arial" w:cs="Arial" w:eastAsia="Arial" w:hAnsi="Arial"/>
          <w:b w:val="1"/>
          <w:bCs w:val="1"/>
          <w:sz w:val="22"/>
          <w:szCs w:val="22"/>
          <w:rtl w:val="0"/>
        </w:rPr>
        <w:t xml:space="preserve">Chapter Summary</w:t>
      </w:r>
    </w:p>
    <w:p w:rsidR="00000000" w:rsidDel="00000000" w:rsidP="00000000" w:rsidRDefault="00000000" w:rsidRPr="00000000" w14:paraId="0000020D">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was the chapter that proposed the thematic synthesis of the twelve studies incorporated in the chapter, in which four themes intersect as a phenomenon of shaping the health and social care experiences of people living with HIV in the UK. Patterns associated with stigma, service fragmentation, ageing, and multimorbidity, and cultural contexts were therefore systematically analysed and understood through the use of the thematic analysis framework by Braun and Clarke. The results show that even with good biomedical results, there are still considerable psychosocial and structural issues. The chapter thus gives a thorough evidence-based basis of the critical discussion that will follow.</w:t>
      </w:r>
    </w:p>
    <w:p w:rsidR="00000000" w:rsidDel="00000000" w:rsidP="00000000" w:rsidRDefault="00000000" w:rsidRPr="00000000" w14:paraId="0000020E">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F">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0">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1">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2">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3">
      <w:pPr>
        <w:pStyle w:val="Heading1"/>
        <w:numPr>
          <w:ilvl w:val="0"/>
          <w:numId w:val="7"/>
        </w:numPr>
        <w:spacing w:after="240" w:before="240" w:line="360" w:lineRule="auto"/>
        <w:ind w:left="580" w:hanging="360"/>
        <w:jc w:val="center"/>
        <w:rPr>
          <w:rFonts w:ascii="Arial" w:cs="Arial" w:eastAsia="Arial" w:hAnsi="Arial"/>
          <w:b w:val="1"/>
          <w:bCs w:val="1"/>
          <w:color w:val="000000"/>
          <w:sz w:val="22"/>
          <w:szCs w:val="22"/>
        </w:rPr>
      </w:pPr>
      <w:bookmarkStart w:colFirst="0" w:colLast="0" w:name="_heading=h.o2kauy848udt" w:id="70"/>
      <w:bookmarkEnd w:id="70"/>
      <w:r w:rsidDel="00000000" w:rsidR="00000000" w:rsidRPr="00000000">
        <w:rPr>
          <w:rFonts w:ascii="Arial" w:cs="Arial" w:eastAsia="Arial" w:hAnsi="Arial"/>
          <w:b w:val="1"/>
          <w:bCs w:val="1"/>
          <w:color w:val="000000"/>
          <w:sz w:val="22"/>
          <w:szCs w:val="22"/>
          <w:rtl w:val="0"/>
        </w:rPr>
        <w:t xml:space="preserve">Chapter 6: Discussion</w:t>
      </w:r>
    </w:p>
    <w:p w:rsidR="00000000" w:rsidDel="00000000" w:rsidP="00000000" w:rsidRDefault="00000000" w:rsidRPr="00000000" w14:paraId="00000214">
      <w:pPr>
        <w:pStyle w:val="Heading2"/>
        <w:numPr>
          <w:ilvl w:val="1"/>
          <w:numId w:val="7"/>
        </w:numPr>
        <w:spacing w:after="240" w:before="240" w:line="360" w:lineRule="auto"/>
        <w:ind w:left="940" w:hanging="720"/>
        <w:jc w:val="both"/>
        <w:rPr>
          <w:rFonts w:ascii="Arial" w:cs="Arial" w:eastAsia="Arial" w:hAnsi="Arial"/>
          <w:b w:val="1"/>
          <w:bCs w:val="1"/>
          <w:sz w:val="22"/>
          <w:szCs w:val="22"/>
        </w:rPr>
      </w:pPr>
      <w:bookmarkStart w:colFirst="0" w:colLast="0" w:name="_heading=h.yjzzn4rs2sjc" w:id="71"/>
      <w:bookmarkEnd w:id="71"/>
      <w:r w:rsidDel="00000000" w:rsidR="00000000" w:rsidRPr="00000000">
        <w:rPr>
          <w:rFonts w:ascii="Arial" w:cs="Arial" w:eastAsia="Arial" w:hAnsi="Arial"/>
          <w:b w:val="1"/>
          <w:bCs w:val="1"/>
          <w:sz w:val="22"/>
          <w:szCs w:val="22"/>
          <w:rtl w:val="0"/>
        </w:rPr>
        <w:t xml:space="preserve">Introduction to Chapter</w:t>
      </w:r>
    </w:p>
    <w:p w:rsidR="00000000" w:rsidDel="00000000" w:rsidP="00000000" w:rsidRDefault="00000000" w:rsidRPr="00000000" w14:paraId="00000215">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chapter elaborates on the major findings of the review and the research question and objectives, how the identified themes indicate the health and social care experiences of individuals living with HIV in the UK. The four broad themes are compared and critically analysed in terms of the available literature, theoretical aspects, and solid practices in HIV care. The discussion examines similarities, new findings and policy and service delivery implications. The strengths and limitations of the systematic review method are also reflected and a concluding summary given in the chapter.</w:t>
      </w:r>
    </w:p>
    <w:p w:rsidR="00000000" w:rsidDel="00000000" w:rsidP="00000000" w:rsidRDefault="00000000" w:rsidRPr="00000000" w14:paraId="00000216">
      <w:pPr>
        <w:pStyle w:val="Heading2"/>
        <w:numPr>
          <w:ilvl w:val="1"/>
          <w:numId w:val="7"/>
        </w:numPr>
        <w:spacing w:after="240" w:before="240" w:line="360" w:lineRule="auto"/>
        <w:ind w:left="940" w:hanging="720"/>
        <w:jc w:val="both"/>
        <w:rPr>
          <w:rFonts w:ascii="Arial" w:cs="Arial" w:eastAsia="Arial" w:hAnsi="Arial"/>
          <w:b w:val="1"/>
          <w:bCs w:val="1"/>
          <w:color w:val="000000"/>
          <w:sz w:val="22"/>
          <w:szCs w:val="22"/>
        </w:rPr>
      </w:pPr>
      <w:bookmarkStart w:colFirst="0" w:colLast="0" w:name="_heading=h.tsn8g9lnj3i1" w:id="72"/>
      <w:bookmarkEnd w:id="72"/>
      <w:r w:rsidDel="00000000" w:rsidR="00000000" w:rsidRPr="00000000">
        <w:rPr>
          <w:rFonts w:ascii="Arial" w:cs="Arial" w:eastAsia="Arial" w:hAnsi="Arial"/>
          <w:b w:val="1"/>
          <w:bCs w:val="1"/>
          <w:color w:val="000000"/>
          <w:sz w:val="22"/>
          <w:szCs w:val="22"/>
          <w:rtl w:val="0"/>
        </w:rPr>
        <w:t xml:space="preserve">Discussion of Key findings</w:t>
      </w:r>
    </w:p>
    <w:p w:rsidR="00000000" w:rsidDel="00000000" w:rsidP="00000000" w:rsidRDefault="00000000" w:rsidRPr="00000000" w14:paraId="00000217">
      <w:pPr>
        <w:pStyle w:val="Heading3"/>
        <w:numPr>
          <w:ilvl w:val="2"/>
          <w:numId w:val="7"/>
        </w:numPr>
        <w:spacing w:after="240" w:before="240" w:line="360" w:lineRule="auto"/>
        <w:ind w:left="940" w:hanging="720"/>
        <w:jc w:val="both"/>
        <w:rPr>
          <w:rFonts w:ascii="Arial" w:cs="Arial" w:eastAsia="Arial" w:hAnsi="Arial"/>
          <w:b w:val="1"/>
          <w:bCs w:val="1"/>
          <w:color w:val="000000"/>
          <w:sz w:val="22"/>
          <w:szCs w:val="22"/>
        </w:rPr>
      </w:pPr>
      <w:bookmarkStart w:colFirst="0" w:colLast="0" w:name="_heading=h.6nkgldatlfub" w:id="73"/>
      <w:bookmarkEnd w:id="73"/>
      <w:r w:rsidDel="00000000" w:rsidR="00000000" w:rsidRPr="00000000">
        <w:rPr>
          <w:rFonts w:ascii="Arial" w:cs="Arial" w:eastAsia="Arial" w:hAnsi="Arial"/>
          <w:b w:val="1"/>
          <w:bCs w:val="1"/>
          <w:color w:val="000000"/>
          <w:sz w:val="22"/>
          <w:szCs w:val="22"/>
          <w:rtl w:val="0"/>
        </w:rPr>
        <w:t xml:space="preserve">Stigma as a Persistent Structural Barrier</w:t>
      </w:r>
    </w:p>
    <w:p w:rsidR="00000000" w:rsidDel="00000000" w:rsidP="00000000" w:rsidRDefault="00000000" w:rsidRPr="00000000" w14:paraId="00000218">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results of this review are highly consistent with the literature on HIV stigma, which proves that stigma continues to be a key structural factor in unfair access to health and social care. The conceptualisation of stigma as a spoiled identity introduced by Goffman in 1963 has not lost its relevance because respondents in the literature of various studies identified HIV as a discrediting social attribute that redefined self perceptions and social relationship (Judgeo and Moalusi, 2014). The Positive Voices 2022 survey published nationally stated that 45.1% of individuals living with HIV were ashamed of their diagnosis and 32.1% had low self-esteem with more than 10 percent of them revealing their status with only medical professionals (EATG, 2022). These statistics support the review conclusion that stigma exists at both internal and interpersonal levels even though more than 107,000 people are already under HIV care and ART has become a widespread phenomenon (Dessie and Zewotir, 2024). The minority stress theory also reveals the relevance of continuous exposure to the expectation of discrimination as the source of psychological stress. These results directly relate to the research problem of studying psychosocial experiences of HIV care and indicate that stigma remains relevant to engagement in even biomedical outcomes areas.</w:t>
      </w:r>
    </w:p>
    <w:p w:rsidR="00000000" w:rsidDel="00000000" w:rsidP="00000000" w:rsidRDefault="00000000" w:rsidRPr="00000000" w14:paraId="00000219">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Most importantly, the evidence indicates that the stigma has not been eliminated, it has transformed. It is clear that overt discrimination happens less frequently than in the previous stages of the epidemic, but the subtle types of structural and anticipatory stigma remain present in healthcare relationships. This is in line with European literature which shows that the stigma has not been manifested in the concept of visible rejection but more subtle forms of social distancing and self-control (Tan et al., 2020). The internalised stigma can now be a more complicated issue than the enacted stigma since it does not involve clear discriminatory incidents. Biomedical advancements have not thus been equal to an entirely normalised society. There are also anti-stigma policies in the UK HIV strategies and even though the shame remains and disclosure anxiety persists, it is possible that policy interventions are inadequately integrated at the community and institutional levels (Mulubale et al., 2022). The research question needed to know about the health and social care experiences, indicating that the idea of stigma is indispensable to the experiences, there is a gap between the policy aspiration and the lived reality.</w:t>
      </w:r>
    </w:p>
    <w:p w:rsidR="00000000" w:rsidDel="00000000" w:rsidP="00000000" w:rsidRDefault="00000000" w:rsidRPr="00000000" w14:paraId="0000021A">
      <w:pPr>
        <w:pStyle w:val="Heading3"/>
        <w:numPr>
          <w:ilvl w:val="2"/>
          <w:numId w:val="7"/>
        </w:numPr>
        <w:spacing w:after="240" w:before="240" w:line="360" w:lineRule="auto"/>
        <w:ind w:left="940" w:hanging="720"/>
        <w:jc w:val="both"/>
        <w:rPr>
          <w:rFonts w:ascii="Arial" w:cs="Arial" w:eastAsia="Arial" w:hAnsi="Arial"/>
          <w:b w:val="1"/>
          <w:bCs w:val="1"/>
          <w:color w:val="000000"/>
          <w:sz w:val="22"/>
          <w:szCs w:val="22"/>
        </w:rPr>
      </w:pPr>
      <w:bookmarkStart w:colFirst="0" w:colLast="0" w:name="_heading=h.nar3whigbhc5" w:id="74"/>
      <w:bookmarkEnd w:id="74"/>
      <w:r w:rsidDel="00000000" w:rsidR="00000000" w:rsidRPr="00000000">
        <w:rPr>
          <w:rFonts w:ascii="Arial" w:cs="Arial" w:eastAsia="Arial" w:hAnsi="Arial"/>
          <w:b w:val="1"/>
          <w:bCs w:val="1"/>
          <w:color w:val="000000"/>
          <w:sz w:val="22"/>
          <w:szCs w:val="22"/>
          <w:rtl w:val="0"/>
        </w:rPr>
        <w:t xml:space="preserve">Fragmentation of Care and Chronic Disease Management</w:t>
      </w:r>
    </w:p>
    <w:p w:rsidR="00000000" w:rsidDel="00000000" w:rsidP="00000000" w:rsidRDefault="00000000" w:rsidRPr="00000000" w14:paraId="0000021B">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results of the review in terms of fragmented service delivery can be related to the literature on chronic disease integration. The WHO Chronic Care Model focuses on integrated, patient-centred networks between primary, specialist and community services (WHO, 2025). Nonetheless, respondents involved in various studies also said that they used specialist HIV clinics as they felt that GPs did not know enough and they lacked confidentiality. Multimorbidity is becoming common with more than half of individuals living with HIV in UK aged 50 years and above, however there is still a lack of coordination between the HIV clinics and general practice (Sukumaran and Sabin, 2023). Other chronic diseases like diabetes and cardiovascular disease have also been reported to have similar challenges in which hospitalisation is reduced and better outcomes achieved through integrated pathways (Valentijn et al., 2024). The continued specialist preference of ageing populations with HIV is an indication that HIV might not be adequately incorporated into chronic disease models because it is still perceived as an exceptional state.</w:t>
      </w:r>
    </w:p>
    <w:p w:rsidR="00000000" w:rsidDel="00000000" w:rsidP="00000000" w:rsidRDefault="00000000" w:rsidRPr="00000000" w14:paraId="0000021C">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Importantly, the dependence of specialists can be counterproductive to fragmentation. As much as specialist clinics are high in clinical performance, overreliance of such services may restrict mainstream healthcare capacity-building. According to participants, training GPs on ART interactions was described as an effective way of bridging gaps in training. This is a sign of structural failure and not patient resilience. The research purpose was to find gaps in the services; the result is a clear depiction of the weakness in the referral pathways especially in accessing mental health. People who reported a case of healthcare discrimination were found to be much more likely to report having unmet mental health needs than those who did not (Obeegadoo et al., 2025). NHS planning can thus be reactive as opposed to anticipatory in the sense that it is a response to complications and not a proactive measure to incorporate HIV literacy into primary care. Introducing policy measures aimed at integration seems to be incomplete, which makes it questionable whether it will be sustainable going forward as the population will be older.</w:t>
      </w:r>
    </w:p>
    <w:p w:rsidR="00000000" w:rsidDel="00000000" w:rsidP="00000000" w:rsidRDefault="00000000" w:rsidRPr="00000000" w14:paraId="0000021D">
      <w:pPr>
        <w:pStyle w:val="Heading3"/>
        <w:numPr>
          <w:ilvl w:val="2"/>
          <w:numId w:val="7"/>
        </w:numPr>
        <w:spacing w:after="240" w:before="240" w:line="360" w:lineRule="auto"/>
        <w:ind w:left="940" w:hanging="720"/>
        <w:jc w:val="both"/>
        <w:rPr>
          <w:rFonts w:ascii="Arial" w:cs="Arial" w:eastAsia="Arial" w:hAnsi="Arial"/>
          <w:b w:val="1"/>
          <w:bCs w:val="1"/>
          <w:color w:val="000000"/>
          <w:sz w:val="22"/>
          <w:szCs w:val="22"/>
        </w:rPr>
      </w:pPr>
      <w:bookmarkStart w:colFirst="0" w:colLast="0" w:name="_heading=h.5n7olq7ky12i" w:id="75"/>
      <w:bookmarkEnd w:id="75"/>
      <w:r w:rsidDel="00000000" w:rsidR="00000000" w:rsidRPr="00000000">
        <w:rPr>
          <w:rFonts w:ascii="Arial" w:cs="Arial" w:eastAsia="Arial" w:hAnsi="Arial"/>
          <w:b w:val="1"/>
          <w:bCs w:val="1"/>
          <w:color w:val="000000"/>
          <w:sz w:val="22"/>
          <w:szCs w:val="22"/>
          <w:rtl w:val="0"/>
        </w:rPr>
        <w:t xml:space="preserve">Ageing with HIV: A System Lag</w:t>
      </w:r>
    </w:p>
    <w:p w:rsidR="00000000" w:rsidDel="00000000" w:rsidP="00000000" w:rsidRDefault="00000000" w:rsidRPr="00000000" w14:paraId="0000021E">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Demographic transition towards an aging HIV population is the sign of successful treatment but creates complicated care needs. In 2023, 51% of persons in HIV care were 50 or above, but among the late diagnoses, older persons are disproportionately represented (National AIDS Trust, 2024). Ageing population literature places a lot of focus on the increasing burden of multimorbidity, polypharmacy, and social isolation (Pan et al., 2024). The patients in the studies incorporated reported to live with HIV and cardiovascular disease, diabetes, osteoporosis and they frequently used to switch between various appointments with poor inter-provider communication. Such trends are consistent with the multimorbidity literature that suggests that fragmentation systems have an unfair disadvantage on older individuals with complex care needs (Prior et al., 2023). This is directly connected to the purpose of the research, which is the determination of adequacy of health services since ageing populations reveal the structural constraints within the integrated care models.</w:t>
      </w:r>
    </w:p>
    <w:p w:rsidR="00000000" w:rsidDel="00000000" w:rsidP="00000000" w:rsidRDefault="00000000" w:rsidRPr="00000000" w14:paraId="0000021F">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There is an indication that health systems have been originally meant to survive rather than last long. Early responses to HIV focused on viral suppression and management of acute crises; yet chronic disease integration and psychosocial sustainability of long-term survivorship is necessary (Rendina et al., 2019). The fact that older adults were diagnosed late, which is usually associated with the misperception of the risks associated with age, further complicates the outcomes (Li et al., 2025). Institutional blind spots were reflected in one qualitative case which described repeated GP visits were made prior to HIV testing. The results lead to the question of whether NHS planning has adequately been able to foresee demographic changes. The system seems to be evolving slowly and not strategically, which brings out a gap between epidemiological reality and service redesign.</w:t>
      </w:r>
    </w:p>
    <w:p w:rsidR="00000000" w:rsidDel="00000000" w:rsidP="00000000" w:rsidRDefault="00000000" w:rsidRPr="00000000" w14:paraId="00000220">
      <w:pPr>
        <w:pStyle w:val="Heading3"/>
        <w:numPr>
          <w:ilvl w:val="2"/>
          <w:numId w:val="7"/>
        </w:numPr>
        <w:spacing w:after="240" w:before="240" w:line="360" w:lineRule="auto"/>
        <w:ind w:left="940" w:hanging="720"/>
        <w:jc w:val="both"/>
        <w:rPr>
          <w:rFonts w:ascii="Arial" w:cs="Arial" w:eastAsia="Arial" w:hAnsi="Arial"/>
          <w:b w:val="1"/>
          <w:bCs w:val="1"/>
          <w:color w:val="000000"/>
          <w:sz w:val="22"/>
          <w:szCs w:val="22"/>
        </w:rPr>
      </w:pPr>
      <w:bookmarkStart w:colFirst="0" w:colLast="0" w:name="_heading=h.1s2ojl4yivxb" w:id="76"/>
      <w:bookmarkEnd w:id="76"/>
      <w:r w:rsidDel="00000000" w:rsidR="00000000" w:rsidRPr="00000000">
        <w:rPr>
          <w:rFonts w:ascii="Arial" w:cs="Arial" w:eastAsia="Arial" w:hAnsi="Arial"/>
          <w:b w:val="1"/>
          <w:bCs w:val="1"/>
          <w:color w:val="000000"/>
          <w:sz w:val="22"/>
          <w:szCs w:val="22"/>
          <w:rtl w:val="0"/>
        </w:rPr>
        <w:t xml:space="preserve">Cultural and Intersectional Dimensions</w:t>
      </w:r>
    </w:p>
    <w:p w:rsidR="00000000" w:rsidDel="00000000" w:rsidP="00000000" w:rsidRDefault="00000000" w:rsidRPr="00000000" w14:paraId="00000221">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results about cultural and community contexts can be explained by the intersectionality theory, according to which the combination of social identities results in the compounded disadvantage (Bauer et al., 2021). Black African and Caribbean populations are still overrepresented in terms of HIV in the UK, and qualitative data showed that religious orientation, migration condition, and gender roles influenced care-seeking (Fakoya et al., 2008). Legal insecurity and cultural stigma are also cited by the literature in migration-health as obstacles to accessing healthcare. The fears of being gossiped and judged in the community as having effects on ART uptake and disclosure choices (Busza et al., 2018). These trends indicate that stigma is not merely based on disease, but that it is also manifested in greater systems of structural injustice.</w:t>
      </w:r>
    </w:p>
    <w:p w:rsidR="00000000" w:rsidDel="00000000" w:rsidP="00000000" w:rsidRDefault="00000000" w:rsidRPr="00000000" w14:paraId="00000222">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Importantly, the results pose the question of the cultural competence in the service provision. Even though the UK HIV services are clinically robust, the necessity of the culturally sensitive communication is obvious. Women who were pregnant and interviewed on the issue of infant-feeding choices stated that there was tension between clinical risks advice and cultural demands. Prevention campaigns need thus to be more community specific. The structural inequality becomes a closer source of motivation, and it is possible to propose that poorer outcomes of tackling the issues of the HIV-related stigma are the results of less limited and wider social and economic responses other than healthcare (Logie et al., 2013). This observation supports the study aim of determining the areas to enhance inclusive and patient-centred care.</w:t>
      </w:r>
    </w:p>
    <w:p w:rsidR="00000000" w:rsidDel="00000000" w:rsidP="00000000" w:rsidRDefault="00000000" w:rsidRPr="00000000" w14:paraId="00000223">
      <w:pPr>
        <w:pStyle w:val="Heading3"/>
        <w:numPr>
          <w:ilvl w:val="2"/>
          <w:numId w:val="7"/>
        </w:numPr>
        <w:spacing w:after="240" w:before="240" w:line="360" w:lineRule="auto"/>
        <w:ind w:left="940" w:hanging="720"/>
        <w:jc w:val="both"/>
        <w:rPr>
          <w:rFonts w:ascii="Arial" w:cs="Arial" w:eastAsia="Arial" w:hAnsi="Arial"/>
          <w:b w:val="1"/>
          <w:bCs w:val="1"/>
          <w:color w:val="000000"/>
          <w:sz w:val="22"/>
          <w:szCs w:val="22"/>
        </w:rPr>
      </w:pPr>
      <w:bookmarkStart w:colFirst="0" w:colLast="0" w:name="_heading=h.9a60xwuizf5f" w:id="77"/>
      <w:bookmarkEnd w:id="77"/>
      <w:r w:rsidDel="00000000" w:rsidR="00000000" w:rsidRPr="00000000">
        <w:rPr>
          <w:rFonts w:ascii="Arial" w:cs="Arial" w:eastAsia="Arial" w:hAnsi="Arial"/>
          <w:b w:val="1"/>
          <w:bCs w:val="1"/>
          <w:color w:val="000000"/>
          <w:sz w:val="22"/>
          <w:szCs w:val="22"/>
          <w:rtl w:val="0"/>
        </w:rPr>
        <w:t xml:space="preserve">Implications for Policy and Practice</w:t>
      </w:r>
    </w:p>
    <w:p w:rsidR="00000000" w:rsidDel="00000000" w:rsidP="00000000" w:rsidRDefault="00000000" w:rsidRPr="00000000" w14:paraId="00000224">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Altogether, the results suggest that the only way to make HIV care equitable in the UK is to go beyond biomedical success and adopt the model of integrated, culturally competent, and stigma-sensitive services. Mental health must be incorporated into standard HIV care, GP training of HIV should be enhanced and coordinated multimorbidity pathways of the ageing populations must be developed as priorities in policy. Anti-stigma and culturally specific outreach programs and intervention involving African and Caribbean communities are needed at the community level. Structural stigma and service fragmentation are important areas of concern to address the research goal of enhancing holistic health and social care experiences among people living with HIV. </w:t>
      </w:r>
    </w:p>
    <w:p w:rsidR="00000000" w:rsidDel="00000000" w:rsidP="00000000" w:rsidRDefault="00000000" w:rsidRPr="00000000" w14:paraId="00000225">
      <w:pPr>
        <w:pStyle w:val="Heading2"/>
        <w:numPr>
          <w:ilvl w:val="1"/>
          <w:numId w:val="7"/>
        </w:numPr>
        <w:spacing w:after="240" w:before="240" w:line="360" w:lineRule="auto"/>
        <w:ind w:left="940" w:hanging="720"/>
        <w:jc w:val="both"/>
        <w:rPr>
          <w:rFonts w:ascii="Arial" w:cs="Arial" w:eastAsia="Arial" w:hAnsi="Arial"/>
          <w:b w:val="1"/>
          <w:bCs w:val="1"/>
          <w:color w:val="000000"/>
          <w:sz w:val="22"/>
          <w:szCs w:val="22"/>
        </w:rPr>
      </w:pPr>
      <w:bookmarkStart w:colFirst="0" w:colLast="0" w:name="_heading=h.hnpc7hu5m0zl" w:id="78"/>
      <w:bookmarkEnd w:id="78"/>
      <w:r w:rsidDel="00000000" w:rsidR="00000000" w:rsidRPr="00000000">
        <w:rPr>
          <w:rFonts w:ascii="Arial" w:cs="Arial" w:eastAsia="Arial" w:hAnsi="Arial"/>
          <w:b w:val="1"/>
          <w:bCs w:val="1"/>
          <w:color w:val="000000"/>
          <w:sz w:val="22"/>
          <w:szCs w:val="22"/>
          <w:rtl w:val="0"/>
        </w:rPr>
        <w:t xml:space="preserve">Strengths and Limitation</w:t>
      </w:r>
    </w:p>
    <w:p w:rsidR="00000000" w:rsidDel="00000000" w:rsidP="00000000" w:rsidRDefault="00000000" w:rsidRPr="00000000" w14:paraId="00000226">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literature review is systematic, and it has a number of methodological strengths. The systematic methodology, based on PRISMA, made the study selection and reporting more transparent and reproducible. Design-specific appraisal tools, i.e. CASP in qualitative and JBI in cross-sectional, and MMAT in mixed-methods studies, enhanced methodological rigour with the right evaluation criteria of each research design. The incorporation of the qualitative and quantitative evidence helped to have a complete synthesis, as the lived experiences were combined with the nationally representative data including the Positive Voices survey, which contributed to the increased policy relevance. However, the majority of included studies were done in London or South-East England which limits geographic generalisation. Quantitative data was mainly based on cross-sectional and self-report survey data to construe causal inference with the possibility of response bias. Most of the literature used could have been biased and grey literature was not exhaustively covered. Moreover, the lack of primary data gathering limits the contextual richness and the fact that one study is based in Ireland introduces slight transferability concerns.</w:t>
      </w:r>
    </w:p>
    <w:p w:rsidR="00000000" w:rsidDel="00000000" w:rsidP="00000000" w:rsidRDefault="00000000" w:rsidRPr="00000000" w14:paraId="00000227">
      <w:pPr>
        <w:pStyle w:val="Heading2"/>
        <w:numPr>
          <w:ilvl w:val="1"/>
          <w:numId w:val="7"/>
        </w:numPr>
        <w:spacing w:after="240" w:before="240" w:line="360" w:lineRule="auto"/>
        <w:ind w:left="940" w:hanging="720"/>
        <w:jc w:val="both"/>
        <w:rPr>
          <w:rFonts w:ascii="Arial" w:cs="Arial" w:eastAsia="Arial" w:hAnsi="Arial"/>
          <w:b w:val="1"/>
          <w:bCs w:val="1"/>
          <w:sz w:val="22"/>
          <w:szCs w:val="22"/>
        </w:rPr>
      </w:pPr>
      <w:bookmarkStart w:colFirst="0" w:colLast="0" w:name="_heading=h.2czz5wmutcrz" w:id="79"/>
      <w:bookmarkEnd w:id="79"/>
      <w:r w:rsidDel="00000000" w:rsidR="00000000" w:rsidRPr="00000000">
        <w:rPr>
          <w:rFonts w:ascii="Arial" w:cs="Arial" w:eastAsia="Arial" w:hAnsi="Arial"/>
          <w:b w:val="1"/>
          <w:bCs w:val="1"/>
          <w:sz w:val="22"/>
          <w:szCs w:val="22"/>
          <w:rtl w:val="0"/>
        </w:rPr>
        <w:t xml:space="preserve">Chapter Summary</w:t>
      </w:r>
    </w:p>
    <w:p w:rsidR="00000000" w:rsidDel="00000000" w:rsidP="00000000" w:rsidRDefault="00000000" w:rsidRPr="00000000" w14:paraId="00000228">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chapter has critically presented the major findings of the review with the research question and objectives and how stigmatization, service fragmentation, ageing and cultural contexts contribute to the health and social care experience of individuals living with HIV in the UK. Although the improvements in biomedical innovations have resulted in high rates of viral suppression and extended life expectancy, there is still an apparent gap between clinical success and lived experience. The chapter strengthened the argument of integrated and culturally competent models of care that are sensitive to stigma.</w:t>
      </w:r>
    </w:p>
    <w:p w:rsidR="00000000" w:rsidDel="00000000" w:rsidP="00000000" w:rsidRDefault="00000000" w:rsidRPr="00000000" w14:paraId="00000229">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A">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B">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C">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D">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E">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F">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0">
      <w:pPr>
        <w:spacing w:after="240" w:before="240" w:line="36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31">
      <w:pPr>
        <w:spacing w:after="240" w:before="240" w:line="36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32">
      <w:pPr>
        <w:spacing w:after="240" w:before="240" w:line="36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33">
      <w:pPr>
        <w:spacing w:after="240" w:before="240" w:line="36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34">
      <w:pPr>
        <w:spacing w:after="240" w:before="240" w:line="36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35">
      <w:pPr>
        <w:spacing w:after="240" w:before="240" w:line="360" w:lineRule="auto"/>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36">
      <w:pPr>
        <w:pStyle w:val="Heading1"/>
        <w:numPr>
          <w:ilvl w:val="0"/>
          <w:numId w:val="8"/>
        </w:numPr>
        <w:spacing w:after="240" w:before="240" w:line="360" w:lineRule="auto"/>
        <w:ind w:left="580" w:hanging="360"/>
        <w:jc w:val="center"/>
        <w:rPr>
          <w:rFonts w:ascii="Arial" w:cs="Arial" w:eastAsia="Arial" w:hAnsi="Arial"/>
          <w:b w:val="1"/>
          <w:bCs w:val="1"/>
          <w:color w:val="000000"/>
          <w:sz w:val="22"/>
          <w:szCs w:val="22"/>
        </w:rPr>
      </w:pPr>
      <w:bookmarkStart w:colFirst="0" w:colLast="0" w:name="_heading=h.j26pwrds9oed" w:id="80"/>
      <w:bookmarkEnd w:id="80"/>
      <w:r w:rsidDel="00000000" w:rsidR="00000000" w:rsidRPr="00000000">
        <w:rPr>
          <w:rFonts w:ascii="Arial" w:cs="Arial" w:eastAsia="Arial" w:hAnsi="Arial"/>
          <w:b w:val="1"/>
          <w:bCs w:val="1"/>
          <w:color w:val="000000"/>
          <w:sz w:val="22"/>
          <w:szCs w:val="22"/>
          <w:rtl w:val="0"/>
        </w:rPr>
        <w:t xml:space="preserve">Chapter 7: Recommendations And Conclusion</w:t>
      </w:r>
    </w:p>
    <w:p w:rsidR="00000000" w:rsidDel="00000000" w:rsidP="00000000" w:rsidRDefault="00000000" w:rsidRPr="00000000" w14:paraId="00000237">
      <w:pPr>
        <w:keepNext w:val="1"/>
        <w:keepLines w:val="1"/>
        <w:pageBreakBefore w:val="0"/>
        <w:widowControl w:val="1"/>
        <w:numPr>
          <w:ilvl w:val="1"/>
          <w:numId w:val="8"/>
        </w:numPr>
        <w:pBdr>
          <w:top w:space="0" w:sz="0" w:val="nil"/>
          <w:left w:space="0" w:sz="0" w:val="nil"/>
          <w:bottom w:space="0" w:sz="0" w:val="nil"/>
          <w:right w:space="0" w:sz="0" w:val="nil"/>
          <w:between w:space="0" w:sz="0" w:val="nil"/>
        </w:pBdr>
        <w:shd w:fill="auto" w:val="clear"/>
        <w:spacing w:after="240" w:before="240" w:line="360" w:lineRule="auto"/>
        <w:ind w:left="940" w:right="0" w:hanging="720"/>
        <w:jc w:val="both"/>
        <w:rPr>
          <w:rFonts w:ascii="Arial" w:cs="Arial" w:eastAsia="Arial" w:hAnsi="Arial"/>
          <w:b w:val="1"/>
          <w:bCs w:val="1"/>
          <w:i w:val="0"/>
          <w:iCs w:val="0"/>
          <w:smallCaps w:val="0"/>
          <w:strike w:val="0"/>
          <w:color w:val="000000"/>
          <w:sz w:val="22"/>
          <w:szCs w:val="22"/>
          <w:u w:val="none"/>
          <w:shd w:fill="auto" w:val="clear"/>
          <w:vertAlign w:val="baseline"/>
        </w:rPr>
      </w:pPr>
      <w:bookmarkStart w:colFirst="0" w:colLast="0" w:name="_heading=h.ikgbnjjtpsh7" w:id="81"/>
      <w:bookmarkEnd w:id="81"/>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Introduction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to Chapter</w:t>
      </w:r>
    </w:p>
    <w:p w:rsidR="00000000" w:rsidDel="00000000" w:rsidP="00000000" w:rsidRDefault="00000000" w:rsidRPr="00000000" w14:paraId="00000238">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chapter will display the implications and recommendations and general conclusion of the systematic review of the health and social care experience of individuals with HIV in the United Kingdom. The chapter utilizes the thematic synthesis of twelve studies to discuss the relevance of findings to the existing healthcare practice, policy, and service delivery in the field of NHS, primary care, and social support services. The chapter ends with elaborate recommendations on the professional practice and future research to enhance person-centred and integrated HIV care culminating with a conclusion on the main findings and the contribution of the study as a whole.</w:t>
      </w:r>
    </w:p>
    <w:p w:rsidR="00000000" w:rsidDel="00000000" w:rsidP="00000000" w:rsidRDefault="00000000" w:rsidRPr="00000000" w14:paraId="00000239">
      <w:pPr>
        <w:pStyle w:val="Heading2"/>
        <w:numPr>
          <w:ilvl w:val="1"/>
          <w:numId w:val="8"/>
        </w:numPr>
        <w:spacing w:after="240" w:before="240" w:line="360" w:lineRule="auto"/>
        <w:ind w:left="940" w:hanging="720"/>
        <w:jc w:val="both"/>
        <w:rPr>
          <w:rFonts w:ascii="Arial" w:cs="Arial" w:eastAsia="Arial" w:hAnsi="Arial"/>
          <w:b w:val="1"/>
          <w:bCs w:val="1"/>
          <w:color w:val="000000"/>
          <w:sz w:val="22"/>
          <w:szCs w:val="22"/>
        </w:rPr>
      </w:pPr>
      <w:bookmarkStart w:colFirst="0" w:colLast="0" w:name="_heading=h.ax47mhnakqpa" w:id="82"/>
      <w:bookmarkEnd w:id="82"/>
      <w:r w:rsidDel="00000000" w:rsidR="00000000" w:rsidRPr="00000000">
        <w:rPr>
          <w:rFonts w:ascii="Arial" w:cs="Arial" w:eastAsia="Arial" w:hAnsi="Arial"/>
          <w:b w:val="1"/>
          <w:bCs w:val="1"/>
          <w:color w:val="000000"/>
          <w:sz w:val="22"/>
          <w:szCs w:val="22"/>
          <w:rtl w:val="0"/>
        </w:rPr>
        <w:t xml:space="preserve">Implications of Findings</w:t>
      </w:r>
    </w:p>
    <w:p w:rsidR="00000000" w:rsidDel="00000000" w:rsidP="00000000" w:rsidRDefault="00000000" w:rsidRPr="00000000" w14:paraId="0000023A">
      <w:pPr>
        <w:spacing w:after="240" w:before="240" w:line="360" w:lineRule="auto"/>
        <w:jc w:val="both"/>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This review has serious implications to health and social care delivery within the UK, especially to the UK NHS HIV clinics, general practice, and community-based support organisations. Despite the improvement of the biomedical outcomes as a result of the successful antiretroviral therapy, the evidence demonstrates that stigma, disjointed services, ageing related needs, and cultural barriers are still influencing patient wellbeing and participation in care. This is an indication that the existing care paradigms are highly clinical-based and fail to consider psychological, social, and long-term support requirements. To healthcare professionals, the findings demonstrate that there is a need to have more integrated, multidisciplinary, and culturally responsive interventions so that HIV care can be reflective of the realities of living with a chronic condition in the contemporary healthcare systems.</w:t>
      </w:r>
      <w:r w:rsidDel="00000000" w:rsidR="00000000" w:rsidRPr="00000000">
        <w:rPr>
          <w:rtl w:val="0"/>
        </w:rPr>
      </w:r>
    </w:p>
    <w:p w:rsidR="00000000" w:rsidDel="00000000" w:rsidP="00000000" w:rsidRDefault="00000000" w:rsidRPr="00000000" w14:paraId="0000023B">
      <w:pPr>
        <w:pStyle w:val="Heading2"/>
        <w:numPr>
          <w:ilvl w:val="1"/>
          <w:numId w:val="8"/>
        </w:numPr>
        <w:spacing w:after="240" w:before="240" w:line="360" w:lineRule="auto"/>
        <w:ind w:left="940" w:hanging="720"/>
        <w:jc w:val="both"/>
        <w:rPr>
          <w:rFonts w:ascii="Arial" w:cs="Arial" w:eastAsia="Arial" w:hAnsi="Arial"/>
          <w:b w:val="1"/>
          <w:bCs w:val="1"/>
          <w:color w:val="000000"/>
          <w:sz w:val="22"/>
          <w:szCs w:val="22"/>
        </w:rPr>
      </w:pPr>
      <w:bookmarkStart w:colFirst="0" w:colLast="0" w:name="_heading=h.xr72qxfgeah" w:id="83"/>
      <w:bookmarkEnd w:id="83"/>
      <w:r w:rsidDel="00000000" w:rsidR="00000000" w:rsidRPr="00000000">
        <w:rPr>
          <w:rFonts w:ascii="Arial" w:cs="Arial" w:eastAsia="Arial" w:hAnsi="Arial"/>
          <w:b w:val="1"/>
          <w:bCs w:val="1"/>
          <w:color w:val="000000"/>
          <w:sz w:val="22"/>
          <w:szCs w:val="22"/>
          <w:rtl w:val="0"/>
        </w:rPr>
        <w:t xml:space="preserve">Recommendations for Practice</w:t>
      </w:r>
    </w:p>
    <w:p w:rsidR="00000000" w:rsidDel="00000000" w:rsidP="00000000" w:rsidRDefault="00000000" w:rsidRPr="00000000" w14:paraId="0000023C">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Policymakers and organisations involved in healthcare should enhance integrated care in HIV with respect to specialist clinics, general practice, mental health and social care, to enhance continuity of care coupled with reduced fragmentation (Conteh, Latona and Mahomed, 2023). The existing policy in the NHS working towards shared-care models, however, a lot of general practitioners still claim a lack of confidence in longer-term management of HIV as a condition. Consequently, more professional training and continuing education programmes are needed to enhance awareness on HIV, ageing, and multimorbidity by use of NHS England and professional organizations. There should also be a focus on anti-stigmatization training in healthcare environments since the findings of the Positive Voices survey and the National AIDS Trust indicate that stigma in a healthcare context still plays a vital role in service utilization (Zarei et al., 2015). Services ought to design age-related and culturally capable care pathways, especially among older adults, and African and Caribbean groups where there are other care barriers. NHS services, local authorities and voluntary sector organisations could collaborate in more holistic and person-centred care by offering psychological support, community outreach and social inclusion programmes in addition to clinical care (NAT, 2025).</w:t>
      </w:r>
    </w:p>
    <w:p w:rsidR="00000000" w:rsidDel="00000000" w:rsidP="00000000" w:rsidRDefault="00000000" w:rsidRPr="00000000" w14:paraId="0000023D">
      <w:pPr>
        <w:pStyle w:val="Heading2"/>
        <w:numPr>
          <w:ilvl w:val="1"/>
          <w:numId w:val="8"/>
        </w:numPr>
        <w:spacing w:after="240" w:before="240" w:line="360" w:lineRule="auto"/>
        <w:ind w:left="940" w:hanging="720"/>
        <w:jc w:val="both"/>
        <w:rPr>
          <w:rFonts w:ascii="Arial" w:cs="Arial" w:eastAsia="Arial" w:hAnsi="Arial"/>
          <w:b w:val="1"/>
          <w:bCs w:val="1"/>
          <w:color w:val="000000"/>
          <w:sz w:val="22"/>
          <w:szCs w:val="22"/>
        </w:rPr>
      </w:pPr>
      <w:bookmarkStart w:colFirst="0" w:colLast="0" w:name="_heading=h.85eiszim5ay0" w:id="84"/>
      <w:bookmarkEnd w:id="84"/>
      <w:r w:rsidDel="00000000" w:rsidR="00000000" w:rsidRPr="00000000">
        <w:rPr>
          <w:rFonts w:ascii="Arial" w:cs="Arial" w:eastAsia="Arial" w:hAnsi="Arial"/>
          <w:b w:val="1"/>
          <w:bCs w:val="1"/>
          <w:color w:val="000000"/>
          <w:sz w:val="22"/>
          <w:szCs w:val="22"/>
          <w:rtl w:val="0"/>
        </w:rPr>
        <w:t xml:space="preserve">Recommendations for Future Research</w:t>
      </w:r>
    </w:p>
    <w:p w:rsidR="00000000" w:rsidDel="00000000" w:rsidP="00000000" w:rsidRDefault="00000000" w:rsidRPr="00000000" w14:paraId="0000023E">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Future studies ought to investigate the experience of individuals with HIV in terms of their long-term health and social care as most of the current studies are limited to London-based specialist clinics and may not be applicable to other cities or towns. The UK Health Security Agency and NHS England have identified the importance of gathering additional evidence on the topic of ageing with HIV, multimorbidity, and effects of service reorganisation on patient outcomes, as national organisations have done (Ahmed et al., 2023). A longitudinal and mixed-methods study would be of special interest to the research on the impact of shared-care models between specialty services and general practitioners on time-related continuity of care. The role of primary care also needs to be further explored since the NHS policy is moving towards the management of long-term conditions outside specialists environments. More studies on women, migrants and minority ethnic populations should also be a priority to facilitate equality in the medical care delivery as pointed out in reports by the National AIDS Trust and the Terrence Higgins Trust which reported existing inequalities in access to testing, treatment and social support by these groups.</w:t>
      </w:r>
    </w:p>
    <w:p w:rsidR="00000000" w:rsidDel="00000000" w:rsidP="00000000" w:rsidRDefault="00000000" w:rsidRPr="00000000" w14:paraId="0000023F">
      <w:pPr>
        <w:pStyle w:val="Heading2"/>
        <w:numPr>
          <w:ilvl w:val="1"/>
          <w:numId w:val="8"/>
        </w:numPr>
        <w:spacing w:after="240" w:before="240" w:line="360" w:lineRule="auto"/>
        <w:ind w:left="940" w:hanging="720"/>
        <w:jc w:val="both"/>
        <w:rPr>
          <w:rFonts w:ascii="Arial" w:cs="Arial" w:eastAsia="Arial" w:hAnsi="Arial"/>
          <w:b w:val="1"/>
          <w:bCs w:val="1"/>
          <w:color w:val="000000"/>
          <w:sz w:val="22"/>
          <w:szCs w:val="22"/>
        </w:rPr>
      </w:pPr>
      <w:bookmarkStart w:colFirst="0" w:colLast="0" w:name="_heading=h.dlf1ofghxztr" w:id="85"/>
      <w:bookmarkEnd w:id="85"/>
      <w:r w:rsidDel="00000000" w:rsidR="00000000" w:rsidRPr="00000000">
        <w:rPr>
          <w:rFonts w:ascii="Arial" w:cs="Arial" w:eastAsia="Arial" w:hAnsi="Arial"/>
          <w:b w:val="1"/>
          <w:bCs w:val="1"/>
          <w:color w:val="000000"/>
          <w:sz w:val="22"/>
          <w:szCs w:val="22"/>
          <w:rtl w:val="0"/>
        </w:rPr>
        <w:t xml:space="preserve">Conclusion</w:t>
      </w:r>
    </w:p>
    <w:p w:rsidR="00000000" w:rsidDel="00000000" w:rsidP="00000000" w:rsidRDefault="00000000" w:rsidRPr="00000000" w14:paraId="00000240">
      <w:pPr>
        <w:spacing w:after="240" w:before="240" w:line="360" w:lineRule="auto"/>
        <w:jc w:val="both"/>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It was a systematic review of twelve qualitative, quantitative, and mixed-method studies conducted in the United Kingdom to develop an analysis of the health and social care experiences of the people living with HIV. The study was to discuss the experiences of people with HIV in terms of stigmatization, availability of healthcare services, mental health, and social support in the UK health and social care system. The evidence revealed that despite with the development of the technology of antiretroviral therapy HIV has turned into a long-term condition with high degrees of the viral suppression rates, there are numerous people who have to face serious psychosocial and structural issues. The analysis revealed four central themes, namely, ongoing and changing stigma, disintegration of health and social care services, increasing effects of ageing with HIV, and the effects of cultural and social factors on care experiences. These findings demonstrate that advancements in the biomedical care have not completely eliminated the social and emotional cost of having HIV and that lived experiences of care are still mediated by discrimination, ineffective service coordination, and unequal access to support.</w:t>
      </w:r>
      <w:r w:rsidDel="00000000" w:rsidR="00000000" w:rsidRPr="00000000">
        <w:rPr>
          <w:rtl w:val="0"/>
        </w:rPr>
      </w:r>
    </w:p>
    <w:p w:rsidR="00000000" w:rsidDel="00000000" w:rsidP="00000000" w:rsidRDefault="00000000" w:rsidRPr="00000000" w14:paraId="00000241">
      <w:pPr>
        <w:spacing w:after="240" w:before="24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review emphasizes the necessity of a more integrated and systematic response of HIV care in the NHS and the social care system in general. With the growing age of the population of people with HIV and its increased heterogeneity, the healthcare services should go beyond a purely biomedical approach and consider the mental health, social inclusion, and quality of life over the long term. It will be necessary to strengthen collaboration between specialist HIV clinics, general practitioners, social care providers, and voluntary sector organisations in order to make sure that care will be person-focused and relevant concerning individual needs. The results also indicate the necessity to decrease stigma in healthcare settings and enhance cultural competence in the service provision. Comprehensively, this research demonstrates that, although the UK has achieved much in relation to medical management of HIV, more needs to be done to enhance the way the country integrates stigma-free and inclusive health and social services to address the long-term wellbeing of people living with HIV and also to guarantee the sustainability of HIV care in future.</w:t>
      </w:r>
    </w:p>
    <w:p w:rsidR="00000000" w:rsidDel="00000000" w:rsidP="00000000" w:rsidRDefault="00000000" w:rsidRPr="00000000" w14:paraId="00000242">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3">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4">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5">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6">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7">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8">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9">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A">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B">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C">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D">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E">
      <w:pPr>
        <w:spacing w:after="240" w:before="240"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F">
      <w:pPr>
        <w:pStyle w:val="Heading1"/>
        <w:numPr>
          <w:ilvl w:val="0"/>
          <w:numId w:val="8"/>
        </w:numPr>
        <w:spacing w:after="240" w:before="240" w:line="360" w:lineRule="auto"/>
        <w:ind w:left="580" w:hanging="360"/>
        <w:jc w:val="both"/>
        <w:rPr>
          <w:rFonts w:ascii="Arial" w:cs="Arial" w:eastAsia="Arial" w:hAnsi="Arial"/>
          <w:b w:val="1"/>
          <w:bCs w:val="1"/>
          <w:color w:val="000000"/>
          <w:sz w:val="22"/>
          <w:szCs w:val="22"/>
        </w:rPr>
      </w:pPr>
      <w:bookmarkStart w:colFirst="0" w:colLast="0" w:name="_heading=h.qnlhhjc2zxj6" w:id="86"/>
      <w:bookmarkEnd w:id="86"/>
      <w:r w:rsidDel="00000000" w:rsidR="00000000" w:rsidRPr="00000000">
        <w:rPr>
          <w:rFonts w:ascii="Arial" w:cs="Arial" w:eastAsia="Arial" w:hAnsi="Arial"/>
          <w:b w:val="1"/>
          <w:bCs w:val="1"/>
          <w:color w:val="000000"/>
          <w:sz w:val="22"/>
          <w:szCs w:val="22"/>
          <w:rtl w:val="0"/>
        </w:rPr>
        <w:t xml:space="preserve">Reference List</w:t>
      </w:r>
    </w:p>
    <w:p w:rsidR="00000000" w:rsidDel="00000000" w:rsidP="00000000" w:rsidRDefault="00000000" w:rsidRPr="00000000" w14:paraId="00000250">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Ahmed, M., Ahmed, F., Abu-Bakr Abu-Median, Panourgia, M., Owles, H., Ochieng, B., Ahamed, H., Wale, J., Dietsch, B.J. and Mital, D. (2023). HIV and an Ageing Population—What Are the Medical, Psychosocial, and Palliative Care Challenges in Healthcare Provisions. </w:t>
      </w:r>
      <w:r w:rsidDel="00000000" w:rsidR="00000000" w:rsidRPr="00000000">
        <w:rPr>
          <w:rFonts w:ascii="Arial" w:cs="Arial" w:eastAsia="Arial" w:hAnsi="Arial"/>
          <w:i w:val="1"/>
          <w:iCs w:val="1"/>
          <w:sz w:val="22"/>
          <w:szCs w:val="22"/>
          <w:rtl w:val="0"/>
        </w:rPr>
        <w:t xml:space="preserve">Microorganisms</w:t>
      </w:r>
      <w:r w:rsidDel="00000000" w:rsidR="00000000" w:rsidRPr="00000000">
        <w:rPr>
          <w:rFonts w:ascii="Arial" w:cs="Arial" w:eastAsia="Arial" w:hAnsi="Arial"/>
          <w:sz w:val="22"/>
          <w:szCs w:val="22"/>
          <w:rtl w:val="0"/>
        </w:rPr>
        <w:t xml:space="preserve">, 11(10), pp.2426–2426. doi:https://doi.org/10.3390/microorganisms11102426.</w:t>
      </w:r>
    </w:p>
    <w:p w:rsidR="00000000" w:rsidDel="00000000" w:rsidP="00000000" w:rsidRDefault="00000000" w:rsidRPr="00000000" w14:paraId="0000025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Ahmed, S.K., Mohammed, R.A., Nashwan, A.J., Ibrahim, R.H., Abdalla, A.Q., Ameen, B.M.M. and Khidhir, R.M. (2025). Using Thematic Analysis in Qualitative Research.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Medicine, Surgery, and Public Health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6(6), p.100198. doi:https://doi.org/10.1016/j.glmedi.2025.100198.</w:t>
      </w:r>
    </w:p>
    <w:p w:rsidR="00000000" w:rsidDel="00000000" w:rsidP="00000000" w:rsidRDefault="00000000" w:rsidRPr="00000000" w14:paraId="0000025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Aidsmap (2019).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Rate of undiagnosed HIV remains high among black African heterosexuals in London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aidsmap.com. Available at: https://www.aidsmap.com/news/may-2019/rate-undiagnosed-hiv-remains-high-among-black-african-heterosexuals-london.</w:t>
      </w:r>
    </w:p>
    <w:p w:rsidR="00000000" w:rsidDel="00000000" w:rsidP="00000000" w:rsidRDefault="00000000" w:rsidRPr="00000000" w14:paraId="00000253">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Alessandro, D.C., Dost, B., Tulgar, S. and Boscolo, A. (2025). Methodological Standards for Conducting High-Quality Systematic Reviews. </w:t>
      </w:r>
      <w:r w:rsidDel="00000000" w:rsidR="00000000" w:rsidRPr="00000000">
        <w:rPr>
          <w:rFonts w:ascii="Arial" w:cs="Arial" w:eastAsia="Arial" w:hAnsi="Arial"/>
          <w:i w:val="1"/>
          <w:iCs w:val="1"/>
          <w:sz w:val="22"/>
          <w:szCs w:val="22"/>
          <w:rtl w:val="0"/>
        </w:rPr>
        <w:t xml:space="preserve">Biology</w:t>
      </w:r>
      <w:r w:rsidDel="00000000" w:rsidR="00000000" w:rsidRPr="00000000">
        <w:rPr>
          <w:rFonts w:ascii="Arial" w:cs="Arial" w:eastAsia="Arial" w:hAnsi="Arial"/>
          <w:sz w:val="22"/>
          <w:szCs w:val="22"/>
          <w:rtl w:val="0"/>
        </w:rPr>
        <w:t xml:space="preserve">, [online] 14(8), p.973. doi:https://doi.org/10.3390/biology14080973.</w:t>
      </w:r>
    </w:p>
    <w:p w:rsidR="00000000" w:rsidDel="00000000" w:rsidP="00000000" w:rsidRDefault="00000000" w:rsidRPr="00000000" w14:paraId="0000025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Almutairi, R., Alsarraf, A., Alkandari, D., Ashkanani, H. and Albazali, A. (2024). Dissecting through the literature: A review of the critical appraisal process.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Cureus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16(5). doi:https://doi.org/10.7759/cureus.59658.</w:t>
      </w:r>
    </w:p>
    <w:p w:rsidR="00000000" w:rsidDel="00000000" w:rsidP="00000000" w:rsidRDefault="00000000" w:rsidRPr="00000000" w14:paraId="0000025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Arrington-Sanders, R., Hailey-Fair, K., Wirtz, A.L., Morgan, A., Brooks, D., Castillo, M., Trexler, C., Kwait, J., Dowshen, N., Galai, N., Beyrer, C. and Celentano, D. (2020). Role of Structural Marginalization, HIV Stigma, and Mistrust on HIV Prevention and Treatment Among Young Black Latinx Men Who Have Sex with Men and Transgender Women: Perspectives from Youth Service Providers.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AIDS Patient Care and STDs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34(1), pp.7–15. doi:https://doi.org/10.1089/apc.2019.0165.</w:t>
      </w:r>
    </w:p>
    <w:p w:rsidR="00000000" w:rsidDel="00000000" w:rsidP="00000000" w:rsidRDefault="00000000" w:rsidRPr="00000000" w14:paraId="0000025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Bauer, G.R., Churchill, S.M., Mahendran, M., Walwyn, C., Lizotte, D. and Villa-Rueda, A.A. (2021). Intersectionality in quantitative research: A systematic review of its emergence and applications of theory and methods.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SSM - Population Health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14(1), pp.100–798. doi:https://doi.org/10.1016/j.ssmph.2021.100798.</w:t>
      </w:r>
    </w:p>
    <w:p w:rsidR="00000000" w:rsidDel="00000000" w:rsidP="00000000" w:rsidRDefault="00000000" w:rsidRPr="00000000" w14:paraId="0000025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BHIVA (2024)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Standards of Psychological Support for Adults Living with HIV Consultation draft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https://bhiva.org/wp-content/uploads/2024/10/Standards-of-Psychological-Care-Consultation.pdf.</w:t>
      </w:r>
    </w:p>
    <w:p w:rsidR="00000000" w:rsidDel="00000000" w:rsidP="00000000" w:rsidRDefault="00000000" w:rsidRPr="00000000" w14:paraId="0000025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Bijkerk, L.E.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(2024) ‘Engagement with mental health and health behavior change interventions: An integrative review of key concepts’,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contextual behavioral science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32, pp. 100748–100748. Available at: https://doi.org/10.1016/j.jcbs.2024.100748.</w:t>
      </w:r>
    </w:p>
    <w:p w:rsidR="00000000" w:rsidDel="00000000" w:rsidP="00000000" w:rsidRDefault="00000000" w:rsidRPr="00000000" w14:paraId="0000025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Bishop, F.L. and Holmes, M.M. (2013). Mixed Methods in CAM Research: A Systematic Review of Studies Published in 2012.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Evidence-Based Complementary and Alternative Medicine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2013, pp.1–12. doi:https://doi.org/10.1155/2013/187365.</w:t>
      </w:r>
    </w:p>
    <w:p w:rsidR="00000000" w:rsidDel="00000000" w:rsidP="00000000" w:rsidRDefault="00000000" w:rsidRPr="00000000" w14:paraId="0000025A">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Bramer, W.M., De Jonge, G.B., Rethlefsen, M.L., Mast, F. and Kleijnen, J. (2018). A Systematic Approach to Searching: an Efficient and Complete Method to Develop Literature Searches. </w:t>
      </w:r>
      <w:r w:rsidDel="00000000" w:rsidR="00000000" w:rsidRPr="00000000">
        <w:rPr>
          <w:rFonts w:ascii="Arial" w:cs="Arial" w:eastAsia="Arial" w:hAnsi="Arial"/>
          <w:i w:val="1"/>
          <w:iCs w:val="1"/>
          <w:sz w:val="22"/>
          <w:szCs w:val="22"/>
          <w:rtl w:val="0"/>
        </w:rPr>
        <w:t xml:space="preserve">Journal of the Medical Library Association</w:t>
      </w:r>
      <w:r w:rsidDel="00000000" w:rsidR="00000000" w:rsidRPr="00000000">
        <w:rPr>
          <w:rFonts w:ascii="Arial" w:cs="Arial" w:eastAsia="Arial" w:hAnsi="Arial"/>
          <w:sz w:val="22"/>
          <w:szCs w:val="22"/>
          <w:rtl w:val="0"/>
        </w:rPr>
        <w:t xml:space="preserve">, 106(4), pp.531–541. doi:https://doi.org/10.5195/jmla.2018.283.</w:t>
      </w:r>
    </w:p>
    <w:p w:rsidR="00000000" w:rsidDel="00000000" w:rsidP="00000000" w:rsidRDefault="00000000" w:rsidRPr="00000000" w14:paraId="0000025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Bruton, J., Rai, T., Day, S. and Ward, H. (2018). Patient perspectives on the HIV continuum of care in London: a qualitative study of people diagnosed between 1986 and 2014.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BMJ Open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8(3), p.e020208. doi:https://doi.org/10.1136/bmjopen-2017-020208.</w:t>
      </w:r>
    </w:p>
    <w:p w:rsidR="00000000" w:rsidDel="00000000" w:rsidP="00000000" w:rsidRDefault="00000000" w:rsidRPr="00000000" w14:paraId="0000025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Burt, J., Campbell, J., Abel, G., Aboulghate, A., Ahmed, F., Asprey, A., Barry, H., Beckwith, J., Benson, J., Boiko, O., Bower, P., Calitri, R., Carter, M., Davey, A., Elliott, M.N., Elmore, N., Farrington, C., Haque, H.W., Henley, W. and Lattimer, V. (2017).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The validity and use of patient experience survey data in out-of-hours care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Nih.gov. Available at: https://www.ncbi.nlm.nih.gov/books/NBK436542/.</w:t>
      </w:r>
    </w:p>
    <w:p w:rsidR="00000000" w:rsidDel="00000000" w:rsidP="00000000" w:rsidRDefault="00000000" w:rsidRPr="00000000" w14:paraId="0000025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Busza, J., Simms, V., Dziva Chikwari, C., Dauya, E., Bandason, T., Makamba, M., McHugh, G. and Ferrand, R.A. (2018). ‘It is not possible to go inside and have a discussion’: how fear of stigma affects delivery of community-based support for children’s HIV care.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AIDS Care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30(7), pp.903–909. doi:https://doi.org/10.1080/09540121.2018.1445826.</w:t>
      </w:r>
    </w:p>
    <w:p w:rsidR="00000000" w:rsidDel="00000000" w:rsidP="00000000" w:rsidRDefault="00000000" w:rsidRPr="00000000" w14:paraId="0000025E">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Capili, B. (2020). How Does Research Start? </w:t>
      </w:r>
      <w:r w:rsidDel="00000000" w:rsidR="00000000" w:rsidRPr="00000000">
        <w:rPr>
          <w:rFonts w:ascii="Arial" w:cs="Arial" w:eastAsia="Arial" w:hAnsi="Arial"/>
          <w:i w:val="1"/>
          <w:iCs w:val="1"/>
          <w:sz w:val="22"/>
          <w:szCs w:val="22"/>
          <w:rtl w:val="0"/>
        </w:rPr>
        <w:t xml:space="preserve">AJN, American Journal of Nursing</w:t>
      </w:r>
      <w:r w:rsidDel="00000000" w:rsidR="00000000" w:rsidRPr="00000000">
        <w:rPr>
          <w:rFonts w:ascii="Arial" w:cs="Arial" w:eastAsia="Arial" w:hAnsi="Arial"/>
          <w:sz w:val="22"/>
          <w:szCs w:val="22"/>
          <w:rtl w:val="0"/>
        </w:rPr>
        <w:t xml:space="preserve">, [online] 120(10), pp.41–44. doi:https://doi.org/10.1097/01.naj.0000718644.96765.b3.</w:t>
      </w:r>
    </w:p>
    <w:p w:rsidR="00000000" w:rsidDel="00000000" w:rsidP="00000000" w:rsidRDefault="00000000" w:rsidRPr="00000000" w14:paraId="0000025F">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Carmona, C., Baxter, S. and Carroll, C. (2021). Systematic review of the methodological literature for integrating qualitative evidence syntheses into health guideline development. </w:t>
      </w:r>
      <w:r w:rsidDel="00000000" w:rsidR="00000000" w:rsidRPr="00000000">
        <w:rPr>
          <w:rFonts w:ascii="Arial" w:cs="Arial" w:eastAsia="Arial" w:hAnsi="Arial"/>
          <w:i w:val="1"/>
          <w:iCs w:val="1"/>
          <w:sz w:val="22"/>
          <w:szCs w:val="22"/>
          <w:rtl w:val="0"/>
        </w:rPr>
        <w:t xml:space="preserve">Research Synthesis Methods</w:t>
      </w:r>
      <w:r w:rsidDel="00000000" w:rsidR="00000000" w:rsidRPr="00000000">
        <w:rPr>
          <w:rFonts w:ascii="Arial" w:cs="Arial" w:eastAsia="Arial" w:hAnsi="Arial"/>
          <w:sz w:val="22"/>
          <w:szCs w:val="22"/>
          <w:rtl w:val="0"/>
        </w:rPr>
        <w:t xml:space="preserve">, 12(4). doi:https://doi.org/10.1002/jrsm.1483.</w:t>
      </w:r>
    </w:p>
    <w:p w:rsidR="00000000" w:rsidDel="00000000" w:rsidP="00000000" w:rsidRDefault="00000000" w:rsidRPr="00000000" w14:paraId="0000026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CASP (2024).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CASP Checklist: For Qualitative Research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Critical Appraisal Skills Programme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https://casp-uk.net/casp-checklists/CASP-checklist-qualitative-2024.pdf.</w:t>
      </w:r>
    </w:p>
    <w:p w:rsidR="00000000" w:rsidDel="00000000" w:rsidP="00000000" w:rsidRDefault="00000000" w:rsidRPr="00000000" w14:paraId="0000026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CASP (2025).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What Is Critical appraisal?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CASP - Critical Appraisal Skills Programme. Available at: https://casp-uk.net/what-is-critical-appraisal/.</w:t>
      </w:r>
    </w:p>
    <w:p w:rsidR="00000000" w:rsidDel="00000000" w:rsidP="00000000" w:rsidRDefault="00000000" w:rsidRPr="00000000" w14:paraId="0000026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Chawla, S., Kaida, A., Brouillette, M.-J., Kleiner, B., Dubuc, D., Skerritt, L., Burchell, A.N., Rouleau, D., Loutfy, M. and Pokomandy, A. de (2024). Mental health service use and shortages among a cohort of women living with HIV in Canada.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BMC Health Services Research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24(1). doi:https://doi.org/10.1186/s12913-024-11396-z.</w:t>
      </w:r>
    </w:p>
    <w:p w:rsidR="00000000" w:rsidDel="00000000" w:rsidP="00000000" w:rsidRDefault="00000000" w:rsidRPr="00000000" w14:paraId="00000263">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Ciemer, C., Klotzbier, T.J., Sabiha Ghellal and Schott, N. (2025). Introducing CRIS—A unified framework for systematic literature searches across disciplines. </w:t>
      </w:r>
      <w:r w:rsidDel="00000000" w:rsidR="00000000" w:rsidRPr="00000000">
        <w:rPr>
          <w:rFonts w:ascii="Arial" w:cs="Arial" w:eastAsia="Arial" w:hAnsi="Arial"/>
          <w:i w:val="1"/>
          <w:iCs w:val="1"/>
          <w:sz w:val="22"/>
          <w:szCs w:val="22"/>
          <w:rtl w:val="0"/>
        </w:rPr>
        <w:t xml:space="preserve">Frontiers in Public Health</w:t>
      </w:r>
      <w:r w:rsidDel="00000000" w:rsidR="00000000" w:rsidRPr="00000000">
        <w:rPr>
          <w:rFonts w:ascii="Arial" w:cs="Arial" w:eastAsia="Arial" w:hAnsi="Arial"/>
          <w:sz w:val="22"/>
          <w:szCs w:val="22"/>
          <w:rtl w:val="0"/>
        </w:rPr>
        <w:t xml:space="preserve">, 13. doi:https://doi.org/10.3389/fpubh.2025.1489161.</w:t>
      </w:r>
    </w:p>
    <w:p w:rsidR="00000000" w:rsidDel="00000000" w:rsidP="00000000" w:rsidRDefault="00000000" w:rsidRPr="00000000" w14:paraId="0000026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Coker, M.O.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(2025) ‘The State of the Science on Chronic Comorbidities and Aging in Children and Adolescents with perinatally-acquired HIV’,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Current HIV/AIDS Reports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22(1). Available at: https://doi.org/10.1007/s11904-025-00761-0.</w:t>
      </w:r>
    </w:p>
    <w:p w:rsidR="00000000" w:rsidDel="00000000" w:rsidP="00000000" w:rsidRDefault="00000000" w:rsidRPr="00000000" w14:paraId="00000265">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Conteh, N.K., Latona, A. and Mahomed, O. (2023). Mapping the effectiveness of integrating mental health in HIV programs: a scoping review. </w:t>
      </w:r>
      <w:r w:rsidDel="00000000" w:rsidR="00000000" w:rsidRPr="00000000">
        <w:rPr>
          <w:rFonts w:ascii="Arial" w:cs="Arial" w:eastAsia="Arial" w:hAnsi="Arial"/>
          <w:i w:val="1"/>
          <w:iCs w:val="1"/>
          <w:sz w:val="22"/>
          <w:szCs w:val="22"/>
          <w:rtl w:val="0"/>
        </w:rPr>
        <w:t xml:space="preserve">BMC Health Services Research</w:t>
      </w:r>
      <w:r w:rsidDel="00000000" w:rsidR="00000000" w:rsidRPr="00000000">
        <w:rPr>
          <w:rFonts w:ascii="Arial" w:cs="Arial" w:eastAsia="Arial" w:hAnsi="Arial"/>
          <w:sz w:val="22"/>
          <w:szCs w:val="22"/>
          <w:rtl w:val="0"/>
        </w:rPr>
        <w:t xml:space="preserve">, 23(1). doi:https://doi.org/10.1186/s12913-023-09359-x.</w:t>
      </w:r>
    </w:p>
    <w:p w:rsidR="00000000" w:rsidDel="00000000" w:rsidP="00000000" w:rsidRDefault="00000000" w:rsidRPr="00000000" w14:paraId="00000266">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Corrin, L., Thompson, K., Hwang, G.-J. and Lodge, J.M. (2022). The Importance of Choosing the Right Keywords for Educational Technology Publications. </w:t>
      </w:r>
      <w:r w:rsidDel="00000000" w:rsidR="00000000" w:rsidRPr="00000000">
        <w:rPr>
          <w:rFonts w:ascii="Arial" w:cs="Arial" w:eastAsia="Arial" w:hAnsi="Arial"/>
          <w:i w:val="1"/>
          <w:iCs w:val="1"/>
          <w:sz w:val="22"/>
          <w:szCs w:val="22"/>
          <w:rtl w:val="0"/>
        </w:rPr>
        <w:t xml:space="preserve">Australasian Journal of Educational Technology</w:t>
      </w:r>
      <w:r w:rsidDel="00000000" w:rsidR="00000000" w:rsidRPr="00000000">
        <w:rPr>
          <w:rFonts w:ascii="Arial" w:cs="Arial" w:eastAsia="Arial" w:hAnsi="Arial"/>
          <w:sz w:val="22"/>
          <w:szCs w:val="22"/>
          <w:rtl w:val="0"/>
        </w:rPr>
        <w:t xml:space="preserve">, 38(2), pp.1–8.</w:t>
      </w:r>
    </w:p>
    <w:p w:rsidR="00000000" w:rsidDel="00000000" w:rsidP="00000000" w:rsidRDefault="00000000" w:rsidRPr="00000000" w14:paraId="0000026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Crenshaw, K. (1989). Demarginalizing the Intersection of Race and sex: a Black Feminist Critique of Antidiscrimination doctrine, Feminist Theory and Antiracist Politics.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University of Chicago Legal Forum</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1989(1), pp.139–167. Available at: https://chicagounbound.uchicago.edu/cgi/viewcontent.cgi?article=1052&amp;context=uclf.</w:t>
      </w:r>
    </w:p>
    <w:p w:rsidR="00000000" w:rsidDel="00000000" w:rsidP="00000000" w:rsidRDefault="00000000" w:rsidRPr="00000000" w14:paraId="0000026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Cruz, A. dela , Maposa, S., Patten, S., Abdulmalik, I.O., Magagula, P., Sipiwe Mapfumo, Tsion Demeke Abate, Carter, A., Spies, P., Harrowing, J.N., Hall, M., Afzal, A.R. and Caine, V. (2022). ‘I die silently inside’. Qualitative findings from a study of people living with HIV who migrate to and settle in Canada. 5, pp.100088–100088. doi:https://doi.org/10.1016/j.jmh.2022.100088.</w:t>
      </w:r>
    </w:p>
    <w:p w:rsidR="00000000" w:rsidDel="00000000" w:rsidP="00000000" w:rsidRDefault="00000000" w:rsidRPr="00000000" w14:paraId="0000026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Davis, A.J., Greene, M., Walker, J. and Erlandson, K.M. (2023). Perspectives of people living with HIV age 50 and over regarding barriers and resources for care.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AIDS Care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35(4), pp.581–590. doi:https://doi.org/10.1080/09540121.2022.2162840.</w:t>
      </w:r>
    </w:p>
    <w:p w:rsidR="00000000" w:rsidDel="00000000" w:rsidP="00000000" w:rsidRDefault="00000000" w:rsidRPr="00000000" w14:paraId="0000026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Dawadi, S. (2020). Thematic Analysis approach: a Step by Step Guide for ELT Research Practitioners.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NELTA</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25(1-2), pp.62–71.</w:t>
      </w:r>
    </w:p>
    <w:p w:rsidR="00000000" w:rsidDel="00000000" w:rsidP="00000000" w:rsidRDefault="00000000" w:rsidRPr="00000000" w14:paraId="0000026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Dessie, Z.G. and Zewotir, T. (2024). HIV-related stigma and associated factors: a systematic review and meta-analysis.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Frontiers in Public Health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12. doi:https://doi.org/10.3389/fpubh.2024.1356430.</w:t>
      </w:r>
    </w:p>
    <w:p w:rsidR="00000000" w:rsidDel="00000000" w:rsidP="00000000" w:rsidRDefault="00000000" w:rsidRPr="00000000" w14:paraId="0000026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Drageset, J. (2021)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Social Support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PubMed</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Edited by G. Haugan and M. Eriksson. Cham (CH): Springer. Available at: https://www.ncbi.nlm.nih.gov/books/NBK585650/.</w:t>
      </w:r>
    </w:p>
    <w:p w:rsidR="00000000" w:rsidDel="00000000" w:rsidP="00000000" w:rsidRDefault="00000000" w:rsidRPr="00000000" w14:paraId="0000026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EATG (2022).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UK’s largest survey of people living with HIV published | EATG</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EATG. Available at: https://www.eatg.org/hiv-news/uks-largest-survey-of-people-living-with-hiv-published/.</w:t>
      </w:r>
    </w:p>
    <w:p w:rsidR="00000000" w:rsidDel="00000000" w:rsidP="00000000" w:rsidRDefault="00000000" w:rsidRPr="00000000" w14:paraId="0000026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EATG (2024)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23% of people with HIV in the UK have depression or anxiety, but rates are much higher in some groups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EATG</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https://www.eatg.org/hiv-news/23-of-people-with-hiv-in-the-uk-have-depression-or-anxiety-but-rates-are-much-higher-in-some-groups/.</w:t>
      </w:r>
    </w:p>
    <w:p w:rsidR="00000000" w:rsidDel="00000000" w:rsidP="00000000" w:rsidRDefault="00000000" w:rsidRPr="00000000" w14:paraId="0000026F">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Ewald, H., Klerings, I., Wagner, G., Heise, T.L., Stratil, J.M., Lhachimi, S.K., LG, H., Gartlehner, G., Armijo-Olivo, S. and Nussbaumer-Streit, B. (2022). Searching Two or More Databases Decreased the Risk of Missing Relevant studies: a Metaresearch Study. </w:t>
      </w:r>
      <w:r w:rsidDel="00000000" w:rsidR="00000000" w:rsidRPr="00000000">
        <w:rPr>
          <w:rFonts w:ascii="Arial" w:cs="Arial" w:eastAsia="Arial" w:hAnsi="Arial"/>
          <w:i w:val="1"/>
          <w:iCs w:val="1"/>
          <w:sz w:val="22"/>
          <w:szCs w:val="22"/>
          <w:rtl w:val="0"/>
        </w:rPr>
        <w:t xml:space="preserve">Journal of Clinical Epidemiology</w:t>
      </w:r>
      <w:r w:rsidDel="00000000" w:rsidR="00000000" w:rsidRPr="00000000">
        <w:rPr>
          <w:rFonts w:ascii="Arial" w:cs="Arial" w:eastAsia="Arial" w:hAnsi="Arial"/>
          <w:sz w:val="22"/>
          <w:szCs w:val="22"/>
          <w:rtl w:val="0"/>
        </w:rPr>
        <w:t xml:space="preserve">, 149(149), pp</w:t>
      </w:r>
      <w:r w:rsidDel="00000000" w:rsidR="00000000" w:rsidRPr="00000000">
        <w:rPr>
          <w:sz w:val="22"/>
          <w:szCs w:val="22"/>
          <w:rtl w:val="0"/>
        </w:rPr>
        <w:t xml:space="preserve">.</w:t>
      </w:r>
      <w:r w:rsidDel="00000000" w:rsidR="00000000" w:rsidRPr="00000000">
        <w:rPr>
          <w:rFonts w:ascii="Arial" w:cs="Arial" w:eastAsia="Arial" w:hAnsi="Arial"/>
          <w:sz w:val="22"/>
          <w:szCs w:val="22"/>
          <w:rtl w:val="0"/>
        </w:rPr>
        <w:t xml:space="preserve">154–164.</w:t>
      </w:r>
    </w:p>
    <w:p w:rsidR="00000000" w:rsidDel="00000000" w:rsidP="00000000" w:rsidRDefault="00000000" w:rsidRPr="00000000" w14:paraId="0000027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Fakoya, I., Reynolds, R., Caswell, G. and Shiripinda, I. (2008). Barriers to HIV testing for migrant black Africans in Western Europe.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HIV Medicine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9(s2), pp.23–25. doi:https://doi.org/10.1111/j.1468-1293.2008.00587.x.</w:t>
      </w:r>
    </w:p>
    <w:p w:rsidR="00000000" w:rsidDel="00000000" w:rsidP="00000000" w:rsidRDefault="00000000" w:rsidRPr="00000000" w14:paraId="0000027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Flint, A., Günsche, M. and Burns, M. (2022) ‘We Are Still Here: Living with HIV in the UK’,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Medical Anthropology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42(1), pp. 35–47. Available at: https://doi.org/10.1080/01459740.2022.2139182.</w:t>
      </w:r>
    </w:p>
    <w:p w:rsidR="00000000" w:rsidDel="00000000" w:rsidP="00000000" w:rsidRDefault="00000000" w:rsidRPr="00000000" w14:paraId="0000027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Fuente-Soro, L., Figueroa-Romero, A., Fernández-Luis, S., Augusto, O., López-Varela, E., Bernardo, E., Saura-Lázaro, A., Vaz, P., Wei, S.C., Kerndt, P.R., Tacilta Nhampossa and Naniche, D. (2023). Reasons for non-disclosure of HIV-Positive status to healthcare providers: a mixed methods study in Mozambique.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BMC Health Services Research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23(1). doi:https://doi.org/10.1186/s12913-023-09865-y.</w:t>
      </w:r>
    </w:p>
    <w:p w:rsidR="00000000" w:rsidDel="00000000" w:rsidP="00000000" w:rsidRDefault="00000000" w:rsidRPr="00000000" w14:paraId="0000027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Glendinning, E., Spiers, J., Smith, J.A., Anderson, J., Campbell, L.J., Cooper, V. and Horne, R. (2019). A Qualitative Study to Identify Perceptual Barriers to Antiretroviral Therapy (ART) Uptake and Adherence in HIV Positive People from UK Black African and Caribbean Communities.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AIDS and Behavior</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23(9), pp.2514–2521. doi:https://doi.org/10.1007/s10461-019-02670-x.</w:t>
      </w:r>
    </w:p>
    <w:p w:rsidR="00000000" w:rsidDel="00000000" w:rsidP="00000000" w:rsidRDefault="00000000" w:rsidRPr="00000000" w14:paraId="0000027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GOV.UK (2022).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Positive Voices 2022: survey report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GOV.UK. Available at: https://www.gov.uk/government/publications/hiv-positive-voices-survey/positive-voices-2022-survey-report.</w:t>
      </w:r>
    </w:p>
    <w:p w:rsidR="00000000" w:rsidDel="00000000" w:rsidP="00000000" w:rsidRDefault="00000000" w:rsidRPr="00000000" w14:paraId="0000027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GOV.UK (2024)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HIV Action Plan monitoring and evaluation framework 2024 report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GOV.UK</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https://www.gov.uk/government/publications/hiv-monitoring-and-evaluation-framework/hiv-action-plan-monitoring-and-evaluation-framework-2024-report.</w:t>
      </w:r>
    </w:p>
    <w:p w:rsidR="00000000" w:rsidDel="00000000" w:rsidP="00000000" w:rsidRDefault="00000000" w:rsidRPr="00000000" w14:paraId="00000276">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Gusenbauer, M. and Gauster, S.P. (2024). How to Search for Literature in Systematic Reviews and meta-analyses: a Comprehensive step-by-step Guide. </w:t>
      </w:r>
      <w:r w:rsidDel="00000000" w:rsidR="00000000" w:rsidRPr="00000000">
        <w:rPr>
          <w:rFonts w:ascii="Arial" w:cs="Arial" w:eastAsia="Arial" w:hAnsi="Arial"/>
          <w:i w:val="1"/>
          <w:iCs w:val="1"/>
          <w:sz w:val="22"/>
          <w:szCs w:val="22"/>
          <w:rtl w:val="0"/>
        </w:rPr>
        <w:t xml:space="preserve">Technological Forecasting and Social Change</w:t>
      </w:r>
      <w:r w:rsidDel="00000000" w:rsidR="00000000" w:rsidRPr="00000000">
        <w:rPr>
          <w:rFonts w:ascii="Arial" w:cs="Arial" w:eastAsia="Arial" w:hAnsi="Arial"/>
          <w:sz w:val="22"/>
          <w:szCs w:val="22"/>
          <w:rtl w:val="0"/>
        </w:rPr>
        <w:t xml:space="preserve">, [online] 212, p.123833. doi:https://doi.org/10.1016/j.techfore.2024.123833.</w:t>
      </w:r>
    </w:p>
    <w:p w:rsidR="00000000" w:rsidDel="00000000" w:rsidP="00000000" w:rsidRDefault="00000000" w:rsidRPr="00000000" w14:paraId="0000027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Healey, E.L., Jinks, C., Tan, V.A., Chew-Graham, C.A., Lawton, S.A., Nicholls, E., Finney, A.G., Porcheret, M., Cooper, V., Lewis, M., Dziedzic, K.S., Wathall, S. and Mallen, C.D. (2015). Improving the Care of People with Long-Term Conditions in Primary Care: Protocol for the Enhance Pilot Trial.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Comorbidity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5(1), pp.135–149. doi:https://doi.org/10.15256/joc.2015.5.60.</w:t>
      </w:r>
    </w:p>
    <w:p w:rsidR="00000000" w:rsidDel="00000000" w:rsidP="00000000" w:rsidRDefault="00000000" w:rsidRPr="00000000" w14:paraId="00000278">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Hedge, B., Devan, K., Catalan, J., Cheshire, A. and Ridge, D. (2021). HIV-related Stigma in the UK Then and now: to What Extent Are We on Track to Eliminate stigma? a Qualitative Investigation. </w:t>
      </w:r>
      <w:r w:rsidDel="00000000" w:rsidR="00000000" w:rsidRPr="00000000">
        <w:rPr>
          <w:rFonts w:ascii="Arial" w:cs="Arial" w:eastAsia="Arial" w:hAnsi="Arial"/>
          <w:i w:val="1"/>
          <w:iCs w:val="1"/>
          <w:sz w:val="22"/>
          <w:szCs w:val="22"/>
          <w:rtl w:val="0"/>
        </w:rPr>
        <w:t xml:space="preserve">BMC Public Health</w:t>
      </w:r>
      <w:r w:rsidDel="00000000" w:rsidR="00000000" w:rsidRPr="00000000">
        <w:rPr>
          <w:rFonts w:ascii="Arial" w:cs="Arial" w:eastAsia="Arial" w:hAnsi="Arial"/>
          <w:sz w:val="22"/>
          <w:szCs w:val="22"/>
          <w:rtl w:val="0"/>
        </w:rPr>
        <w:t xml:space="preserve">, [online] 21(1). doi:https://doi.org/10.1186/s12889-021-11000-7.</w:t>
      </w:r>
    </w:p>
    <w:p w:rsidR="00000000" w:rsidDel="00000000" w:rsidP="00000000" w:rsidRDefault="00000000" w:rsidRPr="00000000" w14:paraId="0000027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Hennink, M. and Kaiser, B.N. (2022). Sample Sizes for Saturation in Qualitative Research: a Systematic Review of Empirical Tests.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Social Science &amp; Medicine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292(1), pp.1–10. doi:https://doi.org/10.1016/j.socscimed.2021.114523.</w:t>
      </w:r>
    </w:p>
    <w:p w:rsidR="00000000" w:rsidDel="00000000" w:rsidP="00000000" w:rsidRDefault="00000000" w:rsidRPr="00000000" w14:paraId="0000027A">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Henriksson, A., Moen, H., Skeppstedt, M., Daudaravičius, V. and Duneld, M. (2014). Synonym extraction and abbreviation expansion with ensembles of semantic spaces. </w:t>
      </w:r>
      <w:r w:rsidDel="00000000" w:rsidR="00000000" w:rsidRPr="00000000">
        <w:rPr>
          <w:rFonts w:ascii="Arial" w:cs="Arial" w:eastAsia="Arial" w:hAnsi="Arial"/>
          <w:i w:val="1"/>
          <w:iCs w:val="1"/>
          <w:sz w:val="22"/>
          <w:szCs w:val="22"/>
          <w:rtl w:val="0"/>
        </w:rPr>
        <w:t xml:space="preserve">Journal of Biomedical Semantics</w:t>
      </w:r>
      <w:r w:rsidDel="00000000" w:rsidR="00000000" w:rsidRPr="00000000">
        <w:rPr>
          <w:rFonts w:ascii="Arial" w:cs="Arial" w:eastAsia="Arial" w:hAnsi="Arial"/>
          <w:sz w:val="22"/>
          <w:szCs w:val="22"/>
          <w:rtl w:val="0"/>
        </w:rPr>
        <w:t xml:space="preserve">, 5(1), p.6. doi:https://doi.org/10.1186/2041-1480-5-6.</w:t>
      </w:r>
    </w:p>
    <w:p w:rsidR="00000000" w:rsidDel="00000000" w:rsidP="00000000" w:rsidRDefault="00000000" w:rsidRPr="00000000" w14:paraId="0000027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Hilton, M. (2024). JBI critical appraisal checklist for systematic reviews and research syntheses (product review).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the Canadian Health Libraries Association / Journal de l Association de bilbiothèques de la santé du Canada</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45(3). doi:https://doi.org/10.29173/jchla29801.</w:t>
      </w:r>
    </w:p>
    <w:p w:rsidR="00000000" w:rsidDel="00000000" w:rsidP="00000000" w:rsidRDefault="00000000" w:rsidRPr="00000000" w14:paraId="0000027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Hussain, R., Guppy, M., Robertson, S. and Temple, E. (2013). Physical and mental health perspectives of first year undergraduate rural university students.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BMC Public Health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13(1). doi:https://doi.org/10.1186/1471-2458-13-848.</w:t>
      </w:r>
    </w:p>
    <w:p w:rsidR="00000000" w:rsidDel="00000000" w:rsidP="00000000" w:rsidRDefault="00000000" w:rsidRPr="00000000" w14:paraId="0000027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Joanna Briggs Institute (2017).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Checklist for Analytical Cross Sectional Studies Critical Appraisal Checklist for Analytical Cross Sectional Studies 2</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Available at: https://jbi.global/sites/default/files/2019-05/JBI_Critical_Appraisal-Checklist_for_Analytical_Cross_Sectional_Studies2017_0.pdf.</w:t>
      </w:r>
    </w:p>
    <w:p w:rsidR="00000000" w:rsidDel="00000000" w:rsidP="00000000" w:rsidRDefault="00000000" w:rsidRPr="00000000" w14:paraId="0000027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Johnson, J., Adkins, D. and Chauvin, S. (2020). A Review of the Quality Indicators of Rigor in Qualitative Research.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American Journal of Pharmaceutical Education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84(1), pp.138–146. doi:https://doi.org/10.5688/ajpe7120.</w:t>
      </w:r>
    </w:p>
    <w:p w:rsidR="00000000" w:rsidDel="00000000" w:rsidP="00000000" w:rsidRDefault="00000000" w:rsidRPr="00000000" w14:paraId="0000027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Jones, N., Bekaert, S., Regisford, D. and Shodunke, N.J. (2025). Breaking barriers: A qualitative study exploring the social and cultural factors that influence HIV awareness and uptake of HIV prevention among women of African and Caribbean heritage in England.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Women’s Health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21. doi:https://doi.org/10.1177/17455057251385798.</w:t>
      </w:r>
    </w:p>
    <w:p w:rsidR="00000000" w:rsidDel="00000000" w:rsidP="00000000" w:rsidRDefault="00000000" w:rsidRPr="00000000" w14:paraId="0000028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Judgeo, N. and Moalusi, K.P. (2014). My secret: The social meaning of HIV/AIDS stigma.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SAHARA-J: Journal of Social Aspects of HIV/AIDS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11(1), pp.76–83. doi:https://doi.org/10.1080/17290376.2014.932302.</w:t>
      </w:r>
    </w:p>
    <w:p w:rsidR="00000000" w:rsidDel="00000000" w:rsidP="00000000" w:rsidRDefault="00000000" w:rsidRPr="00000000" w14:paraId="0000028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Justiz, A.A., Gulick, P.G. and Swinkels, H.M. (2024)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HIV and AIDS Syndrome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Nih.gov</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StatPearls Publishing. Available at: https://www.ncbi.nlm.nih.gov/books/NBK534860/.</w:t>
      </w:r>
    </w:p>
    <w:p w:rsidR="00000000" w:rsidDel="00000000" w:rsidP="00000000" w:rsidRDefault="00000000" w:rsidRPr="00000000" w14:paraId="0000028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Kasadha, B., Hinton, L., Tariq, S., Farai Nyatsanza, Namiba, A., Freeman-Romilly, N. and Rai, T. (2024). How women living with HIV in the UK manage infant-feeding decisions and vertical transmission risk – a qualitative study.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BMC Public Health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24(1). doi:https://doi.org/10.1186/s12889-024-19581-9.</w:t>
      </w:r>
    </w:p>
    <w:p w:rsidR="00000000" w:rsidDel="00000000" w:rsidP="00000000" w:rsidRDefault="00000000" w:rsidRPr="00000000" w14:paraId="00000283">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Keogh, P., Weatherburn, P. and Reid, D. (2016). Learning from the experiences of people with HIV using general practitioner services in London: a qualitative study. </w:t>
      </w:r>
      <w:r w:rsidDel="00000000" w:rsidR="00000000" w:rsidRPr="00000000">
        <w:rPr>
          <w:rFonts w:ascii="Arial" w:cs="Arial" w:eastAsia="Arial" w:hAnsi="Arial"/>
          <w:i w:val="1"/>
          <w:iCs w:val="1"/>
          <w:sz w:val="22"/>
          <w:szCs w:val="22"/>
          <w:rtl w:val="0"/>
        </w:rPr>
        <w:t xml:space="preserve">Primary Health Care Research &amp; Development</w:t>
      </w:r>
      <w:r w:rsidDel="00000000" w:rsidR="00000000" w:rsidRPr="00000000">
        <w:rPr>
          <w:rFonts w:ascii="Arial" w:cs="Arial" w:eastAsia="Arial" w:hAnsi="Arial"/>
          <w:sz w:val="22"/>
          <w:szCs w:val="22"/>
          <w:rtl w:val="0"/>
        </w:rPr>
        <w:t xml:space="preserve">, 17(04), pp.351–360. doi:https://doi.org/10.1017/s1463423615000481.</w:t>
      </w:r>
    </w:p>
    <w:p w:rsidR="00000000" w:rsidDel="00000000" w:rsidP="00000000" w:rsidRDefault="00000000" w:rsidRPr="00000000" w14:paraId="0000028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Kokorelias, K.M.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(2025) ‘Exploring the state of evidence on aging with HIV in long-term care: A scoping review protocol’,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PLoS ONE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20(10), pp. e0335131–e0335131. Available at: https://doi.org/10.1371/journal.pone.0335131.</w:t>
      </w:r>
    </w:p>
    <w:p w:rsidR="00000000" w:rsidDel="00000000" w:rsidP="00000000" w:rsidRDefault="00000000" w:rsidRPr="00000000" w14:paraId="00000285">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Kokorelias, K.M., Carusone, S.C., Sheppard, C., Eaton, A.D., Chui, C., Valentine, D., Kirk, M. and Luxey Sirisegaram (2025). Exploring the state of evidence on aging with HIV in long-term care: A scoping review protocol. </w:t>
      </w:r>
      <w:r w:rsidDel="00000000" w:rsidR="00000000" w:rsidRPr="00000000">
        <w:rPr>
          <w:rFonts w:ascii="Arial" w:cs="Arial" w:eastAsia="Arial" w:hAnsi="Arial"/>
          <w:i w:val="1"/>
          <w:iCs w:val="1"/>
          <w:sz w:val="22"/>
          <w:szCs w:val="22"/>
          <w:rtl w:val="0"/>
        </w:rPr>
        <w:t xml:space="preserve">PLoS ONE</w:t>
      </w:r>
      <w:r w:rsidDel="00000000" w:rsidR="00000000" w:rsidRPr="00000000">
        <w:rPr>
          <w:rFonts w:ascii="Arial" w:cs="Arial" w:eastAsia="Arial" w:hAnsi="Arial"/>
          <w:sz w:val="22"/>
          <w:szCs w:val="22"/>
          <w:rtl w:val="0"/>
        </w:rPr>
        <w:t xml:space="preserve">, 20(10), pp.e0335131–e0335131. doi:https://doi.org/10.1371/journal.pone.0335131.</w:t>
      </w:r>
    </w:p>
    <w:p w:rsidR="00000000" w:rsidDel="00000000" w:rsidP="00000000" w:rsidRDefault="00000000" w:rsidRPr="00000000" w14:paraId="00000286">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Lam, M.T. and McDiarmid, M. (2016). Increasing number of databases searched in systematic reviews and meta-analyses between 1994 and 2014. </w:t>
      </w:r>
      <w:r w:rsidDel="00000000" w:rsidR="00000000" w:rsidRPr="00000000">
        <w:rPr>
          <w:rFonts w:ascii="Arial" w:cs="Arial" w:eastAsia="Arial" w:hAnsi="Arial"/>
          <w:i w:val="1"/>
          <w:iCs w:val="1"/>
          <w:sz w:val="22"/>
          <w:szCs w:val="22"/>
          <w:rtl w:val="0"/>
        </w:rPr>
        <w:t xml:space="preserve">Journal of the Medical Library Association : JMLA</w:t>
      </w:r>
      <w:r w:rsidDel="00000000" w:rsidR="00000000" w:rsidRPr="00000000">
        <w:rPr>
          <w:rFonts w:ascii="Arial" w:cs="Arial" w:eastAsia="Arial" w:hAnsi="Arial"/>
          <w:sz w:val="22"/>
          <w:szCs w:val="22"/>
          <w:rtl w:val="0"/>
        </w:rPr>
        <w:t xml:space="preserve">, 104(4), pp.284–289. doi:https://doi.org/10.3163/1536-5050.104.4.006.</w:t>
      </w:r>
    </w:p>
    <w:p w:rsidR="00000000" w:rsidDel="00000000" w:rsidP="00000000" w:rsidRDefault="00000000" w:rsidRPr="00000000" w14:paraId="0000028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Li, L., Lv, T., Zhao, J., Wang, X., Li, X., Zhang, M., Kou, T., Zheng, P. and Liu, S. (2025). Association between complication risk perception and medical coping strategies in older adults with type 2 diabetes: a cross-sectional study.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BMC Geriatrics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25(1). doi:https://doi.org/10.1186/s12877-025-06553-w.</w:t>
      </w:r>
    </w:p>
    <w:p w:rsidR="00000000" w:rsidDel="00000000" w:rsidP="00000000" w:rsidRDefault="00000000" w:rsidRPr="00000000" w14:paraId="0000028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Logie, C., James, Ll., Tharao, W. and Loutfy, M. (2013). Associations Between HIV-Related Stigma, Racial Discrimination, Gender Discrimination, and Depression Among HIV-Positive African, Caribbean, and Black Women in Ontario, Canada.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AIDS Patient Care and STDs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27(2), pp.114–122. doi:https://doi.org/10.1089/apc.2012.0296.</w:t>
      </w:r>
    </w:p>
    <w:p w:rsidR="00000000" w:rsidDel="00000000" w:rsidP="00000000" w:rsidRDefault="00000000" w:rsidRPr="00000000" w14:paraId="0000028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Łupina, K., Nowak, K., Lorek, D., Nowak, A., Romac, A., Głowacka, E. and Janczura, J. (2025). Pharmacological advances in HIV treatment: from ART to long-acting injectable therapies.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Archives of Virology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170(9). doi:https://doi.org/10.1007/s00705-025-06381-8.</w:t>
      </w:r>
    </w:p>
    <w:p w:rsidR="00000000" w:rsidDel="00000000" w:rsidP="00000000" w:rsidRDefault="00000000" w:rsidRPr="00000000" w14:paraId="0000028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Ma, L.-L., Wang, Y.-Y., Yang, Z.-H., Huang, D., Weng, H. and Zeng, X.-T. (2020). Methodological Quality (Risk of Bias) Assessment Tools for Primary and Secondary Medical studies: What Are They and Which Is better?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Military Medical Research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7(7). doi:https://doi.org/10.1186/s40779-020-00238-8.</w:t>
      </w:r>
    </w:p>
    <w:p w:rsidR="00000000" w:rsidDel="00000000" w:rsidP="00000000" w:rsidRDefault="00000000" w:rsidRPr="00000000" w14:paraId="0000028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Malone, S., Counts, L., Zabotka, L., Williams, A., Loecher, N., Wynja, K., Bryan, G., Tanner, R., Cáceres-Serrano, A., Ferrara, G., Fuentes, L., Bilbeisi, T., Maheu, M., Oelkers, B.K., Ogwo, M., Yaeger, L., Agulnik, A. and Graetz, D. (2025). Stigma measurement in health: a systematic review.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eClinicalMedicine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86, p.103360. doi:https://doi.org/10.1016/j.eclinm.2025.103360.</w:t>
      </w:r>
    </w:p>
    <w:p w:rsidR="00000000" w:rsidDel="00000000" w:rsidP="00000000" w:rsidRDefault="00000000" w:rsidRPr="00000000" w14:paraId="0000028C">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Mantovani, N., Pizzolati, M. and Edge, D. (2016). Exploring the Relationship between Stigma and help-seeking for Mental Illness in African-descended Faith Communities in the UK. </w:t>
      </w:r>
      <w:r w:rsidDel="00000000" w:rsidR="00000000" w:rsidRPr="00000000">
        <w:rPr>
          <w:rFonts w:ascii="Arial" w:cs="Arial" w:eastAsia="Arial" w:hAnsi="Arial"/>
          <w:i w:val="1"/>
          <w:iCs w:val="1"/>
          <w:sz w:val="22"/>
          <w:szCs w:val="22"/>
          <w:rtl w:val="0"/>
        </w:rPr>
        <w:t xml:space="preserve">Health Expectations</w:t>
      </w:r>
      <w:r w:rsidDel="00000000" w:rsidR="00000000" w:rsidRPr="00000000">
        <w:rPr>
          <w:rFonts w:ascii="Arial" w:cs="Arial" w:eastAsia="Arial" w:hAnsi="Arial"/>
          <w:sz w:val="22"/>
          <w:szCs w:val="22"/>
          <w:rtl w:val="0"/>
        </w:rPr>
        <w:t xml:space="preserve">, 20(3), pp.373–384.</w:t>
      </w:r>
    </w:p>
    <w:p w:rsidR="00000000" w:rsidDel="00000000" w:rsidP="00000000" w:rsidRDefault="00000000" w:rsidRPr="00000000" w14:paraId="0000028D">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Martinez, E.C., Ghattas, P.E., Salolin, V.P., García-González, O.Y., Fermin, M.D., Rueda, D.E., Carmona, T.C., Cruz, C.S. and Hooper, C.T. (2025). A comprehensive guide to conduct a systematic review and meta-analysis in medical research. </w:t>
      </w:r>
      <w:r w:rsidDel="00000000" w:rsidR="00000000" w:rsidRPr="00000000">
        <w:rPr>
          <w:rFonts w:ascii="Arial" w:cs="Arial" w:eastAsia="Arial" w:hAnsi="Arial"/>
          <w:i w:val="1"/>
          <w:iCs w:val="1"/>
          <w:sz w:val="22"/>
          <w:szCs w:val="22"/>
          <w:rtl w:val="0"/>
        </w:rPr>
        <w:t xml:space="preserve">Medicine</w:t>
      </w:r>
      <w:r w:rsidDel="00000000" w:rsidR="00000000" w:rsidRPr="00000000">
        <w:rPr>
          <w:rFonts w:ascii="Arial" w:cs="Arial" w:eastAsia="Arial" w:hAnsi="Arial"/>
          <w:sz w:val="22"/>
          <w:szCs w:val="22"/>
          <w:rtl w:val="0"/>
        </w:rPr>
        <w:t xml:space="preserve">, [online] 104(33), pp.e41868–e41868. doi:https://doi.org/10.1097/md.0000000000041868.</w:t>
      </w:r>
    </w:p>
    <w:p w:rsidR="00000000" w:rsidDel="00000000" w:rsidP="00000000" w:rsidRDefault="00000000" w:rsidRPr="00000000" w14:paraId="0000028E">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McKee, M., Dunnell, K., Anderson, M., Brayne, C., Charlesworth, A., Johnston-Webber, C., Knapp, M., McGuire, A., Newton, J.N., Taylor, D. and Watt, R.G. (2021). The changing health needs of the UK population. </w:t>
      </w:r>
      <w:r w:rsidDel="00000000" w:rsidR="00000000" w:rsidRPr="00000000">
        <w:rPr>
          <w:rFonts w:ascii="Arial" w:cs="Arial" w:eastAsia="Arial" w:hAnsi="Arial"/>
          <w:i w:val="1"/>
          <w:iCs w:val="1"/>
          <w:sz w:val="22"/>
          <w:szCs w:val="22"/>
          <w:rtl w:val="0"/>
        </w:rPr>
        <w:t xml:space="preserve">The Lancet</w:t>
      </w:r>
      <w:r w:rsidDel="00000000" w:rsidR="00000000" w:rsidRPr="00000000">
        <w:rPr>
          <w:rFonts w:ascii="Arial" w:cs="Arial" w:eastAsia="Arial" w:hAnsi="Arial"/>
          <w:sz w:val="22"/>
          <w:szCs w:val="22"/>
          <w:rtl w:val="0"/>
        </w:rPr>
        <w:t xml:space="preserve">, 397(10288), pp.1979–1991.</w:t>
      </w:r>
    </w:p>
    <w:p w:rsidR="00000000" w:rsidDel="00000000" w:rsidP="00000000" w:rsidRDefault="00000000" w:rsidRPr="00000000" w14:paraId="0000028F">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McKenzie, J.E., Bossuyt, P.M., Boutron, I., Hoffmann, T.C., Mulrow, C.D., Shamseer, L., Tetzlaff, J.M., Akl, E.A., Brennan, S.E., Chou, R., Glanville, J., Grimshaw, J.M., Hróbjartsson, A., Lalu, M.M., Li, T., Loder, E.W., Mayo-Wilson, E., McDonald, S., McGuinness, L.A. and Stewart, L.A. (2021). The PRISMA 2020 statement: an Updated Guideline for Reporting Systematic Reviews. </w:t>
      </w:r>
      <w:r w:rsidDel="00000000" w:rsidR="00000000" w:rsidRPr="00000000">
        <w:rPr>
          <w:rFonts w:ascii="Arial" w:cs="Arial" w:eastAsia="Arial" w:hAnsi="Arial"/>
          <w:i w:val="1"/>
          <w:iCs w:val="1"/>
          <w:sz w:val="22"/>
          <w:szCs w:val="22"/>
          <w:rtl w:val="0"/>
        </w:rPr>
        <w:t xml:space="preserve">Systematic Reviews</w:t>
      </w:r>
      <w:r w:rsidDel="00000000" w:rsidR="00000000" w:rsidRPr="00000000">
        <w:rPr>
          <w:rFonts w:ascii="Arial" w:cs="Arial" w:eastAsia="Arial" w:hAnsi="Arial"/>
          <w:sz w:val="22"/>
          <w:szCs w:val="22"/>
          <w:rtl w:val="0"/>
        </w:rPr>
        <w:t xml:space="preserve">, [online] 10(1). doi:https://doi.org/10.1186/s13643-021-01626-4.</w:t>
      </w:r>
    </w:p>
    <w:p w:rsidR="00000000" w:rsidDel="00000000" w:rsidP="00000000" w:rsidRDefault="00000000" w:rsidRPr="00000000" w14:paraId="0000029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Menezes-Júnior, L., de Paula, W., Barbosa, B.C.R., Chagas, C.M. dos S., Silva Cardoso, C., Dias de Freitas, E., de Carvalho Vidigal, F., Nunes de Oliveira, H., Neri Nobre, L., Saraiva da Silva, L. and Meireles, A.L. (2026). Predictive accuracy of the 8- and 12-item versions of the DASS-21 in measuring depression, anxiety and stress in Brazilian university students.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Public Health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252, p.106150. doi:https://doi.org/10.1016/j.puhe.2026.106150.</w:t>
      </w:r>
    </w:p>
    <w:p w:rsidR="00000000" w:rsidDel="00000000" w:rsidP="00000000" w:rsidRDefault="00000000" w:rsidRPr="00000000" w14:paraId="00000291">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Mkumba, L., Muiruri, C., Garg, K., Watt, M.H. and Okeke, N.L. (2021). Perspectives of Chronic Disease Management Among Persons with HIV: A Qualitative Study. </w:t>
      </w:r>
      <w:r w:rsidDel="00000000" w:rsidR="00000000" w:rsidRPr="00000000">
        <w:rPr>
          <w:rFonts w:ascii="Arial" w:cs="Arial" w:eastAsia="Arial" w:hAnsi="Arial"/>
          <w:i w:val="1"/>
          <w:iCs w:val="1"/>
          <w:sz w:val="22"/>
          <w:szCs w:val="22"/>
          <w:rtl w:val="0"/>
        </w:rPr>
        <w:t xml:space="preserve">Patient Preference and Adherence</w:t>
      </w:r>
      <w:r w:rsidDel="00000000" w:rsidR="00000000" w:rsidRPr="00000000">
        <w:rPr>
          <w:rFonts w:ascii="Arial" w:cs="Arial" w:eastAsia="Arial" w:hAnsi="Arial"/>
          <w:sz w:val="22"/>
          <w:szCs w:val="22"/>
          <w:rtl w:val="0"/>
        </w:rPr>
        <w:t xml:space="preserve">, Volume 15, pp.49–55. doi:https://doi.org/10.2147/ppa.s287325.</w:t>
      </w:r>
    </w:p>
    <w:p w:rsidR="00000000" w:rsidDel="00000000" w:rsidP="00000000" w:rsidRDefault="00000000" w:rsidRPr="00000000" w14:paraId="00000292">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Mohajan, H. (2017). </w:t>
      </w:r>
      <w:r w:rsidDel="00000000" w:rsidR="00000000" w:rsidRPr="00000000">
        <w:rPr>
          <w:rFonts w:ascii="Arial" w:cs="Arial" w:eastAsia="Arial" w:hAnsi="Arial"/>
          <w:i w:val="1"/>
          <w:iCs w:val="1"/>
          <w:sz w:val="22"/>
          <w:szCs w:val="22"/>
          <w:rtl w:val="0"/>
        </w:rPr>
        <w:t xml:space="preserve">Two Criteria for Good Measurements in Research: Validity and Reliability Two Criteria for Good Measurements in Research: Validity and Reliability</w:t>
      </w:r>
      <w:r w:rsidDel="00000000" w:rsidR="00000000" w:rsidRPr="00000000">
        <w:rPr>
          <w:rFonts w:ascii="Arial" w:cs="Arial" w:eastAsia="Arial" w:hAnsi="Arial"/>
          <w:sz w:val="22"/>
          <w:szCs w:val="22"/>
          <w:rtl w:val="0"/>
        </w:rPr>
        <w:t xml:space="preserve">. [online] </w:t>
      </w:r>
      <w:r w:rsidDel="00000000" w:rsidR="00000000" w:rsidRPr="00000000">
        <w:rPr>
          <w:rFonts w:ascii="Arial" w:cs="Arial" w:eastAsia="Arial" w:hAnsi="Arial"/>
          <w:i w:val="1"/>
          <w:iCs w:val="1"/>
          <w:sz w:val="22"/>
          <w:szCs w:val="22"/>
          <w:rtl w:val="0"/>
        </w:rPr>
        <w:t xml:space="preserve">Annals of Spiru Haret University</w:t>
      </w:r>
      <w:r w:rsidDel="00000000" w:rsidR="00000000" w:rsidRPr="00000000">
        <w:rPr>
          <w:rFonts w:ascii="Arial" w:cs="Arial" w:eastAsia="Arial" w:hAnsi="Arial"/>
          <w:sz w:val="22"/>
          <w:szCs w:val="22"/>
          <w:rtl w:val="0"/>
        </w:rPr>
        <w:t xml:space="preserve">, pp.58–82. Available at: https://mpra.ub.uni-muenchen.de/83458/1/MPRA_paper_83458.pdf.</w:t>
      </w:r>
    </w:p>
    <w:p w:rsidR="00000000" w:rsidDel="00000000" w:rsidP="00000000" w:rsidRDefault="00000000" w:rsidRPr="00000000" w14:paraId="0000029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Morgan, S. and Davies, A. (2025). Supporting individuals with chronic health conditions in the workplace: a scoping review.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Disability and Rehabilitation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pp.1–16. doi:https://doi.org/10.1080/09638288.2025.2578992.</w:t>
      </w:r>
    </w:p>
    <w:p w:rsidR="00000000" w:rsidDel="00000000" w:rsidP="00000000" w:rsidRDefault="00000000" w:rsidRPr="00000000" w14:paraId="0000029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Mulubale, S., Clay, S., Squire, C., Bond, V., Kasoka, K., Stackpool-Moore, L., Oraro-Lawrence, T., Chonta, M. and Chiiya, C. (2022). Situating HIV Stigma in Health Facility Settings: A Qualitative Study of Experiences and Perceptions of Stigma in ‘Clinics’ among Healthcare Workers and Service Users in Zambia.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the International Association of Providers of AIDS Care (JIAPAC)</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21, p.232595822211004. doi:https://doi.org/10.1177/23259582221100453.</w:t>
      </w:r>
    </w:p>
    <w:p w:rsidR="00000000" w:rsidDel="00000000" w:rsidP="00000000" w:rsidRDefault="00000000" w:rsidRPr="00000000" w14:paraId="0000029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Naeem, M., Ozuem, W., Howell, K. and Ranfagni, S. (2023). A step-by-step Process of Thematic Analysis to Develop a Conceptual Model in Qualitative Research.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International Journal of Qualitative Methods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22(1), pp.1–18. doi:https://doi.org/10.1177/16094069231205789.</w:t>
      </w:r>
    </w:p>
    <w:p w:rsidR="00000000" w:rsidDel="00000000" w:rsidP="00000000" w:rsidRDefault="00000000" w:rsidRPr="00000000" w14:paraId="00000296">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NAT (2025). </w:t>
      </w:r>
      <w:r w:rsidDel="00000000" w:rsidR="00000000" w:rsidRPr="00000000">
        <w:rPr>
          <w:rFonts w:ascii="Arial" w:cs="Arial" w:eastAsia="Arial" w:hAnsi="Arial"/>
          <w:i w:val="1"/>
          <w:iCs w:val="1"/>
          <w:sz w:val="22"/>
          <w:szCs w:val="22"/>
          <w:rtl w:val="0"/>
        </w:rPr>
        <w:t xml:space="preserve">Working together</w:t>
      </w:r>
      <w:r w:rsidDel="00000000" w:rsidR="00000000" w:rsidRPr="00000000">
        <w:rPr>
          <w:rFonts w:ascii="Arial" w:cs="Arial" w:eastAsia="Arial" w:hAnsi="Arial"/>
          <w:sz w:val="22"/>
          <w:szCs w:val="22"/>
          <w:rtl w:val="0"/>
        </w:rPr>
        <w:t xml:space="preserve">. [online] Available at: https://nat.org.uk/wp-content/uploads/2025/05/HIV-Outcomes-HIV-services-at-the-crossroads.pdf.</w:t>
      </w:r>
    </w:p>
    <w:p w:rsidR="00000000" w:rsidDel="00000000" w:rsidP="00000000" w:rsidRDefault="00000000" w:rsidRPr="00000000" w14:paraId="0000029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National AIDS Trust (2024)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UK HIV Statistics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National AIDS Trust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https://nat.org.uk/about-hiv/hiv-statistics/.</w:t>
      </w:r>
    </w:p>
    <w:p w:rsidR="00000000" w:rsidDel="00000000" w:rsidP="00000000" w:rsidRDefault="00000000" w:rsidRPr="00000000" w14:paraId="00000298">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Ndirangu, E.W. and Evans, C. (2008). Experiences of African Immigrant Women Living with HIV in the U.K.: Implications for Health Professionals. </w:t>
      </w:r>
      <w:r w:rsidDel="00000000" w:rsidR="00000000" w:rsidRPr="00000000">
        <w:rPr>
          <w:rFonts w:ascii="Arial" w:cs="Arial" w:eastAsia="Arial" w:hAnsi="Arial"/>
          <w:i w:val="1"/>
          <w:iCs w:val="1"/>
          <w:sz w:val="22"/>
          <w:szCs w:val="22"/>
          <w:rtl w:val="0"/>
        </w:rPr>
        <w:t xml:space="preserve">Journal of Immigrant and Minority Health</w:t>
      </w:r>
      <w:r w:rsidDel="00000000" w:rsidR="00000000" w:rsidRPr="00000000">
        <w:rPr>
          <w:rFonts w:ascii="Arial" w:cs="Arial" w:eastAsia="Arial" w:hAnsi="Arial"/>
          <w:sz w:val="22"/>
          <w:szCs w:val="22"/>
          <w:rtl w:val="0"/>
        </w:rPr>
        <w:t xml:space="preserve">, 11(2), pp.108–114. doi:https://doi.org/10.1007/s10903-008-9116-8.</w:t>
      </w:r>
    </w:p>
    <w:p w:rsidR="00000000" w:rsidDel="00000000" w:rsidP="00000000" w:rsidRDefault="00000000" w:rsidRPr="00000000" w14:paraId="00000299">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Ngcobo, S.J. and Zhandire, T. (2025). The Role of Traditional and Religious Beliefs in HIV Testing and Prevention in Africa: A Scoping Review Protocol. </w:t>
      </w:r>
      <w:r w:rsidDel="00000000" w:rsidR="00000000" w:rsidRPr="00000000">
        <w:rPr>
          <w:rFonts w:ascii="Arial" w:cs="Arial" w:eastAsia="Arial" w:hAnsi="Arial"/>
          <w:i w:val="1"/>
          <w:iCs w:val="1"/>
          <w:sz w:val="22"/>
          <w:szCs w:val="22"/>
          <w:rtl w:val="0"/>
        </w:rPr>
        <w:t xml:space="preserve">International Journal of Environmental Research and Public Health</w:t>
      </w:r>
      <w:r w:rsidDel="00000000" w:rsidR="00000000" w:rsidRPr="00000000">
        <w:rPr>
          <w:rFonts w:ascii="Arial" w:cs="Arial" w:eastAsia="Arial" w:hAnsi="Arial"/>
          <w:sz w:val="22"/>
          <w:szCs w:val="22"/>
          <w:rtl w:val="0"/>
        </w:rPr>
        <w:t xml:space="preserve">, [online] 22(5), pp.743–743. doi:https://doi.org/10.3390/ijerph22050743.</w:t>
      </w:r>
    </w:p>
    <w:p w:rsidR="00000000" w:rsidDel="00000000" w:rsidP="00000000" w:rsidRDefault="00000000" w:rsidRPr="00000000" w14:paraId="0000029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NHS (2026)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NHS England» HIV Prevention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www.england.nhs.uk</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https://www.england.nhs.uk/ourwork/prevention/hiv-prevention/.</w:t>
      </w:r>
    </w:p>
    <w:p w:rsidR="00000000" w:rsidDel="00000000" w:rsidP="00000000" w:rsidRDefault="00000000" w:rsidRPr="00000000" w14:paraId="0000029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Nickolls, B.J., Relton, C., Hemkens, L., Zwarenstein, M., Eldridge, S., McCall, S.J., Griffin, X.L., Sohanpal, R., Verkooijen, H.M., Maguire, J.L. and McCord, K.A. (2024). Randomised trials conducted using cohorts: a scoping review.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BMJ Open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14(3), p.e075601. doi:https://doi.org/10.1136/bmjopen-2023-075601.</w:t>
      </w:r>
    </w:p>
    <w:p w:rsidR="00000000" w:rsidDel="00000000" w:rsidP="00000000" w:rsidRDefault="00000000" w:rsidRPr="00000000" w14:paraId="0000029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Obeegadoo, I., Engoute, O., Sodhi, P., Simpson, N., Roberts, S., Sabourin Jovel, M.C., Ferro, M.A., Afifi, T.O., Edwards, J., Anderson, K.K., Samji, H. and Colman, I. (2025). Perceived need for care and treatment-seeking behaviour among ethnic minority groups exhibiting signs of mental illness.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Affective Disorders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397, p.120901. doi:https://doi.org/10.1016/j.jad.2025.120901.</w:t>
      </w:r>
    </w:p>
    <w:p w:rsidR="00000000" w:rsidDel="00000000" w:rsidP="00000000" w:rsidRDefault="00000000" w:rsidRPr="00000000" w14:paraId="0000029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Okonji, E.F.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(2020) ‘Psychosocial support interventions for improved adherence and retention in ART care for young people living with HIV (10–24 years): a scoping review’,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BMC Public Health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20(1). Available at: https://doi.org/10.1186/s12889-020-09717-y.</w:t>
      </w:r>
    </w:p>
    <w:p w:rsidR="00000000" w:rsidDel="00000000" w:rsidP="00000000" w:rsidRDefault="00000000" w:rsidRPr="00000000" w14:paraId="0000029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Pan, S., Xin, X., Zhu, L., Liu, Q., Chen, L., Fu, J., Yue, Q., Ning, Z. and Xiao, S. (2024). Differences in people living with HIV (PLWH) population aged over 50 years old receiving antiretroviral therapy (ART).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AIDS Research and Therapy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21(1). doi:https://doi.org/10.1186/s12981-024-00692-7.</w:t>
      </w:r>
    </w:p>
    <w:p w:rsidR="00000000" w:rsidDel="00000000" w:rsidP="00000000" w:rsidRDefault="00000000" w:rsidRPr="00000000" w14:paraId="0000029F">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Patino, C. and Ferreira, J. (2018). Inclusion and Exclusion Criteria in Research studies: Definitions and Why They Matter. </w:t>
      </w:r>
      <w:r w:rsidDel="00000000" w:rsidR="00000000" w:rsidRPr="00000000">
        <w:rPr>
          <w:rFonts w:ascii="Arial" w:cs="Arial" w:eastAsia="Arial" w:hAnsi="Arial"/>
          <w:i w:val="1"/>
          <w:iCs w:val="1"/>
          <w:sz w:val="22"/>
          <w:szCs w:val="22"/>
          <w:rtl w:val="0"/>
        </w:rPr>
        <w:t xml:space="preserve">Jornal Brasileiro De Pneumologia</w:t>
      </w:r>
      <w:r w:rsidDel="00000000" w:rsidR="00000000" w:rsidRPr="00000000">
        <w:rPr>
          <w:rFonts w:ascii="Arial" w:cs="Arial" w:eastAsia="Arial" w:hAnsi="Arial"/>
          <w:sz w:val="22"/>
          <w:szCs w:val="22"/>
          <w:rtl w:val="0"/>
        </w:rPr>
        <w:t xml:space="preserve">, [online] 44(2), p.84. doi:https://doi.org/10.1590/s1806-37562018000000088.</w:t>
      </w:r>
    </w:p>
    <w:p w:rsidR="00000000" w:rsidDel="00000000" w:rsidP="00000000" w:rsidRDefault="00000000" w:rsidRPr="00000000" w14:paraId="000002A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Pilcher, N. and Cortazzi, M. (2023). ‘Qualitative’ and ‘Quantitative’ Methods and Approaches Across Subject Fields: Implications for Research Values, Assumptions, and Practices.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Quality &amp; Quantity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58(1), pp.2357–2387. doi:https://doi.org/10.1007/s11135-023-01734-4.</w:t>
      </w:r>
    </w:p>
    <w:p w:rsidR="00000000" w:rsidDel="00000000" w:rsidP="00000000" w:rsidRDefault="00000000" w:rsidRPr="00000000" w14:paraId="000002A1">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Pollard, A., Llewellyn, C., Cooper, V.A., Memory Sachikonye, Perry, N., Nixon, E., Miners, A. and Sabin, C.A. (2018). Patients’ perspectives on the development of HIV services to accommodate ageing with HIV: a qualitative study. 29(5), pp.483–490. doi:https://doi.org/10.1177/0956462417735723.</w:t>
      </w:r>
    </w:p>
    <w:p w:rsidR="00000000" w:rsidDel="00000000" w:rsidP="00000000" w:rsidRDefault="00000000" w:rsidRPr="00000000" w14:paraId="000002A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Prior, A., Claus Høstrup Vestergaard, Vedsted, P., Smith, S.M., Line Flytkjær Virgilsen, Linda Aagaard Rasmussen and Morten Fenger-Grøn (2023). Healthcare fragmentation, multimorbidity, potentially inappropriate medication, and mortality: a Danish nationwide cohort study.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BMC Medicine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21(1). doi:https://doi.org/10.1186/s12916-023-03021-3.</w:t>
      </w:r>
    </w:p>
    <w:p w:rsidR="00000000" w:rsidDel="00000000" w:rsidP="00000000" w:rsidRDefault="00000000" w:rsidRPr="00000000" w14:paraId="000002A3">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Pyo, J., Lee, W., Choi, E.Y., Jang, S.G. and Ock, M. (2023). Qualitative Research in healthcare: Necessity and Characteristics. </w:t>
      </w:r>
      <w:r w:rsidDel="00000000" w:rsidR="00000000" w:rsidRPr="00000000">
        <w:rPr>
          <w:rFonts w:ascii="Arial" w:cs="Arial" w:eastAsia="Arial" w:hAnsi="Arial"/>
          <w:i w:val="1"/>
          <w:iCs w:val="1"/>
          <w:sz w:val="22"/>
          <w:szCs w:val="22"/>
          <w:rtl w:val="0"/>
        </w:rPr>
        <w:t xml:space="preserve">Journal of Preventive Medicine and Public Health</w:t>
      </w:r>
      <w:r w:rsidDel="00000000" w:rsidR="00000000" w:rsidRPr="00000000">
        <w:rPr>
          <w:rFonts w:ascii="Arial" w:cs="Arial" w:eastAsia="Arial" w:hAnsi="Arial"/>
          <w:sz w:val="22"/>
          <w:szCs w:val="22"/>
          <w:rtl w:val="0"/>
        </w:rPr>
        <w:t xml:space="preserve">, [online] 56(1), pp.12–20. doi:https://doi.org/10.3961/jpmph.22.451.</w:t>
      </w:r>
    </w:p>
    <w:p w:rsidR="00000000" w:rsidDel="00000000" w:rsidP="00000000" w:rsidRDefault="00000000" w:rsidRPr="00000000" w14:paraId="000002A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Quan, N., Hong, Pluye, P., Fàbregues, S., Bartlett, G., Boardman, F., Cargo, M., Dagenais, P., Gagnon, M.-P., Griffiths, F., Nicolau, B., O'cathain, A., Rousseau, M.-C. and Vedel, I. (2025).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MIXED METHODS APPRAISAL TOOL (MMAT) VERSION 2018 User guide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Available at: http://mixedmethodsappraisaltoolpublic.pbworks.com/w/file/fetch/127916259/MMAT_2018_criteria%25C3%25A2%25E2%2582%25AC%20manual_2018%25C3%25A2%25E2%2582%25AC%2008%25C3%25A2%25E2%2582%25AC%2001_ENG.pdf.</w:t>
      </w:r>
    </w:p>
    <w:p w:rsidR="00000000" w:rsidDel="00000000" w:rsidP="00000000" w:rsidRDefault="00000000" w:rsidRPr="00000000" w14:paraId="000002A5">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Rai, T., Bruton, J., Kall, M., Ma, R., Pufall, E., Day, S., Delpech, V. and Ward, H. (2019). Experience of primary care for people with HIV: a mixed-method analysis. </w:t>
      </w:r>
      <w:r w:rsidDel="00000000" w:rsidR="00000000" w:rsidRPr="00000000">
        <w:rPr>
          <w:rFonts w:ascii="Arial" w:cs="Arial" w:eastAsia="Arial" w:hAnsi="Arial"/>
          <w:i w:val="1"/>
          <w:iCs w:val="1"/>
          <w:sz w:val="22"/>
          <w:szCs w:val="22"/>
          <w:rtl w:val="0"/>
        </w:rPr>
        <w:t xml:space="preserve">BJGP Open</w:t>
      </w:r>
      <w:r w:rsidDel="00000000" w:rsidR="00000000" w:rsidRPr="00000000">
        <w:rPr>
          <w:rFonts w:ascii="Arial" w:cs="Arial" w:eastAsia="Arial" w:hAnsi="Arial"/>
          <w:sz w:val="22"/>
          <w:szCs w:val="22"/>
          <w:rtl w:val="0"/>
        </w:rPr>
        <w:t xml:space="preserve">, 3(4), p.bjgpopen19X101665. doi:https://doi.org/10.3399/bjgpopen19x101665.</w:t>
      </w:r>
    </w:p>
    <w:p w:rsidR="00000000" w:rsidDel="00000000" w:rsidP="00000000" w:rsidRDefault="00000000" w:rsidRPr="00000000" w14:paraId="000002A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Remien, R.H.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(2019) ‘Mental health and HIV/AIDS’,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AIDS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33(9), pp. 1411–1420. Available at: https://doi.org/10.1097/qad.0000000000002227.</w:t>
      </w:r>
    </w:p>
    <w:p w:rsidR="00000000" w:rsidDel="00000000" w:rsidP="00000000" w:rsidRDefault="00000000" w:rsidRPr="00000000" w14:paraId="000002A7">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Remien, R.H., Stirratt, M.J., Nguyen, N., Robbins, R.N., Pala, A.N. and Mellins, C.A. (2019). Mental health and HIV/AIDS. </w:t>
      </w:r>
      <w:r w:rsidDel="00000000" w:rsidR="00000000" w:rsidRPr="00000000">
        <w:rPr>
          <w:rFonts w:ascii="Arial" w:cs="Arial" w:eastAsia="Arial" w:hAnsi="Arial"/>
          <w:i w:val="1"/>
          <w:iCs w:val="1"/>
          <w:sz w:val="22"/>
          <w:szCs w:val="22"/>
          <w:rtl w:val="0"/>
        </w:rPr>
        <w:t xml:space="preserve">AIDS</w:t>
      </w:r>
      <w:r w:rsidDel="00000000" w:rsidR="00000000" w:rsidRPr="00000000">
        <w:rPr>
          <w:rFonts w:ascii="Arial" w:cs="Arial" w:eastAsia="Arial" w:hAnsi="Arial"/>
          <w:sz w:val="22"/>
          <w:szCs w:val="22"/>
          <w:rtl w:val="0"/>
        </w:rPr>
        <w:t xml:space="preserve">, 33(9), pp.1411–1420. doi:https://doi.org/10.1097/qad.0000000000002227.</w:t>
      </w:r>
    </w:p>
    <w:p w:rsidR="00000000" w:rsidDel="00000000" w:rsidP="00000000" w:rsidRDefault="00000000" w:rsidRPr="00000000" w14:paraId="000002A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Rendina, H.J., Weaver, L., Millar, B.M., López-Matos, J. and Parsons, J.T. (2019). Psychosocial Well-Being and HIV-Related Immune Health Outcomes among HIV-Positive Older Adults: Support for a Biopsychosocial Model of HIV Stigma and Health.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the International Association of Providers of AIDS Care (JIAPAC)</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18, p.232595821988846. doi:https://doi.org/10.1177/2325958219888462.</w:t>
      </w:r>
    </w:p>
    <w:p w:rsidR="00000000" w:rsidDel="00000000" w:rsidP="00000000" w:rsidRDefault="00000000" w:rsidRPr="00000000" w14:paraId="000002A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Safa, F., McClellan, N., Bonato, S., Rueda, S. and O’Brien, K.K. (2022). The Role of the Social Determinants of Health on Engagement in Physical Activity or Exercise among Adults Living with HIV: A Scoping Review.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International Journal of Environmental Research and Public Health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19(20), p.13528. doi:https://doi.org/10.3390/ijerph192013528.</w:t>
      </w:r>
    </w:p>
    <w:p w:rsidR="00000000" w:rsidDel="00000000" w:rsidP="00000000" w:rsidRDefault="00000000" w:rsidRPr="00000000" w14:paraId="000002A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Schmidt, L., Finnerty, N., Elmore, R.W., Olorisade, B.K., Thomas, J. and Higgins, J.P.T. (2023). Data Extraction Methods for Systematic Review (semi)automation: Update of a Living Systematic Review.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F1000Research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10(401), pp.401–401. doi:https://doi.org/10.12688/f1000research.51117.2.</w:t>
      </w:r>
    </w:p>
    <w:p w:rsidR="00000000" w:rsidDel="00000000" w:rsidP="00000000" w:rsidRDefault="00000000" w:rsidRPr="00000000" w14:paraId="000002A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Sewell, J., Kelly, C., Adamma Aghaizu, Kitt, H., Annegret Pelchen-Matthews, Martin, V., Farah, A., Smith, C., Brown, A., Humphreys, C., Sparrowhawk, A., Delpech, V., Rodger, A., Lampe, F. and Kall, M. (2024). Positive Voices 2022, a national, cross-sectional survey of people with HIV accessing care in England, Wales, and Scotland: Method. (Preprint).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JMIR Research Protocols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14, pp.e58531–e58531. doi:https://doi.org/10.2196/58531.</w:t>
      </w:r>
    </w:p>
    <w:p w:rsidR="00000000" w:rsidDel="00000000" w:rsidP="00000000" w:rsidRDefault="00000000" w:rsidRPr="00000000" w14:paraId="000002A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Shaheen, N., Shaheen, A., Ramadan, A., Hefnawy, M.T., Ramadan, A., Ibrahim, I., Hassanein, M., Ashour, M.E. and Flouty, O. (2023). Appraising Systematic reviews: a Comprehensive Guide to Ensuring Validity and Reliability.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Frontiers in Research Metrics and Analytics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8(8). doi:https://doi.org/10.3389/frma.2023.1268045.</w:t>
      </w:r>
    </w:p>
    <w:p w:rsidR="00000000" w:rsidDel="00000000" w:rsidP="00000000" w:rsidRDefault="00000000" w:rsidRPr="00000000" w14:paraId="000002A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Sikkema, K.J., Dennis, A.C., Watt, M.H., Choi, K.W., Yemeke, T.T. and Joska, J.A. (2015). Improving mental health among people living with HIV: a review of intervention trials in low- and middle-income countries.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Global Mental Health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2. doi:https://doi.org/10.1017/gmh.2015.17.</w:t>
      </w:r>
    </w:p>
    <w:p w:rsidR="00000000" w:rsidDel="00000000" w:rsidP="00000000" w:rsidRDefault="00000000" w:rsidRPr="00000000" w14:paraId="000002A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Skamagki, G., King, A., Carpenter, C. and Wåhlin, C. (2022). The concept of integration in mixed methods research: A step-by-step guide using an example study in physiotherapy.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Physiotherapy Theory and Practice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40(2), pp.1–8. doi:https://doi.org/10.1080/09593985.2022.2120375.</w:t>
      </w:r>
    </w:p>
    <w:p w:rsidR="00000000" w:rsidDel="00000000" w:rsidP="00000000" w:rsidRDefault="00000000" w:rsidRPr="00000000" w14:paraId="000002A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Sukumaran, L. and Sabin, C.A. (2023). Defining multimorbidity in people with HIV – what matters most?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Current Opinion in HIV and AIDS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Publish Ahead of Print. doi:https://doi.org/10.1097/coh.0000000000000778.</w:t>
      </w:r>
    </w:p>
    <w:p w:rsidR="00000000" w:rsidDel="00000000" w:rsidP="00000000" w:rsidRDefault="00000000" w:rsidRPr="00000000" w14:paraId="000002B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Tan, G.T.H., Shahwan, S., Goh, C.M.J., Ong, W.J., Wei, K.-C., Verma, S.K., Chong, S.A. and Subramaniam, M. (2020). Mental illness stigma’s reasons and determinants (MISReaD) among Singapore’s lay public – a qualitative inquiry.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BMC Psychiatry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20(1). doi:https://doi.org/10.1186/s12888-020-02823-6.</w:t>
      </w:r>
    </w:p>
    <w:p w:rsidR="00000000" w:rsidDel="00000000" w:rsidP="00000000" w:rsidRDefault="00000000" w:rsidRPr="00000000" w14:paraId="000002B1">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Turan, B., Budhwani, H., Fazeli, P.L., Browning, W.R., Raper, J.L., Mugavero, M.J. and Turan, J.M. (2016). How Does Stigma Affect People Living with HIV? The Mediating Roles of Internalized and Anticipated HIV Stigma in the Effects of Perceived Community Stigma on Health and Psychosocial Outcomes. </w:t>
      </w:r>
      <w:r w:rsidDel="00000000" w:rsidR="00000000" w:rsidRPr="00000000">
        <w:rPr>
          <w:rFonts w:ascii="Arial" w:cs="Arial" w:eastAsia="Arial" w:hAnsi="Arial"/>
          <w:i w:val="1"/>
          <w:iCs w:val="1"/>
          <w:sz w:val="22"/>
          <w:szCs w:val="22"/>
          <w:rtl w:val="0"/>
        </w:rPr>
        <w:t xml:space="preserve">AIDS and Behavior</w:t>
      </w:r>
      <w:r w:rsidDel="00000000" w:rsidR="00000000" w:rsidRPr="00000000">
        <w:rPr>
          <w:rFonts w:ascii="Arial" w:cs="Arial" w:eastAsia="Arial" w:hAnsi="Arial"/>
          <w:sz w:val="22"/>
          <w:szCs w:val="22"/>
          <w:rtl w:val="0"/>
        </w:rPr>
        <w:t xml:space="preserve">, [online] 21(1), pp.283–291. doi:https://doi.org/10.1007/s10461-016-1451-5.</w:t>
      </w:r>
    </w:p>
    <w:p w:rsidR="00000000" w:rsidDel="00000000" w:rsidP="00000000" w:rsidRDefault="00000000" w:rsidRPr="00000000" w14:paraId="000002B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UK Health Security Agency (2024)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UK’s largest survey of people living with HIV published</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GOV.UK</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https://www.gov.uk/government/news/uks-largest-survey-of-people-living-with-hiv-published.</w:t>
      </w:r>
    </w:p>
    <w:p w:rsidR="00000000" w:rsidDel="00000000" w:rsidP="00000000" w:rsidRDefault="00000000" w:rsidRPr="00000000" w14:paraId="000002B3">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University of Leeds (2022). </w:t>
      </w:r>
      <w:r w:rsidDel="00000000" w:rsidR="00000000" w:rsidRPr="00000000">
        <w:rPr>
          <w:rFonts w:ascii="Arial" w:cs="Arial" w:eastAsia="Arial" w:hAnsi="Arial"/>
          <w:i w:val="1"/>
          <w:iCs w:val="1"/>
          <w:sz w:val="22"/>
          <w:szCs w:val="22"/>
          <w:rtl w:val="0"/>
        </w:rPr>
        <w:t xml:space="preserve">Literature searching explained</w:t>
      </w:r>
      <w:r w:rsidDel="00000000" w:rsidR="00000000" w:rsidRPr="00000000">
        <w:rPr>
          <w:rFonts w:ascii="Arial" w:cs="Arial" w:eastAsia="Arial" w:hAnsi="Arial"/>
          <w:sz w:val="22"/>
          <w:szCs w:val="22"/>
          <w:rtl w:val="0"/>
        </w:rPr>
        <w:t xml:space="preserve">. [online] Leeds.ac.uk. Available at: https://library.leeds.ac.uk/info/1404/literature_searching/14/literature_searching_explained/4.</w:t>
      </w:r>
    </w:p>
    <w:p w:rsidR="00000000" w:rsidDel="00000000" w:rsidP="00000000" w:rsidRDefault="00000000" w:rsidRPr="00000000" w14:paraId="000002B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Valentijn, P.P., Tymchenko, L., Wiro Gruisen, Bem Bruls, Fernando Abdalla Pereira and Arends, R.Y. (2024). Effectiveness of Integrated Care for Diabetes Mellitus Type 2, Cardiovascular and Chronic Respiratory Diseases: A Systematic Review and Meta-Analysis.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International Journal of Integrated Care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24, pp.16–16. doi:https://doi.org/10.5334/ijic.7744.</w:t>
      </w:r>
    </w:p>
    <w:p w:rsidR="00000000" w:rsidDel="00000000" w:rsidP="00000000" w:rsidRDefault="00000000" w:rsidRPr="00000000" w14:paraId="000002B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Vaughan, E., Power, M. and Sixsmith, J. (2020). Experiences of Stigma in Healthcare Settings by People Living with HIV in Ireland: a Qualitative Study.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AIDS Care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32(9), pp.1–6. doi:https://doi.org/10.1080/09540121.2020.1781761.</w:t>
      </w:r>
    </w:p>
    <w:p w:rsidR="00000000" w:rsidDel="00000000" w:rsidP="00000000" w:rsidRDefault="00000000" w:rsidRPr="00000000" w14:paraId="000002B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WHO (2025)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HIV and AIDS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World Health Organisation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https://www.who.int/news-room/fact-sheets/detail/hiv-aids.</w:t>
      </w:r>
    </w:p>
    <w:p w:rsidR="00000000" w:rsidDel="00000000" w:rsidP="00000000" w:rsidRDefault="00000000" w:rsidRPr="00000000" w14:paraId="000002B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WHO (2025).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WHO global strategy on integrated people-centred health services 2016-2026 Executive Summary Placing people and communities at the centre of health services Draft for consultation 24/07/2015 version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Available at: https://iris.who.int/bitstream/handle/10665/180984/WHO_HIS_SDS_2015.20_eng.pdf?sequence=1.</w:t>
      </w:r>
    </w:p>
    <w:p w:rsidR="00000000" w:rsidDel="00000000" w:rsidP="00000000" w:rsidRDefault="00000000" w:rsidRPr="00000000" w14:paraId="000002B8">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Wiginton, J.M., Maksut, J.L., Murray, S.M., Augustinavicius, J.L., Kall, M., Delpech, V. and Baral, S.D. (2021). Brief report: HIV-related healthcare stigma/discrimination and unmet needs among persons living with HIV in England and Wales. </w:t>
      </w:r>
      <w:r w:rsidDel="00000000" w:rsidR="00000000" w:rsidRPr="00000000">
        <w:rPr>
          <w:rFonts w:ascii="Arial" w:cs="Arial" w:eastAsia="Arial" w:hAnsi="Arial"/>
          <w:i w:val="1"/>
          <w:iCs w:val="1"/>
          <w:sz w:val="22"/>
          <w:szCs w:val="22"/>
          <w:rtl w:val="0"/>
        </w:rPr>
        <w:t xml:space="preserve">Preventive Medicine Reports</w:t>
      </w:r>
      <w:r w:rsidDel="00000000" w:rsidR="00000000" w:rsidRPr="00000000">
        <w:rPr>
          <w:rFonts w:ascii="Arial" w:cs="Arial" w:eastAsia="Arial" w:hAnsi="Arial"/>
          <w:sz w:val="22"/>
          <w:szCs w:val="22"/>
          <w:rtl w:val="0"/>
        </w:rPr>
        <w:t xml:space="preserve">, 24, p.101580. doi:https://doi.org/10.1016/j.pmedr.2021.101580.</w:t>
      </w:r>
    </w:p>
    <w:p w:rsidR="00000000" w:rsidDel="00000000" w:rsidP="00000000" w:rsidRDefault="00000000" w:rsidRPr="00000000" w14:paraId="000002B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Younas, A. and Fàbregues, S. (2026). Advancing the Classification of Mixed Methods Research Questions.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Mixed Methods Research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doi:https://doi.org/10.1177/15586898251413451.</w:t>
      </w:r>
    </w:p>
    <w:p w:rsidR="00000000" w:rsidDel="00000000" w:rsidP="00000000" w:rsidRDefault="00000000" w:rsidRPr="00000000" w14:paraId="000002BA">
      <w:pPr>
        <w:spacing w:after="240" w:before="240" w:line="360" w:lineRule="auto"/>
        <w:rPr>
          <w:rFonts w:ascii="Arial" w:cs="Arial" w:eastAsia="Arial" w:hAnsi="Arial"/>
          <w:sz w:val="22"/>
          <w:szCs w:val="22"/>
        </w:rPr>
      </w:pPr>
      <w:sdt>
        <w:sdtPr>
          <w:id w:val="1191458890"/>
          <w:tag w:val="goog_rdk_1"/>
        </w:sdtPr>
        <w:sdtContent>
          <w:r w:rsidDel="00000000" w:rsidR="00000000" w:rsidRPr="00000000">
            <w:rPr>
              <w:rFonts w:ascii="Arial Unicode MS" w:cs="Arial Unicode MS" w:eastAsia="Arial Unicode MS" w:hAnsi="Arial Unicode MS"/>
              <w:sz w:val="22"/>
              <w:szCs w:val="22"/>
              <w:rtl w:val="0"/>
            </w:rPr>
            <w:t xml:space="preserve">Youssef, E., Wright, J., Delpech, V., Davies, K., Brown, A., Cooper, V., Sachikonye, M. and de Visser, R. (2018). Factors associated with testing for HIV in people aged ≥50 years: a qualitative study. </w:t>
          </w:r>
        </w:sdtContent>
      </w:sdt>
      <w:r w:rsidDel="00000000" w:rsidR="00000000" w:rsidRPr="00000000">
        <w:rPr>
          <w:rFonts w:ascii="Arial" w:cs="Arial" w:eastAsia="Arial" w:hAnsi="Arial"/>
          <w:i w:val="1"/>
          <w:iCs w:val="1"/>
          <w:sz w:val="22"/>
          <w:szCs w:val="22"/>
          <w:rtl w:val="0"/>
        </w:rPr>
        <w:t xml:space="preserve">BMC Public Health</w:t>
      </w:r>
      <w:r w:rsidDel="00000000" w:rsidR="00000000" w:rsidRPr="00000000">
        <w:rPr>
          <w:rFonts w:ascii="Arial" w:cs="Arial" w:eastAsia="Arial" w:hAnsi="Arial"/>
          <w:sz w:val="22"/>
          <w:szCs w:val="22"/>
          <w:rtl w:val="0"/>
        </w:rPr>
        <w:t xml:space="preserve">, 18(1). doi:https://doi.org/10.1186/s12889-018-6118-x.</w:t>
      </w:r>
    </w:p>
    <w:p w:rsidR="00000000" w:rsidDel="00000000" w:rsidP="00000000" w:rsidRDefault="00000000" w:rsidRPr="00000000" w14:paraId="000002BB">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Zarei, N., Joulaei, H., Darabi, E. and Fararouei, M. (2015). Stigmatized Attitude of Healthcare Providers: A Barrier for Delivering Health Services to HIV Positive Patients. </w:t>
      </w:r>
      <w:r w:rsidDel="00000000" w:rsidR="00000000" w:rsidRPr="00000000">
        <w:rPr>
          <w:rFonts w:ascii="Arial" w:cs="Arial" w:eastAsia="Arial" w:hAnsi="Arial"/>
          <w:i w:val="1"/>
          <w:iCs w:val="1"/>
          <w:sz w:val="22"/>
          <w:szCs w:val="22"/>
          <w:rtl w:val="0"/>
        </w:rPr>
        <w:t xml:space="preserve">International Journal of Community Based Nursing and Midwifery</w:t>
      </w:r>
      <w:r w:rsidDel="00000000" w:rsidR="00000000" w:rsidRPr="00000000">
        <w:rPr>
          <w:rFonts w:ascii="Arial" w:cs="Arial" w:eastAsia="Arial" w:hAnsi="Arial"/>
          <w:sz w:val="22"/>
          <w:szCs w:val="22"/>
          <w:rtl w:val="0"/>
        </w:rPr>
        <w:t xml:space="preserve">, [online] 3(4), p.292. Available at: https://pmc.ncbi.nlm.nih.gov/articles/PMC4591575/.</w:t>
      </w:r>
    </w:p>
    <w:p w:rsidR="00000000" w:rsidDel="00000000" w:rsidP="00000000" w:rsidRDefault="00000000" w:rsidRPr="00000000" w14:paraId="000002BC">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Zhang, Y., Chai, C., Xiong, J., Zhang, L., Zheng, J., Zhang, N. and Wang, Y. (2023). The impact of anxiety, depression, and social support on the relationship between HIV-related stigma and mental health-related quality of life among Chinese patients: a cross-sectional, moderate-mediation study. </w:t>
      </w:r>
      <w:r w:rsidDel="00000000" w:rsidR="00000000" w:rsidRPr="00000000">
        <w:rPr>
          <w:rFonts w:ascii="Arial" w:cs="Arial" w:eastAsia="Arial" w:hAnsi="Arial"/>
          <w:i w:val="1"/>
          <w:iCs w:val="1"/>
          <w:sz w:val="22"/>
          <w:szCs w:val="22"/>
          <w:rtl w:val="0"/>
        </w:rPr>
        <w:t xml:space="preserve">BMC Psychiatry</w:t>
      </w:r>
      <w:r w:rsidDel="00000000" w:rsidR="00000000" w:rsidRPr="00000000">
        <w:rPr>
          <w:rFonts w:ascii="Arial" w:cs="Arial" w:eastAsia="Arial" w:hAnsi="Arial"/>
          <w:sz w:val="22"/>
          <w:szCs w:val="22"/>
          <w:rtl w:val="0"/>
        </w:rPr>
        <w:t xml:space="preserve">, 23(1). doi:https://doi.org/10.1186/s12888-023-05103-1.</w:t>
      </w:r>
    </w:p>
    <w:p w:rsidR="00000000" w:rsidDel="00000000" w:rsidP="00000000" w:rsidRDefault="00000000" w:rsidRPr="00000000" w14:paraId="000002BD">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Zhu, L.-H., Ying, Q.-S., Yang, M., Zhu, L.-F. and Chen, H.-X. (2022). The Impact of Chronic Illness on the Patient Experience: Results From a Cross-Sectional Comparative Study in a Comprehensive Tertiary Hospital in China. </w:t>
      </w:r>
      <w:r w:rsidDel="00000000" w:rsidR="00000000" w:rsidRPr="00000000">
        <w:rPr>
          <w:rFonts w:ascii="Arial" w:cs="Arial" w:eastAsia="Arial" w:hAnsi="Arial"/>
          <w:i w:val="1"/>
          <w:iCs w:val="1"/>
          <w:sz w:val="22"/>
          <w:szCs w:val="22"/>
          <w:rtl w:val="0"/>
        </w:rPr>
        <w:t xml:space="preserve">INQUIRY: The Journal of Health Care Organization, Provision, and Financing</w:t>
      </w:r>
      <w:r w:rsidDel="00000000" w:rsidR="00000000" w:rsidRPr="00000000">
        <w:rPr>
          <w:rFonts w:ascii="Arial" w:cs="Arial" w:eastAsia="Arial" w:hAnsi="Arial"/>
          <w:sz w:val="22"/>
          <w:szCs w:val="22"/>
          <w:rtl w:val="0"/>
        </w:rPr>
        <w:t xml:space="preserve">, [online] 59, p.004695802210903. doi:https://doi.org/10.1177/00469580221090382.</w:t>
      </w:r>
    </w:p>
    <w:p w:rsidR="00000000" w:rsidDel="00000000" w:rsidP="00000000" w:rsidRDefault="00000000" w:rsidRPr="00000000" w14:paraId="000002B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B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C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C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C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C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C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C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C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C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C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C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C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C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C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CD">
      <w:pPr>
        <w:pStyle w:val="Heading1"/>
        <w:numPr>
          <w:ilvl w:val="0"/>
          <w:numId w:val="8"/>
        </w:numPr>
        <w:spacing w:after="240" w:before="10" w:line="360" w:lineRule="auto"/>
        <w:ind w:left="580" w:hanging="360"/>
        <w:rPr>
          <w:rFonts w:ascii="Arial" w:cs="Arial" w:eastAsia="Arial" w:hAnsi="Arial"/>
          <w:b w:val="1"/>
          <w:bCs w:val="1"/>
          <w:color w:val="000000"/>
          <w:sz w:val="22"/>
          <w:szCs w:val="22"/>
        </w:rPr>
      </w:pPr>
      <w:bookmarkStart w:colFirst="0" w:colLast="0" w:name="_heading=h.5w8x38dt5enf" w:id="87"/>
      <w:bookmarkEnd w:id="87"/>
      <w:r w:rsidDel="00000000" w:rsidR="00000000" w:rsidRPr="00000000">
        <w:rPr>
          <w:rFonts w:ascii="Arial" w:cs="Arial" w:eastAsia="Arial" w:hAnsi="Arial"/>
          <w:b w:val="1"/>
          <w:bCs w:val="1"/>
          <w:color w:val="000000"/>
          <w:sz w:val="22"/>
          <w:szCs w:val="22"/>
          <w:rtl w:val="0"/>
        </w:rPr>
        <w:t xml:space="preserve">Appendix</w:t>
      </w:r>
    </w:p>
    <w:p w:rsidR="00000000" w:rsidDel="00000000" w:rsidP="00000000" w:rsidRDefault="00000000" w:rsidRPr="00000000" w14:paraId="000002CE">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left"/>
        <w:rPr>
          <w:rFonts w:ascii="Arial" w:cs="Arial" w:eastAsia="Arial" w:hAnsi="Arial"/>
          <w:b w:val="1"/>
          <w:bCs w:val="1"/>
          <w:i w:val="0"/>
          <w:iCs w:val="0"/>
          <w:smallCaps w:val="1"/>
          <w:strike w:val="0"/>
          <w:color w:val="000000"/>
          <w:sz w:val="22"/>
          <w:szCs w:val="22"/>
          <w:u w:val="none"/>
          <w:shd w:fill="auto" w:val="clear"/>
          <w:vertAlign w:val="baseline"/>
        </w:rPr>
      </w:pPr>
      <w:bookmarkStart w:colFirst="0" w:colLast="0" w:name="_heading=h.a625dod5ex1u" w:id="88"/>
      <w:bookmarkEnd w:id="88"/>
      <w:r w:rsidDel="00000000" w:rsidR="00000000" w:rsidRPr="00000000">
        <w:rPr>
          <w:rFonts w:ascii="Arial" w:cs="Arial" w:eastAsia="Arial" w:hAnsi="Arial"/>
          <w:b w:val="1"/>
          <w:bCs w:val="1"/>
          <w:i w:val="0"/>
          <w:iCs w:val="0"/>
          <w:smallCaps w:val="1"/>
          <w:strike w:val="0"/>
          <w:color w:val="000000"/>
          <w:sz w:val="22"/>
          <w:szCs w:val="22"/>
          <w:u w:val="none"/>
          <w:shd w:fill="auto" w:val="clear"/>
          <w:vertAlign w:val="baseline"/>
          <w:rtl w:val="0"/>
        </w:rPr>
        <w:t xml:space="preserve">Table 3 Overview of Identified Themes</w:t>
      </w:r>
    </w:p>
    <w:tbl>
      <w:tblPr>
        <w:tblStyle w:val="Table3"/>
        <w:tblW w:w="10440.0" w:type="dxa"/>
        <w:jc w:val="center"/>
        <w:tblLayout w:type="fixed"/>
        <w:tblLook w:val="04A0"/>
      </w:tblPr>
      <w:tblGrid>
        <w:gridCol w:w="3100"/>
        <w:gridCol w:w="7340"/>
        <w:tblGridChange w:id="0">
          <w:tblGrid>
            <w:gridCol w:w="3100"/>
            <w:gridCol w:w="7340"/>
          </w:tblGrid>
        </w:tblGridChange>
      </w:tblGrid>
      <w:tr>
        <w:trPr>
          <w:cantSplit w:val="0"/>
          <w:tblHeader w:val="0"/>
        </w:trPr>
        <w:tc>
          <w:tcPr/>
          <w:p w:rsidR="00000000" w:rsidDel="00000000" w:rsidP="00000000" w:rsidRDefault="00000000" w:rsidRPr="00000000" w14:paraId="000002CF">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Themes</w:t>
            </w:r>
          </w:p>
        </w:tc>
        <w:tc>
          <w:tcPr/>
          <w:p w:rsidR="00000000" w:rsidDel="00000000" w:rsidP="00000000" w:rsidRDefault="00000000" w:rsidRPr="00000000" w14:paraId="000002D0">
            <w:pPr>
              <w:spacing w:after="240" w:before="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Articles Where It Was Extracted</w:t>
            </w:r>
          </w:p>
        </w:tc>
      </w:tr>
      <w:tr>
        <w:trPr>
          <w:cantSplit w:val="0"/>
          <w:tblHeader w:val="0"/>
        </w:trPr>
        <w:tc>
          <w:tcPr/>
          <w:p w:rsidR="00000000" w:rsidDel="00000000" w:rsidP="00000000" w:rsidRDefault="00000000" w:rsidRPr="00000000" w14:paraId="000002D1">
            <w:pPr>
              <w:spacing w:after="240" w:before="240" w:line="360" w:lineRule="auto"/>
              <w:rPr>
                <w:rFonts w:ascii="Arial" w:cs="Arial" w:eastAsia="Arial" w:hAnsi="Arial"/>
                <w:b w:val="0"/>
                <w:bCs w:val="0"/>
                <w:i w:val="1"/>
                <w:iCs w:val="1"/>
                <w:sz w:val="22"/>
                <w:szCs w:val="22"/>
              </w:rPr>
            </w:pPr>
            <w:r w:rsidDel="00000000" w:rsidR="00000000" w:rsidRPr="00000000">
              <w:rPr>
                <w:rFonts w:ascii="Arial" w:cs="Arial" w:eastAsia="Arial" w:hAnsi="Arial"/>
                <w:b w:val="0"/>
                <w:bCs w:val="0"/>
                <w:i w:val="1"/>
                <w:iCs w:val="1"/>
                <w:sz w:val="22"/>
                <w:szCs w:val="22"/>
                <w:rtl w:val="0"/>
              </w:rPr>
              <w:t xml:space="preserve">Persistent and Evolving HIV-Related Stigma</w:t>
            </w:r>
          </w:p>
        </w:tc>
        <w:tc>
          <w:tcPr/>
          <w:p w:rsidR="00000000" w:rsidDel="00000000" w:rsidP="00000000" w:rsidRDefault="00000000" w:rsidRPr="00000000" w14:paraId="000002D2">
            <w:pPr>
              <w:spacing w:after="240" w:before="240"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Hedge et al.; Vaughan et al.; Wiginton et al.; Rai et al.; Keogh et al.; Glendinning et al.; Jones et al.; Ndirangu and Evans</w:t>
            </w:r>
          </w:p>
        </w:tc>
      </w:tr>
      <w:tr>
        <w:trPr>
          <w:cantSplit w:val="0"/>
          <w:tblHeader w:val="0"/>
        </w:trPr>
        <w:tc>
          <w:tcPr/>
          <w:p w:rsidR="00000000" w:rsidDel="00000000" w:rsidP="00000000" w:rsidRDefault="00000000" w:rsidRPr="00000000" w14:paraId="000002D3">
            <w:pPr>
              <w:spacing w:after="240" w:before="240" w:line="360" w:lineRule="auto"/>
              <w:rPr>
                <w:rFonts w:ascii="Arial" w:cs="Arial" w:eastAsia="Arial" w:hAnsi="Arial"/>
                <w:b w:val="0"/>
                <w:bCs w:val="0"/>
                <w:i w:val="1"/>
                <w:iCs w:val="1"/>
                <w:sz w:val="22"/>
                <w:szCs w:val="22"/>
              </w:rPr>
            </w:pPr>
            <w:r w:rsidDel="00000000" w:rsidR="00000000" w:rsidRPr="00000000">
              <w:rPr>
                <w:rFonts w:ascii="Arial" w:cs="Arial" w:eastAsia="Arial" w:hAnsi="Arial"/>
                <w:b w:val="0"/>
                <w:bCs w:val="0"/>
                <w:i w:val="1"/>
                <w:iCs w:val="1"/>
                <w:sz w:val="22"/>
                <w:szCs w:val="22"/>
                <w:rtl w:val="0"/>
              </w:rPr>
              <w:t xml:space="preserve">Fragmentation of Health and Social Care Services</w:t>
            </w:r>
          </w:p>
        </w:tc>
        <w:tc>
          <w:tcPr/>
          <w:p w:rsidR="00000000" w:rsidDel="00000000" w:rsidP="00000000" w:rsidRDefault="00000000" w:rsidRPr="00000000" w14:paraId="000002D4">
            <w:pPr>
              <w:spacing w:after="240" w:before="240"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Rai et al.; Keogh et al.; Pollard et al.; Bruton et al.; Wiginton et al.</w:t>
            </w:r>
          </w:p>
        </w:tc>
      </w:tr>
      <w:tr>
        <w:trPr>
          <w:cantSplit w:val="0"/>
          <w:tblHeader w:val="0"/>
        </w:trPr>
        <w:tc>
          <w:tcPr/>
          <w:p w:rsidR="00000000" w:rsidDel="00000000" w:rsidP="00000000" w:rsidRDefault="00000000" w:rsidRPr="00000000" w14:paraId="000002D5">
            <w:pPr>
              <w:spacing w:after="240" w:before="240" w:line="360" w:lineRule="auto"/>
              <w:rPr>
                <w:rFonts w:ascii="Arial" w:cs="Arial" w:eastAsia="Arial" w:hAnsi="Arial"/>
                <w:b w:val="0"/>
                <w:bCs w:val="0"/>
                <w:i w:val="1"/>
                <w:iCs w:val="1"/>
                <w:sz w:val="22"/>
                <w:szCs w:val="22"/>
              </w:rPr>
            </w:pPr>
            <w:r w:rsidDel="00000000" w:rsidR="00000000" w:rsidRPr="00000000">
              <w:rPr>
                <w:rFonts w:ascii="Arial" w:cs="Arial" w:eastAsia="Arial" w:hAnsi="Arial"/>
                <w:b w:val="0"/>
                <w:bCs w:val="0"/>
                <w:i w:val="1"/>
                <w:iCs w:val="1"/>
                <w:sz w:val="22"/>
                <w:szCs w:val="22"/>
                <w:rtl w:val="0"/>
              </w:rPr>
              <w:t xml:space="preserve">Ageing with HIV and Multimorbidity</w:t>
            </w:r>
          </w:p>
        </w:tc>
        <w:tc>
          <w:tcPr/>
          <w:p w:rsidR="00000000" w:rsidDel="00000000" w:rsidP="00000000" w:rsidRDefault="00000000" w:rsidRPr="00000000" w14:paraId="000002D6">
            <w:pPr>
              <w:spacing w:after="240" w:before="240"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Pollard et al.; Youssef et al.; Bruton et al.; Wiginton et al.</w:t>
            </w:r>
          </w:p>
        </w:tc>
      </w:tr>
      <w:tr>
        <w:trPr>
          <w:cantSplit w:val="0"/>
          <w:tblHeader w:val="0"/>
        </w:trPr>
        <w:tc>
          <w:tcPr/>
          <w:p w:rsidR="00000000" w:rsidDel="00000000" w:rsidP="00000000" w:rsidRDefault="00000000" w:rsidRPr="00000000" w14:paraId="000002D7">
            <w:pPr>
              <w:spacing w:after="240" w:before="240" w:line="360" w:lineRule="auto"/>
              <w:rPr>
                <w:rFonts w:ascii="Arial" w:cs="Arial" w:eastAsia="Arial" w:hAnsi="Arial"/>
                <w:b w:val="0"/>
                <w:bCs w:val="0"/>
                <w:i w:val="1"/>
                <w:iCs w:val="1"/>
                <w:sz w:val="22"/>
                <w:szCs w:val="22"/>
              </w:rPr>
            </w:pPr>
            <w:r w:rsidDel="00000000" w:rsidR="00000000" w:rsidRPr="00000000">
              <w:rPr>
                <w:rFonts w:ascii="Arial" w:cs="Arial" w:eastAsia="Arial" w:hAnsi="Arial"/>
                <w:b w:val="0"/>
                <w:bCs w:val="0"/>
                <w:i w:val="1"/>
                <w:iCs w:val="1"/>
                <w:sz w:val="22"/>
                <w:szCs w:val="22"/>
                <w:rtl w:val="0"/>
              </w:rPr>
              <w:t xml:space="preserve">Cultural and Community Contexts of HIV Care</w:t>
            </w:r>
          </w:p>
        </w:tc>
        <w:tc>
          <w:tcPr/>
          <w:p w:rsidR="00000000" w:rsidDel="00000000" w:rsidP="00000000" w:rsidRDefault="00000000" w:rsidRPr="00000000" w14:paraId="000002D8">
            <w:pPr>
              <w:spacing w:after="240" w:before="240"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Glendinning et al.; Jones et al.; Ndirangu and Evans; Kasadha et al.; Hedge et al.</w:t>
            </w:r>
          </w:p>
        </w:tc>
      </w:tr>
    </w:tbl>
    <w:p w:rsidR="00000000" w:rsidDel="00000000" w:rsidP="00000000" w:rsidRDefault="00000000" w:rsidRPr="00000000" w14:paraId="000002D9">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A">
      <w:pPr>
        <w:spacing w:line="360" w:lineRule="auto"/>
        <w:rPr>
          <w:rFonts w:ascii="Arial" w:cs="Arial" w:eastAsia="Arial" w:hAnsi="Arial"/>
          <w:sz w:val="22"/>
          <w:szCs w:val="22"/>
        </w:rPr>
      </w:pPr>
      <w:bookmarkStart w:colFirst="0" w:colLast="0" w:name="_heading=h.g0ooh1ansqr" w:id="89"/>
      <w:bookmarkEnd w:id="89"/>
      <w:r w:rsidDel="00000000" w:rsidR="00000000" w:rsidRPr="00000000">
        <w:rPr>
          <w:rFonts w:ascii="Arial" w:cs="Arial" w:eastAsia="Arial" w:hAnsi="Arial"/>
          <w:b w:val="1"/>
          <w:bCs w:val="1"/>
          <w:sz w:val="22"/>
          <w:szCs w:val="22"/>
          <w:rtl w:val="0"/>
        </w:rPr>
        <w:t xml:space="preserve">Table 4 Summary for Selected Studies</w:t>
      </w:r>
      <w:r w:rsidDel="00000000" w:rsidR="00000000" w:rsidRPr="00000000">
        <w:rPr>
          <w:rtl w:val="0"/>
        </w:rPr>
      </w:r>
    </w:p>
    <w:tbl>
      <w:tblPr>
        <w:tblStyle w:val="Table4"/>
        <w:tblW w:w="10710.0" w:type="dxa"/>
        <w:jc w:val="center"/>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255"/>
        <w:gridCol w:w="1710"/>
        <w:gridCol w:w="1260"/>
        <w:gridCol w:w="1260"/>
        <w:gridCol w:w="1350"/>
        <w:gridCol w:w="1890"/>
        <w:gridCol w:w="1985"/>
        <w:tblGridChange w:id="0">
          <w:tblGrid>
            <w:gridCol w:w="1255"/>
            <w:gridCol w:w="1710"/>
            <w:gridCol w:w="1260"/>
            <w:gridCol w:w="1260"/>
            <w:gridCol w:w="1350"/>
            <w:gridCol w:w="1890"/>
            <w:gridCol w:w="1985"/>
          </w:tblGrid>
        </w:tblGridChange>
      </w:tblGrid>
      <w:tr>
        <w:trPr>
          <w:cantSplit w:val="0"/>
          <w:trHeight w:val="300" w:hRule="atLeast"/>
          <w:tblHeader w:val="0"/>
        </w:trPr>
        <w:tc>
          <w:tcPr/>
          <w:p w:rsidR="00000000" w:rsidDel="00000000" w:rsidP="00000000" w:rsidRDefault="00000000" w:rsidRPr="00000000" w14:paraId="000002DB">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Authors</w:t>
            </w:r>
          </w:p>
        </w:tc>
        <w:tc>
          <w:tcPr/>
          <w:p w:rsidR="00000000" w:rsidDel="00000000" w:rsidP="00000000" w:rsidRDefault="00000000" w:rsidRPr="00000000" w14:paraId="000002DC">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Study Title</w:t>
            </w:r>
          </w:p>
        </w:tc>
        <w:tc>
          <w:tcPr/>
          <w:p w:rsidR="00000000" w:rsidDel="00000000" w:rsidP="00000000" w:rsidRDefault="00000000" w:rsidRPr="00000000" w14:paraId="000002DD">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Purpose</w:t>
            </w:r>
          </w:p>
        </w:tc>
        <w:tc>
          <w:tcPr/>
          <w:p w:rsidR="00000000" w:rsidDel="00000000" w:rsidP="00000000" w:rsidRDefault="00000000" w:rsidRPr="00000000" w14:paraId="000002DE">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Logical Consistency</w:t>
            </w:r>
          </w:p>
        </w:tc>
        <w:tc>
          <w:tcPr/>
          <w:p w:rsidR="00000000" w:rsidDel="00000000" w:rsidP="00000000" w:rsidRDefault="00000000" w:rsidRPr="00000000" w14:paraId="000002DF">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Literature Review</w:t>
            </w:r>
          </w:p>
        </w:tc>
        <w:tc>
          <w:tcPr/>
          <w:p w:rsidR="00000000" w:rsidDel="00000000" w:rsidP="00000000" w:rsidRDefault="00000000" w:rsidRPr="00000000" w14:paraId="000002E0">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Aim/Objectives/Hypothesis</w:t>
            </w:r>
          </w:p>
        </w:tc>
        <w:tc>
          <w:tcPr/>
          <w:p w:rsidR="00000000" w:rsidDel="00000000" w:rsidP="00000000" w:rsidRDefault="00000000" w:rsidRPr="00000000" w14:paraId="000002E1">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Data Analysis/Results</w:t>
            </w:r>
          </w:p>
        </w:tc>
      </w:tr>
      <w:tr>
        <w:trPr>
          <w:cantSplit w:val="0"/>
          <w:trHeight w:val="300" w:hRule="atLeast"/>
          <w:tblHeader w:val="0"/>
        </w:trPr>
        <w:tc>
          <w:tcPr/>
          <w:p w:rsidR="00000000" w:rsidDel="00000000" w:rsidP="00000000" w:rsidRDefault="00000000" w:rsidRPr="00000000" w14:paraId="000002E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Bruton et al. (2018)</w:t>
            </w:r>
          </w:p>
        </w:tc>
        <w:tc>
          <w:tcPr/>
          <w:p w:rsidR="00000000" w:rsidDel="00000000" w:rsidP="00000000" w:rsidRDefault="00000000" w:rsidRPr="00000000" w14:paraId="000002E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Patient perspectives on the HIV continuum of care</w:t>
            </w:r>
          </w:p>
        </w:tc>
        <w:tc>
          <w:tcPr/>
          <w:p w:rsidR="00000000" w:rsidDel="00000000" w:rsidP="00000000" w:rsidRDefault="00000000" w:rsidRPr="00000000" w14:paraId="000002E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Clearly identified</w:t>
            </w:r>
          </w:p>
        </w:tc>
        <w:tc>
          <w:tcPr/>
          <w:p w:rsidR="00000000" w:rsidDel="00000000" w:rsidP="00000000" w:rsidRDefault="00000000" w:rsidRPr="00000000" w14:paraId="000002E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Logically presented and clear</w:t>
            </w:r>
          </w:p>
        </w:tc>
        <w:tc>
          <w:tcPr/>
          <w:p w:rsidR="00000000" w:rsidDel="00000000" w:rsidP="00000000" w:rsidRDefault="00000000" w:rsidRPr="00000000" w14:paraId="000002E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Majority of research from 2009-2018</w:t>
            </w:r>
          </w:p>
        </w:tc>
        <w:tc>
          <w:tcPr/>
          <w:p w:rsidR="00000000" w:rsidDel="00000000" w:rsidP="00000000" w:rsidRDefault="00000000" w:rsidRPr="00000000" w14:paraId="000002E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Identified and clear: Investigating health/social care experiences</w:t>
            </w:r>
          </w:p>
        </w:tc>
        <w:tc>
          <w:tcPr/>
          <w:p w:rsidR="00000000" w:rsidDel="00000000" w:rsidP="00000000" w:rsidRDefault="00000000" w:rsidRPr="00000000" w14:paraId="000002E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Clear and identified: Thematic analysis of patient experiences</w:t>
            </w:r>
          </w:p>
        </w:tc>
      </w:tr>
      <w:tr>
        <w:trPr>
          <w:cantSplit w:val="0"/>
          <w:trHeight w:val="300" w:hRule="atLeast"/>
          <w:tblHeader w:val="0"/>
        </w:trPr>
        <w:tc>
          <w:tcPr/>
          <w:p w:rsidR="00000000" w:rsidDel="00000000" w:rsidP="00000000" w:rsidRDefault="00000000" w:rsidRPr="00000000" w14:paraId="000002E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Hedge et al. (2021)</w:t>
            </w:r>
          </w:p>
        </w:tc>
        <w:tc>
          <w:tcPr/>
          <w:p w:rsidR="00000000" w:rsidDel="00000000" w:rsidP="00000000" w:rsidRDefault="00000000" w:rsidRPr="00000000" w14:paraId="000002E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HIV related stigma in the UK then and now</w:t>
            </w:r>
          </w:p>
        </w:tc>
        <w:tc>
          <w:tcPr/>
          <w:p w:rsidR="00000000" w:rsidDel="00000000" w:rsidP="00000000" w:rsidRDefault="00000000" w:rsidRPr="00000000" w14:paraId="000002E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Clearly identified</w:t>
            </w:r>
          </w:p>
        </w:tc>
        <w:tc>
          <w:tcPr/>
          <w:p w:rsidR="00000000" w:rsidDel="00000000" w:rsidP="00000000" w:rsidRDefault="00000000" w:rsidRPr="00000000" w14:paraId="000002E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Logically presented and clear</w:t>
            </w:r>
          </w:p>
        </w:tc>
        <w:tc>
          <w:tcPr/>
          <w:p w:rsidR="00000000" w:rsidDel="00000000" w:rsidP="00000000" w:rsidRDefault="00000000" w:rsidRPr="00000000" w14:paraId="000002E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Majority of research from 2004-2021</w:t>
            </w:r>
          </w:p>
        </w:tc>
        <w:tc>
          <w:tcPr/>
          <w:p w:rsidR="00000000" w:rsidDel="00000000" w:rsidP="00000000" w:rsidRDefault="00000000" w:rsidRPr="00000000" w14:paraId="000002E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Identified and clear: Assessing stigma shifts in HIV care</w:t>
            </w:r>
          </w:p>
        </w:tc>
        <w:tc>
          <w:tcPr/>
          <w:p w:rsidR="00000000" w:rsidDel="00000000" w:rsidP="00000000" w:rsidRDefault="00000000" w:rsidRPr="00000000" w14:paraId="000002E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Clear and identified: Survey data on stigma and experiences</w:t>
            </w:r>
          </w:p>
        </w:tc>
      </w:tr>
      <w:tr>
        <w:trPr>
          <w:cantSplit w:val="0"/>
          <w:trHeight w:val="300" w:hRule="atLeast"/>
          <w:tblHeader w:val="0"/>
        </w:trPr>
        <w:tc>
          <w:tcPr/>
          <w:p w:rsidR="00000000" w:rsidDel="00000000" w:rsidP="00000000" w:rsidRDefault="00000000" w:rsidRPr="00000000" w14:paraId="000002F0">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Kasadha et al. (2024)</w:t>
            </w:r>
          </w:p>
        </w:tc>
        <w:tc>
          <w:tcPr/>
          <w:p w:rsidR="00000000" w:rsidDel="00000000" w:rsidP="00000000" w:rsidRDefault="00000000" w:rsidRPr="00000000" w14:paraId="000002F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How women living with HIV manage infant-feeding decisions</w:t>
            </w:r>
          </w:p>
        </w:tc>
        <w:tc>
          <w:tcPr/>
          <w:p w:rsidR="00000000" w:rsidDel="00000000" w:rsidP="00000000" w:rsidRDefault="00000000" w:rsidRPr="00000000" w14:paraId="000002F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Clearly identified</w:t>
            </w:r>
          </w:p>
        </w:tc>
        <w:tc>
          <w:tcPr/>
          <w:p w:rsidR="00000000" w:rsidDel="00000000" w:rsidP="00000000" w:rsidRDefault="00000000" w:rsidRPr="00000000" w14:paraId="000002F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Logically presented and clear</w:t>
            </w:r>
          </w:p>
        </w:tc>
        <w:tc>
          <w:tcPr/>
          <w:p w:rsidR="00000000" w:rsidDel="00000000" w:rsidP="00000000" w:rsidRDefault="00000000" w:rsidRPr="00000000" w14:paraId="000002F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Majority of research from 1996-2018</w:t>
            </w:r>
          </w:p>
        </w:tc>
        <w:tc>
          <w:tcPr/>
          <w:p w:rsidR="00000000" w:rsidDel="00000000" w:rsidP="00000000" w:rsidRDefault="00000000" w:rsidRPr="00000000" w14:paraId="000002F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Identified and clear: Exploring infant-feeding decisions</w:t>
            </w:r>
          </w:p>
        </w:tc>
        <w:tc>
          <w:tcPr/>
          <w:p w:rsidR="00000000" w:rsidDel="00000000" w:rsidP="00000000" w:rsidRDefault="00000000" w:rsidRPr="00000000" w14:paraId="000002F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Clear and identified: Interviews analyzed for feeding decision themes</w:t>
            </w:r>
          </w:p>
        </w:tc>
      </w:tr>
      <w:tr>
        <w:trPr>
          <w:cantSplit w:val="0"/>
          <w:trHeight w:val="300" w:hRule="atLeast"/>
          <w:tblHeader w:val="0"/>
        </w:trPr>
        <w:tc>
          <w:tcPr/>
          <w:p w:rsidR="00000000" w:rsidDel="00000000" w:rsidP="00000000" w:rsidRDefault="00000000" w:rsidRPr="00000000" w14:paraId="000002F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Jones et al. (2025)</w:t>
            </w:r>
          </w:p>
        </w:tc>
        <w:tc>
          <w:tcPr/>
          <w:p w:rsidR="00000000" w:rsidDel="00000000" w:rsidP="00000000" w:rsidRDefault="00000000" w:rsidRPr="00000000" w14:paraId="000002F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Breaking barriers: Social and cultural factors influencing HIV awareness</w:t>
            </w:r>
          </w:p>
        </w:tc>
        <w:tc>
          <w:tcPr/>
          <w:p w:rsidR="00000000" w:rsidDel="00000000" w:rsidP="00000000" w:rsidRDefault="00000000" w:rsidRPr="00000000" w14:paraId="000002F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Clearly identified</w:t>
            </w:r>
          </w:p>
        </w:tc>
        <w:tc>
          <w:tcPr/>
          <w:p w:rsidR="00000000" w:rsidDel="00000000" w:rsidP="00000000" w:rsidRDefault="00000000" w:rsidRPr="00000000" w14:paraId="000002F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Logically presented and clear</w:t>
            </w:r>
          </w:p>
        </w:tc>
        <w:tc>
          <w:tcPr/>
          <w:p w:rsidR="00000000" w:rsidDel="00000000" w:rsidP="00000000" w:rsidRDefault="00000000" w:rsidRPr="00000000" w14:paraId="000002F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Majority of research from 2004-2021</w:t>
            </w:r>
          </w:p>
        </w:tc>
        <w:tc>
          <w:tcPr/>
          <w:p w:rsidR="00000000" w:rsidDel="00000000" w:rsidP="00000000" w:rsidRDefault="00000000" w:rsidRPr="00000000" w14:paraId="000002F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Identified and clear: Exploring social factors in prevention uptake</w:t>
            </w:r>
          </w:p>
        </w:tc>
        <w:tc>
          <w:tcPr/>
          <w:p w:rsidR="00000000" w:rsidDel="00000000" w:rsidP="00000000" w:rsidRDefault="00000000" w:rsidRPr="00000000" w14:paraId="000002F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Clear and identified: Focus group analysis of stigma in prevention</w:t>
            </w:r>
          </w:p>
        </w:tc>
      </w:tr>
      <w:tr>
        <w:trPr>
          <w:cantSplit w:val="0"/>
          <w:trHeight w:val="300" w:hRule="atLeast"/>
          <w:tblHeader w:val="0"/>
        </w:trPr>
        <w:tc>
          <w:tcPr/>
          <w:p w:rsidR="00000000" w:rsidDel="00000000" w:rsidP="00000000" w:rsidRDefault="00000000" w:rsidRPr="00000000" w14:paraId="000002F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Youssef et al. (2018) –</w:t>
            </w:r>
          </w:p>
        </w:tc>
        <w:tc>
          <w:tcPr/>
          <w:p w:rsidR="00000000" w:rsidDel="00000000" w:rsidP="00000000" w:rsidRDefault="00000000" w:rsidRPr="00000000" w14:paraId="000002F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Factors associated with HIV testing in people aged â‰¥50 years</w:t>
            </w:r>
          </w:p>
        </w:tc>
        <w:tc>
          <w:tcPr/>
          <w:p w:rsidR="00000000" w:rsidDel="00000000" w:rsidP="00000000" w:rsidRDefault="00000000" w:rsidRPr="00000000" w14:paraId="00000300">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Clearly identified</w:t>
            </w:r>
          </w:p>
        </w:tc>
        <w:tc>
          <w:tcPr/>
          <w:p w:rsidR="00000000" w:rsidDel="00000000" w:rsidP="00000000" w:rsidRDefault="00000000" w:rsidRPr="00000000" w14:paraId="0000030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Logically presented and clear</w:t>
            </w:r>
          </w:p>
        </w:tc>
        <w:tc>
          <w:tcPr/>
          <w:p w:rsidR="00000000" w:rsidDel="00000000" w:rsidP="00000000" w:rsidRDefault="00000000" w:rsidRPr="00000000" w14:paraId="0000030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Majority of research from 1998-2018</w:t>
            </w:r>
          </w:p>
        </w:tc>
        <w:tc>
          <w:tcPr/>
          <w:p w:rsidR="00000000" w:rsidDel="00000000" w:rsidP="00000000" w:rsidRDefault="00000000" w:rsidRPr="00000000" w14:paraId="0000030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Identified and clear: Investigating HIV testing barriers in older adults</w:t>
            </w:r>
          </w:p>
        </w:tc>
        <w:tc>
          <w:tcPr/>
          <w:p w:rsidR="00000000" w:rsidDel="00000000" w:rsidP="00000000" w:rsidRDefault="00000000" w:rsidRPr="00000000" w14:paraId="0000030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Clear and identified: Interviews and themes on testing barriers</w:t>
            </w:r>
          </w:p>
        </w:tc>
      </w:tr>
      <w:tr>
        <w:trPr>
          <w:cantSplit w:val="0"/>
          <w:trHeight w:val="300" w:hRule="atLeast"/>
          <w:tblHeader w:val="0"/>
        </w:trPr>
        <w:tc>
          <w:tcPr/>
          <w:p w:rsidR="00000000" w:rsidDel="00000000" w:rsidP="00000000" w:rsidRDefault="00000000" w:rsidRPr="00000000" w14:paraId="0000030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Glendinning et al. (2019)</w:t>
            </w:r>
          </w:p>
        </w:tc>
        <w:tc>
          <w:tcPr/>
          <w:p w:rsidR="00000000" w:rsidDel="00000000" w:rsidP="00000000" w:rsidRDefault="00000000" w:rsidRPr="00000000" w14:paraId="0000030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Perceptual Barriers to ART Uptake in Black African and Caribbean Communities</w:t>
            </w:r>
          </w:p>
        </w:tc>
        <w:tc>
          <w:tcPr/>
          <w:p w:rsidR="00000000" w:rsidDel="00000000" w:rsidP="00000000" w:rsidRDefault="00000000" w:rsidRPr="00000000" w14:paraId="0000030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Clearly identified</w:t>
            </w:r>
          </w:p>
        </w:tc>
        <w:tc>
          <w:tcPr/>
          <w:p w:rsidR="00000000" w:rsidDel="00000000" w:rsidP="00000000" w:rsidRDefault="00000000" w:rsidRPr="00000000" w14:paraId="0000030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Logically presented and clear</w:t>
            </w:r>
          </w:p>
        </w:tc>
        <w:tc>
          <w:tcPr/>
          <w:p w:rsidR="00000000" w:rsidDel="00000000" w:rsidP="00000000" w:rsidRDefault="00000000" w:rsidRPr="00000000" w14:paraId="0000030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Majority of research from 2004-2021</w:t>
            </w:r>
          </w:p>
        </w:tc>
        <w:tc>
          <w:tcPr/>
          <w:p w:rsidR="00000000" w:rsidDel="00000000" w:rsidP="00000000" w:rsidRDefault="00000000" w:rsidRPr="00000000" w14:paraId="0000030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Identified and clear: Identifying barriers to ART in Black African/Caribbean</w:t>
            </w:r>
          </w:p>
        </w:tc>
        <w:tc>
          <w:tcPr/>
          <w:p w:rsidR="00000000" w:rsidDel="00000000" w:rsidP="00000000" w:rsidRDefault="00000000" w:rsidRPr="00000000" w14:paraId="0000030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Clear and identified: Interviews on ART barriers in marginalized groups</w:t>
            </w:r>
          </w:p>
        </w:tc>
      </w:tr>
      <w:tr>
        <w:trPr>
          <w:cantSplit w:val="0"/>
          <w:trHeight w:val="300" w:hRule="atLeast"/>
          <w:tblHeader w:val="0"/>
        </w:trPr>
        <w:tc>
          <w:tcPr/>
          <w:p w:rsidR="00000000" w:rsidDel="00000000" w:rsidP="00000000" w:rsidRDefault="00000000" w:rsidRPr="00000000" w14:paraId="0000030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Keogh et al. (2014)</w:t>
            </w:r>
          </w:p>
        </w:tc>
        <w:tc>
          <w:tcPr/>
          <w:p w:rsidR="00000000" w:rsidDel="00000000" w:rsidP="00000000" w:rsidRDefault="00000000" w:rsidRPr="00000000" w14:paraId="0000030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Learning from the Experiences of People with HIV Using GP Services</w:t>
            </w:r>
          </w:p>
        </w:tc>
        <w:tc>
          <w:tcPr/>
          <w:p w:rsidR="00000000" w:rsidDel="00000000" w:rsidP="00000000" w:rsidRDefault="00000000" w:rsidRPr="00000000" w14:paraId="0000030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Clearly identified</w:t>
            </w:r>
          </w:p>
        </w:tc>
        <w:tc>
          <w:tcPr/>
          <w:p w:rsidR="00000000" w:rsidDel="00000000" w:rsidP="00000000" w:rsidRDefault="00000000" w:rsidRPr="00000000" w14:paraId="0000030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Logically presented and clear</w:t>
            </w:r>
          </w:p>
        </w:tc>
        <w:tc>
          <w:tcPr/>
          <w:p w:rsidR="00000000" w:rsidDel="00000000" w:rsidP="00000000" w:rsidRDefault="00000000" w:rsidRPr="00000000" w14:paraId="00000310">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Majority of research from 2009-2021</w:t>
            </w:r>
          </w:p>
        </w:tc>
        <w:tc>
          <w:tcPr/>
          <w:p w:rsidR="00000000" w:rsidDel="00000000" w:rsidP="00000000" w:rsidRDefault="00000000" w:rsidRPr="00000000" w14:paraId="0000031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Identified and clear: Evaluating GP services for PLWH</w:t>
            </w:r>
          </w:p>
        </w:tc>
        <w:tc>
          <w:tcPr/>
          <w:p w:rsidR="00000000" w:rsidDel="00000000" w:rsidP="00000000" w:rsidRDefault="00000000" w:rsidRPr="00000000" w14:paraId="0000031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Clear and identified: Survey + interviews on GP services</w:t>
            </w:r>
          </w:p>
        </w:tc>
      </w:tr>
      <w:tr>
        <w:trPr>
          <w:cantSplit w:val="0"/>
          <w:trHeight w:val="300" w:hRule="atLeast"/>
          <w:tblHeader w:val="0"/>
        </w:trPr>
        <w:tc>
          <w:tcPr/>
          <w:p w:rsidR="00000000" w:rsidDel="00000000" w:rsidP="00000000" w:rsidRDefault="00000000" w:rsidRPr="00000000" w14:paraId="0000031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Rai et al. (2020)</w:t>
            </w:r>
          </w:p>
        </w:tc>
        <w:tc>
          <w:tcPr/>
          <w:p w:rsidR="00000000" w:rsidDel="00000000" w:rsidP="00000000" w:rsidRDefault="00000000" w:rsidRPr="00000000" w14:paraId="0000031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Experience of primary care for people with HIV</w:t>
            </w:r>
          </w:p>
        </w:tc>
        <w:tc>
          <w:tcPr/>
          <w:p w:rsidR="00000000" w:rsidDel="00000000" w:rsidP="00000000" w:rsidRDefault="00000000" w:rsidRPr="00000000" w14:paraId="0000031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Clearly identified</w:t>
            </w:r>
          </w:p>
        </w:tc>
        <w:tc>
          <w:tcPr/>
          <w:p w:rsidR="00000000" w:rsidDel="00000000" w:rsidP="00000000" w:rsidRDefault="00000000" w:rsidRPr="00000000" w14:paraId="0000031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Logically presented and clear</w:t>
            </w:r>
          </w:p>
        </w:tc>
        <w:tc>
          <w:tcPr/>
          <w:p w:rsidR="00000000" w:rsidDel="00000000" w:rsidP="00000000" w:rsidRDefault="00000000" w:rsidRPr="00000000" w14:paraId="0000031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Majority of research from 2009-2021</w:t>
            </w:r>
          </w:p>
        </w:tc>
        <w:tc>
          <w:tcPr/>
          <w:p w:rsidR="00000000" w:rsidDel="00000000" w:rsidP="00000000" w:rsidRDefault="00000000" w:rsidRPr="00000000" w14:paraId="0000031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Identified and clear: Understanding primary care experience for PLWH</w:t>
            </w:r>
          </w:p>
        </w:tc>
        <w:tc>
          <w:tcPr/>
          <w:p w:rsidR="00000000" w:rsidDel="00000000" w:rsidP="00000000" w:rsidRDefault="00000000" w:rsidRPr="00000000" w14:paraId="0000031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Clear and identified: Mixed-methods, descriptive statistics, interviews</w:t>
            </w:r>
          </w:p>
        </w:tc>
      </w:tr>
      <w:tr>
        <w:trPr>
          <w:cantSplit w:val="0"/>
          <w:trHeight w:val="300" w:hRule="atLeast"/>
          <w:tblHeader w:val="0"/>
        </w:trPr>
        <w:tc>
          <w:tcPr/>
          <w:p w:rsidR="00000000" w:rsidDel="00000000" w:rsidP="00000000" w:rsidRDefault="00000000" w:rsidRPr="00000000" w14:paraId="0000031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Ndirangu &amp; Evans (2008)</w:t>
            </w:r>
          </w:p>
        </w:tc>
        <w:tc>
          <w:tcPr/>
          <w:p w:rsidR="00000000" w:rsidDel="00000000" w:rsidP="00000000" w:rsidRDefault="00000000" w:rsidRPr="00000000" w14:paraId="0000031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African Immigrant Women Living with HIV in the UK</w:t>
            </w:r>
          </w:p>
        </w:tc>
        <w:tc>
          <w:tcPr/>
          <w:p w:rsidR="00000000" w:rsidDel="00000000" w:rsidP="00000000" w:rsidRDefault="00000000" w:rsidRPr="00000000" w14:paraId="0000031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Clearly identified</w:t>
            </w:r>
          </w:p>
        </w:tc>
        <w:tc>
          <w:tcPr/>
          <w:p w:rsidR="00000000" w:rsidDel="00000000" w:rsidP="00000000" w:rsidRDefault="00000000" w:rsidRPr="00000000" w14:paraId="0000031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Logically presented and clear</w:t>
            </w:r>
          </w:p>
        </w:tc>
        <w:tc>
          <w:tcPr/>
          <w:p w:rsidR="00000000" w:rsidDel="00000000" w:rsidP="00000000" w:rsidRDefault="00000000" w:rsidRPr="00000000" w14:paraId="0000031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Majority of research from 2009-2021</w:t>
            </w:r>
          </w:p>
        </w:tc>
        <w:tc>
          <w:tcPr/>
          <w:p w:rsidR="00000000" w:rsidDel="00000000" w:rsidP="00000000" w:rsidRDefault="00000000" w:rsidRPr="00000000" w14:paraId="0000031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Identified and clear: Exploring African immigrant women's experiences</w:t>
            </w:r>
          </w:p>
        </w:tc>
        <w:tc>
          <w:tcPr/>
          <w:p w:rsidR="00000000" w:rsidDel="00000000" w:rsidP="00000000" w:rsidRDefault="00000000" w:rsidRPr="00000000" w14:paraId="00000320">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Clear and identified: Interviews on immigrant women's stigma and care</w:t>
            </w:r>
          </w:p>
        </w:tc>
      </w:tr>
      <w:tr>
        <w:trPr>
          <w:cantSplit w:val="0"/>
          <w:trHeight w:val="300" w:hRule="atLeast"/>
          <w:tblHeader w:val="0"/>
        </w:trPr>
        <w:tc>
          <w:tcPr/>
          <w:p w:rsidR="00000000" w:rsidDel="00000000" w:rsidP="00000000" w:rsidRDefault="00000000" w:rsidRPr="00000000" w14:paraId="0000032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Wiginton et al. (2021)</w:t>
            </w:r>
          </w:p>
        </w:tc>
        <w:tc>
          <w:tcPr/>
          <w:p w:rsidR="00000000" w:rsidDel="00000000" w:rsidP="00000000" w:rsidRDefault="00000000" w:rsidRPr="00000000" w14:paraId="0000032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HIV Related Healthcare Stigma in England and Wales</w:t>
            </w:r>
          </w:p>
        </w:tc>
        <w:tc>
          <w:tcPr/>
          <w:p w:rsidR="00000000" w:rsidDel="00000000" w:rsidP="00000000" w:rsidRDefault="00000000" w:rsidRPr="00000000" w14:paraId="0000032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Clearly identified</w:t>
            </w:r>
          </w:p>
        </w:tc>
        <w:tc>
          <w:tcPr/>
          <w:p w:rsidR="00000000" w:rsidDel="00000000" w:rsidP="00000000" w:rsidRDefault="00000000" w:rsidRPr="00000000" w14:paraId="0000032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Logically presented and clear</w:t>
            </w:r>
          </w:p>
        </w:tc>
        <w:tc>
          <w:tcPr/>
          <w:p w:rsidR="00000000" w:rsidDel="00000000" w:rsidP="00000000" w:rsidRDefault="00000000" w:rsidRPr="00000000" w14:paraId="0000032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Majority of research from 2015-2021</w:t>
            </w:r>
          </w:p>
        </w:tc>
        <w:tc>
          <w:tcPr/>
          <w:p w:rsidR="00000000" w:rsidDel="00000000" w:rsidP="00000000" w:rsidRDefault="00000000" w:rsidRPr="00000000" w14:paraId="00000326">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Identified and clear: Investigating stigma and unmet healthcare needs</w:t>
            </w:r>
          </w:p>
        </w:tc>
        <w:tc>
          <w:tcPr/>
          <w:p w:rsidR="00000000" w:rsidDel="00000000" w:rsidP="00000000" w:rsidRDefault="00000000" w:rsidRPr="00000000" w14:paraId="00000327">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Clear and identified: Quantitative analysis of stigma and unmet needs</w:t>
            </w:r>
          </w:p>
        </w:tc>
      </w:tr>
      <w:tr>
        <w:trPr>
          <w:cantSplit w:val="0"/>
          <w:trHeight w:val="300" w:hRule="atLeast"/>
          <w:tblHeader w:val="0"/>
        </w:trPr>
        <w:tc>
          <w:tcPr/>
          <w:p w:rsidR="00000000" w:rsidDel="00000000" w:rsidP="00000000" w:rsidRDefault="00000000" w:rsidRPr="00000000" w14:paraId="00000328">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Vaughan et al. (2020)</w:t>
            </w:r>
          </w:p>
        </w:tc>
        <w:tc>
          <w:tcPr/>
          <w:p w:rsidR="00000000" w:rsidDel="00000000" w:rsidP="00000000" w:rsidRDefault="00000000" w:rsidRPr="00000000" w14:paraId="00000329">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Experiences of Stigma in Healthcare Settings in Ireland</w:t>
            </w:r>
          </w:p>
        </w:tc>
        <w:tc>
          <w:tcPr/>
          <w:p w:rsidR="00000000" w:rsidDel="00000000" w:rsidP="00000000" w:rsidRDefault="00000000" w:rsidRPr="00000000" w14:paraId="0000032A">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Clearly identified</w:t>
            </w:r>
          </w:p>
        </w:tc>
        <w:tc>
          <w:tcPr/>
          <w:p w:rsidR="00000000" w:rsidDel="00000000" w:rsidP="00000000" w:rsidRDefault="00000000" w:rsidRPr="00000000" w14:paraId="0000032B">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Logically presented and clear</w:t>
            </w:r>
          </w:p>
        </w:tc>
        <w:tc>
          <w:tcPr/>
          <w:p w:rsidR="00000000" w:rsidDel="00000000" w:rsidP="00000000" w:rsidRDefault="00000000" w:rsidRPr="00000000" w14:paraId="0000032C">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Majority of research from 2009-2021</w:t>
            </w:r>
          </w:p>
        </w:tc>
        <w:tc>
          <w:tcPr/>
          <w:p w:rsidR="00000000" w:rsidDel="00000000" w:rsidP="00000000" w:rsidRDefault="00000000" w:rsidRPr="00000000" w14:paraId="0000032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Identified and clear: Exploring stigma and mental health care in Ireland</w:t>
            </w:r>
          </w:p>
        </w:tc>
        <w:tc>
          <w:tcPr/>
          <w:p w:rsidR="00000000" w:rsidDel="00000000" w:rsidP="00000000" w:rsidRDefault="00000000" w:rsidRPr="00000000" w14:paraId="0000032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Clear and identified: Thematic analysis of stigma and care in healthcare</w:t>
            </w:r>
          </w:p>
        </w:tc>
      </w:tr>
      <w:tr>
        <w:trPr>
          <w:cantSplit w:val="0"/>
          <w:trHeight w:val="300" w:hRule="atLeast"/>
          <w:tblHeader w:val="0"/>
        </w:trPr>
        <w:tc>
          <w:tcPr/>
          <w:p w:rsidR="00000000" w:rsidDel="00000000" w:rsidP="00000000" w:rsidRDefault="00000000" w:rsidRPr="00000000" w14:paraId="0000032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Pollard et al. (2018)</w:t>
            </w:r>
          </w:p>
        </w:tc>
        <w:tc>
          <w:tcPr/>
          <w:p w:rsidR="00000000" w:rsidDel="00000000" w:rsidP="00000000" w:rsidRDefault="00000000" w:rsidRPr="00000000" w14:paraId="00000330">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Patients' Perspectives on HIV Services for Ageing Population</w:t>
            </w:r>
          </w:p>
        </w:tc>
        <w:tc>
          <w:tcPr/>
          <w:p w:rsidR="00000000" w:rsidDel="00000000" w:rsidP="00000000" w:rsidRDefault="00000000" w:rsidRPr="00000000" w14:paraId="0000033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Clearly identified</w:t>
            </w:r>
          </w:p>
        </w:tc>
        <w:tc>
          <w:tcPr/>
          <w:p w:rsidR="00000000" w:rsidDel="00000000" w:rsidP="00000000" w:rsidRDefault="00000000" w:rsidRPr="00000000" w14:paraId="00000332">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Logically presented and clear</w:t>
            </w:r>
          </w:p>
        </w:tc>
        <w:tc>
          <w:tcPr/>
          <w:p w:rsidR="00000000" w:rsidDel="00000000" w:rsidP="00000000" w:rsidRDefault="00000000" w:rsidRPr="00000000" w14:paraId="00000333">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Majority of research from 2010-2021</w:t>
            </w:r>
          </w:p>
        </w:tc>
        <w:tc>
          <w:tcPr/>
          <w:p w:rsidR="00000000" w:rsidDel="00000000" w:rsidP="00000000" w:rsidRDefault="00000000" w:rsidRPr="00000000" w14:paraId="00000334">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Identified and clear: Addressing ageing HIV care challenges</w:t>
            </w:r>
          </w:p>
        </w:tc>
        <w:tc>
          <w:tcPr/>
          <w:p w:rsidR="00000000" w:rsidDel="00000000" w:rsidP="00000000" w:rsidRDefault="00000000" w:rsidRPr="00000000" w14:paraId="00000335">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Clear and identified: Analysis of ageing HIV service needs</w:t>
            </w:r>
          </w:p>
        </w:tc>
      </w:tr>
    </w:tbl>
    <w:p w:rsidR="00000000" w:rsidDel="00000000" w:rsidP="00000000" w:rsidRDefault="00000000" w:rsidRPr="00000000" w14:paraId="0000033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center"/>
        <w:rPr>
          <w:rFonts w:ascii="Arial" w:cs="Arial" w:eastAsia="Arial" w:hAnsi="Arial"/>
          <w:b w:val="0"/>
          <w:bCs w:val="0"/>
          <w:i w:val="1"/>
          <w:iCs w:val="1"/>
          <w:smallCaps w:val="1"/>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37">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8">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9">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A">
      <w:pPr>
        <w:spacing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B">
      <w:pPr>
        <w:spacing w:line="360" w:lineRule="auto"/>
        <w:rPr>
          <w:rFonts w:ascii="Arial" w:cs="Arial" w:eastAsia="Arial" w:hAnsi="Arial"/>
          <w:b w:val="1"/>
          <w:bCs w:val="1"/>
          <w:sz w:val="22"/>
          <w:szCs w:val="22"/>
        </w:rPr>
      </w:pPr>
      <w:bookmarkStart w:colFirst="0" w:colLast="0" w:name="_heading=h.3e8kkaipxicz" w:id="90"/>
      <w:bookmarkEnd w:id="90"/>
      <w:r w:rsidDel="00000000" w:rsidR="00000000" w:rsidRPr="00000000">
        <w:rPr>
          <w:rtl w:val="0"/>
        </w:rPr>
      </w:r>
    </w:p>
    <w:p w:rsidR="00000000" w:rsidDel="00000000" w:rsidP="00000000" w:rsidRDefault="00000000" w:rsidRPr="00000000" w14:paraId="0000033C">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left"/>
        <w:rPr>
          <w:rFonts w:ascii="Arial" w:cs="Arial" w:eastAsia="Arial" w:hAnsi="Arial"/>
          <w:b w:val="1"/>
          <w:bCs w:val="1"/>
          <w:i w:val="0"/>
          <w:iCs w:val="0"/>
          <w:smallCaps w:val="1"/>
          <w:strike w:val="0"/>
          <w:color w:val="000000"/>
          <w:sz w:val="22"/>
          <w:szCs w:val="22"/>
          <w:u w:val="none"/>
          <w:shd w:fill="auto" w:val="clear"/>
          <w:vertAlign w:val="baseline"/>
        </w:rPr>
      </w:pPr>
      <w:bookmarkStart w:colFirst="0" w:colLast="0" w:name="_heading=h.vw1tbdm324l7" w:id="91"/>
      <w:bookmarkEnd w:id="91"/>
      <w:r w:rsidDel="00000000" w:rsidR="00000000" w:rsidRPr="00000000">
        <w:rPr>
          <w:rtl w:val="0"/>
        </w:rPr>
      </w:r>
    </w:p>
    <w:p w:rsidR="00000000" w:rsidDel="00000000" w:rsidP="00000000" w:rsidRDefault="00000000" w:rsidRPr="00000000" w14:paraId="0000033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left"/>
        <w:rPr>
          <w:rFonts w:ascii="Arial" w:cs="Arial" w:eastAsia="Arial" w:hAnsi="Arial"/>
          <w:b w:val="0"/>
          <w:bCs w:val="0"/>
          <w:i w:val="1"/>
          <w:iCs w:val="1"/>
          <w:smallCaps w:val="1"/>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1"/>
          <w:strike w:val="0"/>
          <w:color w:val="000000"/>
          <w:sz w:val="22"/>
          <w:szCs w:val="22"/>
          <w:u w:val="none"/>
          <w:shd w:fill="auto" w:val="clear"/>
          <w:vertAlign w:val="baseline"/>
          <w:rtl w:val="0"/>
        </w:rPr>
        <w:t xml:space="preserve">Table 5 Characteristics of Included Studies</w:t>
      </w:r>
      <w:r w:rsidDel="00000000" w:rsidR="00000000" w:rsidRPr="00000000">
        <w:rPr>
          <w:rtl w:val="0"/>
        </w:rPr>
      </w:r>
    </w:p>
    <w:tbl>
      <w:tblPr>
        <w:tblStyle w:val="Table5"/>
        <w:tblW w:w="10525.0" w:type="dxa"/>
        <w:jc w:val="center"/>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A0"/>
      </w:tblPr>
      <w:tblGrid>
        <w:gridCol w:w="1500"/>
        <w:gridCol w:w="1616"/>
        <w:gridCol w:w="1286"/>
        <w:gridCol w:w="1376"/>
        <w:gridCol w:w="2430"/>
        <w:gridCol w:w="2317"/>
        <w:tblGridChange w:id="0">
          <w:tblGrid>
            <w:gridCol w:w="1500"/>
            <w:gridCol w:w="1616"/>
            <w:gridCol w:w="1286"/>
            <w:gridCol w:w="1376"/>
            <w:gridCol w:w="2430"/>
            <w:gridCol w:w="2317"/>
          </w:tblGrid>
        </w:tblGridChange>
      </w:tblGrid>
      <w:tr>
        <w:trPr>
          <w:cantSplit w:val="0"/>
          <w:tblHeader w:val="0"/>
        </w:trPr>
        <w:tc>
          <w:tcPr/>
          <w:p w:rsidR="00000000" w:rsidDel="00000000" w:rsidP="00000000" w:rsidRDefault="00000000" w:rsidRPr="00000000" w14:paraId="0000033E">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Author(s)</w:t>
            </w:r>
          </w:p>
        </w:tc>
        <w:tc>
          <w:tcPr/>
          <w:p w:rsidR="00000000" w:rsidDel="00000000" w:rsidP="00000000" w:rsidRDefault="00000000" w:rsidRPr="00000000" w14:paraId="0000033F">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Country / Setting</w:t>
            </w:r>
          </w:p>
        </w:tc>
        <w:tc>
          <w:tcPr/>
          <w:p w:rsidR="00000000" w:rsidDel="00000000" w:rsidP="00000000" w:rsidRDefault="00000000" w:rsidRPr="00000000" w14:paraId="00000340">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Study Design</w:t>
            </w:r>
          </w:p>
        </w:tc>
        <w:tc>
          <w:tcPr/>
          <w:p w:rsidR="00000000" w:rsidDel="00000000" w:rsidP="00000000" w:rsidRDefault="00000000" w:rsidRPr="00000000" w14:paraId="00000341">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Sample Size</w:t>
            </w:r>
          </w:p>
        </w:tc>
        <w:tc>
          <w:tcPr/>
          <w:p w:rsidR="00000000" w:rsidDel="00000000" w:rsidP="00000000" w:rsidRDefault="00000000" w:rsidRPr="00000000" w14:paraId="00000342">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Group</w:t>
            </w:r>
          </w:p>
        </w:tc>
        <w:tc>
          <w:tcPr/>
          <w:p w:rsidR="00000000" w:rsidDel="00000000" w:rsidP="00000000" w:rsidRDefault="00000000" w:rsidRPr="00000000" w14:paraId="00000343">
            <w:pPr>
              <w:spacing w:line="36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Data Collection Method</w:t>
            </w:r>
          </w:p>
        </w:tc>
      </w:tr>
      <w:tr>
        <w:trPr>
          <w:cantSplit w:val="0"/>
          <w:tblHeader w:val="0"/>
        </w:trPr>
        <w:tc>
          <w:tcPr/>
          <w:p w:rsidR="00000000" w:rsidDel="00000000" w:rsidP="00000000" w:rsidRDefault="00000000" w:rsidRPr="00000000" w14:paraId="0000034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Bruton et al.</w:t>
            </w:r>
          </w:p>
        </w:tc>
        <w:tc>
          <w:tcPr/>
          <w:p w:rsidR="00000000" w:rsidDel="00000000" w:rsidP="00000000" w:rsidRDefault="00000000" w:rsidRPr="00000000" w14:paraId="00000345">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London, UK</w:t>
            </w:r>
          </w:p>
        </w:tc>
        <w:tc>
          <w:tcPr/>
          <w:p w:rsidR="00000000" w:rsidDel="00000000" w:rsidP="00000000" w:rsidRDefault="00000000" w:rsidRPr="00000000" w14:paraId="0000034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Qualitative</w:t>
            </w:r>
          </w:p>
        </w:tc>
        <w:tc>
          <w:tcPr/>
          <w:p w:rsidR="00000000" w:rsidDel="00000000" w:rsidP="00000000" w:rsidRDefault="00000000" w:rsidRPr="00000000" w14:paraId="0000034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52</w:t>
            </w:r>
          </w:p>
        </w:tc>
        <w:tc>
          <w:tcPr/>
          <w:p w:rsidR="00000000" w:rsidDel="00000000" w:rsidP="00000000" w:rsidRDefault="00000000" w:rsidRPr="00000000" w14:paraId="00000348">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People living with HIV</w:t>
            </w:r>
          </w:p>
        </w:tc>
        <w:tc>
          <w:tcPr/>
          <w:p w:rsidR="00000000" w:rsidDel="00000000" w:rsidP="00000000" w:rsidRDefault="00000000" w:rsidRPr="00000000" w14:paraId="00000349">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Semi-structured interviews</w:t>
            </w:r>
          </w:p>
        </w:tc>
      </w:tr>
      <w:tr>
        <w:trPr>
          <w:cantSplit w:val="0"/>
          <w:tblHeader w:val="0"/>
        </w:trPr>
        <w:tc>
          <w:tcPr/>
          <w:p w:rsidR="00000000" w:rsidDel="00000000" w:rsidP="00000000" w:rsidRDefault="00000000" w:rsidRPr="00000000" w14:paraId="0000034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Hedge et al.</w:t>
            </w:r>
          </w:p>
        </w:tc>
        <w:tc>
          <w:tcPr/>
          <w:p w:rsidR="00000000" w:rsidDel="00000000" w:rsidP="00000000" w:rsidRDefault="00000000" w:rsidRPr="00000000" w14:paraId="0000034B">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UK</w:t>
            </w:r>
          </w:p>
        </w:tc>
        <w:tc>
          <w:tcPr/>
          <w:p w:rsidR="00000000" w:rsidDel="00000000" w:rsidP="00000000" w:rsidRDefault="00000000" w:rsidRPr="00000000" w14:paraId="0000034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Qualitative</w:t>
            </w:r>
          </w:p>
        </w:tc>
        <w:tc>
          <w:tcPr/>
          <w:p w:rsidR="00000000" w:rsidDel="00000000" w:rsidP="00000000" w:rsidRDefault="00000000" w:rsidRPr="00000000" w14:paraId="0000034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53</w:t>
            </w:r>
          </w:p>
        </w:tc>
        <w:tc>
          <w:tcPr/>
          <w:p w:rsidR="00000000" w:rsidDel="00000000" w:rsidP="00000000" w:rsidRDefault="00000000" w:rsidRPr="00000000" w14:paraId="0000034E">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PLWH, care workers, activists</w:t>
            </w:r>
          </w:p>
        </w:tc>
        <w:tc>
          <w:tcPr/>
          <w:p w:rsidR="00000000" w:rsidDel="00000000" w:rsidP="00000000" w:rsidRDefault="00000000" w:rsidRPr="00000000" w14:paraId="0000034F">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Interviews</w:t>
            </w:r>
          </w:p>
        </w:tc>
      </w:tr>
      <w:tr>
        <w:trPr>
          <w:cantSplit w:val="0"/>
          <w:tblHeader w:val="0"/>
        </w:trPr>
        <w:tc>
          <w:tcPr/>
          <w:p w:rsidR="00000000" w:rsidDel="00000000" w:rsidP="00000000" w:rsidRDefault="00000000" w:rsidRPr="00000000" w14:paraId="0000035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Kasadha et al.</w:t>
            </w:r>
          </w:p>
        </w:tc>
        <w:tc>
          <w:tcPr/>
          <w:p w:rsidR="00000000" w:rsidDel="00000000" w:rsidP="00000000" w:rsidRDefault="00000000" w:rsidRPr="00000000" w14:paraId="00000351">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UK</w:t>
            </w:r>
          </w:p>
        </w:tc>
        <w:tc>
          <w:tcPr/>
          <w:p w:rsidR="00000000" w:rsidDel="00000000" w:rsidP="00000000" w:rsidRDefault="00000000" w:rsidRPr="00000000" w14:paraId="0000035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Qualitative</w:t>
            </w:r>
          </w:p>
        </w:tc>
        <w:tc>
          <w:tcPr/>
          <w:p w:rsidR="00000000" w:rsidDel="00000000" w:rsidP="00000000" w:rsidRDefault="00000000" w:rsidRPr="00000000" w14:paraId="0000035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36</w:t>
            </w:r>
          </w:p>
        </w:tc>
        <w:tc>
          <w:tcPr/>
          <w:p w:rsidR="00000000" w:rsidDel="00000000" w:rsidP="00000000" w:rsidRDefault="00000000" w:rsidRPr="00000000" w14:paraId="0000035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Pregnant or postpartum women with HIV</w:t>
            </w:r>
          </w:p>
        </w:tc>
        <w:tc>
          <w:tcPr/>
          <w:p w:rsidR="00000000" w:rsidDel="00000000" w:rsidP="00000000" w:rsidRDefault="00000000" w:rsidRPr="00000000" w14:paraId="00000355">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Semi-structured interviews</w:t>
            </w:r>
          </w:p>
        </w:tc>
      </w:tr>
      <w:tr>
        <w:trPr>
          <w:cantSplit w:val="0"/>
          <w:tblHeader w:val="0"/>
        </w:trPr>
        <w:tc>
          <w:tcPr/>
          <w:p w:rsidR="00000000" w:rsidDel="00000000" w:rsidP="00000000" w:rsidRDefault="00000000" w:rsidRPr="00000000" w14:paraId="0000035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Jones et al.</w:t>
            </w:r>
          </w:p>
        </w:tc>
        <w:tc>
          <w:tcPr/>
          <w:p w:rsidR="00000000" w:rsidDel="00000000" w:rsidP="00000000" w:rsidRDefault="00000000" w:rsidRPr="00000000" w14:paraId="0000035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England, UK</w:t>
            </w:r>
          </w:p>
        </w:tc>
        <w:tc>
          <w:tcPr/>
          <w:p w:rsidR="00000000" w:rsidDel="00000000" w:rsidP="00000000" w:rsidRDefault="00000000" w:rsidRPr="00000000" w14:paraId="00000358">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Qualitative</w:t>
            </w:r>
          </w:p>
        </w:tc>
        <w:tc>
          <w:tcPr/>
          <w:p w:rsidR="00000000" w:rsidDel="00000000" w:rsidP="00000000" w:rsidRDefault="00000000" w:rsidRPr="00000000" w14:paraId="00000359">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p w:rsidR="00000000" w:rsidDel="00000000" w:rsidP="00000000" w:rsidRDefault="00000000" w:rsidRPr="00000000" w14:paraId="0000035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African and Caribbean women</w:t>
            </w:r>
          </w:p>
        </w:tc>
        <w:tc>
          <w:tcPr/>
          <w:p w:rsidR="00000000" w:rsidDel="00000000" w:rsidP="00000000" w:rsidRDefault="00000000" w:rsidRPr="00000000" w14:paraId="0000035B">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Focus groups and interviews</w:t>
            </w:r>
          </w:p>
        </w:tc>
      </w:tr>
      <w:tr>
        <w:trPr>
          <w:cantSplit w:val="0"/>
          <w:tblHeader w:val="0"/>
        </w:trPr>
        <w:tc>
          <w:tcPr/>
          <w:p w:rsidR="00000000" w:rsidDel="00000000" w:rsidP="00000000" w:rsidRDefault="00000000" w:rsidRPr="00000000" w14:paraId="0000035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Youssef et al.</w:t>
            </w:r>
          </w:p>
        </w:tc>
        <w:tc>
          <w:tcPr/>
          <w:p w:rsidR="00000000" w:rsidDel="00000000" w:rsidP="00000000" w:rsidRDefault="00000000" w:rsidRPr="00000000" w14:paraId="0000035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UK</w:t>
            </w:r>
          </w:p>
        </w:tc>
        <w:tc>
          <w:tcPr/>
          <w:p w:rsidR="00000000" w:rsidDel="00000000" w:rsidP="00000000" w:rsidRDefault="00000000" w:rsidRPr="00000000" w14:paraId="0000035E">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Qualitative</w:t>
            </w:r>
          </w:p>
        </w:tc>
        <w:tc>
          <w:tcPr/>
          <w:p w:rsidR="00000000" w:rsidDel="00000000" w:rsidP="00000000" w:rsidRDefault="00000000" w:rsidRPr="00000000" w14:paraId="0000035F">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NR</w:t>
            </w:r>
          </w:p>
        </w:tc>
        <w:tc>
          <w:tcPr/>
          <w:p w:rsidR="00000000" w:rsidDel="00000000" w:rsidP="00000000" w:rsidRDefault="00000000" w:rsidRPr="00000000" w14:paraId="00000360">
            <w:pPr>
              <w:spacing w:line="360" w:lineRule="auto"/>
              <w:jc w:val="both"/>
              <w:rPr>
                <w:rFonts w:ascii="Arial" w:cs="Arial" w:eastAsia="Arial" w:hAnsi="Arial"/>
                <w:sz w:val="22"/>
                <w:szCs w:val="22"/>
              </w:rPr>
            </w:pPr>
            <w:sdt>
              <w:sdtPr>
                <w:id w:val="-1349294910"/>
                <w:tag w:val="goog_rdk_2"/>
              </w:sdtPr>
              <w:sdtContent>
                <w:r w:rsidDel="00000000" w:rsidR="00000000" w:rsidRPr="00000000">
                  <w:rPr>
                    <w:rFonts w:ascii="Arial Unicode MS" w:cs="Arial Unicode MS" w:eastAsia="Arial Unicode MS" w:hAnsi="Arial Unicode MS"/>
                    <w:sz w:val="22"/>
                    <w:szCs w:val="22"/>
                    <w:rtl w:val="0"/>
                  </w:rPr>
                  <w:t xml:space="preserve">Adults aged ≥50 years</w:t>
                </w:r>
              </w:sdtContent>
            </w:sdt>
          </w:p>
        </w:tc>
        <w:tc>
          <w:tcPr/>
          <w:p w:rsidR="00000000" w:rsidDel="00000000" w:rsidP="00000000" w:rsidRDefault="00000000" w:rsidRPr="00000000" w14:paraId="00000361">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Interviews</w:t>
            </w:r>
          </w:p>
        </w:tc>
      </w:tr>
      <w:tr>
        <w:trPr>
          <w:cantSplit w:val="0"/>
          <w:tblHeader w:val="0"/>
        </w:trPr>
        <w:tc>
          <w:tcPr/>
          <w:p w:rsidR="00000000" w:rsidDel="00000000" w:rsidP="00000000" w:rsidRDefault="00000000" w:rsidRPr="00000000" w14:paraId="0000036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Glendinning et al.</w:t>
            </w:r>
          </w:p>
        </w:tc>
        <w:tc>
          <w:tcPr/>
          <w:p w:rsidR="00000000" w:rsidDel="00000000" w:rsidP="00000000" w:rsidRDefault="00000000" w:rsidRPr="00000000" w14:paraId="0000036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UK</w:t>
            </w:r>
          </w:p>
        </w:tc>
        <w:tc>
          <w:tcPr/>
          <w:p w:rsidR="00000000" w:rsidDel="00000000" w:rsidP="00000000" w:rsidRDefault="00000000" w:rsidRPr="00000000" w14:paraId="0000036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Qualitative</w:t>
            </w:r>
          </w:p>
        </w:tc>
        <w:tc>
          <w:tcPr/>
          <w:p w:rsidR="00000000" w:rsidDel="00000000" w:rsidP="00000000" w:rsidRDefault="00000000" w:rsidRPr="00000000" w14:paraId="00000365">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52</w:t>
            </w:r>
          </w:p>
        </w:tc>
        <w:tc>
          <w:tcPr/>
          <w:p w:rsidR="00000000" w:rsidDel="00000000" w:rsidP="00000000" w:rsidRDefault="00000000" w:rsidRPr="00000000" w14:paraId="0000036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Black African and Caribbean PLWH</w:t>
            </w:r>
          </w:p>
        </w:tc>
        <w:tc>
          <w:tcPr/>
          <w:p w:rsidR="00000000" w:rsidDel="00000000" w:rsidP="00000000" w:rsidRDefault="00000000" w:rsidRPr="00000000" w14:paraId="0000036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Interviews</w:t>
            </w:r>
          </w:p>
        </w:tc>
      </w:tr>
      <w:tr>
        <w:trPr>
          <w:cantSplit w:val="0"/>
          <w:tblHeader w:val="0"/>
        </w:trPr>
        <w:tc>
          <w:tcPr/>
          <w:p w:rsidR="00000000" w:rsidDel="00000000" w:rsidP="00000000" w:rsidRDefault="00000000" w:rsidRPr="00000000" w14:paraId="00000368">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Keogh et al.</w:t>
            </w:r>
          </w:p>
        </w:tc>
        <w:tc>
          <w:tcPr/>
          <w:p w:rsidR="00000000" w:rsidDel="00000000" w:rsidP="00000000" w:rsidRDefault="00000000" w:rsidRPr="00000000" w14:paraId="00000369">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London, UK</w:t>
            </w:r>
          </w:p>
        </w:tc>
        <w:tc>
          <w:tcPr/>
          <w:p w:rsidR="00000000" w:rsidDel="00000000" w:rsidP="00000000" w:rsidRDefault="00000000" w:rsidRPr="00000000" w14:paraId="0000036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Qualitative</w:t>
            </w:r>
          </w:p>
        </w:tc>
        <w:tc>
          <w:tcPr/>
          <w:p w:rsidR="00000000" w:rsidDel="00000000" w:rsidP="00000000" w:rsidRDefault="00000000" w:rsidRPr="00000000" w14:paraId="0000036B">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NR</w:t>
            </w:r>
          </w:p>
        </w:tc>
        <w:tc>
          <w:tcPr/>
          <w:p w:rsidR="00000000" w:rsidDel="00000000" w:rsidP="00000000" w:rsidRDefault="00000000" w:rsidRPr="00000000" w14:paraId="0000036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PLWH using GP services</w:t>
            </w:r>
          </w:p>
        </w:tc>
        <w:tc>
          <w:tcPr/>
          <w:p w:rsidR="00000000" w:rsidDel="00000000" w:rsidP="00000000" w:rsidRDefault="00000000" w:rsidRPr="00000000" w14:paraId="0000036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Focus groups</w:t>
            </w:r>
          </w:p>
        </w:tc>
      </w:tr>
      <w:tr>
        <w:trPr>
          <w:cantSplit w:val="0"/>
          <w:tblHeader w:val="0"/>
        </w:trPr>
        <w:tc>
          <w:tcPr/>
          <w:p w:rsidR="00000000" w:rsidDel="00000000" w:rsidP="00000000" w:rsidRDefault="00000000" w:rsidRPr="00000000" w14:paraId="0000036E">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Rai et al.</w:t>
            </w:r>
          </w:p>
        </w:tc>
        <w:tc>
          <w:tcPr/>
          <w:p w:rsidR="00000000" w:rsidDel="00000000" w:rsidP="00000000" w:rsidRDefault="00000000" w:rsidRPr="00000000" w14:paraId="0000036F">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UK</w:t>
            </w:r>
          </w:p>
        </w:tc>
        <w:tc>
          <w:tcPr/>
          <w:p w:rsidR="00000000" w:rsidDel="00000000" w:rsidP="00000000" w:rsidRDefault="00000000" w:rsidRPr="00000000" w14:paraId="0000037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Mixed methods</w:t>
            </w:r>
          </w:p>
        </w:tc>
        <w:tc>
          <w:tcPr/>
          <w:p w:rsidR="00000000" w:rsidDel="00000000" w:rsidP="00000000" w:rsidRDefault="00000000" w:rsidRPr="00000000" w14:paraId="00000371">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52 (interviews)</w:t>
            </w:r>
          </w:p>
        </w:tc>
        <w:tc>
          <w:tcPr/>
          <w:p w:rsidR="00000000" w:rsidDel="00000000" w:rsidP="00000000" w:rsidRDefault="00000000" w:rsidRPr="00000000" w14:paraId="0000037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PLWH accessing primary care</w:t>
            </w:r>
          </w:p>
        </w:tc>
        <w:tc>
          <w:tcPr/>
          <w:p w:rsidR="00000000" w:rsidDel="00000000" w:rsidP="00000000" w:rsidRDefault="00000000" w:rsidRPr="00000000" w14:paraId="0000037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Survey and interviews</w:t>
            </w:r>
          </w:p>
        </w:tc>
      </w:tr>
      <w:tr>
        <w:trPr>
          <w:cantSplit w:val="0"/>
          <w:tblHeader w:val="0"/>
        </w:trPr>
        <w:tc>
          <w:tcPr/>
          <w:p w:rsidR="00000000" w:rsidDel="00000000" w:rsidP="00000000" w:rsidRDefault="00000000" w:rsidRPr="00000000" w14:paraId="0000037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Ndirangu &amp; Evans</w:t>
            </w:r>
          </w:p>
        </w:tc>
        <w:tc>
          <w:tcPr/>
          <w:p w:rsidR="00000000" w:rsidDel="00000000" w:rsidP="00000000" w:rsidRDefault="00000000" w:rsidRPr="00000000" w14:paraId="00000375">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Nottingham, UK</w:t>
            </w:r>
          </w:p>
        </w:tc>
        <w:tc>
          <w:tcPr/>
          <w:p w:rsidR="00000000" w:rsidDel="00000000" w:rsidP="00000000" w:rsidRDefault="00000000" w:rsidRPr="00000000" w14:paraId="0000037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Qualitative</w:t>
            </w:r>
          </w:p>
        </w:tc>
        <w:tc>
          <w:tcPr/>
          <w:p w:rsidR="00000000" w:rsidDel="00000000" w:rsidP="00000000" w:rsidRDefault="00000000" w:rsidRPr="00000000" w14:paraId="0000037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p w:rsidR="00000000" w:rsidDel="00000000" w:rsidP="00000000" w:rsidRDefault="00000000" w:rsidRPr="00000000" w14:paraId="00000378">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African immigrant women with HIV</w:t>
            </w:r>
          </w:p>
        </w:tc>
        <w:tc>
          <w:tcPr/>
          <w:p w:rsidR="00000000" w:rsidDel="00000000" w:rsidP="00000000" w:rsidRDefault="00000000" w:rsidRPr="00000000" w14:paraId="00000379">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Interviews</w:t>
            </w:r>
          </w:p>
        </w:tc>
      </w:tr>
      <w:tr>
        <w:trPr>
          <w:cantSplit w:val="0"/>
          <w:tblHeader w:val="0"/>
        </w:trPr>
        <w:tc>
          <w:tcPr/>
          <w:p w:rsidR="00000000" w:rsidDel="00000000" w:rsidP="00000000" w:rsidRDefault="00000000" w:rsidRPr="00000000" w14:paraId="0000037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Wiginton et al.</w:t>
            </w:r>
          </w:p>
        </w:tc>
        <w:tc>
          <w:tcPr/>
          <w:p w:rsidR="00000000" w:rsidDel="00000000" w:rsidP="00000000" w:rsidRDefault="00000000" w:rsidRPr="00000000" w14:paraId="0000037B">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England &amp; Wales</w:t>
            </w:r>
          </w:p>
        </w:tc>
        <w:tc>
          <w:tcPr/>
          <w:p w:rsidR="00000000" w:rsidDel="00000000" w:rsidP="00000000" w:rsidRDefault="00000000" w:rsidRPr="00000000" w14:paraId="0000037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Mixed methods</w:t>
            </w:r>
          </w:p>
        </w:tc>
        <w:tc>
          <w:tcPr/>
          <w:p w:rsidR="00000000" w:rsidDel="00000000" w:rsidP="00000000" w:rsidRDefault="00000000" w:rsidRPr="00000000" w14:paraId="0000037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3,400+</w:t>
            </w:r>
          </w:p>
        </w:tc>
        <w:tc>
          <w:tcPr/>
          <w:p w:rsidR="00000000" w:rsidDel="00000000" w:rsidP="00000000" w:rsidRDefault="00000000" w:rsidRPr="00000000" w14:paraId="0000037E">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People living with HIV</w:t>
            </w:r>
          </w:p>
        </w:tc>
        <w:tc>
          <w:tcPr/>
          <w:p w:rsidR="00000000" w:rsidDel="00000000" w:rsidP="00000000" w:rsidRDefault="00000000" w:rsidRPr="00000000" w14:paraId="0000037F">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National survey and qualitative comments</w:t>
            </w:r>
          </w:p>
        </w:tc>
      </w:tr>
      <w:tr>
        <w:trPr>
          <w:cantSplit w:val="0"/>
          <w:tblHeader w:val="0"/>
        </w:trPr>
        <w:tc>
          <w:tcPr/>
          <w:p w:rsidR="00000000" w:rsidDel="00000000" w:rsidP="00000000" w:rsidRDefault="00000000" w:rsidRPr="00000000" w14:paraId="0000038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Vaughan et al.</w:t>
            </w:r>
          </w:p>
        </w:tc>
        <w:tc>
          <w:tcPr/>
          <w:p w:rsidR="00000000" w:rsidDel="00000000" w:rsidP="00000000" w:rsidRDefault="00000000" w:rsidRPr="00000000" w14:paraId="00000381">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Ireland</w:t>
            </w:r>
          </w:p>
        </w:tc>
        <w:tc>
          <w:tcPr/>
          <w:p w:rsidR="00000000" w:rsidDel="00000000" w:rsidP="00000000" w:rsidRDefault="00000000" w:rsidRPr="00000000" w14:paraId="0000038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Qualitative</w:t>
            </w:r>
          </w:p>
        </w:tc>
        <w:tc>
          <w:tcPr/>
          <w:p w:rsidR="00000000" w:rsidDel="00000000" w:rsidP="00000000" w:rsidRDefault="00000000" w:rsidRPr="00000000" w14:paraId="0000038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p w:rsidR="00000000" w:rsidDel="00000000" w:rsidP="00000000" w:rsidRDefault="00000000" w:rsidRPr="00000000" w14:paraId="0000038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Adults living with HIV</w:t>
            </w:r>
          </w:p>
        </w:tc>
        <w:tc>
          <w:tcPr/>
          <w:p w:rsidR="00000000" w:rsidDel="00000000" w:rsidP="00000000" w:rsidRDefault="00000000" w:rsidRPr="00000000" w14:paraId="00000385">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Semi-structured interviews</w:t>
            </w:r>
          </w:p>
        </w:tc>
      </w:tr>
      <w:tr>
        <w:trPr>
          <w:cantSplit w:val="0"/>
          <w:tblHeader w:val="0"/>
        </w:trPr>
        <w:tc>
          <w:tcPr/>
          <w:p w:rsidR="00000000" w:rsidDel="00000000" w:rsidP="00000000" w:rsidRDefault="00000000" w:rsidRPr="00000000" w14:paraId="0000038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Pollard et al.</w:t>
            </w:r>
          </w:p>
        </w:tc>
        <w:tc>
          <w:tcPr/>
          <w:p w:rsidR="00000000" w:rsidDel="00000000" w:rsidP="00000000" w:rsidRDefault="00000000" w:rsidRPr="00000000" w14:paraId="0000038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South-East England, UK</w:t>
            </w:r>
          </w:p>
        </w:tc>
        <w:tc>
          <w:tcPr/>
          <w:p w:rsidR="00000000" w:rsidDel="00000000" w:rsidP="00000000" w:rsidRDefault="00000000" w:rsidRPr="00000000" w14:paraId="00000388">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Qualitative</w:t>
            </w:r>
          </w:p>
        </w:tc>
        <w:tc>
          <w:tcPr/>
          <w:p w:rsidR="00000000" w:rsidDel="00000000" w:rsidP="00000000" w:rsidRDefault="00000000" w:rsidRPr="00000000" w14:paraId="00000389">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74</w:t>
            </w:r>
          </w:p>
        </w:tc>
        <w:tc>
          <w:tcPr/>
          <w:p w:rsidR="00000000" w:rsidDel="00000000" w:rsidP="00000000" w:rsidRDefault="00000000" w:rsidRPr="00000000" w14:paraId="0000038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Ageing people living with HIV</w:t>
            </w:r>
          </w:p>
        </w:tc>
        <w:tc>
          <w:tcPr/>
          <w:p w:rsidR="00000000" w:rsidDel="00000000" w:rsidP="00000000" w:rsidRDefault="00000000" w:rsidRPr="00000000" w14:paraId="0000038B">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Focus groups</w:t>
            </w:r>
          </w:p>
        </w:tc>
      </w:tr>
    </w:tbl>
    <w:p w:rsidR="00000000" w:rsidDel="00000000" w:rsidP="00000000" w:rsidRDefault="00000000" w:rsidRPr="00000000" w14:paraId="0000038C">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center"/>
        <w:rPr>
          <w:rFonts w:ascii="Calibri" w:cs="Calibri" w:eastAsia="Calibri" w:hAnsi="Calibri"/>
          <w:b w:val="0"/>
          <w:bCs w:val="0"/>
          <w:i w:val="1"/>
          <w:iCs w:val="1"/>
          <w:smallCaps w:val="1"/>
          <w:strike w:val="0"/>
          <w:color w:val="000000"/>
          <w:sz w:val="22"/>
          <w:szCs w:val="22"/>
          <w:u w:val="none"/>
          <w:shd w:fill="auto" w:val="clear"/>
          <w:vertAlign w:val="baseline"/>
        </w:rPr>
      </w:pPr>
      <w:r w:rsidDel="00000000" w:rsidR="00000000" w:rsidRPr="00000000">
        <w:rPr>
          <w:rtl w:val="0"/>
        </w:rPr>
      </w:r>
    </w:p>
    <w:sectPr>
      <w:footerReference r:id="rId9" w:type="default"/>
      <w:pgSz w:h="16838" w:w="11906" w:orient="portrait"/>
      <w:pgMar w:bottom="1134" w:top="1417" w:left="1417" w:right="1417"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Cambria"/>
  <w:font w:name="Arial"/>
  <w:font w:name="Arial Unicode MS"/>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8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120" w:before="0" w:line="264" w:lineRule="auto"/>
      <w:ind w:left="0" w:right="0" w:firstLine="0"/>
      <w:jc w:val="right"/>
      <w:rPr>
        <w:rFonts w:ascii="Calibri" w:cs="Calibri" w:eastAsia="Calibri" w:hAnsi="Calibri"/>
        <w:b w:val="0"/>
        <w:bCs w:val="0"/>
        <w:i w:val="0"/>
        <w:iCs w:val="0"/>
        <w:smallCaps w:val="0"/>
        <w:strike w:val="0"/>
        <w:color w:val="000000"/>
        <w:sz w:val="20"/>
        <w:szCs w:val="20"/>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38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120" w:before="0" w:line="264" w:lineRule="auto"/>
      <w:ind w:left="0" w:right="0" w:firstLine="0"/>
      <w:jc w:val="left"/>
      <w:rPr>
        <w:rFonts w:ascii="Calibri" w:cs="Calibri" w:eastAsia="Calibri" w:hAnsi="Calibri"/>
        <w:b w:val="0"/>
        <w:bCs w:val="0"/>
        <w:i w:val="0"/>
        <w:iCs w:val="0"/>
        <w:smallCaps w:val="0"/>
        <w:strike w:val="0"/>
        <w:color w:val="000000"/>
        <w:sz w:val="20"/>
        <w:szCs w:val="20"/>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decimal"/>
      <w:lvlText w:val="%1."/>
      <w:lvlJc w:val="left"/>
      <w:pPr>
        <w:ind w:left="720" w:hanging="360"/>
      </w:pPr>
      <w:rPr/>
    </w:lvl>
    <w:lvl w:ilvl="1">
      <w:start w:val="1"/>
      <w:numFmt w:val="decimal"/>
      <w:lvlText w:val="4.%2."/>
      <w:lvlJc w:val="left"/>
      <w:pPr>
        <w:ind w:left="1080" w:hanging="720"/>
      </w:pPr>
      <w:rPr/>
    </w:lvl>
    <w:lvl w:ilvl="2">
      <w:start w:val="1"/>
      <w:numFmt w:val="decimal"/>
      <w:lvlText w:val="4.%2.%3."/>
      <w:lvlJc w:val="left"/>
      <w:pPr>
        <w:ind w:left="1080" w:hanging="720"/>
      </w:pPr>
      <w:rPr/>
    </w:lvl>
    <w:lvl w:ilvl="3">
      <w:start w:val="1"/>
      <w:numFmt w:val="decimal"/>
      <w:lvlText w:val="%1.%2.%3.%4."/>
      <w:lvlJc w:val="left"/>
      <w:pPr>
        <w:ind w:left="1440" w:hanging="1080"/>
      </w:pPr>
      <w:rPr/>
    </w:lvl>
    <w:lvl w:ilvl="4">
      <w:start w:val="1"/>
      <w:numFmt w:val="decimal"/>
      <w:lvlText w:val="%1.%2.%3.%4.%5."/>
      <w:lvlJc w:val="left"/>
      <w:pPr>
        <w:ind w:left="1800" w:hanging="1440"/>
      </w:pPr>
      <w:rPr/>
    </w:lvl>
    <w:lvl w:ilvl="5">
      <w:start w:val="1"/>
      <w:numFmt w:val="decimal"/>
      <w:lvlText w:val="%1.%2.%3.%4.%5.%6."/>
      <w:lvlJc w:val="left"/>
      <w:pPr>
        <w:ind w:left="1800" w:hanging="1440"/>
      </w:pPr>
      <w:rPr/>
    </w:lvl>
    <w:lvl w:ilvl="6">
      <w:start w:val="1"/>
      <w:numFmt w:val="decimal"/>
      <w:lvlText w:val="%1.%2.%3.%4.%5.%6.%7."/>
      <w:lvlJc w:val="left"/>
      <w:pPr>
        <w:ind w:left="2160" w:hanging="1800"/>
      </w:pPr>
      <w:rPr/>
    </w:lvl>
    <w:lvl w:ilvl="7">
      <w:start w:val="1"/>
      <w:numFmt w:val="decimal"/>
      <w:lvlText w:val="%1.%2.%3.%4.%5.%6.%7.%8."/>
      <w:lvlJc w:val="left"/>
      <w:pPr>
        <w:ind w:left="2520" w:hanging="2160"/>
      </w:pPr>
      <w:rPr/>
    </w:lvl>
    <w:lvl w:ilvl="8">
      <w:start w:val="1"/>
      <w:numFmt w:val="decimal"/>
      <w:lvlText w:val="%1.%2.%3.%4.%5.%6.%7.%8.%9."/>
      <w:lvlJc w:val="left"/>
      <w:pPr>
        <w:ind w:left="2520" w:hanging="2160"/>
      </w:pPr>
      <w:rPr/>
    </w:lvl>
  </w:abstractNum>
  <w:abstractNum w:abstractNumId="3">
    <w:lvl w:ilvl="0">
      <w:start w:val="5"/>
      <w:numFmt w:val="decimal"/>
      <w:lvlText w:val="%1."/>
      <w:lvlJc w:val="left"/>
      <w:pPr>
        <w:ind w:left="580" w:hanging="360"/>
      </w:pPr>
      <w:rPr/>
    </w:lvl>
    <w:lvl w:ilvl="1">
      <w:start w:val="1"/>
      <w:numFmt w:val="decimal"/>
      <w:lvlText w:val="%1.%2."/>
      <w:lvlJc w:val="left"/>
      <w:pPr>
        <w:ind w:left="940" w:hanging="720"/>
      </w:pPr>
      <w:rPr>
        <w:b w:val="1"/>
        <w:bCs w:val="1"/>
      </w:rPr>
    </w:lvl>
    <w:lvl w:ilvl="2">
      <w:start w:val="1"/>
      <w:numFmt w:val="decimal"/>
      <w:lvlText w:val="%1.%2.%3."/>
      <w:lvlJc w:val="left"/>
      <w:pPr>
        <w:ind w:left="940" w:hanging="720"/>
      </w:pPr>
      <w:rPr/>
    </w:lvl>
    <w:lvl w:ilvl="3">
      <w:start w:val="1"/>
      <w:numFmt w:val="decimal"/>
      <w:lvlText w:val="%1.%2.%3.%4."/>
      <w:lvlJc w:val="left"/>
      <w:pPr>
        <w:ind w:left="1300" w:hanging="1080"/>
      </w:pPr>
      <w:rPr/>
    </w:lvl>
    <w:lvl w:ilvl="4">
      <w:start w:val="1"/>
      <w:numFmt w:val="decimal"/>
      <w:lvlText w:val="%1.%2.%3.%4.%5."/>
      <w:lvlJc w:val="left"/>
      <w:pPr>
        <w:ind w:left="1300" w:hanging="1080"/>
      </w:pPr>
      <w:rPr/>
    </w:lvl>
    <w:lvl w:ilvl="5">
      <w:start w:val="1"/>
      <w:numFmt w:val="decimal"/>
      <w:lvlText w:val="%1.%2.%3.%4.%5.%6."/>
      <w:lvlJc w:val="left"/>
      <w:pPr>
        <w:ind w:left="1660" w:hanging="1440"/>
      </w:pPr>
      <w:rPr/>
    </w:lvl>
    <w:lvl w:ilvl="6">
      <w:start w:val="1"/>
      <w:numFmt w:val="decimal"/>
      <w:lvlText w:val="%1.%2.%3.%4.%5.%6.%7."/>
      <w:lvlJc w:val="left"/>
      <w:pPr>
        <w:ind w:left="2020" w:hanging="1800"/>
      </w:pPr>
      <w:rPr/>
    </w:lvl>
    <w:lvl w:ilvl="7">
      <w:start w:val="1"/>
      <w:numFmt w:val="decimal"/>
      <w:lvlText w:val="%1.%2.%3.%4.%5.%6.%7.%8."/>
      <w:lvlJc w:val="left"/>
      <w:pPr>
        <w:ind w:left="2020" w:hanging="1800"/>
      </w:pPr>
      <w:rPr/>
    </w:lvl>
    <w:lvl w:ilvl="8">
      <w:start w:val="1"/>
      <w:numFmt w:val="decimal"/>
      <w:lvlText w:val="%1.%2.%3.%4.%5.%6.%7.%8.%9."/>
      <w:lvlJc w:val="left"/>
      <w:pPr>
        <w:ind w:left="2380" w:hanging="2160"/>
      </w:pPr>
      <w:rPr/>
    </w:lvl>
  </w:abstractNum>
  <w:abstractNum w:abstractNumId="4">
    <w:lvl w:ilvl="0">
      <w:start w:val="1"/>
      <w:numFmt w:val="decimal"/>
      <w:lvlText w:val="%1."/>
      <w:lvlJc w:val="left"/>
      <w:pPr>
        <w:ind w:left="720" w:hanging="360"/>
      </w:pPr>
      <w:rPr/>
    </w:lvl>
    <w:lvl w:ilvl="1">
      <w:start w:val="1"/>
      <w:numFmt w:val="decimal"/>
      <w:lvlText w:val="%1.%2."/>
      <w:lvlJc w:val="left"/>
      <w:pPr>
        <w:ind w:left="1080" w:hanging="720"/>
      </w:pPr>
      <w:rPr>
        <w:b w:val="1"/>
        <w:bCs w:val="1"/>
      </w:rPr>
    </w:lvl>
    <w:lvl w:ilvl="2">
      <w:start w:val="1"/>
      <w:numFmt w:val="decimal"/>
      <w:lvlText w:val="%1.%2.%3."/>
      <w:lvlJc w:val="left"/>
      <w:pPr>
        <w:ind w:left="1080" w:hanging="720"/>
      </w:pPr>
      <w:rPr>
        <w:b w:val="1"/>
        <w:bCs w:val="1"/>
        <w:sz w:val="22"/>
        <w:szCs w:val="22"/>
      </w:rPr>
    </w:lvl>
    <w:lvl w:ilvl="3">
      <w:start w:val="1"/>
      <w:numFmt w:val="decimal"/>
      <w:lvlText w:val="%1.%2.%3.%4."/>
      <w:lvlJc w:val="left"/>
      <w:pPr>
        <w:ind w:left="1440" w:hanging="1080"/>
      </w:pPr>
      <w:rPr/>
    </w:lvl>
    <w:lvl w:ilvl="4">
      <w:start w:val="1"/>
      <w:numFmt w:val="decimal"/>
      <w:lvlText w:val="%1.%2.%3.%4.%5."/>
      <w:lvlJc w:val="left"/>
      <w:pPr>
        <w:ind w:left="1440" w:hanging="1080"/>
      </w:pPr>
      <w:rPr/>
    </w:lvl>
    <w:lvl w:ilvl="5">
      <w:start w:val="1"/>
      <w:numFmt w:val="decimal"/>
      <w:lvlText w:val="%1.%2.%3.%4.%5.%6."/>
      <w:lvlJc w:val="left"/>
      <w:pPr>
        <w:ind w:left="1800" w:hanging="1440"/>
      </w:pPr>
      <w:rPr/>
    </w:lvl>
    <w:lvl w:ilvl="6">
      <w:start w:val="1"/>
      <w:numFmt w:val="decimal"/>
      <w:lvlText w:val="%1.%2.%3.%4.%5.%6.%7."/>
      <w:lvlJc w:val="left"/>
      <w:pPr>
        <w:ind w:left="2160" w:hanging="1800"/>
      </w:pPr>
      <w:rPr/>
    </w:lvl>
    <w:lvl w:ilvl="7">
      <w:start w:val="1"/>
      <w:numFmt w:val="decimal"/>
      <w:lvlText w:val="%1.%2.%3.%4.%5.%6.%7.%8."/>
      <w:lvlJc w:val="left"/>
      <w:pPr>
        <w:ind w:left="2160" w:hanging="1800"/>
      </w:pPr>
      <w:rPr/>
    </w:lvl>
    <w:lvl w:ilvl="8">
      <w:start w:val="1"/>
      <w:numFmt w:val="decimal"/>
      <w:lvlText w:val="%1.%2.%3.%4.%5.%6.%7.%8.%9."/>
      <w:lvlJc w:val="left"/>
      <w:pPr>
        <w:ind w:left="2520" w:hanging="2160"/>
      </w:pPr>
      <w:rPr/>
    </w:lvl>
  </w:abstractNum>
  <w:abstractNum w:abstractNumId="5">
    <w:lvl w:ilvl="0">
      <w:start w:val="1"/>
      <w:numFmt w:val="decimal"/>
      <w:lvlText w:val=""/>
      <w:lvlJc w:val="left"/>
      <w:pPr>
        <w:ind w:left="720" w:hanging="360"/>
      </w:pPr>
      <w:rPr/>
    </w:lvl>
    <w:lvl w:ilvl="1">
      <w:start w:val="1"/>
      <w:numFmt w:val="decimal"/>
      <w:lvlText w:val="%1.%2."/>
      <w:lvlJc w:val="left"/>
      <w:pPr>
        <w:ind w:left="1080" w:hanging="720"/>
      </w:pPr>
      <w:rPr>
        <w:b w:val="1"/>
        <w:bCs w:val="1"/>
      </w:rPr>
    </w:lvl>
    <w:lvl w:ilvl="2">
      <w:start w:val="1"/>
      <w:numFmt w:val="decimal"/>
      <w:lvlText w:val="%1.%2.%3."/>
      <w:lvlJc w:val="left"/>
      <w:pPr>
        <w:ind w:left="1080" w:hanging="720"/>
      </w:pPr>
      <w:rPr>
        <w:b w:val="1"/>
        <w:bCs w:val="1"/>
        <w:sz w:val="22"/>
        <w:szCs w:val="22"/>
      </w:rPr>
    </w:lvl>
    <w:lvl w:ilvl="3">
      <w:start w:val="1"/>
      <w:numFmt w:val="decimal"/>
      <w:lvlText w:val="%1.%2.%3.%4."/>
      <w:lvlJc w:val="left"/>
      <w:pPr>
        <w:ind w:left="1440" w:hanging="1080"/>
      </w:pPr>
      <w:rPr/>
    </w:lvl>
    <w:lvl w:ilvl="4">
      <w:start w:val="1"/>
      <w:numFmt w:val="decimal"/>
      <w:lvlText w:val="%1.%2.%3.%4.%5."/>
      <w:lvlJc w:val="left"/>
      <w:pPr>
        <w:ind w:left="1440" w:hanging="1080"/>
      </w:pPr>
      <w:rPr/>
    </w:lvl>
    <w:lvl w:ilvl="5">
      <w:start w:val="1"/>
      <w:numFmt w:val="decimal"/>
      <w:lvlText w:val="%1.%2.%3.%4.%5.%6."/>
      <w:lvlJc w:val="left"/>
      <w:pPr>
        <w:ind w:left="1800" w:hanging="1440"/>
      </w:pPr>
      <w:rPr/>
    </w:lvl>
    <w:lvl w:ilvl="6">
      <w:start w:val="1"/>
      <w:numFmt w:val="decimal"/>
      <w:lvlText w:val="%1.%2.%3.%4.%5.%6.%7."/>
      <w:lvlJc w:val="left"/>
      <w:pPr>
        <w:ind w:left="2160" w:hanging="1800"/>
      </w:pPr>
      <w:rPr/>
    </w:lvl>
    <w:lvl w:ilvl="7">
      <w:start w:val="1"/>
      <w:numFmt w:val="decimal"/>
      <w:lvlText w:val="%1.%2.%3.%4.%5.%6.%7.%8."/>
      <w:lvlJc w:val="left"/>
      <w:pPr>
        <w:ind w:left="2160" w:hanging="1800"/>
      </w:pPr>
      <w:rPr/>
    </w:lvl>
    <w:lvl w:ilvl="8">
      <w:start w:val="1"/>
      <w:numFmt w:val="decimal"/>
      <w:lvlText w:val="%1.%2.%3.%4.%5.%6.%7.%8.%9."/>
      <w:lvlJc w:val="left"/>
      <w:pPr>
        <w:ind w:left="2520" w:hanging="2160"/>
      </w:pPr>
      <w:rPr/>
    </w:lvl>
  </w:abstractNum>
  <w:abstractNum w:abstractNumId="6">
    <w:lvl w:ilvl="0">
      <w:start w:val="1"/>
      <w:numFmt w:val="decimal"/>
      <w:lvlText w:val=""/>
      <w:lvlJc w:val="left"/>
      <w:pPr>
        <w:ind w:left="720" w:hanging="360"/>
      </w:pPr>
      <w:rPr/>
    </w:lvl>
    <w:lvl w:ilvl="1">
      <w:start w:val="1"/>
      <w:numFmt w:val="decimal"/>
      <w:lvlText w:val="%1.%2."/>
      <w:lvlJc w:val="left"/>
      <w:pPr>
        <w:ind w:left="1080" w:hanging="720"/>
      </w:pPr>
      <w:rPr>
        <w:b w:val="1"/>
        <w:bCs w:val="1"/>
      </w:rPr>
    </w:lvl>
    <w:lvl w:ilvl="2">
      <w:start w:val="1"/>
      <w:numFmt w:val="decimal"/>
      <w:lvlText w:val="%1.%2.%3."/>
      <w:lvlJc w:val="left"/>
      <w:pPr>
        <w:ind w:left="1080" w:hanging="720"/>
      </w:pPr>
      <w:rPr>
        <w:b w:val="1"/>
        <w:bCs w:val="1"/>
        <w:sz w:val="22"/>
        <w:szCs w:val="22"/>
      </w:rPr>
    </w:lvl>
    <w:lvl w:ilvl="3">
      <w:start w:val="1"/>
      <w:numFmt w:val="decimal"/>
      <w:lvlText w:val="%1.%2.%3.%4."/>
      <w:lvlJc w:val="left"/>
      <w:pPr>
        <w:ind w:left="1440" w:hanging="1080"/>
      </w:pPr>
      <w:rPr/>
    </w:lvl>
    <w:lvl w:ilvl="4">
      <w:start w:val="1"/>
      <w:numFmt w:val="decimal"/>
      <w:lvlText w:val="%1.%2.%3.%4.%5."/>
      <w:lvlJc w:val="left"/>
      <w:pPr>
        <w:ind w:left="1440" w:hanging="1080"/>
      </w:pPr>
      <w:rPr/>
    </w:lvl>
    <w:lvl w:ilvl="5">
      <w:start w:val="1"/>
      <w:numFmt w:val="decimal"/>
      <w:lvlText w:val="%1.%2.%3.%4.%5.%6."/>
      <w:lvlJc w:val="left"/>
      <w:pPr>
        <w:ind w:left="1800" w:hanging="1440"/>
      </w:pPr>
      <w:rPr/>
    </w:lvl>
    <w:lvl w:ilvl="6">
      <w:start w:val="1"/>
      <w:numFmt w:val="decimal"/>
      <w:lvlText w:val="%1.%2.%3.%4.%5.%6.%7."/>
      <w:lvlJc w:val="left"/>
      <w:pPr>
        <w:ind w:left="2160" w:hanging="1800"/>
      </w:pPr>
      <w:rPr/>
    </w:lvl>
    <w:lvl w:ilvl="7">
      <w:start w:val="1"/>
      <w:numFmt w:val="decimal"/>
      <w:lvlText w:val="%1.%2.%3.%4.%5.%6.%7.%8."/>
      <w:lvlJc w:val="left"/>
      <w:pPr>
        <w:ind w:left="2160" w:hanging="1800"/>
      </w:pPr>
      <w:rPr/>
    </w:lvl>
    <w:lvl w:ilvl="8">
      <w:start w:val="1"/>
      <w:numFmt w:val="decimal"/>
      <w:lvlText w:val="%1.%2.%3.%4.%5.%6.%7.%8.%9."/>
      <w:lvlJc w:val="left"/>
      <w:pPr>
        <w:ind w:left="2520" w:hanging="2160"/>
      </w:pPr>
      <w:rPr/>
    </w:lvl>
  </w:abstractNum>
  <w:abstractNum w:abstractNumId="7">
    <w:lvl w:ilvl="0">
      <w:start w:val="5"/>
      <w:numFmt w:val="decimal"/>
      <w:lvlText w:val=""/>
      <w:lvlJc w:val="left"/>
      <w:pPr>
        <w:ind w:left="580" w:hanging="360"/>
      </w:pPr>
      <w:rPr/>
    </w:lvl>
    <w:lvl w:ilvl="1">
      <w:start w:val="1"/>
      <w:numFmt w:val="decimal"/>
      <w:lvlText w:val="%1.%2."/>
      <w:lvlJc w:val="left"/>
      <w:pPr>
        <w:ind w:left="940" w:hanging="720"/>
      </w:pPr>
      <w:rPr>
        <w:b w:val="1"/>
        <w:bCs w:val="1"/>
      </w:rPr>
    </w:lvl>
    <w:lvl w:ilvl="2">
      <w:start w:val="1"/>
      <w:numFmt w:val="decimal"/>
      <w:lvlText w:val="%1.%2.%3."/>
      <w:lvlJc w:val="left"/>
      <w:pPr>
        <w:ind w:left="940" w:hanging="720"/>
      </w:pPr>
      <w:rPr/>
    </w:lvl>
    <w:lvl w:ilvl="3">
      <w:start w:val="1"/>
      <w:numFmt w:val="decimal"/>
      <w:lvlText w:val="%1.%2.%3.%4."/>
      <w:lvlJc w:val="left"/>
      <w:pPr>
        <w:ind w:left="1300" w:hanging="1080"/>
      </w:pPr>
      <w:rPr/>
    </w:lvl>
    <w:lvl w:ilvl="4">
      <w:start w:val="1"/>
      <w:numFmt w:val="decimal"/>
      <w:lvlText w:val="%1.%2.%3.%4.%5."/>
      <w:lvlJc w:val="left"/>
      <w:pPr>
        <w:ind w:left="1300" w:hanging="1080"/>
      </w:pPr>
      <w:rPr/>
    </w:lvl>
    <w:lvl w:ilvl="5">
      <w:start w:val="1"/>
      <w:numFmt w:val="decimal"/>
      <w:lvlText w:val="%1.%2.%3.%4.%5.%6."/>
      <w:lvlJc w:val="left"/>
      <w:pPr>
        <w:ind w:left="1660" w:hanging="1440"/>
      </w:pPr>
      <w:rPr/>
    </w:lvl>
    <w:lvl w:ilvl="6">
      <w:start w:val="1"/>
      <w:numFmt w:val="decimal"/>
      <w:lvlText w:val="%1.%2.%3.%4.%5.%6.%7."/>
      <w:lvlJc w:val="left"/>
      <w:pPr>
        <w:ind w:left="2020" w:hanging="1800"/>
      </w:pPr>
      <w:rPr/>
    </w:lvl>
    <w:lvl w:ilvl="7">
      <w:start w:val="1"/>
      <w:numFmt w:val="decimal"/>
      <w:lvlText w:val="%1.%2.%3.%4.%5.%6.%7.%8."/>
      <w:lvlJc w:val="left"/>
      <w:pPr>
        <w:ind w:left="2020" w:hanging="1800"/>
      </w:pPr>
      <w:rPr/>
    </w:lvl>
    <w:lvl w:ilvl="8">
      <w:start w:val="1"/>
      <w:numFmt w:val="decimal"/>
      <w:lvlText w:val="%1.%2.%3.%4.%5.%6.%7.%8.%9."/>
      <w:lvlJc w:val="left"/>
      <w:pPr>
        <w:ind w:left="2380" w:hanging="2160"/>
      </w:pPr>
      <w:rPr/>
    </w:lvl>
  </w:abstractNum>
  <w:abstractNum w:abstractNumId="8">
    <w:lvl w:ilvl="0">
      <w:start w:val="5"/>
      <w:numFmt w:val="decimal"/>
      <w:lvlText w:val=""/>
      <w:lvlJc w:val="left"/>
      <w:pPr>
        <w:ind w:left="580" w:hanging="360"/>
      </w:pPr>
      <w:rPr/>
    </w:lvl>
    <w:lvl w:ilvl="1">
      <w:start w:val="1"/>
      <w:numFmt w:val="decimal"/>
      <w:lvlText w:val="%1.%2."/>
      <w:lvlJc w:val="left"/>
      <w:pPr>
        <w:ind w:left="940" w:hanging="720"/>
      </w:pPr>
      <w:rPr>
        <w:b w:val="1"/>
        <w:bCs w:val="1"/>
      </w:rPr>
    </w:lvl>
    <w:lvl w:ilvl="2">
      <w:start w:val="1"/>
      <w:numFmt w:val="decimal"/>
      <w:lvlText w:val="%1.%2.%3."/>
      <w:lvlJc w:val="left"/>
      <w:pPr>
        <w:ind w:left="940" w:hanging="720"/>
      </w:pPr>
      <w:rPr/>
    </w:lvl>
    <w:lvl w:ilvl="3">
      <w:start w:val="1"/>
      <w:numFmt w:val="decimal"/>
      <w:lvlText w:val="%1.%2.%3.%4."/>
      <w:lvlJc w:val="left"/>
      <w:pPr>
        <w:ind w:left="1300" w:hanging="1080"/>
      </w:pPr>
      <w:rPr/>
    </w:lvl>
    <w:lvl w:ilvl="4">
      <w:start w:val="1"/>
      <w:numFmt w:val="decimal"/>
      <w:lvlText w:val="%1.%2.%3.%4.%5."/>
      <w:lvlJc w:val="left"/>
      <w:pPr>
        <w:ind w:left="1300" w:hanging="1080"/>
      </w:pPr>
      <w:rPr/>
    </w:lvl>
    <w:lvl w:ilvl="5">
      <w:start w:val="1"/>
      <w:numFmt w:val="decimal"/>
      <w:lvlText w:val="%1.%2.%3.%4.%5.%6."/>
      <w:lvlJc w:val="left"/>
      <w:pPr>
        <w:ind w:left="1660" w:hanging="1440"/>
      </w:pPr>
      <w:rPr/>
    </w:lvl>
    <w:lvl w:ilvl="6">
      <w:start w:val="1"/>
      <w:numFmt w:val="decimal"/>
      <w:lvlText w:val="%1.%2.%3.%4.%5.%6.%7."/>
      <w:lvlJc w:val="left"/>
      <w:pPr>
        <w:ind w:left="2020" w:hanging="1800"/>
      </w:pPr>
      <w:rPr/>
    </w:lvl>
    <w:lvl w:ilvl="7">
      <w:start w:val="1"/>
      <w:numFmt w:val="decimal"/>
      <w:lvlText w:val="%1.%2.%3.%4.%5.%6.%7.%8."/>
      <w:lvlJc w:val="left"/>
      <w:pPr>
        <w:ind w:left="2020" w:hanging="1800"/>
      </w:pPr>
      <w:rPr/>
    </w:lvl>
    <w:lvl w:ilvl="8">
      <w:start w:val="1"/>
      <w:numFmt w:val="decimal"/>
      <w:lvlText w:val="%1.%2.%3.%4.%5.%6.%7.%8.%9."/>
      <w:lvlJc w:val="left"/>
      <w:pPr>
        <w:ind w:left="2380" w:hanging="216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lang w:val="en_GB"/>
      </w:rPr>
    </w:rPrDefault>
    <w:pPrDefault>
      <w:pPr>
        <w:spacing w:after="120" w:line="264"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320" w:line="240" w:lineRule="auto"/>
    </w:pPr>
    <w:rPr>
      <w:rFonts w:ascii="Cambria" w:cs="Cambria" w:eastAsia="Cambria" w:hAnsi="Cambria"/>
      <w:color w:val="366091"/>
      <w:sz w:val="32"/>
      <w:szCs w:val="32"/>
    </w:rPr>
  </w:style>
  <w:style w:type="paragraph" w:styleId="Heading2">
    <w:name w:val="heading 2"/>
    <w:basedOn w:val="Normal"/>
    <w:next w:val="Normal"/>
    <w:pPr>
      <w:keepNext w:val="1"/>
      <w:keepLines w:val="1"/>
      <w:spacing w:after="0" w:before="80" w:line="240" w:lineRule="auto"/>
    </w:pPr>
    <w:rPr>
      <w:rFonts w:ascii="Cambria" w:cs="Cambria" w:eastAsia="Cambria" w:hAnsi="Cambria"/>
      <w:color w:val="404040"/>
      <w:sz w:val="28"/>
      <w:szCs w:val="28"/>
    </w:rPr>
  </w:style>
  <w:style w:type="paragraph" w:styleId="Heading3">
    <w:name w:val="heading 3"/>
    <w:basedOn w:val="Normal"/>
    <w:next w:val="Normal"/>
    <w:pPr>
      <w:keepNext w:val="1"/>
      <w:keepLines w:val="1"/>
      <w:spacing w:after="0" w:before="40" w:line="240" w:lineRule="auto"/>
    </w:pPr>
    <w:rPr>
      <w:rFonts w:ascii="Cambria" w:cs="Cambria" w:eastAsia="Cambria" w:hAnsi="Cambria"/>
      <w:color w:val="1f497d"/>
      <w:sz w:val="24"/>
      <w:szCs w:val="24"/>
    </w:rPr>
  </w:style>
  <w:style w:type="paragraph" w:styleId="Heading4">
    <w:name w:val="heading 4"/>
    <w:basedOn w:val="Normal"/>
    <w:next w:val="Normal"/>
    <w:pPr>
      <w:keepNext w:val="1"/>
      <w:keepLines w:val="1"/>
      <w:spacing w:after="0" w:before="40" w:lineRule="auto"/>
    </w:pPr>
    <w:rPr>
      <w:rFonts w:ascii="Cambria" w:cs="Cambria" w:eastAsia="Cambria" w:hAnsi="Cambria"/>
      <w:sz w:val="22"/>
      <w:szCs w:val="22"/>
    </w:rPr>
  </w:style>
  <w:style w:type="paragraph" w:styleId="Heading5">
    <w:name w:val="heading 5"/>
    <w:basedOn w:val="Normal"/>
    <w:next w:val="Normal"/>
    <w:pPr>
      <w:keepNext w:val="1"/>
      <w:keepLines w:val="1"/>
      <w:spacing w:after="0" w:before="40" w:lineRule="auto"/>
    </w:pPr>
    <w:rPr>
      <w:rFonts w:ascii="Cambria" w:cs="Cambria" w:eastAsia="Cambria" w:hAnsi="Cambria"/>
      <w:color w:val="1f497d"/>
      <w:sz w:val="22"/>
      <w:szCs w:val="22"/>
    </w:rPr>
  </w:style>
  <w:style w:type="paragraph" w:styleId="Heading6">
    <w:name w:val="heading 6"/>
    <w:basedOn w:val="Normal"/>
    <w:next w:val="Normal"/>
    <w:pPr>
      <w:keepNext w:val="1"/>
      <w:keepLines w:val="1"/>
      <w:spacing w:after="0" w:before="40" w:lineRule="auto"/>
    </w:pPr>
    <w:rPr>
      <w:rFonts w:ascii="Cambria" w:cs="Cambria" w:eastAsia="Cambria" w:hAnsi="Cambria"/>
      <w:i w:val="1"/>
      <w:iCs w:val="1"/>
      <w:color w:val="1f497d"/>
      <w:sz w:val="21"/>
      <w:szCs w:val="21"/>
    </w:rPr>
  </w:style>
  <w:style w:type="paragraph" w:styleId="Title">
    <w:name w:val="Title"/>
    <w:basedOn w:val="Normal"/>
    <w:next w:val="Normal"/>
    <w:pPr>
      <w:spacing w:after="0" w:line="240" w:lineRule="auto"/>
    </w:pPr>
    <w:rPr>
      <w:rFonts w:ascii="Cambria" w:cs="Cambria" w:eastAsia="Cambria" w:hAnsi="Cambria"/>
      <w:color w:val="4f81bd"/>
      <w:sz w:val="56"/>
      <w:szCs w:val="56"/>
    </w:rPr>
  </w:style>
  <w:style w:type="paragraph" w:styleId="Subtitle">
    <w:name w:val="Subtitle"/>
    <w:basedOn w:val="Normal"/>
    <w:next w:val="Normal"/>
    <w:pPr>
      <w:spacing w:line="240" w:lineRule="auto"/>
    </w:pPr>
    <w:rPr>
      <w:rFonts w:ascii="Cambria" w:cs="Cambria" w:eastAsia="Cambria" w:hAnsi="Cambria"/>
      <w:sz w:val="24"/>
      <w:szCs w:val="24"/>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tblStylePr w:type="band1Horz">
      <w:tcPr>
        <w:tcBorders>
          <w:top w:color="7f7f7f" w:space="0" w:sz="4" w:val="single"/>
          <w:bottom w:color="7f7f7f" w:space="0" w:sz="4" w:val="single"/>
        </w:tcBorders>
      </w:tcPr>
    </w:tblStylePr>
    <w:tblStylePr w:type="band1Vert">
      <w:tcPr>
        <w:tcBorders>
          <w:left w:color="7f7f7f" w:space="0" w:sz="4" w:val="single"/>
          <w:right w:color="7f7f7f" w:space="0" w:sz="4" w:val="single"/>
        </w:tcBorders>
      </w:tcPr>
    </w:tblStylePr>
    <w:tblStylePr w:type="band2Vert">
      <w:tcPr>
        <w:tcBorders>
          <w:left w:color="7f7f7f" w:space="0" w:sz="4" w:val="single"/>
          <w:right w:color="7f7f7f" w:space="0" w:sz="4" w:val="single"/>
        </w:tcBorders>
      </w:tcPr>
    </w:tblStylePr>
    <w:tblStylePr w:type="firstCol">
      <w:rPr>
        <w:b w:val="1"/>
        <w:bCs w:val="1"/>
      </w:rPr>
    </w:tblStylePr>
    <w:tblStylePr w:type="firstRow">
      <w:rPr>
        <w:b w:val="1"/>
        <w:bCs w:val="1"/>
      </w:rPr>
      <w:tcPr>
        <w:tcBorders>
          <w:bottom w:color="7f7f7f" w:space="0" w:sz="4" w:val="single"/>
        </w:tcBorders>
      </w:tcPr>
    </w:tblStylePr>
    <w:tblStylePr w:type="lastCol">
      <w:rPr>
        <w:b w:val="1"/>
        <w:bCs w:val="1"/>
      </w:rPr>
    </w:tblStylePr>
    <w:tblStylePr w:type="lastRow">
      <w:rPr>
        <w:b w:val="1"/>
        <w:bCs w:val="1"/>
      </w:rPr>
      <w:tcPr>
        <w:tcBorders>
          <w:top w:color="7f7f7f" w:space="0" w:sz="4" w:val="single"/>
        </w:tcBorders>
      </w:tcPr>
    </w:tblStylePr>
  </w:style>
  <w:style w:type="table" w:styleId="Table3">
    <w:basedOn w:val="TableNormal"/>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blStylePr>
  </w:style>
  <w:style w:type="table" w:styleId="Table4">
    <w:basedOn w:val="TableNormal"/>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 w:type="table" w:styleId="Table5">
    <w:basedOn w:val="TableNormal"/>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cPr>
        <w:tcBorders>
          <w:top w:color="bfbfbf" w:space="0" w:sz="4" w:val="single"/>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6.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wBg4Q7YjQFLCLT9dFZqMhIvY8fg==">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Created">
    <vt:lpwstr>2019-10-08T00:00:00Z</vt:lpwstr>
  </property>
  <property fmtid="{D5CDD505-2E9C-101B-9397-08002B2CF9AE}" pid="3" name="Creator">
    <vt:lpwstr>Microsoft® Word 2016</vt:lpwstr>
  </property>
  <property fmtid="{D5CDD505-2E9C-101B-9397-08002B2CF9AE}" pid="4" name="LastSaved">
    <vt:lpwstr>2019-10-15T00:00:00Z</vt:lpwstr>
  </property>
</Properties>
</file>