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41043" w14:textId="77777777" w:rsidR="00C90C4F" w:rsidRPr="001B7D3A" w:rsidRDefault="00C90C4F" w:rsidP="008D5EC8">
      <w:pPr>
        <w:pStyle w:val="Normal1"/>
        <w:jc w:val="center"/>
        <w:rPr>
          <w:b/>
          <w:sz w:val="36"/>
          <w:szCs w:val="36"/>
          <w:lang w:val="en-GB"/>
        </w:rPr>
      </w:pPr>
    </w:p>
    <w:p w14:paraId="00A0D0A8" w14:textId="77777777" w:rsidR="00C90C4F" w:rsidRPr="001B7D3A" w:rsidRDefault="00C90C4F" w:rsidP="008D5EC8">
      <w:pPr>
        <w:pStyle w:val="Normal1"/>
        <w:jc w:val="center"/>
        <w:rPr>
          <w:b/>
          <w:sz w:val="36"/>
          <w:szCs w:val="36"/>
          <w:lang w:val="en-GB"/>
        </w:rPr>
      </w:pPr>
    </w:p>
    <w:p w14:paraId="34716951" w14:textId="77777777" w:rsidR="00C90C4F" w:rsidRPr="001B7D3A" w:rsidRDefault="00C90C4F" w:rsidP="008D5EC8">
      <w:pPr>
        <w:pStyle w:val="Normal1"/>
        <w:jc w:val="center"/>
        <w:rPr>
          <w:b/>
          <w:sz w:val="36"/>
          <w:szCs w:val="36"/>
          <w:lang w:val="en-GB"/>
        </w:rPr>
      </w:pPr>
    </w:p>
    <w:p w14:paraId="7DE20950" w14:textId="77777777" w:rsidR="00C90C4F" w:rsidRPr="001B7D3A" w:rsidRDefault="00C90C4F" w:rsidP="008D5EC8">
      <w:pPr>
        <w:pStyle w:val="Normal1"/>
        <w:jc w:val="center"/>
        <w:rPr>
          <w:b/>
          <w:sz w:val="36"/>
          <w:szCs w:val="36"/>
          <w:lang w:val="en-GB"/>
        </w:rPr>
      </w:pPr>
    </w:p>
    <w:p w14:paraId="638C32F1" w14:textId="77777777" w:rsidR="00C90C4F" w:rsidRPr="001B7D3A" w:rsidRDefault="00C90C4F" w:rsidP="008D5EC8">
      <w:pPr>
        <w:pStyle w:val="Normal1"/>
        <w:jc w:val="center"/>
        <w:rPr>
          <w:b/>
          <w:sz w:val="36"/>
          <w:szCs w:val="36"/>
          <w:lang w:val="en-GB"/>
        </w:rPr>
      </w:pPr>
    </w:p>
    <w:p w14:paraId="148B26F0" w14:textId="77777777" w:rsidR="00C90C4F" w:rsidRPr="001B7D3A" w:rsidRDefault="00C90C4F" w:rsidP="008D5EC8">
      <w:pPr>
        <w:pStyle w:val="Normal1"/>
        <w:jc w:val="center"/>
        <w:rPr>
          <w:b/>
          <w:sz w:val="36"/>
          <w:szCs w:val="36"/>
          <w:lang w:val="en-GB"/>
        </w:rPr>
      </w:pPr>
    </w:p>
    <w:p w14:paraId="3961816E" w14:textId="77777777" w:rsidR="00C90C4F" w:rsidRPr="001B7D3A" w:rsidRDefault="00C90C4F" w:rsidP="008D5EC8">
      <w:pPr>
        <w:pStyle w:val="Normal1"/>
        <w:jc w:val="center"/>
        <w:rPr>
          <w:b/>
          <w:sz w:val="36"/>
          <w:szCs w:val="36"/>
          <w:lang w:val="en-GB"/>
        </w:rPr>
      </w:pPr>
    </w:p>
    <w:p w14:paraId="6CAF344C" w14:textId="77777777" w:rsidR="00C90C4F" w:rsidRPr="001B7D3A" w:rsidRDefault="00C90C4F" w:rsidP="008D5EC8">
      <w:pPr>
        <w:pStyle w:val="Normal1"/>
        <w:jc w:val="center"/>
        <w:rPr>
          <w:b/>
          <w:sz w:val="36"/>
          <w:szCs w:val="36"/>
          <w:lang w:val="en-GB"/>
        </w:rPr>
      </w:pPr>
    </w:p>
    <w:p w14:paraId="18763190" w14:textId="77777777" w:rsidR="00D25092" w:rsidRDefault="00D25092" w:rsidP="008D5EC8">
      <w:pPr>
        <w:pStyle w:val="Normal1"/>
        <w:jc w:val="center"/>
        <w:rPr>
          <w:b/>
          <w:sz w:val="36"/>
          <w:szCs w:val="36"/>
          <w:lang w:val="en-GB"/>
        </w:rPr>
      </w:pPr>
    </w:p>
    <w:p w14:paraId="09580ECC" w14:textId="77777777" w:rsidR="00D25092" w:rsidRDefault="00D25092" w:rsidP="008D5EC8">
      <w:pPr>
        <w:pStyle w:val="Normal1"/>
        <w:jc w:val="center"/>
        <w:rPr>
          <w:b/>
          <w:sz w:val="36"/>
          <w:szCs w:val="36"/>
          <w:lang w:val="en-GB"/>
        </w:rPr>
      </w:pPr>
    </w:p>
    <w:p w14:paraId="123C6567" w14:textId="77777777" w:rsidR="00D25092" w:rsidRDefault="00D25092" w:rsidP="008D5EC8">
      <w:pPr>
        <w:pStyle w:val="Normal1"/>
        <w:jc w:val="center"/>
        <w:rPr>
          <w:b/>
          <w:sz w:val="36"/>
          <w:szCs w:val="36"/>
          <w:lang w:val="en-GB"/>
        </w:rPr>
      </w:pPr>
    </w:p>
    <w:p w14:paraId="320AEA39" w14:textId="77777777" w:rsidR="00D25092" w:rsidRDefault="00D25092" w:rsidP="008D5EC8">
      <w:pPr>
        <w:pStyle w:val="Normal1"/>
        <w:jc w:val="center"/>
        <w:rPr>
          <w:b/>
          <w:sz w:val="36"/>
          <w:szCs w:val="36"/>
          <w:lang w:val="en-GB"/>
        </w:rPr>
      </w:pPr>
    </w:p>
    <w:p w14:paraId="67C86352" w14:textId="77777777" w:rsidR="00D25092" w:rsidRDefault="00D25092" w:rsidP="008D5EC8">
      <w:pPr>
        <w:pStyle w:val="Normal1"/>
        <w:jc w:val="center"/>
        <w:rPr>
          <w:b/>
          <w:sz w:val="36"/>
          <w:szCs w:val="36"/>
          <w:lang w:val="en-GB"/>
        </w:rPr>
      </w:pPr>
    </w:p>
    <w:p w14:paraId="0D974018" w14:textId="77777777" w:rsidR="00D25092" w:rsidRDefault="00D25092" w:rsidP="008D5EC8">
      <w:pPr>
        <w:pStyle w:val="Normal1"/>
        <w:jc w:val="center"/>
        <w:rPr>
          <w:b/>
          <w:sz w:val="36"/>
          <w:szCs w:val="36"/>
          <w:lang w:val="en-GB"/>
        </w:rPr>
      </w:pPr>
    </w:p>
    <w:p w14:paraId="7E82A37E" w14:textId="77777777" w:rsidR="00C90C4F" w:rsidRPr="001B7D3A" w:rsidRDefault="005453FD" w:rsidP="008D5EC8">
      <w:pPr>
        <w:pStyle w:val="Normal1"/>
        <w:jc w:val="center"/>
        <w:rPr>
          <w:b/>
          <w:sz w:val="36"/>
          <w:szCs w:val="36"/>
          <w:lang w:val="en-GB"/>
        </w:rPr>
      </w:pPr>
      <w:r w:rsidRPr="001B7D3A">
        <w:rPr>
          <w:b/>
          <w:sz w:val="36"/>
          <w:szCs w:val="36"/>
          <w:lang w:val="en-GB"/>
        </w:rPr>
        <w:t>LCBB5004-MANAGING PEOPLE</w:t>
      </w:r>
    </w:p>
    <w:p w14:paraId="74C7239D" w14:textId="77777777" w:rsidR="00C90C4F" w:rsidRPr="001B7D3A" w:rsidRDefault="00C90C4F" w:rsidP="008D5EC8">
      <w:pPr>
        <w:pStyle w:val="Normal1"/>
        <w:jc w:val="center"/>
        <w:rPr>
          <w:b/>
          <w:i/>
          <w:lang w:val="en-GB"/>
        </w:rPr>
      </w:pPr>
    </w:p>
    <w:p w14:paraId="16AE2E35" w14:textId="7029F8FB" w:rsidR="00C90C4F" w:rsidRPr="001B7D3A" w:rsidRDefault="00A21F00" w:rsidP="008D5EC8">
      <w:pPr>
        <w:pStyle w:val="Normal1"/>
        <w:jc w:val="center"/>
        <w:rPr>
          <w:b/>
          <w:i/>
          <w:lang w:val="en-GB"/>
        </w:rPr>
      </w:pPr>
      <w:r w:rsidRPr="001B7D3A">
        <w:rPr>
          <w:b/>
          <w:i/>
          <w:lang w:val="en-GB"/>
        </w:rPr>
        <w:t xml:space="preserve">Student ID: </w:t>
      </w:r>
      <w:r w:rsidR="00F05B33">
        <w:rPr>
          <w:b/>
          <w:i/>
          <w:lang w:val="en-GB"/>
        </w:rPr>
        <w:t>2107401</w:t>
      </w:r>
    </w:p>
    <w:p w14:paraId="332F5795" w14:textId="4705CAFD" w:rsidR="00C90C4F" w:rsidRPr="001B7D3A" w:rsidRDefault="00A21F00" w:rsidP="008D5EC8">
      <w:pPr>
        <w:pStyle w:val="Normal1"/>
        <w:jc w:val="center"/>
        <w:rPr>
          <w:b/>
          <w:i/>
          <w:lang w:val="en-GB"/>
        </w:rPr>
      </w:pPr>
      <w:r w:rsidRPr="001B7D3A">
        <w:rPr>
          <w:b/>
          <w:i/>
          <w:lang w:val="en-GB"/>
        </w:rPr>
        <w:t>Student Name:</w:t>
      </w:r>
      <w:r w:rsidR="00F05B33">
        <w:rPr>
          <w:b/>
          <w:i/>
          <w:lang w:val="en-GB"/>
        </w:rPr>
        <w:t xml:space="preserve"> Iulian Neagu</w:t>
      </w:r>
    </w:p>
    <w:p w14:paraId="3A3FCF0A" w14:textId="173B719D" w:rsidR="00C90C4F" w:rsidRPr="001B7D3A" w:rsidRDefault="00F05B33" w:rsidP="008D5EC8">
      <w:pPr>
        <w:pStyle w:val="Normal1"/>
        <w:jc w:val="center"/>
        <w:rPr>
          <w:b/>
          <w:i/>
          <w:lang w:val="en-GB"/>
        </w:rPr>
      </w:pPr>
      <w:r>
        <w:rPr>
          <w:b/>
          <w:i/>
          <w:lang w:val="en-GB"/>
        </w:rPr>
        <w:t>Report</w:t>
      </w:r>
      <w:r w:rsidR="00A21F00" w:rsidRPr="001B7D3A">
        <w:rPr>
          <w:b/>
          <w:i/>
          <w:lang w:val="en-GB"/>
        </w:rPr>
        <w:t xml:space="preserve"> Name:</w:t>
      </w:r>
      <w:r>
        <w:rPr>
          <w:b/>
          <w:i/>
          <w:lang w:val="en-GB"/>
        </w:rPr>
        <w:t xml:space="preserve"> Flexible working</w:t>
      </w:r>
      <w:r w:rsidR="001572D0">
        <w:rPr>
          <w:b/>
          <w:i/>
          <w:lang w:val="en-GB"/>
        </w:rPr>
        <w:t>(case study)</w:t>
      </w:r>
    </w:p>
    <w:p w14:paraId="3CF6794A" w14:textId="0CA09C57" w:rsidR="00C90C4F" w:rsidRPr="001B7D3A" w:rsidRDefault="004F4F93" w:rsidP="008D5EC8">
      <w:pPr>
        <w:pStyle w:val="Normal1"/>
        <w:jc w:val="center"/>
        <w:rPr>
          <w:b/>
          <w:i/>
          <w:lang w:val="en-GB"/>
        </w:rPr>
      </w:pPr>
      <w:r>
        <w:rPr>
          <w:b/>
          <w:i/>
          <w:lang w:val="en-GB"/>
        </w:rPr>
        <w:t>Lecturer</w:t>
      </w:r>
      <w:r w:rsidR="00A21F00" w:rsidRPr="001B7D3A">
        <w:rPr>
          <w:b/>
          <w:i/>
          <w:lang w:val="en-GB"/>
        </w:rPr>
        <w:t xml:space="preserve"> Nam</w:t>
      </w:r>
      <w:r w:rsidR="002A1456">
        <w:rPr>
          <w:b/>
          <w:i/>
          <w:lang w:val="en-GB"/>
        </w:rPr>
        <w:t>e: (DR.)</w:t>
      </w:r>
      <w:r w:rsidR="00F05B33">
        <w:rPr>
          <w:b/>
          <w:i/>
          <w:lang w:val="en-GB"/>
        </w:rPr>
        <w:t xml:space="preserve"> Aderemi </w:t>
      </w:r>
      <w:proofErr w:type="spellStart"/>
      <w:r w:rsidR="00F05B33">
        <w:rPr>
          <w:b/>
          <w:i/>
          <w:lang w:val="en-GB"/>
        </w:rPr>
        <w:t>Ojebode</w:t>
      </w:r>
      <w:proofErr w:type="spellEnd"/>
      <w:r w:rsidR="00F05B33">
        <w:rPr>
          <w:b/>
          <w:i/>
          <w:lang w:val="en-GB"/>
        </w:rPr>
        <w:t xml:space="preserve"> </w:t>
      </w:r>
    </w:p>
    <w:p w14:paraId="5697F0BC" w14:textId="77777777" w:rsidR="00C90C4F" w:rsidRPr="001B7D3A" w:rsidRDefault="00C90C4F" w:rsidP="008D5EC8">
      <w:pPr>
        <w:pStyle w:val="Normal1"/>
        <w:rPr>
          <w:lang w:val="en-GB"/>
        </w:rPr>
      </w:pPr>
    </w:p>
    <w:p w14:paraId="1DFB48DF" w14:textId="77777777" w:rsidR="00C90C4F" w:rsidRPr="001B7D3A" w:rsidRDefault="00A21F00" w:rsidP="008D5EC8">
      <w:pPr>
        <w:pStyle w:val="Normal1"/>
        <w:rPr>
          <w:lang w:val="en-GB"/>
        </w:rPr>
      </w:pPr>
      <w:r w:rsidRPr="001B7D3A">
        <w:rPr>
          <w:lang w:val="en-GB"/>
        </w:rPr>
        <w:t xml:space="preserve"> </w:t>
      </w:r>
    </w:p>
    <w:p w14:paraId="4C274E0E" w14:textId="77777777" w:rsidR="00C90C4F" w:rsidRPr="001B7D3A" w:rsidRDefault="00C90C4F" w:rsidP="008D5EC8">
      <w:pPr>
        <w:pStyle w:val="Normal1"/>
        <w:rPr>
          <w:lang w:val="en-GB"/>
        </w:rPr>
      </w:pPr>
    </w:p>
    <w:p w14:paraId="1AEA4E06" w14:textId="77777777" w:rsidR="00C108DF" w:rsidRPr="001B7D3A" w:rsidRDefault="00A21F00" w:rsidP="008D5EC8">
      <w:pPr>
        <w:pStyle w:val="Normal1"/>
        <w:rPr>
          <w:lang w:val="en-GB"/>
        </w:rPr>
      </w:pPr>
      <w:r w:rsidRPr="001B7D3A">
        <w:rPr>
          <w:lang w:val="en-GB"/>
        </w:rPr>
        <w:br w:type="page"/>
      </w:r>
    </w:p>
    <w:sdt>
      <w:sdtPr>
        <w:rPr>
          <w:rFonts w:ascii="Times New Roman" w:eastAsia="Times New Roman" w:hAnsi="Times New Roman" w:cs="Times New Roman"/>
          <w:color w:val="auto"/>
          <w:sz w:val="24"/>
          <w:szCs w:val="24"/>
          <w:lang w:val=""/>
        </w:rPr>
        <w:id w:val="-1990159431"/>
        <w:docPartObj>
          <w:docPartGallery w:val="Table of Contents"/>
          <w:docPartUnique/>
        </w:docPartObj>
      </w:sdtPr>
      <w:sdtEndPr>
        <w:rPr>
          <w:b/>
          <w:bCs/>
          <w:noProof/>
        </w:rPr>
      </w:sdtEndPr>
      <w:sdtContent>
        <w:p w14:paraId="29BFF4FA" w14:textId="77777777" w:rsidR="00C108DF" w:rsidRPr="00B2150E" w:rsidRDefault="00C108DF" w:rsidP="008D5EC8">
          <w:pPr>
            <w:pStyle w:val="TOCHeading"/>
            <w:spacing w:line="360" w:lineRule="auto"/>
            <w:jc w:val="center"/>
            <w:rPr>
              <w:rFonts w:ascii="Times New Roman" w:hAnsi="Times New Roman" w:cs="Times New Roman"/>
              <w:b/>
              <w:color w:val="000000" w:themeColor="text1"/>
              <w:sz w:val="24"/>
              <w:szCs w:val="24"/>
            </w:rPr>
          </w:pPr>
          <w:r w:rsidRPr="00B2150E">
            <w:rPr>
              <w:rFonts w:ascii="Times New Roman" w:hAnsi="Times New Roman" w:cs="Times New Roman"/>
              <w:b/>
              <w:color w:val="000000" w:themeColor="text1"/>
              <w:sz w:val="24"/>
              <w:szCs w:val="24"/>
            </w:rPr>
            <w:t>Table of Contents</w:t>
          </w:r>
        </w:p>
        <w:p w14:paraId="4425E885" w14:textId="77777777" w:rsidR="00B2150E" w:rsidRPr="00B2150E" w:rsidRDefault="00C108DF" w:rsidP="008D5EC8">
          <w:pPr>
            <w:pStyle w:val="TOC1"/>
            <w:tabs>
              <w:tab w:val="right" w:leader="dot" w:pos="9019"/>
            </w:tabs>
            <w:rPr>
              <w:rFonts w:eastAsiaTheme="minorEastAsia"/>
              <w:noProof/>
              <w:lang w:val="en-IN" w:eastAsia="en-IN"/>
            </w:rPr>
          </w:pPr>
          <w:r w:rsidRPr="00B2150E">
            <w:fldChar w:fldCharType="begin"/>
          </w:r>
          <w:r w:rsidRPr="00B2150E">
            <w:instrText xml:space="preserve"> TOC \o "1-3" \h \z \u </w:instrText>
          </w:r>
          <w:r w:rsidRPr="00B2150E">
            <w:fldChar w:fldCharType="separate"/>
          </w:r>
          <w:hyperlink w:anchor="_Toc171685863" w:history="1">
            <w:r w:rsidR="00B2150E" w:rsidRPr="00B2150E">
              <w:rPr>
                <w:rStyle w:val="Hyperlink"/>
                <w:noProof/>
                <w:lang w:val="en-GB"/>
              </w:rPr>
              <w:t>Introduction</w:t>
            </w:r>
            <w:r w:rsidR="00B2150E" w:rsidRPr="00B2150E">
              <w:rPr>
                <w:noProof/>
                <w:webHidden/>
              </w:rPr>
              <w:tab/>
            </w:r>
            <w:r w:rsidR="00B2150E" w:rsidRPr="00B2150E">
              <w:rPr>
                <w:noProof/>
                <w:webHidden/>
              </w:rPr>
              <w:fldChar w:fldCharType="begin"/>
            </w:r>
            <w:r w:rsidR="00B2150E" w:rsidRPr="00B2150E">
              <w:rPr>
                <w:noProof/>
                <w:webHidden/>
              </w:rPr>
              <w:instrText xml:space="preserve"> PAGEREF _Toc171685863 \h </w:instrText>
            </w:r>
            <w:r w:rsidR="00B2150E" w:rsidRPr="00B2150E">
              <w:rPr>
                <w:noProof/>
                <w:webHidden/>
              </w:rPr>
            </w:r>
            <w:r w:rsidR="00B2150E" w:rsidRPr="00B2150E">
              <w:rPr>
                <w:noProof/>
                <w:webHidden/>
              </w:rPr>
              <w:fldChar w:fldCharType="separate"/>
            </w:r>
            <w:r w:rsidR="00B2150E" w:rsidRPr="00B2150E">
              <w:rPr>
                <w:noProof/>
                <w:webHidden/>
              </w:rPr>
              <w:t>2</w:t>
            </w:r>
            <w:r w:rsidR="00B2150E" w:rsidRPr="00B2150E">
              <w:rPr>
                <w:noProof/>
                <w:webHidden/>
              </w:rPr>
              <w:fldChar w:fldCharType="end"/>
            </w:r>
          </w:hyperlink>
        </w:p>
        <w:p w14:paraId="7D561E04" w14:textId="77777777" w:rsidR="00B2150E" w:rsidRPr="00B2150E" w:rsidRDefault="00000000" w:rsidP="008D5EC8">
          <w:pPr>
            <w:pStyle w:val="TOC1"/>
            <w:tabs>
              <w:tab w:val="right" w:leader="dot" w:pos="9019"/>
            </w:tabs>
            <w:rPr>
              <w:rFonts w:eastAsiaTheme="minorEastAsia"/>
              <w:noProof/>
              <w:lang w:val="en-IN" w:eastAsia="en-IN"/>
            </w:rPr>
          </w:pPr>
          <w:hyperlink w:anchor="_Toc171685864" w:history="1">
            <w:r w:rsidR="00B2150E" w:rsidRPr="00B2150E">
              <w:rPr>
                <w:rStyle w:val="Hyperlink"/>
                <w:noProof/>
                <w:lang w:val="en-GB"/>
              </w:rPr>
              <w:t>Main Body</w:t>
            </w:r>
            <w:r w:rsidR="00B2150E" w:rsidRPr="00B2150E">
              <w:rPr>
                <w:noProof/>
                <w:webHidden/>
              </w:rPr>
              <w:tab/>
            </w:r>
            <w:r w:rsidR="00B2150E" w:rsidRPr="00B2150E">
              <w:rPr>
                <w:noProof/>
                <w:webHidden/>
              </w:rPr>
              <w:fldChar w:fldCharType="begin"/>
            </w:r>
            <w:r w:rsidR="00B2150E" w:rsidRPr="00B2150E">
              <w:rPr>
                <w:noProof/>
                <w:webHidden/>
              </w:rPr>
              <w:instrText xml:space="preserve"> PAGEREF _Toc171685864 \h </w:instrText>
            </w:r>
            <w:r w:rsidR="00B2150E" w:rsidRPr="00B2150E">
              <w:rPr>
                <w:noProof/>
                <w:webHidden/>
              </w:rPr>
            </w:r>
            <w:r w:rsidR="00B2150E" w:rsidRPr="00B2150E">
              <w:rPr>
                <w:noProof/>
                <w:webHidden/>
              </w:rPr>
              <w:fldChar w:fldCharType="separate"/>
            </w:r>
            <w:r w:rsidR="00B2150E" w:rsidRPr="00B2150E">
              <w:rPr>
                <w:noProof/>
                <w:webHidden/>
              </w:rPr>
              <w:t>2</w:t>
            </w:r>
            <w:r w:rsidR="00B2150E" w:rsidRPr="00B2150E">
              <w:rPr>
                <w:noProof/>
                <w:webHidden/>
              </w:rPr>
              <w:fldChar w:fldCharType="end"/>
            </w:r>
          </w:hyperlink>
        </w:p>
        <w:p w14:paraId="6BCA6847" w14:textId="77777777" w:rsidR="00B2150E" w:rsidRPr="00B2150E" w:rsidRDefault="00000000" w:rsidP="008D5EC8">
          <w:pPr>
            <w:pStyle w:val="TOC1"/>
            <w:tabs>
              <w:tab w:val="right" w:leader="dot" w:pos="9019"/>
            </w:tabs>
            <w:rPr>
              <w:rFonts w:eastAsiaTheme="minorEastAsia"/>
              <w:noProof/>
              <w:lang w:val="en-IN" w:eastAsia="en-IN"/>
            </w:rPr>
          </w:pPr>
          <w:hyperlink w:anchor="_Toc171685865" w:history="1">
            <w:r w:rsidR="00B2150E" w:rsidRPr="00B2150E">
              <w:rPr>
                <w:rStyle w:val="Hyperlink"/>
                <w:noProof/>
                <w:lang w:val="en-GB"/>
              </w:rPr>
              <w:t>Conclusion</w:t>
            </w:r>
            <w:r w:rsidR="00B2150E" w:rsidRPr="00B2150E">
              <w:rPr>
                <w:noProof/>
                <w:webHidden/>
              </w:rPr>
              <w:tab/>
            </w:r>
            <w:r w:rsidR="00B2150E" w:rsidRPr="00B2150E">
              <w:rPr>
                <w:noProof/>
                <w:webHidden/>
              </w:rPr>
              <w:fldChar w:fldCharType="begin"/>
            </w:r>
            <w:r w:rsidR="00B2150E" w:rsidRPr="00B2150E">
              <w:rPr>
                <w:noProof/>
                <w:webHidden/>
              </w:rPr>
              <w:instrText xml:space="preserve"> PAGEREF _Toc171685865 \h </w:instrText>
            </w:r>
            <w:r w:rsidR="00B2150E" w:rsidRPr="00B2150E">
              <w:rPr>
                <w:noProof/>
                <w:webHidden/>
              </w:rPr>
            </w:r>
            <w:r w:rsidR="00B2150E" w:rsidRPr="00B2150E">
              <w:rPr>
                <w:noProof/>
                <w:webHidden/>
              </w:rPr>
              <w:fldChar w:fldCharType="separate"/>
            </w:r>
            <w:r w:rsidR="00B2150E" w:rsidRPr="00B2150E">
              <w:rPr>
                <w:noProof/>
                <w:webHidden/>
              </w:rPr>
              <w:t>8</w:t>
            </w:r>
            <w:r w:rsidR="00B2150E" w:rsidRPr="00B2150E">
              <w:rPr>
                <w:noProof/>
                <w:webHidden/>
              </w:rPr>
              <w:fldChar w:fldCharType="end"/>
            </w:r>
          </w:hyperlink>
        </w:p>
        <w:p w14:paraId="4F0F4A21" w14:textId="77777777" w:rsidR="00B2150E" w:rsidRPr="00B2150E" w:rsidRDefault="00000000" w:rsidP="008D5EC8">
          <w:pPr>
            <w:pStyle w:val="TOC1"/>
            <w:tabs>
              <w:tab w:val="right" w:leader="dot" w:pos="9019"/>
            </w:tabs>
            <w:rPr>
              <w:rFonts w:eastAsiaTheme="minorEastAsia"/>
              <w:noProof/>
              <w:lang w:val="en-IN" w:eastAsia="en-IN"/>
            </w:rPr>
          </w:pPr>
          <w:hyperlink w:anchor="_Toc171685866" w:history="1">
            <w:r w:rsidR="00B2150E" w:rsidRPr="00B2150E">
              <w:rPr>
                <w:rStyle w:val="Hyperlink"/>
                <w:noProof/>
                <w:lang w:val="en-GB"/>
              </w:rPr>
              <w:t>References</w:t>
            </w:r>
            <w:r w:rsidR="00B2150E" w:rsidRPr="00B2150E">
              <w:rPr>
                <w:noProof/>
                <w:webHidden/>
              </w:rPr>
              <w:tab/>
            </w:r>
            <w:r w:rsidR="00B2150E" w:rsidRPr="00B2150E">
              <w:rPr>
                <w:noProof/>
                <w:webHidden/>
              </w:rPr>
              <w:fldChar w:fldCharType="begin"/>
            </w:r>
            <w:r w:rsidR="00B2150E" w:rsidRPr="00B2150E">
              <w:rPr>
                <w:noProof/>
                <w:webHidden/>
              </w:rPr>
              <w:instrText xml:space="preserve"> PAGEREF _Toc171685866 \h </w:instrText>
            </w:r>
            <w:r w:rsidR="00B2150E" w:rsidRPr="00B2150E">
              <w:rPr>
                <w:noProof/>
                <w:webHidden/>
              </w:rPr>
            </w:r>
            <w:r w:rsidR="00B2150E" w:rsidRPr="00B2150E">
              <w:rPr>
                <w:noProof/>
                <w:webHidden/>
              </w:rPr>
              <w:fldChar w:fldCharType="separate"/>
            </w:r>
            <w:r w:rsidR="00B2150E" w:rsidRPr="00B2150E">
              <w:rPr>
                <w:noProof/>
                <w:webHidden/>
              </w:rPr>
              <w:t>9</w:t>
            </w:r>
            <w:r w:rsidR="00B2150E" w:rsidRPr="00B2150E">
              <w:rPr>
                <w:noProof/>
                <w:webHidden/>
              </w:rPr>
              <w:fldChar w:fldCharType="end"/>
            </w:r>
          </w:hyperlink>
        </w:p>
        <w:p w14:paraId="189BA1D7" w14:textId="77777777" w:rsidR="00C108DF" w:rsidRDefault="00C108DF" w:rsidP="008D5EC8">
          <w:r w:rsidRPr="00B2150E">
            <w:rPr>
              <w:b/>
              <w:bCs/>
              <w:noProof/>
            </w:rPr>
            <w:fldChar w:fldCharType="end"/>
          </w:r>
        </w:p>
      </w:sdtContent>
    </w:sdt>
    <w:p w14:paraId="259C8462" w14:textId="77777777" w:rsidR="00C90C4F" w:rsidRPr="001B7D3A" w:rsidRDefault="00C90C4F" w:rsidP="008D5EC8">
      <w:pPr>
        <w:pStyle w:val="Normal1"/>
        <w:rPr>
          <w:lang w:val="en-GB"/>
        </w:rPr>
      </w:pPr>
    </w:p>
    <w:p w14:paraId="008F5DD3" w14:textId="77777777" w:rsidR="00C90C4F" w:rsidRPr="001B7D3A" w:rsidRDefault="00C90C4F" w:rsidP="008D5EC8">
      <w:pPr>
        <w:pStyle w:val="Heading1"/>
        <w:rPr>
          <w:sz w:val="26"/>
          <w:szCs w:val="26"/>
          <w:highlight w:val="yellow"/>
          <w:lang w:val="en-GB"/>
        </w:rPr>
      </w:pPr>
      <w:bookmarkStart w:id="0" w:name="_uxth0gu66yyf" w:colFirst="0" w:colLast="0"/>
      <w:bookmarkEnd w:id="0"/>
    </w:p>
    <w:p w14:paraId="170F204D" w14:textId="77777777" w:rsidR="00373995" w:rsidRDefault="00373995" w:rsidP="008D5EC8">
      <w:pPr>
        <w:rPr>
          <w:b/>
          <w:lang w:val="en-GB"/>
        </w:rPr>
      </w:pPr>
      <w:bookmarkStart w:id="1" w:name="_m7imu9r7f0jg" w:colFirst="0" w:colLast="0"/>
      <w:bookmarkStart w:id="2" w:name="_Toc171685863"/>
      <w:bookmarkEnd w:id="1"/>
      <w:r>
        <w:rPr>
          <w:lang w:val="en-GB"/>
        </w:rPr>
        <w:br w:type="page"/>
      </w:r>
    </w:p>
    <w:p w14:paraId="3A56E9BD" w14:textId="77777777" w:rsidR="00C90C4F" w:rsidRPr="001B7D3A" w:rsidRDefault="00A21F00" w:rsidP="008D5EC8">
      <w:pPr>
        <w:pStyle w:val="Heading1"/>
        <w:rPr>
          <w:lang w:val="en-GB"/>
        </w:rPr>
      </w:pPr>
      <w:r w:rsidRPr="001B7D3A">
        <w:rPr>
          <w:lang w:val="en-GB"/>
        </w:rPr>
        <w:lastRenderedPageBreak/>
        <w:t>Introduction</w:t>
      </w:r>
      <w:bookmarkEnd w:id="2"/>
      <w:r w:rsidRPr="001B7D3A">
        <w:rPr>
          <w:lang w:val="en-GB"/>
        </w:rPr>
        <w:t xml:space="preserve"> </w:t>
      </w:r>
    </w:p>
    <w:p w14:paraId="3351CCBE" w14:textId="77777777" w:rsidR="00C90C4F" w:rsidRPr="001B7D3A" w:rsidRDefault="00A21F00" w:rsidP="008D5EC8">
      <w:pPr>
        <w:pStyle w:val="Normal1"/>
        <w:rPr>
          <w:lang w:val="en-GB"/>
        </w:rPr>
      </w:pPr>
      <w:r w:rsidRPr="001B7D3A">
        <w:rPr>
          <w:lang w:val="en-GB"/>
        </w:rPr>
        <w:t>This essay aims to define the importance of flexible and hybrid working culture in the time of pos</w:t>
      </w:r>
      <w:r w:rsidR="00366DB6">
        <w:rPr>
          <w:lang w:val="en-GB"/>
        </w:rPr>
        <w:t>t-pandemic. The selected organis</w:t>
      </w:r>
      <w:r w:rsidRPr="001B7D3A">
        <w:rPr>
          <w:lang w:val="en-GB"/>
        </w:rPr>
        <w:t xml:space="preserve">ation is </w:t>
      </w:r>
      <w:proofErr w:type="spellStart"/>
      <w:r w:rsidRPr="001B7D3A">
        <w:rPr>
          <w:lang w:val="en-GB"/>
        </w:rPr>
        <w:t>VialTech</w:t>
      </w:r>
      <w:proofErr w:type="spellEnd"/>
      <w:r w:rsidRPr="001B7D3A">
        <w:rPr>
          <w:lang w:val="en-GB"/>
        </w:rPr>
        <w:t xml:space="preserve">, which is mainly doing diagnosis tests for the NHS and private patients. </w:t>
      </w:r>
      <w:proofErr w:type="spellStart"/>
      <w:r w:rsidRPr="001B7D3A">
        <w:rPr>
          <w:lang w:val="en-GB"/>
        </w:rPr>
        <w:t>VialTech</w:t>
      </w:r>
      <w:proofErr w:type="spellEnd"/>
      <w:r w:rsidRPr="001B7D3A">
        <w:rPr>
          <w:lang w:val="en-GB"/>
        </w:rPr>
        <w:t xml:space="preserve"> consists of different teams those are including lab technicians, administrators, and customers who are getting test facilities. A proper overview is going to be made by defining the significance of flexible working strategies for handling employees' performances. </w:t>
      </w:r>
    </w:p>
    <w:p w14:paraId="64286558" w14:textId="77777777" w:rsidR="00C90C4F" w:rsidRPr="001B7D3A" w:rsidRDefault="00A21F00" w:rsidP="008D5EC8">
      <w:pPr>
        <w:pStyle w:val="Heading1"/>
        <w:rPr>
          <w:lang w:val="en-GB"/>
        </w:rPr>
      </w:pPr>
      <w:bookmarkStart w:id="3" w:name="_7tjwtllv8dl0" w:colFirst="0" w:colLast="0"/>
      <w:bookmarkStart w:id="4" w:name="_Toc171685864"/>
      <w:bookmarkEnd w:id="3"/>
      <w:r w:rsidRPr="001B7D3A">
        <w:rPr>
          <w:lang w:val="en-GB"/>
        </w:rPr>
        <w:t>Main Body</w:t>
      </w:r>
      <w:bookmarkEnd w:id="4"/>
    </w:p>
    <w:p w14:paraId="7CC4D661" w14:textId="77777777" w:rsidR="00C90C4F" w:rsidRPr="001B7D3A" w:rsidRDefault="00A21F00" w:rsidP="008D5EC8">
      <w:pPr>
        <w:pStyle w:val="Normal1"/>
        <w:rPr>
          <w:b/>
          <w:i/>
          <w:lang w:val="en-GB"/>
        </w:rPr>
      </w:pPr>
      <w:r w:rsidRPr="001B7D3A">
        <w:rPr>
          <w:b/>
          <w:i/>
          <w:lang w:val="en-GB"/>
        </w:rPr>
        <w:t xml:space="preserve">Overview of the implementation of the flexible working strategies into the organisation </w:t>
      </w:r>
    </w:p>
    <w:p w14:paraId="26613948" w14:textId="4BAE7E1A" w:rsidR="00C90C4F" w:rsidRPr="001B7D3A" w:rsidRDefault="00A21F00" w:rsidP="008D5EC8">
      <w:pPr>
        <w:pStyle w:val="Normal1"/>
        <w:rPr>
          <w:lang w:val="en-GB"/>
        </w:rPr>
      </w:pPr>
      <w:r w:rsidRPr="001B7D3A">
        <w:rPr>
          <w:lang w:val="en-GB"/>
        </w:rPr>
        <w:t xml:space="preserve">Properly </w:t>
      </w:r>
      <w:r w:rsidRPr="001B7D3A">
        <w:rPr>
          <w:b/>
          <w:i/>
          <w:lang w:val="en-GB"/>
        </w:rPr>
        <w:t>implementing flexible working strategies</w:t>
      </w:r>
      <w:r w:rsidRPr="001B7D3A">
        <w:rPr>
          <w:lang w:val="en-GB"/>
        </w:rPr>
        <w:t xml:space="preserve"> plays a crucial role in developing a working culture. As commented by Shifrin and Michel (2022, p.70), it helps employees by creating a proper work-life balance between them and motivating their personal lives. Flexibility in the working culture is developing employee engagement, happiness, and morale for developing employees' productivity rate. </w:t>
      </w:r>
      <w:proofErr w:type="spellStart"/>
      <w:r w:rsidRPr="001B7D3A">
        <w:rPr>
          <w:lang w:val="en-GB"/>
        </w:rPr>
        <w:t>VialTech</w:t>
      </w:r>
      <w:proofErr w:type="spellEnd"/>
      <w:r w:rsidRPr="001B7D3A">
        <w:rPr>
          <w:lang w:val="en-GB"/>
        </w:rPr>
        <w:t xml:space="preserve"> is delivering </w:t>
      </w:r>
      <w:r w:rsidRPr="001B7D3A">
        <w:rPr>
          <w:b/>
          <w:i/>
          <w:lang w:val="en-GB"/>
        </w:rPr>
        <w:t>direct cost management</w:t>
      </w:r>
      <w:r w:rsidRPr="001B7D3A">
        <w:rPr>
          <w:lang w:val="en-GB"/>
        </w:rPr>
        <w:t xml:space="preserve"> for handling general office expenses decreasing working hours and decreasing real estate costs for handling </w:t>
      </w:r>
      <w:r w:rsidR="005E6432" w:rsidRPr="001B7D3A">
        <w:rPr>
          <w:lang w:val="en-GB"/>
        </w:rPr>
        <w:t>working</w:t>
      </w:r>
      <w:r w:rsidRPr="001B7D3A">
        <w:rPr>
          <w:lang w:val="en-GB"/>
        </w:rPr>
        <w:t xml:space="preserve"> environments. As mentioned by Franken </w:t>
      </w:r>
      <w:r w:rsidRPr="001B7D3A">
        <w:rPr>
          <w:i/>
          <w:lang w:val="en-GB"/>
        </w:rPr>
        <w:t xml:space="preserve">et al., </w:t>
      </w:r>
      <w:r w:rsidRPr="001B7D3A">
        <w:rPr>
          <w:lang w:val="en-GB"/>
        </w:rPr>
        <w:t xml:space="preserve">(2021, p.1134), it is helping to cut out the expensive and long commute for handling employees' working process and handling productivity for handling working schedules. In the </w:t>
      </w:r>
      <w:r w:rsidRPr="001B7D3A">
        <w:rPr>
          <w:b/>
          <w:i/>
          <w:lang w:val="en-GB"/>
        </w:rPr>
        <w:t>advanced working culture</w:t>
      </w:r>
      <w:r w:rsidRPr="001B7D3A">
        <w:rPr>
          <w:lang w:val="en-GB"/>
        </w:rPr>
        <w:t xml:space="preserve"> in the </w:t>
      </w:r>
      <w:r w:rsidRPr="001B7D3A">
        <w:rPr>
          <w:b/>
          <w:i/>
          <w:lang w:val="en-GB"/>
        </w:rPr>
        <w:t>lab premises</w:t>
      </w:r>
      <w:r w:rsidRPr="001B7D3A">
        <w:rPr>
          <w:lang w:val="en-GB"/>
        </w:rPr>
        <w:t xml:space="preserve">, </w:t>
      </w:r>
      <w:r w:rsidRPr="001B7D3A">
        <w:rPr>
          <w:b/>
          <w:i/>
          <w:lang w:val="en-GB"/>
        </w:rPr>
        <w:t>open planned offices</w:t>
      </w:r>
      <w:r w:rsidRPr="001B7D3A">
        <w:rPr>
          <w:lang w:val="en-GB"/>
        </w:rPr>
        <w:t xml:space="preserve">, and </w:t>
      </w:r>
      <w:r w:rsidRPr="001B7D3A">
        <w:rPr>
          <w:b/>
          <w:i/>
          <w:lang w:val="en-GB"/>
        </w:rPr>
        <w:t>sharing spaces</w:t>
      </w:r>
      <w:r w:rsidRPr="001B7D3A">
        <w:rPr>
          <w:lang w:val="en-GB"/>
        </w:rPr>
        <w:t xml:space="preserve"> they are handling meetings, colleagues, and phone calls</w:t>
      </w:r>
      <w:r w:rsidR="001572D0">
        <w:rPr>
          <w:lang w:val="en-GB"/>
        </w:rPr>
        <w:t>,</w:t>
      </w:r>
      <w:r w:rsidRPr="001B7D3A">
        <w:rPr>
          <w:b/>
          <w:i/>
          <w:lang w:val="en-GB"/>
        </w:rPr>
        <w:t xml:space="preserve"> 9 to 5 working hours</w:t>
      </w:r>
      <w:r w:rsidRPr="001B7D3A">
        <w:rPr>
          <w:lang w:val="en-GB"/>
        </w:rPr>
        <w:t xml:space="preserve"> </w:t>
      </w:r>
      <w:r w:rsidR="001572D0">
        <w:rPr>
          <w:lang w:val="en-GB"/>
        </w:rPr>
        <w:t>with</w:t>
      </w:r>
      <w:r w:rsidRPr="001B7D3A">
        <w:rPr>
          <w:lang w:val="en-GB"/>
        </w:rPr>
        <w:t xml:space="preserve"> endless interruptions. </w:t>
      </w:r>
    </w:p>
    <w:p w14:paraId="7ADF4450" w14:textId="74C6689C" w:rsidR="00C90C4F" w:rsidRPr="001B7D3A" w:rsidRDefault="00A21F00" w:rsidP="008D5EC8">
      <w:pPr>
        <w:pStyle w:val="Normal1"/>
        <w:rPr>
          <w:lang w:val="en-GB"/>
        </w:rPr>
      </w:pPr>
      <w:r w:rsidRPr="001B7D3A">
        <w:rPr>
          <w:lang w:val="en-GB"/>
        </w:rPr>
        <w:t xml:space="preserve">In </w:t>
      </w:r>
      <w:proofErr w:type="spellStart"/>
      <w:r w:rsidRPr="001B7D3A">
        <w:rPr>
          <w:b/>
          <w:i/>
          <w:lang w:val="en-GB"/>
        </w:rPr>
        <w:t>VialTech</w:t>
      </w:r>
      <w:proofErr w:type="spellEnd"/>
      <w:r w:rsidRPr="001B7D3A">
        <w:rPr>
          <w:lang w:val="en-GB"/>
        </w:rPr>
        <w:t xml:space="preserve">, diverse teams can become productive by handling creative working schedules and developing effective cooperation. As per the comment of Davidescu </w:t>
      </w:r>
      <w:r w:rsidRPr="001B7D3A">
        <w:rPr>
          <w:i/>
          <w:lang w:val="en-GB"/>
        </w:rPr>
        <w:t xml:space="preserve">et al., </w:t>
      </w:r>
      <w:r w:rsidRPr="001B7D3A">
        <w:rPr>
          <w:lang w:val="en-GB"/>
        </w:rPr>
        <w:t xml:space="preserve">(2020, p.6086), individuals, working parents along with physical disabilities, are trying to handle common workplaces. </w:t>
      </w:r>
      <w:r w:rsidRPr="001B7D3A">
        <w:rPr>
          <w:b/>
          <w:i/>
          <w:lang w:val="en-GB"/>
        </w:rPr>
        <w:t>Effective and flexible working arrangements</w:t>
      </w:r>
      <w:r w:rsidRPr="001B7D3A">
        <w:rPr>
          <w:lang w:val="en-GB"/>
        </w:rPr>
        <w:t xml:space="preserve"> are handling productive and creative business. </w:t>
      </w:r>
      <w:proofErr w:type="spellStart"/>
      <w:r w:rsidRPr="001B7D3A">
        <w:rPr>
          <w:lang w:val="en-GB"/>
        </w:rPr>
        <w:t>VialTech</w:t>
      </w:r>
      <w:proofErr w:type="spellEnd"/>
      <w:r w:rsidRPr="001B7D3A">
        <w:rPr>
          <w:lang w:val="en-GB"/>
        </w:rPr>
        <w:t xml:space="preserve"> is delivering flexible working arrangements by handling the talent pool and controlling various options. Flexible working arrangements</w:t>
      </w:r>
      <w:r w:rsidR="001572D0">
        <w:rPr>
          <w:lang w:val="en-GB"/>
        </w:rPr>
        <w:t xml:space="preserve"> provide </w:t>
      </w:r>
      <w:r w:rsidRPr="001B7D3A">
        <w:rPr>
          <w:lang w:val="en-GB"/>
        </w:rPr>
        <w:t>a positive working environment and control</w:t>
      </w:r>
      <w:r w:rsidR="001572D0">
        <w:rPr>
          <w:lang w:val="en-GB"/>
        </w:rPr>
        <w:t xml:space="preserve"> </w:t>
      </w:r>
      <w:r w:rsidRPr="001B7D3A">
        <w:rPr>
          <w:lang w:val="en-GB"/>
        </w:rPr>
        <w:t xml:space="preserve">traditional work by scheduling proper jobs. Those arrangements are controlling personal life and help to find a proper work-life balance. </w:t>
      </w:r>
    </w:p>
    <w:p w14:paraId="624CA400" w14:textId="77777777" w:rsidR="00C90C4F" w:rsidRPr="001B7D3A" w:rsidRDefault="00A21F00" w:rsidP="008D5EC8">
      <w:pPr>
        <w:pStyle w:val="Normal1"/>
        <w:rPr>
          <w:lang w:val="en-GB"/>
        </w:rPr>
      </w:pPr>
      <w:r w:rsidRPr="001B7D3A">
        <w:rPr>
          <w:lang w:val="en-GB"/>
        </w:rPr>
        <w:t xml:space="preserve">Flexibility is helping to develop the ability for handling attraction and experiencing employees and developing higher performances. In the thoughts of Phillips (2020, p.130), it is developing workplace flexibility, attracting employees, and developing workplace flexibility for developing productivity and managing emergencies. </w:t>
      </w:r>
    </w:p>
    <w:p w14:paraId="313C866B" w14:textId="77777777" w:rsidR="00C90C4F" w:rsidRPr="001B7D3A" w:rsidRDefault="00A21F00" w:rsidP="008D5EC8">
      <w:pPr>
        <w:pStyle w:val="Normal1"/>
        <w:rPr>
          <w:lang w:val="en-GB"/>
        </w:rPr>
      </w:pPr>
      <w:r w:rsidRPr="001B7D3A">
        <w:rPr>
          <w:lang w:val="en-GB"/>
        </w:rPr>
        <w:t xml:space="preserve">The important strategies are based on </w:t>
      </w:r>
      <w:r w:rsidRPr="001B7D3A">
        <w:rPr>
          <w:b/>
          <w:i/>
          <w:lang w:val="en-GB"/>
        </w:rPr>
        <w:t>part-time schedules, telecommunication, gig-based work,</w:t>
      </w:r>
      <w:r w:rsidRPr="001B7D3A">
        <w:rPr>
          <w:lang w:val="en-GB"/>
        </w:rPr>
        <w:t xml:space="preserve"> and</w:t>
      </w:r>
      <w:r w:rsidRPr="001B7D3A">
        <w:rPr>
          <w:b/>
          <w:i/>
          <w:lang w:val="en-GB"/>
        </w:rPr>
        <w:t xml:space="preserve"> compressed workweeks</w:t>
      </w:r>
      <w:r w:rsidRPr="001B7D3A">
        <w:rPr>
          <w:lang w:val="en-GB"/>
        </w:rPr>
        <w:t xml:space="preserve">.  As opined by Fuertes </w:t>
      </w:r>
      <w:r w:rsidRPr="001B7D3A">
        <w:rPr>
          <w:i/>
          <w:lang w:val="en-GB"/>
        </w:rPr>
        <w:t xml:space="preserve">et al., </w:t>
      </w:r>
      <w:r w:rsidRPr="001B7D3A">
        <w:rPr>
          <w:lang w:val="en-GB"/>
        </w:rPr>
        <w:t xml:space="preserve">(2020, p.6253013), a flexible </w:t>
      </w:r>
      <w:r w:rsidRPr="001B7D3A">
        <w:rPr>
          <w:lang w:val="en-GB"/>
        </w:rPr>
        <w:lastRenderedPageBreak/>
        <w:t xml:space="preserve">working schedule is managing empowerment decisions for handling the environment and working schedule. It is developing </w:t>
      </w:r>
      <w:r w:rsidRPr="001B7D3A">
        <w:rPr>
          <w:b/>
          <w:i/>
          <w:lang w:val="en-GB"/>
        </w:rPr>
        <w:t>recruitment and recurring strategies</w:t>
      </w:r>
      <w:r w:rsidRPr="001B7D3A">
        <w:rPr>
          <w:lang w:val="en-GB"/>
        </w:rPr>
        <w:t xml:space="preserve"> by handling employee skills, and financial gains, and controlling competitive advantages by handling </w:t>
      </w:r>
      <w:proofErr w:type="spellStart"/>
      <w:r w:rsidRPr="001B7D3A">
        <w:rPr>
          <w:lang w:val="en-GB"/>
        </w:rPr>
        <w:t>VialTech</w:t>
      </w:r>
      <w:proofErr w:type="spellEnd"/>
      <w:r w:rsidRPr="001B7D3A">
        <w:rPr>
          <w:lang w:val="en-GB"/>
        </w:rPr>
        <w:t>. As stated by Kotera and Correa Vione</w:t>
      </w:r>
      <w:r w:rsidRPr="001B7D3A">
        <w:rPr>
          <w:i/>
          <w:lang w:val="en-GB"/>
        </w:rPr>
        <w:t xml:space="preserve"> </w:t>
      </w:r>
      <w:r w:rsidRPr="001B7D3A">
        <w:rPr>
          <w:lang w:val="en-GB"/>
        </w:rPr>
        <w:t xml:space="preserve">(2020, p.5080), it is developing work performances by developing better quality and handling productivity and helping to manage a proper balance to maintain responsibilities. </w:t>
      </w:r>
      <w:r w:rsidRPr="001B7D3A">
        <w:rPr>
          <w:b/>
          <w:i/>
          <w:lang w:val="en-GB"/>
        </w:rPr>
        <w:t>As an example, NHS</w:t>
      </w:r>
      <w:r w:rsidRPr="001B7D3A">
        <w:rPr>
          <w:lang w:val="en-GB"/>
        </w:rPr>
        <w:t xml:space="preserve"> is delivering working flexibility by handling working opportunities and developing individuals' working lives. NHS is delivering hybrid and agile working conditions by handling colleagues' decisions and delivering proper support to manage equipment and delivering proper support. </w:t>
      </w:r>
    </w:p>
    <w:p w14:paraId="79FD785B" w14:textId="77777777" w:rsidR="00C90C4F" w:rsidRPr="001B7D3A" w:rsidRDefault="00A21F00" w:rsidP="008D5EC8">
      <w:pPr>
        <w:pStyle w:val="Normal1"/>
        <w:rPr>
          <w:b/>
          <w:i/>
          <w:lang w:val="en-GB"/>
        </w:rPr>
      </w:pPr>
      <w:r w:rsidRPr="001B7D3A">
        <w:rPr>
          <w:b/>
          <w:i/>
          <w:lang w:val="en-GB"/>
        </w:rPr>
        <w:t xml:space="preserve">Define the advantages getting by firms and HR departments by implementing flexible working for developing employees' workforces </w:t>
      </w:r>
    </w:p>
    <w:p w14:paraId="0BFF31D3" w14:textId="77777777" w:rsidR="00C90C4F" w:rsidRPr="001B7D3A" w:rsidRDefault="00A21F00" w:rsidP="008D5EC8">
      <w:pPr>
        <w:pStyle w:val="Normal1"/>
        <w:rPr>
          <w:lang w:val="en-GB"/>
        </w:rPr>
      </w:pPr>
      <w:r w:rsidRPr="001B7D3A">
        <w:rPr>
          <w:lang w:val="en-GB"/>
        </w:rPr>
        <w:t xml:space="preserve">At first, </w:t>
      </w:r>
      <w:proofErr w:type="spellStart"/>
      <w:r w:rsidRPr="001B7D3A">
        <w:rPr>
          <w:lang w:val="en-GB"/>
        </w:rPr>
        <w:t>VialTech</w:t>
      </w:r>
      <w:proofErr w:type="spellEnd"/>
      <w:r w:rsidRPr="001B7D3A">
        <w:rPr>
          <w:lang w:val="en-GB"/>
        </w:rPr>
        <w:t xml:space="preserve"> needs to define possible options and try to figure out the staff's needs for them. </w:t>
      </w:r>
      <w:proofErr w:type="spellStart"/>
      <w:r w:rsidRPr="001B7D3A">
        <w:rPr>
          <w:lang w:val="en-GB"/>
        </w:rPr>
        <w:t>VialTech</w:t>
      </w:r>
      <w:proofErr w:type="spellEnd"/>
      <w:r w:rsidRPr="001B7D3A">
        <w:rPr>
          <w:lang w:val="en-GB"/>
        </w:rPr>
        <w:t xml:space="preserve"> is trying to implement an alternative working schedule to help employees by delivering them effective workplace flexibility. As mentioned by</w:t>
      </w:r>
      <w:r w:rsidRPr="001B7D3A">
        <w:rPr>
          <w:i/>
          <w:lang w:val="en-GB"/>
        </w:rPr>
        <w:t xml:space="preserve"> </w:t>
      </w:r>
      <w:r w:rsidRPr="001B7D3A">
        <w:rPr>
          <w:lang w:val="en-GB"/>
        </w:rPr>
        <w:t xml:space="preserve">Ferreira </w:t>
      </w:r>
      <w:r w:rsidRPr="001B7D3A">
        <w:rPr>
          <w:i/>
          <w:lang w:val="en-GB"/>
        </w:rPr>
        <w:t xml:space="preserve">et al., </w:t>
      </w:r>
      <w:r w:rsidRPr="001B7D3A">
        <w:rPr>
          <w:lang w:val="en-GB"/>
        </w:rPr>
        <w:t xml:space="preserve">(2021, p.70), flexible working arrangements are handling a huge range of options for handling quality control. Remote working and telecommuting are delivering proper arrangements for handling employees' work-from-home facilities and controlling remote locations. Flexibility in the working space and the HRM department in </w:t>
      </w:r>
      <w:proofErr w:type="spellStart"/>
      <w:r w:rsidRPr="001B7D3A">
        <w:rPr>
          <w:lang w:val="en-GB"/>
        </w:rPr>
        <w:t>VialTech</w:t>
      </w:r>
      <w:proofErr w:type="spellEnd"/>
      <w:r w:rsidRPr="001B7D3A">
        <w:rPr>
          <w:lang w:val="en-GB"/>
        </w:rPr>
        <w:t xml:space="preserve"> are delivering a positive impact on handling employees' performances and their motivations. It develops employees' productivity rate and leads to the development of the growth rate for the company. As stated by </w:t>
      </w:r>
      <w:proofErr w:type="spellStart"/>
      <w:r w:rsidRPr="001B7D3A">
        <w:rPr>
          <w:lang w:val="en-GB"/>
        </w:rPr>
        <w:t>Waworuntu</w:t>
      </w:r>
      <w:proofErr w:type="spellEnd"/>
      <w:r w:rsidRPr="001B7D3A">
        <w:rPr>
          <w:lang w:val="en-GB"/>
        </w:rPr>
        <w:t xml:space="preserve"> </w:t>
      </w:r>
      <w:r w:rsidRPr="001B7D3A">
        <w:rPr>
          <w:i/>
          <w:lang w:val="en-GB"/>
        </w:rPr>
        <w:t xml:space="preserve">et al., </w:t>
      </w:r>
      <w:r w:rsidRPr="001B7D3A">
        <w:rPr>
          <w:lang w:val="en-GB"/>
        </w:rPr>
        <w:t>(2022, p.299), flexibility in HR plans helps orga</w:t>
      </w:r>
      <w:r w:rsidR="00366DB6">
        <w:rPr>
          <w:lang w:val="en-GB"/>
        </w:rPr>
        <w:t>nis</w:t>
      </w:r>
      <w:r w:rsidRPr="001B7D3A">
        <w:rPr>
          <w:lang w:val="en-GB"/>
        </w:rPr>
        <w:t xml:space="preserve">ations quickly adjust compositions and workforce size to handle conditions, economic fluctuations, and production requirements. </w:t>
      </w:r>
      <w:proofErr w:type="spellStart"/>
      <w:r w:rsidRPr="001B7D3A">
        <w:rPr>
          <w:lang w:val="en-GB"/>
        </w:rPr>
        <w:t>VialTech</w:t>
      </w:r>
      <w:proofErr w:type="spellEnd"/>
      <w:r w:rsidRPr="001B7D3A">
        <w:rPr>
          <w:lang w:val="en-GB"/>
        </w:rPr>
        <w:t xml:space="preserve"> is managing remote working, part-time work, job sharing, and </w:t>
      </w:r>
      <w:r w:rsidR="00366DB6" w:rsidRPr="001B7D3A">
        <w:rPr>
          <w:lang w:val="en-GB"/>
        </w:rPr>
        <w:t>flex time</w:t>
      </w:r>
      <w:r w:rsidRPr="001B7D3A">
        <w:rPr>
          <w:lang w:val="en-GB"/>
        </w:rPr>
        <w:t xml:space="preserve"> for handling and delivering a flexible working culture. </w:t>
      </w:r>
    </w:p>
    <w:p w14:paraId="58271B61" w14:textId="77777777" w:rsidR="00C90C4F" w:rsidRPr="001B7D3A" w:rsidRDefault="00A21F00" w:rsidP="008D5EC8">
      <w:pPr>
        <w:pStyle w:val="Normal1"/>
        <w:rPr>
          <w:lang w:val="en-GB"/>
        </w:rPr>
      </w:pPr>
      <w:r w:rsidRPr="001B7D3A">
        <w:rPr>
          <w:lang w:val="en-GB"/>
        </w:rPr>
        <w:t xml:space="preserve">HR of </w:t>
      </w:r>
      <w:proofErr w:type="spellStart"/>
      <w:r w:rsidRPr="001B7D3A">
        <w:rPr>
          <w:lang w:val="en-GB"/>
        </w:rPr>
        <w:t>VialTech</w:t>
      </w:r>
      <w:proofErr w:type="spellEnd"/>
      <w:r w:rsidRPr="001B7D3A">
        <w:rPr>
          <w:lang w:val="en-GB"/>
        </w:rPr>
        <w:t xml:space="preserve"> is delivering flexibility and remote working to the employees for managing work whatever they are from. As stated by Beckel and Fisher</w:t>
      </w:r>
      <w:r w:rsidRPr="001B7D3A">
        <w:rPr>
          <w:i/>
          <w:lang w:val="en-GB"/>
        </w:rPr>
        <w:t xml:space="preserve"> </w:t>
      </w:r>
      <w:r w:rsidRPr="001B7D3A">
        <w:rPr>
          <w:lang w:val="en-GB"/>
        </w:rPr>
        <w:t xml:space="preserve">(2022, p.3879), job sharing is helping the skilled talents and attracting top talents for delivering them full-time positions for the employees. </w:t>
      </w:r>
      <w:proofErr w:type="spellStart"/>
      <w:r w:rsidRPr="001B7D3A">
        <w:rPr>
          <w:lang w:val="en-GB"/>
        </w:rPr>
        <w:t>VialTech</w:t>
      </w:r>
      <w:proofErr w:type="spellEnd"/>
      <w:r w:rsidRPr="001B7D3A">
        <w:rPr>
          <w:lang w:val="en-GB"/>
        </w:rPr>
        <w:t xml:space="preserve"> is delivering a proper work-life balance for the employees to control workloads. By scheduling proper guidelines and schedules, the HR department is handling employees' autonomy in </w:t>
      </w:r>
      <w:proofErr w:type="spellStart"/>
      <w:r w:rsidRPr="001B7D3A">
        <w:rPr>
          <w:lang w:val="en-GB"/>
        </w:rPr>
        <w:t>VialTech</w:t>
      </w:r>
      <w:proofErr w:type="spellEnd"/>
      <w:r w:rsidRPr="001B7D3A">
        <w:rPr>
          <w:lang w:val="en-GB"/>
        </w:rPr>
        <w:t xml:space="preserve"> and delivering clear policies by handling business results and controlling productivity. </w:t>
      </w:r>
      <w:proofErr w:type="spellStart"/>
      <w:r w:rsidRPr="001B7D3A">
        <w:rPr>
          <w:lang w:val="en-GB"/>
        </w:rPr>
        <w:t>VialTech</w:t>
      </w:r>
      <w:proofErr w:type="spellEnd"/>
      <w:r w:rsidRPr="001B7D3A">
        <w:rPr>
          <w:lang w:val="en-GB"/>
        </w:rPr>
        <w:t xml:space="preserve"> is investing in modern technology for handling flexible working arrangements and controlling different working schedules and locations. Employees and training managers play a significant role in implementing flexible working arrangements. For managers, training is mainly focusing on improving competencies for handling virtual </w:t>
      </w:r>
      <w:r w:rsidRPr="001B7D3A">
        <w:rPr>
          <w:lang w:val="en-GB"/>
        </w:rPr>
        <w:lastRenderedPageBreak/>
        <w:t>teams, delivering communications, trust building, and controlling employee engagement for delivering a proper distance. As commented by Ajayi and Udeh</w:t>
      </w:r>
      <w:r w:rsidRPr="001B7D3A">
        <w:rPr>
          <w:i/>
          <w:lang w:val="en-GB"/>
        </w:rPr>
        <w:t xml:space="preserve"> </w:t>
      </w:r>
      <w:r w:rsidRPr="001B7D3A">
        <w:rPr>
          <w:lang w:val="en-GB"/>
        </w:rPr>
        <w:t xml:space="preserve">(2024, </w:t>
      </w:r>
      <w:r w:rsidR="008D5EC8">
        <w:rPr>
          <w:lang w:val="en-GB"/>
        </w:rPr>
        <w:t xml:space="preserve">p. 23) </w:t>
      </w:r>
      <w:r w:rsidRPr="001B7D3A">
        <w:rPr>
          <w:lang w:val="en-GB"/>
        </w:rPr>
        <w:t>by offering part-time working positions and handling job-sharing arrangement</w:t>
      </w:r>
      <w:r w:rsidR="00366DB6">
        <w:rPr>
          <w:lang w:val="en-GB"/>
        </w:rPr>
        <w:t>s employees are handling organis</w:t>
      </w:r>
      <w:r w:rsidRPr="001B7D3A">
        <w:rPr>
          <w:lang w:val="en-GB"/>
        </w:rPr>
        <w:t xml:space="preserve">ational structure and handling staffing needs. The HR team in </w:t>
      </w:r>
      <w:proofErr w:type="spellStart"/>
      <w:r w:rsidRPr="001B7D3A">
        <w:rPr>
          <w:lang w:val="en-GB"/>
        </w:rPr>
        <w:t>VialTech</w:t>
      </w:r>
      <w:proofErr w:type="spellEnd"/>
      <w:r w:rsidRPr="001B7D3A">
        <w:rPr>
          <w:lang w:val="en-GB"/>
        </w:rPr>
        <w:t xml:space="preserve"> is trying to develop contingency planning and scenarios for handling future scenarios, handling industry disruptions, controlling economic downturns, and controlling market demands. Job sharing plays a crucial role in handling coverage and continuity for handling work schedules during absences and employees are getting free time by handling proper tracking and managing careers. They are offering a part-time working option that helps applicants handle employment pools and deliver proper values to the employees. </w:t>
      </w:r>
    </w:p>
    <w:p w14:paraId="6F524D20" w14:textId="77777777" w:rsidR="00C90C4F" w:rsidRPr="001B7D3A" w:rsidRDefault="00A21F00" w:rsidP="008D5EC8">
      <w:pPr>
        <w:pStyle w:val="Normal1"/>
        <w:rPr>
          <w:lang w:val="en-GB"/>
        </w:rPr>
      </w:pPr>
      <w:r w:rsidRPr="001B7D3A">
        <w:rPr>
          <w:lang w:val="en-GB"/>
        </w:rPr>
        <w:t xml:space="preserve">Part-time working of employees creates a proper balance for handling workloads, increasing staff hours. As viewed by Mousa </w:t>
      </w:r>
      <w:r w:rsidRPr="001B7D3A">
        <w:rPr>
          <w:i/>
          <w:lang w:val="en-GB"/>
        </w:rPr>
        <w:t xml:space="preserve">et al., </w:t>
      </w:r>
      <w:r w:rsidRPr="001B7D3A">
        <w:rPr>
          <w:lang w:val="en-GB"/>
        </w:rPr>
        <w:t xml:space="preserve">(2021), a compressed schedule is helping to decrease costs, and time and manage additional payment options for delivering a better work-life balance. In </w:t>
      </w:r>
      <w:proofErr w:type="spellStart"/>
      <w:r w:rsidRPr="001B7D3A">
        <w:rPr>
          <w:lang w:val="en-GB"/>
        </w:rPr>
        <w:t>VialTech</w:t>
      </w:r>
      <w:proofErr w:type="spellEnd"/>
      <w:r w:rsidRPr="001B7D3A">
        <w:rPr>
          <w:lang w:val="en-GB"/>
        </w:rPr>
        <w:t xml:space="preserve">, </w:t>
      </w:r>
      <w:r w:rsidR="00366DB6" w:rsidRPr="001B7D3A">
        <w:rPr>
          <w:lang w:val="en-GB"/>
        </w:rPr>
        <w:t>flex time</w:t>
      </w:r>
      <w:r w:rsidRPr="001B7D3A">
        <w:rPr>
          <w:lang w:val="en-GB"/>
        </w:rPr>
        <w:t xml:space="preserve"> is offering a better fit for handling working hours and making easier and faster schedules by handling rush traffic. A flexible working policy delivers clear and general guidelines for handling work arrangements. Alternative childcare arrangements and telecommuting arrangements are managing suitable and safe workplaces for handling distractions and confidence.  </w:t>
      </w:r>
    </w:p>
    <w:p w14:paraId="4365AC40" w14:textId="77777777" w:rsidR="00C90C4F" w:rsidRPr="001B7D3A" w:rsidRDefault="00A21F00" w:rsidP="008D5EC8">
      <w:pPr>
        <w:pStyle w:val="Normal1"/>
        <w:rPr>
          <w:b/>
          <w:i/>
          <w:lang w:val="en-GB"/>
        </w:rPr>
      </w:pPr>
      <w:r w:rsidRPr="001B7D3A">
        <w:rPr>
          <w:b/>
          <w:i/>
          <w:lang w:val="en-GB"/>
        </w:rPr>
        <w:t>Determining t</w:t>
      </w:r>
      <w:r w:rsidR="00366DB6">
        <w:rPr>
          <w:b/>
          <w:i/>
          <w:lang w:val="en-GB"/>
        </w:rPr>
        <w:t>he pay structure for the organis</w:t>
      </w:r>
      <w:r w:rsidRPr="001B7D3A">
        <w:rPr>
          <w:b/>
          <w:i/>
          <w:lang w:val="en-GB"/>
        </w:rPr>
        <w:t xml:space="preserve">ation </w:t>
      </w:r>
    </w:p>
    <w:p w14:paraId="2E8DF52F" w14:textId="77777777" w:rsidR="00C90C4F" w:rsidRPr="001B7D3A" w:rsidRDefault="00A21F00" w:rsidP="008D5EC8">
      <w:pPr>
        <w:pStyle w:val="Normal1"/>
        <w:rPr>
          <w:lang w:val="en-GB"/>
        </w:rPr>
      </w:pPr>
      <w:r w:rsidRPr="001B7D3A">
        <w:rPr>
          <w:lang w:val="en-GB"/>
        </w:rPr>
        <w:t xml:space="preserve">The pay structure of the private lab in the UK is based on £24,500 per year or £12.56 per hour. Every position is mainly starting from £22,000 per year as compared to the experienced lab technicians who are getting </w:t>
      </w:r>
      <w:r w:rsidR="00366DB6" w:rsidRPr="001B7D3A">
        <w:rPr>
          <w:lang w:val="en-GB"/>
        </w:rPr>
        <w:t>around £</w:t>
      </w:r>
      <w:r w:rsidRPr="001B7D3A">
        <w:rPr>
          <w:lang w:val="en-GB"/>
        </w:rPr>
        <w:t xml:space="preserve">30,518 per year (Bls.Gov, 2024). </w:t>
      </w:r>
      <w:proofErr w:type="spellStart"/>
      <w:r w:rsidRPr="001B7D3A">
        <w:rPr>
          <w:lang w:val="en-GB"/>
        </w:rPr>
        <w:t>VialTech</w:t>
      </w:r>
      <w:proofErr w:type="spellEnd"/>
      <w:r w:rsidRPr="001B7D3A">
        <w:rPr>
          <w:lang w:val="en-GB"/>
        </w:rPr>
        <w:t xml:space="preserve"> provides higher salaries for the clinical scientist and the clinical technologist, on the other hand, lab technicians and clinical trial assistants are getting lower than others. A new payment structure can be implemented by setting a proper job level, assessing and implementing a pay grade structure, selecting benchmark positions, and evaluating each of the positions. </w:t>
      </w:r>
      <w:proofErr w:type="spellStart"/>
      <w:r w:rsidRPr="001B7D3A">
        <w:rPr>
          <w:lang w:val="en-GB"/>
        </w:rPr>
        <w:t>VialTech</w:t>
      </w:r>
      <w:proofErr w:type="spellEnd"/>
      <w:r w:rsidRPr="001B7D3A">
        <w:rPr>
          <w:lang w:val="en-GB"/>
        </w:rPr>
        <w:t xml:space="preserve"> follows various processes for implementing pay based on performance which include procedures, and policies, handling performance objectives, delivering proper training, and managing communications. </w:t>
      </w:r>
      <w:proofErr w:type="spellStart"/>
      <w:r w:rsidRPr="001B7D3A">
        <w:rPr>
          <w:b/>
          <w:i/>
          <w:lang w:val="en-GB"/>
        </w:rPr>
        <w:t>VialTech</w:t>
      </w:r>
      <w:proofErr w:type="spellEnd"/>
      <w:r w:rsidRPr="001B7D3A">
        <w:rPr>
          <w:lang w:val="en-GB"/>
        </w:rPr>
        <w:t xml:space="preserve"> follows a </w:t>
      </w:r>
      <w:r w:rsidRPr="001B7D3A">
        <w:rPr>
          <w:b/>
          <w:i/>
          <w:lang w:val="en-GB"/>
        </w:rPr>
        <w:t>broadband pay structure</w:t>
      </w:r>
      <w:r w:rsidRPr="001B7D3A">
        <w:rPr>
          <w:lang w:val="en-GB"/>
        </w:rPr>
        <w:t xml:space="preserve"> that motivates employees to handle a huge range of skills and narrow skill sets (Watson, 2023). </w:t>
      </w:r>
      <w:r w:rsidR="00366DB6" w:rsidRPr="001B7D3A">
        <w:rPr>
          <w:lang w:val="en-GB"/>
        </w:rPr>
        <w:t>Broad banding</w:t>
      </w:r>
      <w:r w:rsidRPr="001B7D3A">
        <w:rPr>
          <w:lang w:val="en-GB"/>
        </w:rPr>
        <w:t xml:space="preserve"> is helping to implement processes and new policies for managing restructuring and handling implementation-related changes. It is managing the chain of command and delivering proper value for the employees, developing their growth. </w:t>
      </w:r>
    </w:p>
    <w:p w14:paraId="1703CF10" w14:textId="77777777" w:rsidR="00C90C4F" w:rsidRPr="001B7D3A" w:rsidRDefault="00A21F00" w:rsidP="008D5EC8">
      <w:pPr>
        <w:pStyle w:val="Normal1"/>
        <w:rPr>
          <w:lang w:val="en-GB"/>
        </w:rPr>
      </w:pPr>
      <w:r w:rsidRPr="001B7D3A">
        <w:rPr>
          <w:lang w:val="en-GB"/>
        </w:rPr>
        <w:lastRenderedPageBreak/>
        <w:t xml:space="preserve">This </w:t>
      </w:r>
      <w:proofErr w:type="gramStart"/>
      <w:r w:rsidRPr="001B7D3A">
        <w:rPr>
          <w:lang w:val="en-GB"/>
        </w:rPr>
        <w:t>pay</w:t>
      </w:r>
      <w:proofErr w:type="gramEnd"/>
      <w:r w:rsidRPr="001B7D3A">
        <w:rPr>
          <w:lang w:val="en-GB"/>
        </w:rPr>
        <w:t xml:space="preserve"> structure delivers effective opportunities for managers and employees to manage their compensations and roles. As an example, </w:t>
      </w:r>
      <w:r w:rsidRPr="001B7D3A">
        <w:rPr>
          <w:b/>
          <w:i/>
          <w:lang w:val="en-GB"/>
        </w:rPr>
        <w:t>Francis Crick Institute</w:t>
      </w:r>
      <w:r w:rsidRPr="001B7D3A">
        <w:rPr>
          <w:lang w:val="en-GB"/>
        </w:rPr>
        <w:t xml:space="preserve"> is following an </w:t>
      </w:r>
      <w:r w:rsidRPr="001B7D3A">
        <w:rPr>
          <w:b/>
          <w:i/>
          <w:lang w:val="en-GB"/>
        </w:rPr>
        <w:t>Equity package pay structure</w:t>
      </w:r>
      <w:r w:rsidRPr="001B7D3A">
        <w:rPr>
          <w:lang w:val="en-GB"/>
        </w:rPr>
        <w:t>, that is allowing employees to deliver huge offers for the employees rather than not affecting the bottom line. As per the comment of Schor</w:t>
      </w:r>
      <w:r w:rsidRPr="001B7D3A">
        <w:rPr>
          <w:i/>
          <w:lang w:val="en-GB"/>
        </w:rPr>
        <w:t xml:space="preserve"> </w:t>
      </w:r>
      <w:r w:rsidRPr="001B7D3A">
        <w:rPr>
          <w:lang w:val="en-GB"/>
        </w:rPr>
        <w:t xml:space="preserve">(2020), equity compensation is delivering effective employee equity by joining the company delivering proper </w:t>
      </w:r>
      <w:proofErr w:type="gramStart"/>
      <w:r w:rsidRPr="001B7D3A">
        <w:rPr>
          <w:lang w:val="en-GB"/>
        </w:rPr>
        <w:t>values, and</w:t>
      </w:r>
      <w:proofErr w:type="gramEnd"/>
      <w:r w:rsidRPr="001B7D3A">
        <w:rPr>
          <w:lang w:val="en-GB"/>
        </w:rPr>
        <w:t xml:space="preserve"> delivering proper ownership for handling stock. It is known as shared-based compensation which is based on a non-cash pay that manages ownership for the firms and controls restricted stock, stock options, ESPPs, and stock appreciation rights. On the other hand, </w:t>
      </w:r>
      <w:r w:rsidRPr="001B7D3A">
        <w:rPr>
          <w:b/>
          <w:i/>
          <w:lang w:val="en-GB"/>
        </w:rPr>
        <w:t>The Lighthouse Labs</w:t>
      </w:r>
      <w:r w:rsidRPr="001B7D3A">
        <w:rPr>
          <w:lang w:val="en-GB"/>
        </w:rPr>
        <w:t xml:space="preserve"> is following a hierarchical</w:t>
      </w:r>
      <w:r w:rsidRPr="001B7D3A">
        <w:rPr>
          <w:b/>
          <w:i/>
          <w:lang w:val="en-GB"/>
        </w:rPr>
        <w:t xml:space="preserve"> pay structure</w:t>
      </w:r>
      <w:r w:rsidRPr="001B7D3A">
        <w:rPr>
          <w:lang w:val="en-GB"/>
        </w:rPr>
        <w:t>, that is helping to define the pay structure of the employees and this firm is defining salary grades for handling each position.</w:t>
      </w:r>
    </w:p>
    <w:p w14:paraId="082B5B21" w14:textId="77777777" w:rsidR="00C90C4F" w:rsidRPr="001B7D3A" w:rsidRDefault="00A21F00" w:rsidP="008D5EC8">
      <w:pPr>
        <w:pStyle w:val="Normal1"/>
        <w:rPr>
          <w:b/>
          <w:i/>
          <w:lang w:val="en-GB"/>
        </w:rPr>
      </w:pPr>
      <w:r w:rsidRPr="001B7D3A">
        <w:rPr>
          <w:lang w:val="en-GB"/>
        </w:rPr>
        <w:t xml:space="preserve">This structure manages effective operations by delivering effectiveness and efficiency in handling working conditions. Along with this, </w:t>
      </w:r>
      <w:r w:rsidRPr="001B7D3A">
        <w:rPr>
          <w:b/>
          <w:i/>
          <w:lang w:val="en-GB"/>
        </w:rPr>
        <w:t>Plymouth Marine Laboratory</w:t>
      </w:r>
      <w:r w:rsidRPr="001B7D3A">
        <w:rPr>
          <w:lang w:val="en-GB"/>
        </w:rPr>
        <w:t xml:space="preserve"> is following</w:t>
      </w:r>
      <w:r w:rsidRPr="001B7D3A">
        <w:rPr>
          <w:b/>
          <w:i/>
          <w:lang w:val="en-GB"/>
        </w:rPr>
        <w:t xml:space="preserve"> a bonus-based pay </w:t>
      </w:r>
      <w:r w:rsidR="00366DB6" w:rsidRPr="001B7D3A">
        <w:rPr>
          <w:b/>
          <w:i/>
          <w:lang w:val="en-GB"/>
        </w:rPr>
        <w:t>structure</w:t>
      </w:r>
      <w:r w:rsidR="00366DB6" w:rsidRPr="001B7D3A">
        <w:rPr>
          <w:lang w:val="en-GB"/>
        </w:rPr>
        <w:t>, which</w:t>
      </w:r>
      <w:r w:rsidRPr="001B7D3A">
        <w:rPr>
          <w:lang w:val="en-GB"/>
        </w:rPr>
        <w:t xml:space="preserve"> is helping business owners manage production volumes and low sales. As opined by Harvey </w:t>
      </w:r>
      <w:r w:rsidRPr="001B7D3A">
        <w:rPr>
          <w:i/>
          <w:lang w:val="en-GB"/>
        </w:rPr>
        <w:t xml:space="preserve">et al., </w:t>
      </w:r>
      <w:r w:rsidRPr="001B7D3A">
        <w:rPr>
          <w:lang w:val="en-GB"/>
        </w:rPr>
        <w:t xml:space="preserve">(2021), bonus helps to develop team collaborations among the members that play a crucial role in the development of the employee's performances. This process helps to deliver relevant values by handling each position and creating a sense of belonging and ownership for handling staff morale and managing loyalty towards the employer's development. As opined by Wahab </w:t>
      </w:r>
      <w:r w:rsidRPr="001B7D3A">
        <w:rPr>
          <w:i/>
          <w:lang w:val="en-GB"/>
        </w:rPr>
        <w:t xml:space="preserve">et al., </w:t>
      </w:r>
      <w:r w:rsidRPr="001B7D3A">
        <w:rPr>
          <w:lang w:val="en-GB"/>
        </w:rPr>
        <w:t xml:space="preserve">(2024, 870), there are different advantages to bonus pay such as developing job satisfaction </w:t>
      </w:r>
      <w:proofErr w:type="gramStart"/>
      <w:r w:rsidRPr="001B7D3A">
        <w:rPr>
          <w:lang w:val="en-GB"/>
        </w:rPr>
        <w:t>levels,  teamwork</w:t>
      </w:r>
      <w:proofErr w:type="gramEnd"/>
      <w:r w:rsidRPr="001B7D3A">
        <w:rPr>
          <w:lang w:val="en-GB"/>
        </w:rPr>
        <w:t xml:space="preserve">, motivation, loyalty and communication, and handling loyalty programs. It is going to be based on developing 5% to 20% from the employee's base salary and “bonus on performances” is developing overall performances by handling financial rewards by developing working performance. </w:t>
      </w:r>
    </w:p>
    <w:p w14:paraId="0253AAF4" w14:textId="77777777" w:rsidR="00C90C4F" w:rsidRPr="001B7D3A" w:rsidRDefault="00A21F00" w:rsidP="008D5EC8">
      <w:pPr>
        <w:pStyle w:val="Normal1"/>
        <w:rPr>
          <w:b/>
          <w:i/>
          <w:lang w:val="en-GB"/>
        </w:rPr>
      </w:pPr>
      <w:r w:rsidRPr="001B7D3A">
        <w:rPr>
          <w:b/>
          <w:i/>
          <w:lang w:val="en-GB"/>
        </w:rPr>
        <w:t xml:space="preserve">Evaluation of different strategies for developing employee engagement for implementing flexible working arrangements </w:t>
      </w:r>
    </w:p>
    <w:p w14:paraId="5ED1FB53" w14:textId="77777777" w:rsidR="00C90C4F" w:rsidRPr="001B7D3A" w:rsidRDefault="00A21F00" w:rsidP="008D5EC8">
      <w:pPr>
        <w:pStyle w:val="Normal1"/>
        <w:rPr>
          <w:lang w:val="en-GB"/>
        </w:rPr>
      </w:pPr>
      <w:r w:rsidRPr="001B7D3A">
        <w:rPr>
          <w:lang w:val="en-GB"/>
        </w:rPr>
        <w:t xml:space="preserve">Proper implementation of </w:t>
      </w:r>
      <w:r w:rsidRPr="001B7D3A">
        <w:rPr>
          <w:b/>
          <w:i/>
          <w:lang w:val="en-GB"/>
        </w:rPr>
        <w:t>teamwork and effective working culture</w:t>
      </w:r>
      <w:r w:rsidRPr="001B7D3A">
        <w:rPr>
          <w:lang w:val="en-GB"/>
        </w:rPr>
        <w:t xml:space="preserve"> is managing rewarding systems and recognitions for handling success rates and team contributions. As per the comment of </w:t>
      </w:r>
      <w:proofErr w:type="spellStart"/>
      <w:r w:rsidRPr="001B7D3A">
        <w:rPr>
          <w:lang w:val="en-GB"/>
        </w:rPr>
        <w:t>Annosi</w:t>
      </w:r>
      <w:proofErr w:type="spellEnd"/>
      <w:r w:rsidRPr="001B7D3A">
        <w:rPr>
          <w:lang w:val="en-GB"/>
        </w:rPr>
        <w:t xml:space="preserve"> </w:t>
      </w:r>
      <w:r w:rsidRPr="001B7D3A">
        <w:rPr>
          <w:i/>
          <w:lang w:val="en-GB"/>
        </w:rPr>
        <w:t xml:space="preserve">et al., </w:t>
      </w:r>
      <w:r w:rsidRPr="001B7D3A">
        <w:rPr>
          <w:lang w:val="en-GB"/>
        </w:rPr>
        <w:t xml:space="preserve">(2020, p.70), implementing effective tools including </w:t>
      </w:r>
      <w:r w:rsidRPr="001B7D3A">
        <w:rPr>
          <w:b/>
          <w:i/>
          <w:lang w:val="en-GB"/>
        </w:rPr>
        <w:t>online collaboration spaces, project management software,</w:t>
      </w:r>
      <w:r w:rsidRPr="001B7D3A">
        <w:rPr>
          <w:lang w:val="en-GB"/>
        </w:rPr>
        <w:t xml:space="preserve"> and </w:t>
      </w:r>
      <w:r w:rsidRPr="001B7D3A">
        <w:rPr>
          <w:b/>
          <w:i/>
          <w:lang w:val="en-GB"/>
        </w:rPr>
        <w:t>virtual meeting platforms</w:t>
      </w:r>
      <w:r w:rsidRPr="001B7D3A">
        <w:rPr>
          <w:lang w:val="en-GB"/>
        </w:rPr>
        <w:t xml:space="preserve"> are delivering easy ways for the employees and helping to share ideas. Different strategies are implemented</w:t>
      </w:r>
      <w:r w:rsidR="00366DB6">
        <w:rPr>
          <w:lang w:val="en-GB"/>
        </w:rPr>
        <w:t xml:space="preserve"> by </w:t>
      </w:r>
      <w:proofErr w:type="spellStart"/>
      <w:r w:rsidR="00366DB6">
        <w:rPr>
          <w:lang w:val="en-GB"/>
        </w:rPr>
        <w:t>VialTech</w:t>
      </w:r>
      <w:proofErr w:type="spellEnd"/>
      <w:r w:rsidR="00366DB6">
        <w:rPr>
          <w:lang w:val="en-GB"/>
        </w:rPr>
        <w:t xml:space="preserve"> including prioritis</w:t>
      </w:r>
      <w:r w:rsidRPr="001B7D3A">
        <w:rPr>
          <w:lang w:val="en-GB"/>
        </w:rPr>
        <w:t xml:space="preserve">ing employees' mental health and physical well-being, handling awards, and managing employee recognitions for handling working performances. </w:t>
      </w:r>
      <w:proofErr w:type="spellStart"/>
      <w:r w:rsidRPr="001B7D3A">
        <w:rPr>
          <w:lang w:val="en-GB"/>
        </w:rPr>
        <w:t>VialTech</w:t>
      </w:r>
      <w:proofErr w:type="spellEnd"/>
      <w:r w:rsidRPr="001B7D3A">
        <w:rPr>
          <w:lang w:val="en-GB"/>
        </w:rPr>
        <w:t xml:space="preserve"> handles the company's events, managing effective working schedules, </w:t>
      </w:r>
      <w:r w:rsidRPr="001B7D3A">
        <w:rPr>
          <w:lang w:val="en-GB"/>
        </w:rPr>
        <w:lastRenderedPageBreak/>
        <w:t xml:space="preserve">controlling flexibility, and developing opportunities and top performances that are developing flexibility. </w:t>
      </w:r>
    </w:p>
    <w:p w14:paraId="38A39132" w14:textId="77777777" w:rsidR="00C90C4F" w:rsidRPr="003D3A9F" w:rsidRDefault="00A21F00" w:rsidP="008D5EC8">
      <w:pPr>
        <w:rPr>
          <w:b/>
          <w:i/>
          <w:lang w:val="en-GB"/>
        </w:rPr>
      </w:pPr>
      <w:bookmarkStart w:id="5" w:name="_gl3ruktizkuq" w:colFirst="0" w:colLast="0"/>
      <w:bookmarkEnd w:id="5"/>
      <w:r w:rsidRPr="003D3A9F">
        <w:rPr>
          <w:b/>
          <w:i/>
          <w:lang w:val="en-GB"/>
        </w:rPr>
        <w:t xml:space="preserve">Atkinson's flexible firm model </w:t>
      </w:r>
    </w:p>
    <w:p w14:paraId="7606072C" w14:textId="77777777" w:rsidR="00C90C4F" w:rsidRPr="001B7D3A" w:rsidRDefault="00A21F00" w:rsidP="008D5EC8">
      <w:pPr>
        <w:pStyle w:val="Normal1"/>
        <w:rPr>
          <w:lang w:val="en-GB"/>
        </w:rPr>
      </w:pPr>
      <w:r w:rsidRPr="001B7D3A">
        <w:rPr>
          <w:lang w:val="en-GB"/>
        </w:rPr>
        <w:t xml:space="preserve">This model helps to manage skill level and volume for handling staff requirements and delivering long-term advantages for managing competitive landscapes and managing market competitors. It is delivering a higher management position for </w:t>
      </w:r>
      <w:proofErr w:type="spellStart"/>
      <w:r w:rsidRPr="001B7D3A">
        <w:rPr>
          <w:lang w:val="en-GB"/>
        </w:rPr>
        <w:t>VialTech</w:t>
      </w:r>
      <w:proofErr w:type="spellEnd"/>
      <w:r w:rsidRPr="001B7D3A">
        <w:rPr>
          <w:lang w:val="en-GB"/>
        </w:rPr>
        <w:t xml:space="preserve"> and sharing effective ideas for handling proactive approaches. As stated by Zhao </w:t>
      </w:r>
      <w:r w:rsidRPr="001B7D3A">
        <w:rPr>
          <w:i/>
          <w:lang w:val="en-GB"/>
        </w:rPr>
        <w:t xml:space="preserve">et al., </w:t>
      </w:r>
      <w:r w:rsidRPr="001B7D3A">
        <w:rPr>
          <w:lang w:val="en-GB"/>
        </w:rPr>
        <w:t>(2020), it is helping businesses to match skill levels and deliver staff-related costs by delivering competitive edges for handling market competition. It is based on</w:t>
      </w:r>
      <w:r w:rsidR="00366DB6">
        <w:rPr>
          <w:lang w:val="en-GB"/>
        </w:rPr>
        <w:t xml:space="preserve"> effective workplace and organis</w:t>
      </w:r>
      <w:r w:rsidRPr="001B7D3A">
        <w:rPr>
          <w:lang w:val="en-GB"/>
        </w:rPr>
        <w:t xml:space="preserve">ation management techniques and uses various flexibility forms for managing human resources for the company. As opined by Edison </w:t>
      </w:r>
      <w:r w:rsidRPr="001B7D3A">
        <w:rPr>
          <w:i/>
          <w:lang w:val="en-GB"/>
        </w:rPr>
        <w:t xml:space="preserve">et al., </w:t>
      </w:r>
      <w:r w:rsidRPr="001B7D3A">
        <w:rPr>
          <w:lang w:val="en-GB"/>
        </w:rPr>
        <w:t xml:space="preserve">(2021, p.2714), this is delivering suggestions for handling peripheral and core </w:t>
      </w:r>
      <w:proofErr w:type="gramStart"/>
      <w:r w:rsidRPr="001B7D3A">
        <w:rPr>
          <w:lang w:val="en-GB"/>
        </w:rPr>
        <w:t>groups, and</w:t>
      </w:r>
      <w:proofErr w:type="gramEnd"/>
      <w:r w:rsidRPr="001B7D3A">
        <w:rPr>
          <w:lang w:val="en-GB"/>
        </w:rPr>
        <w:t xml:space="preserve"> delivering suggestions for managing workforces. This model is managing collaborative workforces for handling human resource departments and managing rapidly changing markets. </w:t>
      </w:r>
    </w:p>
    <w:p w14:paraId="604E2548" w14:textId="77777777" w:rsidR="00C90C4F" w:rsidRPr="001B7D3A" w:rsidRDefault="00A21F00" w:rsidP="008D5EC8">
      <w:pPr>
        <w:pStyle w:val="Normal1"/>
        <w:jc w:val="center"/>
        <w:rPr>
          <w:lang w:val="en-GB"/>
        </w:rPr>
      </w:pPr>
      <w:r w:rsidRPr="001B7D3A">
        <w:rPr>
          <w:noProof/>
          <w:lang w:val="en-IN" w:eastAsia="en-IN"/>
        </w:rPr>
        <w:drawing>
          <wp:inline distT="114300" distB="114300" distL="114300" distR="114300" wp14:anchorId="34348216" wp14:editId="5D6F5591">
            <wp:extent cx="3881120" cy="3164772"/>
            <wp:effectExtent l="19050" t="19050" r="24130" b="1714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3895385" cy="3176404"/>
                    </a:xfrm>
                    <a:prstGeom prst="rect">
                      <a:avLst/>
                    </a:prstGeom>
                    <a:ln w="25400">
                      <a:solidFill>
                        <a:srgbClr val="000000"/>
                      </a:solidFill>
                      <a:prstDash val="solid"/>
                    </a:ln>
                  </pic:spPr>
                </pic:pic>
              </a:graphicData>
            </a:graphic>
          </wp:inline>
        </w:drawing>
      </w:r>
    </w:p>
    <w:p w14:paraId="30F93690" w14:textId="77777777" w:rsidR="00C90C4F" w:rsidRPr="001B7D3A" w:rsidRDefault="00A21F00" w:rsidP="008D5EC8">
      <w:pPr>
        <w:pStyle w:val="Normal1"/>
        <w:jc w:val="center"/>
        <w:rPr>
          <w:b/>
          <w:lang w:val="en-GB"/>
        </w:rPr>
      </w:pPr>
      <w:r w:rsidRPr="001B7D3A">
        <w:rPr>
          <w:b/>
          <w:lang w:val="en-GB"/>
        </w:rPr>
        <w:t xml:space="preserve">Figure 1: Atkinson's flexible firm model </w:t>
      </w:r>
    </w:p>
    <w:p w14:paraId="63AF125E" w14:textId="77777777" w:rsidR="00C90C4F" w:rsidRPr="001B7D3A" w:rsidRDefault="00A21F00" w:rsidP="008D5EC8">
      <w:pPr>
        <w:pStyle w:val="Normal1"/>
        <w:jc w:val="center"/>
        <w:rPr>
          <w:lang w:val="en-GB"/>
        </w:rPr>
      </w:pPr>
      <w:r w:rsidRPr="001B7D3A">
        <w:rPr>
          <w:lang w:val="en-GB"/>
        </w:rPr>
        <w:t xml:space="preserve">(Source: Zhao </w:t>
      </w:r>
      <w:r w:rsidRPr="001B7D3A">
        <w:rPr>
          <w:i/>
          <w:lang w:val="en-GB"/>
        </w:rPr>
        <w:t xml:space="preserve">et al., </w:t>
      </w:r>
      <w:r w:rsidRPr="001B7D3A">
        <w:rPr>
          <w:lang w:val="en-GB"/>
        </w:rPr>
        <w:t>2020)</w:t>
      </w:r>
    </w:p>
    <w:p w14:paraId="4E609B1B" w14:textId="77777777" w:rsidR="00C90C4F" w:rsidRPr="001B7D3A" w:rsidRDefault="00A21F00" w:rsidP="008D5EC8">
      <w:pPr>
        <w:pStyle w:val="Normal1"/>
        <w:rPr>
          <w:b/>
          <w:i/>
          <w:lang w:val="en-GB"/>
        </w:rPr>
      </w:pPr>
      <w:r w:rsidRPr="001B7D3A">
        <w:rPr>
          <w:b/>
          <w:i/>
          <w:lang w:val="en-GB"/>
        </w:rPr>
        <w:t>Cognitive flexibility theory</w:t>
      </w:r>
    </w:p>
    <w:p w14:paraId="6B2B376B" w14:textId="77777777" w:rsidR="00C90C4F" w:rsidRPr="001B7D3A" w:rsidRDefault="00A21F00" w:rsidP="008D5EC8">
      <w:pPr>
        <w:pStyle w:val="Normal1"/>
        <w:rPr>
          <w:lang w:val="en-GB"/>
        </w:rPr>
      </w:pPr>
      <w:r w:rsidRPr="001B7D3A">
        <w:rPr>
          <w:lang w:val="en-GB"/>
        </w:rPr>
        <w:t>This theory defines the significance of various contexts and the sharing of knowledge that needs to be required. As commented by Hu and Spiro</w:t>
      </w:r>
      <w:r w:rsidRPr="001B7D3A">
        <w:rPr>
          <w:i/>
          <w:lang w:val="en-GB"/>
        </w:rPr>
        <w:t xml:space="preserve"> </w:t>
      </w:r>
      <w:r w:rsidRPr="001B7D3A">
        <w:rPr>
          <w:lang w:val="en-GB"/>
        </w:rPr>
        <w:t>(2021, p.375), this type of flexibility is linked with executive functioning skills and managing various cognitive proce</w:t>
      </w:r>
      <w:r w:rsidR="00366DB6">
        <w:rPr>
          <w:lang w:val="en-GB"/>
        </w:rPr>
        <w:t>sses that help to manage organis</w:t>
      </w:r>
      <w:r w:rsidRPr="001B7D3A">
        <w:rPr>
          <w:lang w:val="en-GB"/>
        </w:rPr>
        <w:t xml:space="preserve">e, plan, and regulate the </w:t>
      </w:r>
      <w:r w:rsidR="00366DB6" w:rsidRPr="001B7D3A">
        <w:rPr>
          <w:lang w:val="en-GB"/>
        </w:rPr>
        <w:t>behaviours</w:t>
      </w:r>
      <w:r w:rsidRPr="001B7D3A">
        <w:rPr>
          <w:lang w:val="en-GB"/>
        </w:rPr>
        <w:t xml:space="preserve"> of the employees in </w:t>
      </w:r>
      <w:proofErr w:type="spellStart"/>
      <w:r w:rsidRPr="001B7D3A">
        <w:rPr>
          <w:lang w:val="en-GB"/>
        </w:rPr>
        <w:t>VialTech</w:t>
      </w:r>
      <w:proofErr w:type="spellEnd"/>
      <w:r w:rsidRPr="001B7D3A">
        <w:rPr>
          <w:lang w:val="en-GB"/>
        </w:rPr>
        <w:t xml:space="preserve">. It is helping to deal </w:t>
      </w:r>
      <w:r w:rsidRPr="001B7D3A">
        <w:rPr>
          <w:lang w:val="en-GB"/>
        </w:rPr>
        <w:lastRenderedPageBreak/>
        <w:t xml:space="preserve">with the creative thinking and individual innovation that is controlling cognitive flexibility for dealing with changing workplace policies. As stated by Miles </w:t>
      </w:r>
      <w:r w:rsidRPr="001B7D3A">
        <w:rPr>
          <w:i/>
          <w:lang w:val="en-GB"/>
        </w:rPr>
        <w:t xml:space="preserve">et al., </w:t>
      </w:r>
      <w:r w:rsidRPr="001B7D3A">
        <w:rPr>
          <w:lang w:val="en-GB"/>
        </w:rPr>
        <w:t xml:space="preserve">(2020, p.101905), it helps employees define uncertainty, manage innovative solutions control emotional balances, and create effective workforces. This theory is helping the employees of </w:t>
      </w:r>
      <w:proofErr w:type="spellStart"/>
      <w:r w:rsidRPr="001B7D3A">
        <w:rPr>
          <w:lang w:val="en-GB"/>
        </w:rPr>
        <w:t>VialTech</w:t>
      </w:r>
      <w:proofErr w:type="spellEnd"/>
      <w:r w:rsidRPr="001B7D3A">
        <w:rPr>
          <w:lang w:val="en-GB"/>
        </w:rPr>
        <w:t xml:space="preserve"> to deal with adversity and stress and find new ways to manage thinking levels and control difficult solutions. Cognitive flexibility is delivering efficiency in handling tasks, managing the implementation of the process, and helping to achieve goals to make effective decisions. </w:t>
      </w:r>
    </w:p>
    <w:p w14:paraId="73F9F130" w14:textId="77777777" w:rsidR="00C90C4F" w:rsidRPr="001B7D3A" w:rsidRDefault="00A21F00" w:rsidP="008D5EC8">
      <w:pPr>
        <w:pStyle w:val="Normal1"/>
        <w:jc w:val="center"/>
        <w:rPr>
          <w:lang w:val="en-GB"/>
        </w:rPr>
      </w:pPr>
      <w:r w:rsidRPr="001B7D3A">
        <w:rPr>
          <w:noProof/>
          <w:lang w:val="en-IN" w:eastAsia="en-IN"/>
        </w:rPr>
        <w:drawing>
          <wp:inline distT="114300" distB="114300" distL="114300" distR="114300" wp14:anchorId="133271C5" wp14:editId="11436118">
            <wp:extent cx="4314825" cy="2466975"/>
            <wp:effectExtent l="19050" t="19050" r="28575" b="285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rcRect t="3508"/>
                    <a:stretch>
                      <a:fillRect/>
                    </a:stretch>
                  </pic:blipFill>
                  <pic:spPr>
                    <a:xfrm>
                      <a:off x="0" y="0"/>
                      <a:ext cx="4315235" cy="2467209"/>
                    </a:xfrm>
                    <a:prstGeom prst="rect">
                      <a:avLst/>
                    </a:prstGeom>
                    <a:ln w="25400">
                      <a:solidFill>
                        <a:srgbClr val="000000"/>
                      </a:solidFill>
                      <a:prstDash val="solid"/>
                    </a:ln>
                  </pic:spPr>
                </pic:pic>
              </a:graphicData>
            </a:graphic>
          </wp:inline>
        </w:drawing>
      </w:r>
    </w:p>
    <w:p w14:paraId="56A6BF3D" w14:textId="77777777" w:rsidR="00C90C4F" w:rsidRPr="001B7D3A" w:rsidRDefault="00A21F00" w:rsidP="008D5EC8">
      <w:pPr>
        <w:pStyle w:val="Normal1"/>
        <w:jc w:val="center"/>
        <w:rPr>
          <w:b/>
          <w:lang w:val="en-GB"/>
        </w:rPr>
      </w:pPr>
      <w:r w:rsidRPr="001B7D3A">
        <w:rPr>
          <w:b/>
          <w:lang w:val="en-GB"/>
        </w:rPr>
        <w:t>Figure 2: Cognitive flexibility theory</w:t>
      </w:r>
    </w:p>
    <w:p w14:paraId="56036A4A" w14:textId="77777777" w:rsidR="00C90C4F" w:rsidRPr="001B7D3A" w:rsidRDefault="00A21F00" w:rsidP="008D5EC8">
      <w:pPr>
        <w:pStyle w:val="Normal1"/>
        <w:jc w:val="center"/>
        <w:rPr>
          <w:lang w:val="en-GB"/>
        </w:rPr>
      </w:pPr>
      <w:r w:rsidRPr="001B7D3A">
        <w:rPr>
          <w:lang w:val="en-GB"/>
        </w:rPr>
        <w:t xml:space="preserve">(Source: Miles </w:t>
      </w:r>
      <w:r w:rsidRPr="001B7D3A">
        <w:rPr>
          <w:i/>
          <w:lang w:val="en-GB"/>
        </w:rPr>
        <w:t xml:space="preserve">et al., </w:t>
      </w:r>
      <w:r w:rsidRPr="001B7D3A">
        <w:rPr>
          <w:lang w:val="en-GB"/>
        </w:rPr>
        <w:t>2020, p.101905)</w:t>
      </w:r>
    </w:p>
    <w:p w14:paraId="5C117EA2" w14:textId="77777777" w:rsidR="00C90C4F" w:rsidRPr="001B7D3A" w:rsidRDefault="00A21F00" w:rsidP="008D5EC8">
      <w:pPr>
        <w:pStyle w:val="Heading1"/>
        <w:rPr>
          <w:lang w:val="en-GB"/>
        </w:rPr>
      </w:pPr>
      <w:bookmarkStart w:id="6" w:name="_dm6hki21t45w" w:colFirst="0" w:colLast="0"/>
      <w:bookmarkStart w:id="7" w:name="_Toc171685865"/>
      <w:bookmarkEnd w:id="6"/>
      <w:r w:rsidRPr="001B7D3A">
        <w:rPr>
          <w:lang w:val="en-GB"/>
        </w:rPr>
        <w:t>Conclusion</w:t>
      </w:r>
      <w:bookmarkEnd w:id="7"/>
      <w:r w:rsidRPr="001B7D3A">
        <w:rPr>
          <w:lang w:val="en-GB"/>
        </w:rPr>
        <w:t xml:space="preserve"> </w:t>
      </w:r>
    </w:p>
    <w:p w14:paraId="26340051" w14:textId="77777777" w:rsidR="00C90C4F" w:rsidRPr="001B7D3A" w:rsidRDefault="00A21F00" w:rsidP="008D5EC8">
      <w:pPr>
        <w:pStyle w:val="Normal1"/>
        <w:rPr>
          <w:lang w:val="en-GB"/>
        </w:rPr>
      </w:pPr>
      <w:r w:rsidRPr="001B7D3A">
        <w:rPr>
          <w:lang w:val="en-GB"/>
        </w:rPr>
        <w:t xml:space="preserve">This essay describes the significance of a flexible working culture for developing employees' performances and developing workforces. Along with this, different strategies have been evaluated that have been implemented by the HR department for implementing effective structure. Different types of pay structures for the lab industries have been discussed and a proper comparison has been done based on the pay structure of </w:t>
      </w:r>
      <w:proofErr w:type="spellStart"/>
      <w:r w:rsidRPr="001B7D3A">
        <w:rPr>
          <w:lang w:val="en-GB"/>
        </w:rPr>
        <w:t>VialTech</w:t>
      </w:r>
      <w:proofErr w:type="spellEnd"/>
      <w:r w:rsidRPr="001B7D3A">
        <w:rPr>
          <w:lang w:val="en-GB"/>
        </w:rPr>
        <w:t xml:space="preserve">.  Theories and different flexible strategies have been evaluated in this research study for managing flexibility in the working culture of </w:t>
      </w:r>
      <w:proofErr w:type="spellStart"/>
      <w:r w:rsidRPr="001B7D3A">
        <w:rPr>
          <w:lang w:val="en-GB"/>
        </w:rPr>
        <w:t>VialTech</w:t>
      </w:r>
      <w:proofErr w:type="spellEnd"/>
      <w:r w:rsidRPr="001B7D3A">
        <w:rPr>
          <w:lang w:val="en-GB"/>
        </w:rPr>
        <w:t xml:space="preserve">, which is linked with NHS and private lab tests for individuals. </w:t>
      </w:r>
    </w:p>
    <w:p w14:paraId="33FCF9BF" w14:textId="77777777" w:rsidR="00C90C4F" w:rsidRPr="001B7D3A" w:rsidRDefault="00C90C4F" w:rsidP="008D5EC8">
      <w:pPr>
        <w:pStyle w:val="Normal1"/>
        <w:rPr>
          <w:lang w:val="en-GB"/>
        </w:rPr>
      </w:pPr>
    </w:p>
    <w:p w14:paraId="0B05D175" w14:textId="77777777" w:rsidR="003A555A" w:rsidRPr="001B7D3A" w:rsidRDefault="003A555A" w:rsidP="008D5EC8">
      <w:pPr>
        <w:rPr>
          <w:b/>
          <w:lang w:val="en-GB"/>
        </w:rPr>
      </w:pPr>
      <w:bookmarkStart w:id="8" w:name="_146sb5ecrgsh" w:colFirst="0" w:colLast="0"/>
      <w:bookmarkEnd w:id="8"/>
      <w:r w:rsidRPr="001B7D3A">
        <w:rPr>
          <w:lang w:val="en-GB"/>
        </w:rPr>
        <w:br w:type="page"/>
      </w:r>
    </w:p>
    <w:p w14:paraId="79412A66" w14:textId="77777777" w:rsidR="00C90C4F" w:rsidRPr="001B7D3A" w:rsidRDefault="00A21F00" w:rsidP="008D5EC8">
      <w:pPr>
        <w:pStyle w:val="Heading1"/>
        <w:rPr>
          <w:lang w:val="en-GB"/>
        </w:rPr>
      </w:pPr>
      <w:bookmarkStart w:id="9" w:name="_Toc171685866"/>
      <w:r w:rsidRPr="001B7D3A">
        <w:rPr>
          <w:lang w:val="en-GB"/>
        </w:rPr>
        <w:lastRenderedPageBreak/>
        <w:t>References</w:t>
      </w:r>
      <w:bookmarkEnd w:id="9"/>
      <w:r w:rsidRPr="001B7D3A">
        <w:rPr>
          <w:lang w:val="en-GB"/>
        </w:rPr>
        <w:t xml:space="preserve">  </w:t>
      </w:r>
    </w:p>
    <w:p w14:paraId="54049466"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Ajayi, F.A. and Udeh, C.A., 2024. A comprehensive review of talent management strategies for seafarers: Challenges and opportunities. </w:t>
      </w:r>
      <w:r w:rsidRPr="001B7D3A">
        <w:rPr>
          <w:i/>
          <w:iCs/>
          <w:color w:val="000000" w:themeColor="text1"/>
          <w:shd w:val="clear" w:color="auto" w:fill="FFFFFF"/>
          <w:lang w:val="en-GB"/>
        </w:rPr>
        <w:t>International Journal of Science and Research Archive</w:t>
      </w:r>
      <w:r w:rsidRPr="001B7D3A">
        <w:rPr>
          <w:color w:val="000000" w:themeColor="text1"/>
          <w:shd w:val="clear" w:color="auto" w:fill="FFFFFF"/>
          <w:lang w:val="en-GB"/>
        </w:rPr>
        <w:t>, </w:t>
      </w:r>
      <w:r w:rsidRPr="001B7D3A">
        <w:rPr>
          <w:i/>
          <w:iCs/>
          <w:color w:val="000000" w:themeColor="text1"/>
          <w:shd w:val="clear" w:color="auto" w:fill="FFFFFF"/>
          <w:lang w:val="en-GB"/>
        </w:rPr>
        <w:t>11</w:t>
      </w:r>
      <w:r w:rsidRPr="001B7D3A">
        <w:rPr>
          <w:color w:val="000000" w:themeColor="text1"/>
          <w:shd w:val="clear" w:color="auto" w:fill="FFFFFF"/>
          <w:lang w:val="en-GB"/>
        </w:rPr>
        <w:t xml:space="preserve">(2), pp.1116-1131. </w:t>
      </w:r>
      <w:hyperlink r:id="rId9" w:history="1">
        <w:r w:rsidRPr="001B7D3A">
          <w:rPr>
            <w:rStyle w:val="Hyperlink"/>
            <w:color w:val="000000" w:themeColor="text1"/>
            <w:u w:val="none"/>
            <w:shd w:val="clear" w:color="auto" w:fill="FFFFFF"/>
            <w:lang w:val="en-GB"/>
          </w:rPr>
          <w:t>https://ijsra.net/sites/default/files/IJSRA-2024-0560.pdf</w:t>
        </w:r>
      </w:hyperlink>
      <w:r w:rsidRPr="001B7D3A">
        <w:rPr>
          <w:color w:val="000000" w:themeColor="text1"/>
          <w:shd w:val="clear" w:color="auto" w:fill="FFFFFF"/>
          <w:lang w:val="en-GB"/>
        </w:rPr>
        <w:t xml:space="preserve"> </w:t>
      </w:r>
    </w:p>
    <w:p w14:paraId="4EBDE4F2" w14:textId="77777777" w:rsidR="004C74AA" w:rsidRPr="001B7D3A" w:rsidRDefault="004C74AA" w:rsidP="008D5EC8">
      <w:pPr>
        <w:rPr>
          <w:color w:val="000000" w:themeColor="text1"/>
          <w:shd w:val="clear" w:color="auto" w:fill="FFFFFF"/>
          <w:lang w:val="en-GB"/>
        </w:rPr>
      </w:pPr>
      <w:proofErr w:type="spellStart"/>
      <w:r w:rsidRPr="001B7D3A">
        <w:rPr>
          <w:color w:val="000000" w:themeColor="text1"/>
          <w:shd w:val="clear" w:color="auto" w:fill="FFFFFF"/>
          <w:lang w:val="en-GB"/>
        </w:rPr>
        <w:t>Annosi</w:t>
      </w:r>
      <w:proofErr w:type="spellEnd"/>
      <w:r w:rsidRPr="001B7D3A">
        <w:rPr>
          <w:color w:val="000000" w:themeColor="text1"/>
          <w:shd w:val="clear" w:color="auto" w:fill="FFFFFF"/>
          <w:lang w:val="en-GB"/>
        </w:rPr>
        <w:t>, M.C., Foss, N. and Martini, A., 2020. When agile harms learning and innovation:(and what can be done about it). </w:t>
      </w:r>
      <w:r w:rsidRPr="001B7D3A">
        <w:rPr>
          <w:i/>
          <w:iCs/>
          <w:color w:val="000000" w:themeColor="text1"/>
          <w:shd w:val="clear" w:color="auto" w:fill="FFFFFF"/>
          <w:lang w:val="en-GB"/>
        </w:rPr>
        <w:t>California Management Review</w:t>
      </w:r>
      <w:r w:rsidRPr="001B7D3A">
        <w:rPr>
          <w:color w:val="000000" w:themeColor="text1"/>
          <w:shd w:val="clear" w:color="auto" w:fill="FFFFFF"/>
          <w:lang w:val="en-GB"/>
        </w:rPr>
        <w:t>, </w:t>
      </w:r>
      <w:r w:rsidRPr="001B7D3A">
        <w:rPr>
          <w:i/>
          <w:iCs/>
          <w:color w:val="000000" w:themeColor="text1"/>
          <w:shd w:val="clear" w:color="auto" w:fill="FFFFFF"/>
          <w:lang w:val="en-GB"/>
        </w:rPr>
        <w:t>63</w:t>
      </w:r>
      <w:r w:rsidRPr="001B7D3A">
        <w:rPr>
          <w:color w:val="000000" w:themeColor="text1"/>
          <w:shd w:val="clear" w:color="auto" w:fill="FFFFFF"/>
          <w:lang w:val="en-GB"/>
        </w:rPr>
        <w:t xml:space="preserve">(1), pp.61-80. </w:t>
      </w:r>
      <w:hyperlink r:id="rId10" w:history="1">
        <w:r w:rsidRPr="001B7D3A">
          <w:rPr>
            <w:rStyle w:val="Hyperlink"/>
            <w:color w:val="000000" w:themeColor="text1"/>
            <w:u w:val="none"/>
            <w:shd w:val="clear" w:color="auto" w:fill="FFFFFF"/>
            <w:lang w:val="en-GB"/>
          </w:rPr>
          <w:t>https://journals.sagepub.com/doi/pdf/10.1177/0008125620948265</w:t>
        </w:r>
      </w:hyperlink>
      <w:r w:rsidRPr="001B7D3A">
        <w:rPr>
          <w:color w:val="000000" w:themeColor="text1"/>
          <w:shd w:val="clear" w:color="auto" w:fill="FFFFFF"/>
          <w:lang w:val="en-GB"/>
        </w:rPr>
        <w:t xml:space="preserve"> </w:t>
      </w:r>
    </w:p>
    <w:p w14:paraId="6604F439"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Beckel, J.L. and Fisher, G.G., 2022. Telework and worker health and well-being: a review and recommendations for research and practice. </w:t>
      </w:r>
      <w:r w:rsidRPr="001B7D3A">
        <w:rPr>
          <w:i/>
          <w:iCs/>
          <w:color w:val="000000" w:themeColor="text1"/>
          <w:shd w:val="clear" w:color="auto" w:fill="FFFFFF"/>
          <w:lang w:val="en-GB"/>
        </w:rPr>
        <w:t>International journal of environmental research and public health</w:t>
      </w:r>
      <w:r w:rsidRPr="001B7D3A">
        <w:rPr>
          <w:color w:val="000000" w:themeColor="text1"/>
          <w:shd w:val="clear" w:color="auto" w:fill="FFFFFF"/>
          <w:lang w:val="en-GB"/>
        </w:rPr>
        <w:t>, </w:t>
      </w:r>
      <w:r w:rsidRPr="001B7D3A">
        <w:rPr>
          <w:i/>
          <w:iCs/>
          <w:color w:val="000000" w:themeColor="text1"/>
          <w:shd w:val="clear" w:color="auto" w:fill="FFFFFF"/>
          <w:lang w:val="en-GB"/>
        </w:rPr>
        <w:t>19</w:t>
      </w:r>
      <w:r w:rsidRPr="001B7D3A">
        <w:rPr>
          <w:color w:val="000000" w:themeColor="text1"/>
          <w:shd w:val="clear" w:color="auto" w:fill="FFFFFF"/>
          <w:lang w:val="en-GB"/>
        </w:rPr>
        <w:t xml:space="preserve">(7), p.3879. </w:t>
      </w:r>
      <w:hyperlink r:id="rId11" w:history="1">
        <w:r w:rsidRPr="001B7D3A">
          <w:rPr>
            <w:rStyle w:val="Hyperlink"/>
            <w:color w:val="000000" w:themeColor="text1"/>
            <w:u w:val="none"/>
            <w:shd w:val="clear" w:color="auto" w:fill="FFFFFF"/>
            <w:lang w:val="en-GB"/>
          </w:rPr>
          <w:t>https://www.mdpi.com/1660-4601/19/7/3879</w:t>
        </w:r>
      </w:hyperlink>
      <w:r w:rsidRPr="001B7D3A">
        <w:rPr>
          <w:color w:val="000000" w:themeColor="text1"/>
          <w:shd w:val="clear" w:color="auto" w:fill="FFFFFF"/>
          <w:lang w:val="en-GB"/>
        </w:rPr>
        <w:t xml:space="preserve"> </w:t>
      </w:r>
    </w:p>
    <w:p w14:paraId="671A2684" w14:textId="77777777" w:rsidR="004C74AA" w:rsidRPr="001B7D3A" w:rsidRDefault="004C74AA" w:rsidP="008D5EC8">
      <w:pPr>
        <w:rPr>
          <w:color w:val="000000" w:themeColor="text1"/>
          <w:lang w:val="en-GB"/>
        </w:rPr>
      </w:pPr>
      <w:r w:rsidRPr="001B7D3A">
        <w:rPr>
          <w:color w:val="000000" w:themeColor="text1"/>
          <w:lang w:val="en-GB"/>
        </w:rPr>
        <w:t xml:space="preserve">Bls.Gov, 2024. </w:t>
      </w:r>
      <w:r w:rsidRPr="001B7D3A">
        <w:rPr>
          <w:i/>
          <w:color w:val="000000" w:themeColor="text1"/>
          <w:lang w:val="en-GB"/>
        </w:rPr>
        <w:t>Clinical Laboratory Technologists and Technicians</w:t>
      </w:r>
      <w:r w:rsidRPr="001B7D3A">
        <w:rPr>
          <w:color w:val="000000" w:themeColor="text1"/>
          <w:lang w:val="en-GB"/>
        </w:rPr>
        <w:t xml:space="preserve">. [Online] Available at :&lt; </w:t>
      </w:r>
      <w:hyperlink r:id="rId12" w:history="1">
        <w:r w:rsidRPr="001B7D3A">
          <w:rPr>
            <w:rStyle w:val="Hyperlink"/>
            <w:color w:val="000000" w:themeColor="text1"/>
            <w:u w:val="none"/>
            <w:lang w:val="en-GB"/>
          </w:rPr>
          <w:t>https://www.bls.gov/ooh/healthcare/clinical-laboratory-technologists-and-technicians.htm</w:t>
        </w:r>
      </w:hyperlink>
      <w:r w:rsidRPr="001B7D3A">
        <w:rPr>
          <w:color w:val="000000" w:themeColor="text1"/>
          <w:lang w:val="en-GB"/>
        </w:rPr>
        <w:t xml:space="preserve"> &gt; [Accessed on: 12.07.2024]</w:t>
      </w:r>
    </w:p>
    <w:p w14:paraId="714480CC"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 xml:space="preserve">Davidescu, A.A., Apostu, S.A., Paul, A. and </w:t>
      </w:r>
      <w:proofErr w:type="spellStart"/>
      <w:r w:rsidRPr="001B7D3A">
        <w:rPr>
          <w:color w:val="000000" w:themeColor="text1"/>
          <w:shd w:val="clear" w:color="auto" w:fill="FFFFFF"/>
          <w:lang w:val="en-GB"/>
        </w:rPr>
        <w:t>Casuneanu</w:t>
      </w:r>
      <w:proofErr w:type="spellEnd"/>
      <w:r w:rsidRPr="001B7D3A">
        <w:rPr>
          <w:color w:val="000000" w:themeColor="text1"/>
          <w:shd w:val="clear" w:color="auto" w:fill="FFFFFF"/>
          <w:lang w:val="en-GB"/>
        </w:rPr>
        <w:t>, I., 2020. Work flexibility, job satisfaction, and job performance among Romanian employees—Implications for sustainable human resource management. </w:t>
      </w:r>
      <w:r w:rsidRPr="001B7D3A">
        <w:rPr>
          <w:i/>
          <w:iCs/>
          <w:color w:val="000000" w:themeColor="text1"/>
          <w:shd w:val="clear" w:color="auto" w:fill="FFFFFF"/>
          <w:lang w:val="en-GB"/>
        </w:rPr>
        <w:t>Sustainability</w:t>
      </w:r>
      <w:r w:rsidRPr="001B7D3A">
        <w:rPr>
          <w:color w:val="000000" w:themeColor="text1"/>
          <w:shd w:val="clear" w:color="auto" w:fill="FFFFFF"/>
          <w:lang w:val="en-GB"/>
        </w:rPr>
        <w:t>, </w:t>
      </w:r>
      <w:r w:rsidRPr="001B7D3A">
        <w:rPr>
          <w:i/>
          <w:iCs/>
          <w:color w:val="000000" w:themeColor="text1"/>
          <w:shd w:val="clear" w:color="auto" w:fill="FFFFFF"/>
          <w:lang w:val="en-GB"/>
        </w:rPr>
        <w:t>12</w:t>
      </w:r>
      <w:r w:rsidRPr="001B7D3A">
        <w:rPr>
          <w:color w:val="000000" w:themeColor="text1"/>
          <w:shd w:val="clear" w:color="auto" w:fill="FFFFFF"/>
          <w:lang w:val="en-GB"/>
        </w:rPr>
        <w:t xml:space="preserve">(15), p.6086. </w:t>
      </w:r>
      <w:hyperlink r:id="rId13" w:history="1">
        <w:r w:rsidRPr="001B7D3A">
          <w:rPr>
            <w:rStyle w:val="Hyperlink"/>
            <w:color w:val="000000" w:themeColor="text1"/>
            <w:u w:val="none"/>
            <w:shd w:val="clear" w:color="auto" w:fill="FFFFFF"/>
            <w:lang w:val="en-GB"/>
          </w:rPr>
          <w:t>https://www.mdpi.com/2071-1050/12/15/6086</w:t>
        </w:r>
      </w:hyperlink>
      <w:r w:rsidRPr="001B7D3A">
        <w:rPr>
          <w:color w:val="000000" w:themeColor="text1"/>
          <w:shd w:val="clear" w:color="auto" w:fill="FFFFFF"/>
          <w:lang w:val="en-GB"/>
        </w:rPr>
        <w:t xml:space="preserve"> </w:t>
      </w:r>
    </w:p>
    <w:p w14:paraId="6C0E130F"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Edison, H., Wang, X. and Conboy, K., 2021. Comparing methods for large-scale agile software development: A systematic literature review. </w:t>
      </w:r>
      <w:r w:rsidRPr="001B7D3A">
        <w:rPr>
          <w:i/>
          <w:iCs/>
          <w:color w:val="000000" w:themeColor="text1"/>
          <w:shd w:val="clear" w:color="auto" w:fill="FFFFFF"/>
          <w:lang w:val="en-GB"/>
        </w:rPr>
        <w:t>IEEE Transactions on Software Engineering</w:t>
      </w:r>
      <w:r w:rsidRPr="001B7D3A">
        <w:rPr>
          <w:color w:val="000000" w:themeColor="text1"/>
          <w:shd w:val="clear" w:color="auto" w:fill="FFFFFF"/>
          <w:lang w:val="en-GB"/>
        </w:rPr>
        <w:t>, </w:t>
      </w:r>
      <w:r w:rsidRPr="001B7D3A">
        <w:rPr>
          <w:i/>
          <w:iCs/>
          <w:color w:val="000000" w:themeColor="text1"/>
          <w:shd w:val="clear" w:color="auto" w:fill="FFFFFF"/>
          <w:lang w:val="en-GB"/>
        </w:rPr>
        <w:t>48</w:t>
      </w:r>
      <w:r w:rsidRPr="001B7D3A">
        <w:rPr>
          <w:color w:val="000000" w:themeColor="text1"/>
          <w:shd w:val="clear" w:color="auto" w:fill="FFFFFF"/>
          <w:lang w:val="en-GB"/>
        </w:rPr>
        <w:t xml:space="preserve">(8), pp.2709-2731. </w:t>
      </w:r>
      <w:hyperlink r:id="rId14" w:history="1">
        <w:r w:rsidRPr="001B7D3A">
          <w:rPr>
            <w:rStyle w:val="Hyperlink"/>
            <w:color w:val="000000" w:themeColor="text1"/>
            <w:u w:val="none"/>
            <w:shd w:val="clear" w:color="auto" w:fill="FFFFFF"/>
            <w:lang w:val="en-GB"/>
          </w:rPr>
          <w:t>https://ieeexplore.ieee.org/iel7/32/4359463/09387593.pdf</w:t>
        </w:r>
      </w:hyperlink>
      <w:r w:rsidRPr="001B7D3A">
        <w:rPr>
          <w:color w:val="000000" w:themeColor="text1"/>
          <w:shd w:val="clear" w:color="auto" w:fill="FFFFFF"/>
          <w:lang w:val="en-GB"/>
        </w:rPr>
        <w:t xml:space="preserve"> </w:t>
      </w:r>
    </w:p>
    <w:p w14:paraId="72FE1783"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Ferreira, R., Pereira, R., Bianchi, I.S. and da Silva, M.M., 2021. Decision factors for remote work adoption: advantages, disadvantages, driving forces and challenges. </w:t>
      </w:r>
      <w:r w:rsidRPr="001B7D3A">
        <w:rPr>
          <w:i/>
          <w:iCs/>
          <w:color w:val="000000" w:themeColor="text1"/>
          <w:shd w:val="clear" w:color="auto" w:fill="FFFFFF"/>
          <w:lang w:val="en-GB"/>
        </w:rPr>
        <w:t>Journal of Open Innovation: Technology, Market, and Complexity</w:t>
      </w:r>
      <w:r w:rsidRPr="001B7D3A">
        <w:rPr>
          <w:color w:val="000000" w:themeColor="text1"/>
          <w:shd w:val="clear" w:color="auto" w:fill="FFFFFF"/>
          <w:lang w:val="en-GB"/>
        </w:rPr>
        <w:t>, </w:t>
      </w:r>
      <w:r w:rsidRPr="001B7D3A">
        <w:rPr>
          <w:i/>
          <w:iCs/>
          <w:color w:val="000000" w:themeColor="text1"/>
          <w:shd w:val="clear" w:color="auto" w:fill="FFFFFF"/>
          <w:lang w:val="en-GB"/>
        </w:rPr>
        <w:t>7</w:t>
      </w:r>
      <w:r w:rsidRPr="001B7D3A">
        <w:rPr>
          <w:color w:val="000000" w:themeColor="text1"/>
          <w:shd w:val="clear" w:color="auto" w:fill="FFFFFF"/>
          <w:lang w:val="en-GB"/>
        </w:rPr>
        <w:t xml:space="preserve">(1), p.70. </w:t>
      </w:r>
      <w:hyperlink r:id="rId15" w:history="1">
        <w:r w:rsidRPr="001B7D3A">
          <w:rPr>
            <w:rStyle w:val="Hyperlink"/>
            <w:color w:val="000000" w:themeColor="text1"/>
            <w:u w:val="none"/>
            <w:shd w:val="clear" w:color="auto" w:fill="FFFFFF"/>
            <w:lang w:val="en-GB"/>
          </w:rPr>
          <w:t>https://www.sciencedirect.com/science/article/pii/S2199853122008393</w:t>
        </w:r>
      </w:hyperlink>
      <w:r w:rsidRPr="001B7D3A">
        <w:rPr>
          <w:color w:val="000000" w:themeColor="text1"/>
          <w:shd w:val="clear" w:color="auto" w:fill="FFFFFF"/>
          <w:lang w:val="en-GB"/>
        </w:rPr>
        <w:t xml:space="preserve"> </w:t>
      </w:r>
    </w:p>
    <w:p w14:paraId="18D9008B"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Franken, E., Bentley, T., Shafaei, A., Farr-Wharton, B., Onnis, L.A. and Omari, M., 2021. Forced flexibility and remote working: Opportunities and challenges in the new normal. </w:t>
      </w:r>
      <w:r w:rsidRPr="001B7D3A">
        <w:rPr>
          <w:i/>
          <w:iCs/>
          <w:color w:val="000000" w:themeColor="text1"/>
          <w:shd w:val="clear" w:color="auto" w:fill="FFFFFF"/>
          <w:lang w:val="en-GB"/>
        </w:rPr>
        <w:t>Journal of Management &amp; Organization</w:t>
      </w:r>
      <w:r w:rsidRPr="001B7D3A">
        <w:rPr>
          <w:color w:val="000000" w:themeColor="text1"/>
          <w:shd w:val="clear" w:color="auto" w:fill="FFFFFF"/>
          <w:lang w:val="en-GB"/>
        </w:rPr>
        <w:t>, </w:t>
      </w:r>
      <w:r w:rsidRPr="001B7D3A">
        <w:rPr>
          <w:i/>
          <w:iCs/>
          <w:color w:val="000000" w:themeColor="text1"/>
          <w:shd w:val="clear" w:color="auto" w:fill="FFFFFF"/>
          <w:lang w:val="en-GB"/>
        </w:rPr>
        <w:t>27</w:t>
      </w:r>
      <w:r w:rsidRPr="001B7D3A">
        <w:rPr>
          <w:color w:val="000000" w:themeColor="text1"/>
          <w:shd w:val="clear" w:color="auto" w:fill="FFFFFF"/>
          <w:lang w:val="en-GB"/>
        </w:rPr>
        <w:t xml:space="preserve">(6), pp.1131-1149. </w:t>
      </w:r>
      <w:hyperlink r:id="rId16" w:history="1">
        <w:r w:rsidRPr="001B7D3A">
          <w:rPr>
            <w:rStyle w:val="Hyperlink"/>
            <w:color w:val="000000" w:themeColor="text1"/>
            <w:u w:val="none"/>
            <w:shd w:val="clear" w:color="auto" w:fill="FFFFFF"/>
            <w:lang w:val="en-GB"/>
          </w:rPr>
          <w:t>https://www.cambridge.org/core/journals/journal-of-management-and-organization/article/forced-flexibility-and-remote-working-opportunities-and-challenges-in-the-new-normal/FD62EA8030B8CCCD933977F0C838A33F</w:t>
        </w:r>
      </w:hyperlink>
      <w:r w:rsidRPr="001B7D3A">
        <w:rPr>
          <w:color w:val="000000" w:themeColor="text1"/>
          <w:shd w:val="clear" w:color="auto" w:fill="FFFFFF"/>
          <w:lang w:val="en-GB"/>
        </w:rPr>
        <w:t xml:space="preserve"> </w:t>
      </w:r>
    </w:p>
    <w:p w14:paraId="57F68307"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 xml:space="preserve">Fuertes, G., Alfaro, M., Vargas, M., Gutierrez, S., </w:t>
      </w:r>
      <w:proofErr w:type="spellStart"/>
      <w:r w:rsidRPr="001B7D3A">
        <w:rPr>
          <w:color w:val="000000" w:themeColor="text1"/>
          <w:shd w:val="clear" w:color="auto" w:fill="FFFFFF"/>
          <w:lang w:val="en-GB"/>
        </w:rPr>
        <w:t>Ternero</w:t>
      </w:r>
      <w:proofErr w:type="spellEnd"/>
      <w:r w:rsidRPr="001B7D3A">
        <w:rPr>
          <w:color w:val="000000" w:themeColor="text1"/>
          <w:shd w:val="clear" w:color="auto" w:fill="FFFFFF"/>
          <w:lang w:val="en-GB"/>
        </w:rPr>
        <w:t xml:space="preserve">, R. and </w:t>
      </w:r>
      <w:proofErr w:type="spellStart"/>
      <w:r w:rsidRPr="001B7D3A">
        <w:rPr>
          <w:color w:val="000000" w:themeColor="text1"/>
          <w:shd w:val="clear" w:color="auto" w:fill="FFFFFF"/>
          <w:lang w:val="en-GB"/>
        </w:rPr>
        <w:t>Sabattin</w:t>
      </w:r>
      <w:proofErr w:type="spellEnd"/>
      <w:r w:rsidRPr="001B7D3A">
        <w:rPr>
          <w:color w:val="000000" w:themeColor="text1"/>
          <w:shd w:val="clear" w:color="auto" w:fill="FFFFFF"/>
          <w:lang w:val="en-GB"/>
        </w:rPr>
        <w:t xml:space="preserve">, J., 2020. Conceptual framework for the strategic management: a literature </w:t>
      </w:r>
      <w:proofErr w:type="gramStart"/>
      <w:r w:rsidRPr="001B7D3A">
        <w:rPr>
          <w:color w:val="000000" w:themeColor="text1"/>
          <w:shd w:val="clear" w:color="auto" w:fill="FFFFFF"/>
          <w:lang w:val="en-GB"/>
        </w:rPr>
        <w:t>review—descriptive</w:t>
      </w:r>
      <w:proofErr w:type="gramEnd"/>
      <w:r w:rsidRPr="001B7D3A">
        <w:rPr>
          <w:color w:val="000000" w:themeColor="text1"/>
          <w:shd w:val="clear" w:color="auto" w:fill="FFFFFF"/>
          <w:lang w:val="en-GB"/>
        </w:rPr>
        <w:t>. </w:t>
      </w:r>
      <w:r w:rsidRPr="001B7D3A">
        <w:rPr>
          <w:i/>
          <w:iCs/>
          <w:color w:val="000000" w:themeColor="text1"/>
          <w:shd w:val="clear" w:color="auto" w:fill="FFFFFF"/>
          <w:lang w:val="en-GB"/>
        </w:rPr>
        <w:t>Journal of engineering</w:t>
      </w:r>
      <w:r w:rsidRPr="001B7D3A">
        <w:rPr>
          <w:color w:val="000000" w:themeColor="text1"/>
          <w:shd w:val="clear" w:color="auto" w:fill="FFFFFF"/>
          <w:lang w:val="en-GB"/>
        </w:rPr>
        <w:t>, </w:t>
      </w:r>
      <w:r w:rsidRPr="001B7D3A">
        <w:rPr>
          <w:i/>
          <w:iCs/>
          <w:color w:val="000000" w:themeColor="text1"/>
          <w:shd w:val="clear" w:color="auto" w:fill="FFFFFF"/>
          <w:lang w:val="en-GB"/>
        </w:rPr>
        <w:t>2020</w:t>
      </w:r>
      <w:r w:rsidRPr="001B7D3A">
        <w:rPr>
          <w:color w:val="000000" w:themeColor="text1"/>
          <w:shd w:val="clear" w:color="auto" w:fill="FFFFFF"/>
          <w:lang w:val="en-GB"/>
        </w:rPr>
        <w:t xml:space="preserve">(1), p.6253013. </w:t>
      </w:r>
      <w:hyperlink r:id="rId17" w:history="1">
        <w:r w:rsidRPr="001B7D3A">
          <w:rPr>
            <w:rStyle w:val="Hyperlink"/>
            <w:color w:val="000000" w:themeColor="text1"/>
            <w:u w:val="none"/>
            <w:shd w:val="clear" w:color="auto" w:fill="FFFFFF"/>
            <w:lang w:val="en-GB"/>
          </w:rPr>
          <w:t>https://onlinelibrary.wiley.com/doi/pdf/10.1155/2020/6253013</w:t>
        </w:r>
      </w:hyperlink>
      <w:r w:rsidRPr="001B7D3A">
        <w:rPr>
          <w:color w:val="000000" w:themeColor="text1"/>
          <w:shd w:val="clear" w:color="auto" w:fill="FFFFFF"/>
          <w:lang w:val="en-GB"/>
        </w:rPr>
        <w:t xml:space="preserve"> </w:t>
      </w:r>
    </w:p>
    <w:p w14:paraId="270D75AB"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lastRenderedPageBreak/>
        <w:t>Harvey, C.R., Ramachandran, A. and Santoro, J., 2021. </w:t>
      </w:r>
      <w:r w:rsidRPr="001B7D3A">
        <w:rPr>
          <w:i/>
          <w:iCs/>
          <w:color w:val="000000" w:themeColor="text1"/>
          <w:shd w:val="clear" w:color="auto" w:fill="FFFFFF"/>
          <w:lang w:val="en-GB"/>
        </w:rPr>
        <w:t>DeFi and the Future of Finance</w:t>
      </w:r>
      <w:r w:rsidRPr="001B7D3A">
        <w:rPr>
          <w:color w:val="000000" w:themeColor="text1"/>
          <w:shd w:val="clear" w:color="auto" w:fill="FFFFFF"/>
          <w:lang w:val="en-GB"/>
        </w:rPr>
        <w:t xml:space="preserve">. John Wiley &amp; Sons. </w:t>
      </w:r>
    </w:p>
    <w:p w14:paraId="4A67D798"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Hu, Y. and Spiro, R.J., 2021. Design for now, but with the future in mind: a “cognitive flexibility theory” perspective on online learning through the lens of MOOCs. </w:t>
      </w:r>
      <w:r w:rsidRPr="001B7D3A">
        <w:rPr>
          <w:i/>
          <w:iCs/>
          <w:color w:val="000000" w:themeColor="text1"/>
          <w:shd w:val="clear" w:color="auto" w:fill="FFFFFF"/>
          <w:lang w:val="en-GB"/>
        </w:rPr>
        <w:t>Educational Technology Research and Development</w:t>
      </w:r>
      <w:r w:rsidRPr="001B7D3A">
        <w:rPr>
          <w:color w:val="000000" w:themeColor="text1"/>
          <w:shd w:val="clear" w:color="auto" w:fill="FFFFFF"/>
          <w:lang w:val="en-GB"/>
        </w:rPr>
        <w:t>, </w:t>
      </w:r>
      <w:r w:rsidRPr="001B7D3A">
        <w:rPr>
          <w:i/>
          <w:iCs/>
          <w:color w:val="000000" w:themeColor="text1"/>
          <w:shd w:val="clear" w:color="auto" w:fill="FFFFFF"/>
          <w:lang w:val="en-GB"/>
        </w:rPr>
        <w:t>69</w:t>
      </w:r>
      <w:r w:rsidRPr="001B7D3A">
        <w:rPr>
          <w:color w:val="000000" w:themeColor="text1"/>
          <w:shd w:val="clear" w:color="auto" w:fill="FFFFFF"/>
          <w:lang w:val="en-GB"/>
        </w:rPr>
        <w:t xml:space="preserve">, pp.373-378. </w:t>
      </w:r>
      <w:hyperlink r:id="rId18" w:history="1">
        <w:r w:rsidRPr="001B7D3A">
          <w:rPr>
            <w:rStyle w:val="Hyperlink"/>
            <w:color w:val="000000" w:themeColor="text1"/>
            <w:u w:val="none"/>
            <w:shd w:val="clear" w:color="auto" w:fill="FFFFFF"/>
            <w:lang w:val="en-GB"/>
          </w:rPr>
          <w:t>https://link.springer.com/article/10.1007/s11423-020-09920-z</w:t>
        </w:r>
      </w:hyperlink>
      <w:r w:rsidRPr="001B7D3A">
        <w:rPr>
          <w:color w:val="000000" w:themeColor="text1"/>
          <w:shd w:val="clear" w:color="auto" w:fill="FFFFFF"/>
          <w:lang w:val="en-GB"/>
        </w:rPr>
        <w:t xml:space="preserve"> </w:t>
      </w:r>
    </w:p>
    <w:p w14:paraId="0CC6BE16"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Kotera, Y. and Correa Vione, K., 2020. Psychological impacts of the new ways of working (NWW): A systematic review. </w:t>
      </w:r>
      <w:r w:rsidRPr="001B7D3A">
        <w:rPr>
          <w:i/>
          <w:iCs/>
          <w:color w:val="000000" w:themeColor="text1"/>
          <w:shd w:val="clear" w:color="auto" w:fill="FFFFFF"/>
          <w:lang w:val="en-GB"/>
        </w:rPr>
        <w:t>International journal of environmental research and public health</w:t>
      </w:r>
      <w:r w:rsidRPr="001B7D3A">
        <w:rPr>
          <w:color w:val="000000" w:themeColor="text1"/>
          <w:shd w:val="clear" w:color="auto" w:fill="FFFFFF"/>
          <w:lang w:val="en-GB"/>
        </w:rPr>
        <w:t>, </w:t>
      </w:r>
      <w:r w:rsidRPr="001B7D3A">
        <w:rPr>
          <w:i/>
          <w:iCs/>
          <w:color w:val="000000" w:themeColor="text1"/>
          <w:shd w:val="clear" w:color="auto" w:fill="FFFFFF"/>
          <w:lang w:val="en-GB"/>
        </w:rPr>
        <w:t>17</w:t>
      </w:r>
      <w:r w:rsidRPr="001B7D3A">
        <w:rPr>
          <w:color w:val="000000" w:themeColor="text1"/>
          <w:shd w:val="clear" w:color="auto" w:fill="FFFFFF"/>
          <w:lang w:val="en-GB"/>
        </w:rPr>
        <w:t xml:space="preserve">(14), p.5080. </w:t>
      </w:r>
      <w:hyperlink r:id="rId19" w:history="1">
        <w:r w:rsidRPr="001B7D3A">
          <w:rPr>
            <w:rStyle w:val="Hyperlink"/>
            <w:color w:val="000000" w:themeColor="text1"/>
            <w:u w:val="none"/>
            <w:shd w:val="clear" w:color="auto" w:fill="FFFFFF"/>
            <w:lang w:val="en-GB"/>
          </w:rPr>
          <w:t>https://www.mdpi.com/1660-4601/17/14/5080</w:t>
        </w:r>
      </w:hyperlink>
      <w:r w:rsidRPr="001B7D3A">
        <w:rPr>
          <w:color w:val="000000" w:themeColor="text1"/>
          <w:shd w:val="clear" w:color="auto" w:fill="FFFFFF"/>
          <w:lang w:val="en-GB"/>
        </w:rPr>
        <w:t xml:space="preserve"> </w:t>
      </w:r>
    </w:p>
    <w:p w14:paraId="3F76F9A1"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 xml:space="preserve">Miles, S., Gnatt, I., </w:t>
      </w:r>
      <w:proofErr w:type="spellStart"/>
      <w:r w:rsidRPr="001B7D3A">
        <w:rPr>
          <w:color w:val="000000" w:themeColor="text1"/>
          <w:shd w:val="clear" w:color="auto" w:fill="FFFFFF"/>
          <w:lang w:val="en-GB"/>
        </w:rPr>
        <w:t>Phillipou</w:t>
      </w:r>
      <w:proofErr w:type="spellEnd"/>
      <w:r w:rsidRPr="001B7D3A">
        <w:rPr>
          <w:color w:val="000000" w:themeColor="text1"/>
          <w:shd w:val="clear" w:color="auto" w:fill="FFFFFF"/>
          <w:lang w:val="en-GB"/>
        </w:rPr>
        <w:t>, A. and Nedeljkovic, M., 2020. Cognitive flexibility in acute anorexia nervosa and after recovery: A systematic review. </w:t>
      </w:r>
      <w:r w:rsidRPr="001B7D3A">
        <w:rPr>
          <w:i/>
          <w:iCs/>
          <w:color w:val="000000" w:themeColor="text1"/>
          <w:shd w:val="clear" w:color="auto" w:fill="FFFFFF"/>
          <w:lang w:val="en-GB"/>
        </w:rPr>
        <w:t>Clinical psychology review</w:t>
      </w:r>
      <w:r w:rsidRPr="001B7D3A">
        <w:rPr>
          <w:color w:val="000000" w:themeColor="text1"/>
          <w:shd w:val="clear" w:color="auto" w:fill="FFFFFF"/>
          <w:lang w:val="en-GB"/>
        </w:rPr>
        <w:t>, </w:t>
      </w:r>
      <w:r w:rsidRPr="001B7D3A">
        <w:rPr>
          <w:i/>
          <w:iCs/>
          <w:color w:val="000000" w:themeColor="text1"/>
          <w:shd w:val="clear" w:color="auto" w:fill="FFFFFF"/>
          <w:lang w:val="en-GB"/>
        </w:rPr>
        <w:t>81</w:t>
      </w:r>
      <w:r w:rsidRPr="001B7D3A">
        <w:rPr>
          <w:color w:val="000000" w:themeColor="text1"/>
          <w:shd w:val="clear" w:color="auto" w:fill="FFFFFF"/>
          <w:lang w:val="en-GB"/>
        </w:rPr>
        <w:t xml:space="preserve">, p.101905. </w:t>
      </w:r>
      <w:hyperlink r:id="rId20" w:history="1">
        <w:r w:rsidRPr="001B7D3A">
          <w:rPr>
            <w:rStyle w:val="Hyperlink"/>
            <w:color w:val="000000" w:themeColor="text1"/>
            <w:u w:val="none"/>
            <w:shd w:val="clear" w:color="auto" w:fill="FFFFFF"/>
            <w:lang w:val="en-GB"/>
          </w:rPr>
          <w:t>https://www.sciencedirect.com/science/article/pii/S0272735820300933</w:t>
        </w:r>
      </w:hyperlink>
      <w:r w:rsidRPr="001B7D3A">
        <w:rPr>
          <w:color w:val="000000" w:themeColor="text1"/>
          <w:shd w:val="clear" w:color="auto" w:fill="FFFFFF"/>
          <w:lang w:val="en-GB"/>
        </w:rPr>
        <w:t xml:space="preserve"> </w:t>
      </w:r>
    </w:p>
    <w:p w14:paraId="525372B3"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 xml:space="preserve">Mousa, M., Boyle, J., </w:t>
      </w:r>
      <w:proofErr w:type="spellStart"/>
      <w:r w:rsidRPr="001B7D3A">
        <w:rPr>
          <w:color w:val="000000" w:themeColor="text1"/>
          <w:shd w:val="clear" w:color="auto" w:fill="FFFFFF"/>
          <w:lang w:val="en-GB"/>
        </w:rPr>
        <w:t>Skouteris</w:t>
      </w:r>
      <w:proofErr w:type="spellEnd"/>
      <w:r w:rsidRPr="001B7D3A">
        <w:rPr>
          <w:color w:val="000000" w:themeColor="text1"/>
          <w:shd w:val="clear" w:color="auto" w:fill="FFFFFF"/>
          <w:lang w:val="en-GB"/>
        </w:rPr>
        <w:t xml:space="preserve">, H., Mullins, A.K., Currie, G., Riach, K. and </w:t>
      </w:r>
      <w:proofErr w:type="spellStart"/>
      <w:r w:rsidRPr="001B7D3A">
        <w:rPr>
          <w:color w:val="000000" w:themeColor="text1"/>
          <w:shd w:val="clear" w:color="auto" w:fill="FFFFFF"/>
          <w:lang w:val="en-GB"/>
        </w:rPr>
        <w:t>Teede</w:t>
      </w:r>
      <w:proofErr w:type="spellEnd"/>
      <w:r w:rsidRPr="001B7D3A">
        <w:rPr>
          <w:color w:val="000000" w:themeColor="text1"/>
          <w:shd w:val="clear" w:color="auto" w:fill="FFFFFF"/>
          <w:lang w:val="en-GB"/>
        </w:rPr>
        <w:t>, H.J., 2021. Advancing women in healthcare leadership: a systematic review and meta-synthesis of multi-sector evidence on organisational interventions. </w:t>
      </w:r>
      <w:proofErr w:type="spellStart"/>
      <w:r w:rsidRPr="001B7D3A">
        <w:rPr>
          <w:i/>
          <w:iCs/>
          <w:color w:val="000000" w:themeColor="text1"/>
          <w:shd w:val="clear" w:color="auto" w:fill="FFFFFF"/>
          <w:lang w:val="en-GB"/>
        </w:rPr>
        <w:t>EClinicalMedicine</w:t>
      </w:r>
      <w:proofErr w:type="spellEnd"/>
      <w:r w:rsidRPr="001B7D3A">
        <w:rPr>
          <w:color w:val="000000" w:themeColor="text1"/>
          <w:shd w:val="clear" w:color="auto" w:fill="FFFFFF"/>
          <w:lang w:val="en-GB"/>
        </w:rPr>
        <w:t>, </w:t>
      </w:r>
      <w:r w:rsidRPr="001B7D3A">
        <w:rPr>
          <w:i/>
          <w:iCs/>
          <w:color w:val="000000" w:themeColor="text1"/>
          <w:shd w:val="clear" w:color="auto" w:fill="FFFFFF"/>
          <w:lang w:val="en-GB"/>
        </w:rPr>
        <w:t>39</w:t>
      </w:r>
      <w:r w:rsidRPr="001B7D3A">
        <w:rPr>
          <w:color w:val="000000" w:themeColor="text1"/>
          <w:shd w:val="clear" w:color="auto" w:fill="FFFFFF"/>
          <w:lang w:val="en-GB"/>
        </w:rPr>
        <w:t xml:space="preserve">. </w:t>
      </w:r>
      <w:hyperlink r:id="rId21" w:history="1">
        <w:r w:rsidRPr="001B7D3A">
          <w:rPr>
            <w:rStyle w:val="Hyperlink"/>
            <w:color w:val="000000" w:themeColor="text1"/>
            <w:u w:val="none"/>
            <w:shd w:val="clear" w:color="auto" w:fill="FFFFFF"/>
            <w:lang w:val="en-GB"/>
          </w:rPr>
          <w:t>https://www.thelancet.com/journals/eclinm/article/PIIS2589-5370(21)00364-3/fulltext</w:t>
        </w:r>
      </w:hyperlink>
      <w:r w:rsidRPr="001B7D3A">
        <w:rPr>
          <w:color w:val="000000" w:themeColor="text1"/>
          <w:shd w:val="clear" w:color="auto" w:fill="FFFFFF"/>
          <w:lang w:val="en-GB"/>
        </w:rPr>
        <w:t xml:space="preserve"> </w:t>
      </w:r>
    </w:p>
    <w:p w14:paraId="6664155E"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Phillips, S., 2020. Working through the pandemic: Accelerating the transition to remote working. </w:t>
      </w:r>
      <w:r w:rsidRPr="001B7D3A">
        <w:rPr>
          <w:i/>
          <w:iCs/>
          <w:color w:val="000000" w:themeColor="text1"/>
          <w:shd w:val="clear" w:color="auto" w:fill="FFFFFF"/>
          <w:lang w:val="en-GB"/>
        </w:rPr>
        <w:t>Business Information Review</w:t>
      </w:r>
      <w:r w:rsidRPr="001B7D3A">
        <w:rPr>
          <w:color w:val="000000" w:themeColor="text1"/>
          <w:shd w:val="clear" w:color="auto" w:fill="FFFFFF"/>
          <w:lang w:val="en-GB"/>
        </w:rPr>
        <w:t>, </w:t>
      </w:r>
      <w:r w:rsidRPr="001B7D3A">
        <w:rPr>
          <w:i/>
          <w:iCs/>
          <w:color w:val="000000" w:themeColor="text1"/>
          <w:shd w:val="clear" w:color="auto" w:fill="FFFFFF"/>
          <w:lang w:val="en-GB"/>
        </w:rPr>
        <w:t>37</w:t>
      </w:r>
      <w:r w:rsidRPr="001B7D3A">
        <w:rPr>
          <w:color w:val="000000" w:themeColor="text1"/>
          <w:shd w:val="clear" w:color="auto" w:fill="FFFFFF"/>
          <w:lang w:val="en-GB"/>
        </w:rPr>
        <w:t xml:space="preserve">(3), pp.129-134. </w:t>
      </w:r>
      <w:hyperlink r:id="rId22" w:history="1">
        <w:r w:rsidRPr="001B7D3A">
          <w:rPr>
            <w:rStyle w:val="Hyperlink"/>
            <w:color w:val="000000" w:themeColor="text1"/>
            <w:u w:val="none"/>
            <w:shd w:val="clear" w:color="auto" w:fill="FFFFFF"/>
            <w:lang w:val="en-GB"/>
          </w:rPr>
          <w:t>https://journals.sagepub.com/doi/full/10.1177/0266382120953087</w:t>
        </w:r>
      </w:hyperlink>
      <w:r w:rsidRPr="001B7D3A">
        <w:rPr>
          <w:color w:val="000000" w:themeColor="text1"/>
          <w:shd w:val="clear" w:color="auto" w:fill="FFFFFF"/>
          <w:lang w:val="en-GB"/>
        </w:rPr>
        <w:t xml:space="preserve"> </w:t>
      </w:r>
    </w:p>
    <w:p w14:paraId="289496E9"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Schor, J., 2020. </w:t>
      </w:r>
      <w:r w:rsidRPr="001B7D3A">
        <w:rPr>
          <w:i/>
          <w:iCs/>
          <w:color w:val="000000" w:themeColor="text1"/>
          <w:shd w:val="clear" w:color="auto" w:fill="FFFFFF"/>
          <w:lang w:val="en-GB"/>
        </w:rPr>
        <w:t>After the gig: How the sharing economy got hijacked and how to win it back</w:t>
      </w:r>
      <w:r w:rsidRPr="001B7D3A">
        <w:rPr>
          <w:color w:val="000000" w:themeColor="text1"/>
          <w:shd w:val="clear" w:color="auto" w:fill="FFFFFF"/>
          <w:lang w:val="en-GB"/>
        </w:rPr>
        <w:t xml:space="preserve">. </w:t>
      </w:r>
      <w:proofErr w:type="spellStart"/>
      <w:r w:rsidRPr="001B7D3A">
        <w:rPr>
          <w:color w:val="000000" w:themeColor="text1"/>
          <w:shd w:val="clear" w:color="auto" w:fill="FFFFFF"/>
          <w:lang w:val="en-GB"/>
        </w:rPr>
        <w:t>Univ</w:t>
      </w:r>
      <w:proofErr w:type="spellEnd"/>
      <w:r w:rsidRPr="001B7D3A">
        <w:rPr>
          <w:color w:val="000000" w:themeColor="text1"/>
          <w:shd w:val="clear" w:color="auto" w:fill="FFFFFF"/>
          <w:lang w:val="en-GB"/>
        </w:rPr>
        <w:t xml:space="preserve"> of California Press. </w:t>
      </w:r>
    </w:p>
    <w:p w14:paraId="676E215D"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Shifrin, N.V. and Michel, J.S., 2022. Flexible work arrangements and employee health: A meta-analytic review. </w:t>
      </w:r>
      <w:r w:rsidRPr="001B7D3A">
        <w:rPr>
          <w:i/>
          <w:iCs/>
          <w:color w:val="000000" w:themeColor="text1"/>
          <w:shd w:val="clear" w:color="auto" w:fill="FFFFFF"/>
          <w:lang w:val="en-GB"/>
        </w:rPr>
        <w:t>Work &amp; Stress</w:t>
      </w:r>
      <w:r w:rsidRPr="001B7D3A">
        <w:rPr>
          <w:color w:val="000000" w:themeColor="text1"/>
          <w:shd w:val="clear" w:color="auto" w:fill="FFFFFF"/>
          <w:lang w:val="en-GB"/>
        </w:rPr>
        <w:t>, </w:t>
      </w:r>
      <w:r w:rsidRPr="001B7D3A">
        <w:rPr>
          <w:i/>
          <w:iCs/>
          <w:color w:val="000000" w:themeColor="text1"/>
          <w:shd w:val="clear" w:color="auto" w:fill="FFFFFF"/>
          <w:lang w:val="en-GB"/>
        </w:rPr>
        <w:t>36</w:t>
      </w:r>
      <w:r w:rsidRPr="001B7D3A">
        <w:rPr>
          <w:color w:val="000000" w:themeColor="text1"/>
          <w:shd w:val="clear" w:color="auto" w:fill="FFFFFF"/>
          <w:lang w:val="en-GB"/>
        </w:rPr>
        <w:t>(1), pp.60-85.</w:t>
      </w:r>
      <w:r w:rsidRPr="001B7D3A">
        <w:rPr>
          <w:color w:val="000000" w:themeColor="text1"/>
          <w:lang w:val="en-GB"/>
        </w:rPr>
        <w:t xml:space="preserve"> </w:t>
      </w:r>
      <w:hyperlink r:id="rId23" w:history="1">
        <w:r w:rsidRPr="001B7D3A">
          <w:rPr>
            <w:rStyle w:val="Hyperlink"/>
            <w:color w:val="000000" w:themeColor="text1"/>
            <w:u w:val="none"/>
            <w:shd w:val="clear" w:color="auto" w:fill="FFFFFF"/>
            <w:lang w:val="en-GB"/>
          </w:rPr>
          <w:t>https://www.tandfonline.com/doi/abs/10.1080/02678373.2021.1936287</w:t>
        </w:r>
      </w:hyperlink>
      <w:r w:rsidRPr="001B7D3A">
        <w:rPr>
          <w:color w:val="000000" w:themeColor="text1"/>
          <w:shd w:val="clear" w:color="auto" w:fill="FFFFFF"/>
          <w:lang w:val="en-GB"/>
        </w:rPr>
        <w:t xml:space="preserve"> </w:t>
      </w:r>
    </w:p>
    <w:p w14:paraId="0702D9E2" w14:textId="77777777" w:rsidR="004C74AA" w:rsidRPr="001B7D3A" w:rsidRDefault="004C74AA" w:rsidP="008D5EC8">
      <w:pPr>
        <w:rPr>
          <w:color w:val="000000" w:themeColor="text1"/>
          <w:lang w:val="en-GB"/>
        </w:rPr>
      </w:pPr>
      <w:r w:rsidRPr="001B7D3A">
        <w:rPr>
          <w:color w:val="000000" w:themeColor="text1"/>
          <w:shd w:val="clear" w:color="auto" w:fill="FFFFFF"/>
          <w:lang w:val="en-GB"/>
        </w:rPr>
        <w:t>Wahab, A., Begum, I.U., Nandini, P., Sowjanya, P., Harshavardhini, P. and Nithya, P., 2024. A Study of Employee Satisfaction with a Focus on Employee Incentives. </w:t>
      </w:r>
      <w:r w:rsidRPr="001B7D3A">
        <w:rPr>
          <w:i/>
          <w:iCs/>
          <w:color w:val="000000" w:themeColor="text1"/>
          <w:shd w:val="clear" w:color="auto" w:fill="FFFFFF"/>
          <w:lang w:val="en-GB"/>
        </w:rPr>
        <w:t>International Research Journal on Advanced Engineering and Management (IRJAEM)</w:t>
      </w:r>
      <w:r w:rsidRPr="001B7D3A">
        <w:rPr>
          <w:color w:val="000000" w:themeColor="text1"/>
          <w:shd w:val="clear" w:color="auto" w:fill="FFFFFF"/>
          <w:lang w:val="en-GB"/>
        </w:rPr>
        <w:t>, </w:t>
      </w:r>
      <w:r w:rsidRPr="001B7D3A">
        <w:rPr>
          <w:i/>
          <w:iCs/>
          <w:color w:val="000000" w:themeColor="text1"/>
          <w:shd w:val="clear" w:color="auto" w:fill="FFFFFF"/>
          <w:lang w:val="en-GB"/>
        </w:rPr>
        <w:t>2</w:t>
      </w:r>
      <w:r w:rsidRPr="001B7D3A">
        <w:rPr>
          <w:color w:val="000000" w:themeColor="text1"/>
          <w:shd w:val="clear" w:color="auto" w:fill="FFFFFF"/>
          <w:lang w:val="en-GB"/>
        </w:rPr>
        <w:t xml:space="preserve">(04), pp.866-875. </w:t>
      </w:r>
      <w:hyperlink r:id="rId24" w:history="1">
        <w:r w:rsidRPr="001B7D3A">
          <w:rPr>
            <w:rStyle w:val="Hyperlink"/>
            <w:color w:val="000000" w:themeColor="text1"/>
            <w:u w:val="none"/>
            <w:shd w:val="clear" w:color="auto" w:fill="FFFFFF"/>
            <w:lang w:val="en-GB"/>
          </w:rPr>
          <w:t>https://goldncloudpublications.com/index.php/irjaem/article/download/143/181</w:t>
        </w:r>
      </w:hyperlink>
      <w:r w:rsidRPr="001B7D3A">
        <w:rPr>
          <w:color w:val="000000" w:themeColor="text1"/>
          <w:shd w:val="clear" w:color="auto" w:fill="FFFFFF"/>
          <w:lang w:val="en-GB"/>
        </w:rPr>
        <w:t xml:space="preserve"> </w:t>
      </w:r>
    </w:p>
    <w:p w14:paraId="136D7890"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Watson, S., 2023. </w:t>
      </w:r>
      <w:r w:rsidRPr="001B7D3A">
        <w:rPr>
          <w:i/>
          <w:iCs/>
          <w:color w:val="000000" w:themeColor="text1"/>
          <w:shd w:val="clear" w:color="auto" w:fill="FFFFFF"/>
          <w:lang w:val="en-GB"/>
        </w:rPr>
        <w:t>Accommodating inequality: gender and housing</w:t>
      </w:r>
      <w:r w:rsidRPr="001B7D3A">
        <w:rPr>
          <w:color w:val="000000" w:themeColor="text1"/>
          <w:shd w:val="clear" w:color="auto" w:fill="FFFFFF"/>
          <w:lang w:val="en-GB"/>
        </w:rPr>
        <w:t xml:space="preserve">. Routledge. </w:t>
      </w:r>
    </w:p>
    <w:p w14:paraId="69B6EE66" w14:textId="77777777" w:rsidR="004C74AA" w:rsidRPr="001B7D3A" w:rsidRDefault="004C74AA" w:rsidP="008D5EC8">
      <w:pPr>
        <w:rPr>
          <w:color w:val="000000" w:themeColor="text1"/>
          <w:shd w:val="clear" w:color="auto" w:fill="FFFFFF"/>
          <w:lang w:val="en-GB"/>
        </w:rPr>
      </w:pPr>
      <w:proofErr w:type="spellStart"/>
      <w:r w:rsidRPr="001B7D3A">
        <w:rPr>
          <w:color w:val="000000" w:themeColor="text1"/>
          <w:shd w:val="clear" w:color="auto" w:fill="FFFFFF"/>
          <w:lang w:val="en-GB"/>
        </w:rPr>
        <w:t>Waworuntu</w:t>
      </w:r>
      <w:proofErr w:type="spellEnd"/>
      <w:r w:rsidRPr="001B7D3A">
        <w:rPr>
          <w:color w:val="000000" w:themeColor="text1"/>
          <w:shd w:val="clear" w:color="auto" w:fill="FFFFFF"/>
          <w:lang w:val="en-GB"/>
        </w:rPr>
        <w:t xml:space="preserve">, E.C., </w:t>
      </w:r>
      <w:proofErr w:type="spellStart"/>
      <w:r w:rsidRPr="001B7D3A">
        <w:rPr>
          <w:color w:val="000000" w:themeColor="text1"/>
          <w:shd w:val="clear" w:color="auto" w:fill="FFFFFF"/>
          <w:lang w:val="en-GB"/>
        </w:rPr>
        <w:t>Kainde</w:t>
      </w:r>
      <w:proofErr w:type="spellEnd"/>
      <w:r w:rsidRPr="001B7D3A">
        <w:rPr>
          <w:color w:val="000000" w:themeColor="text1"/>
          <w:shd w:val="clear" w:color="auto" w:fill="FFFFFF"/>
          <w:lang w:val="en-GB"/>
        </w:rPr>
        <w:t xml:space="preserve">, S.J. and </w:t>
      </w:r>
      <w:proofErr w:type="spellStart"/>
      <w:r w:rsidRPr="001B7D3A">
        <w:rPr>
          <w:color w:val="000000" w:themeColor="text1"/>
          <w:shd w:val="clear" w:color="auto" w:fill="FFFFFF"/>
          <w:lang w:val="en-GB"/>
        </w:rPr>
        <w:t>Mandagi</w:t>
      </w:r>
      <w:proofErr w:type="spellEnd"/>
      <w:r w:rsidRPr="001B7D3A">
        <w:rPr>
          <w:color w:val="000000" w:themeColor="text1"/>
          <w:shd w:val="clear" w:color="auto" w:fill="FFFFFF"/>
          <w:lang w:val="en-GB"/>
        </w:rPr>
        <w:t>, D.W., 2022. Work-life balance, job satisfaction and performance among millennial and Gen Z employees: a systematic review. </w:t>
      </w:r>
      <w:r w:rsidRPr="001B7D3A">
        <w:rPr>
          <w:i/>
          <w:iCs/>
          <w:color w:val="000000" w:themeColor="text1"/>
          <w:shd w:val="clear" w:color="auto" w:fill="FFFFFF"/>
          <w:lang w:val="en-GB"/>
        </w:rPr>
        <w:t>Society</w:t>
      </w:r>
      <w:r w:rsidRPr="001B7D3A">
        <w:rPr>
          <w:color w:val="000000" w:themeColor="text1"/>
          <w:shd w:val="clear" w:color="auto" w:fill="FFFFFF"/>
          <w:lang w:val="en-GB"/>
        </w:rPr>
        <w:t>, </w:t>
      </w:r>
      <w:r w:rsidRPr="001B7D3A">
        <w:rPr>
          <w:i/>
          <w:iCs/>
          <w:color w:val="000000" w:themeColor="text1"/>
          <w:shd w:val="clear" w:color="auto" w:fill="FFFFFF"/>
          <w:lang w:val="en-GB"/>
        </w:rPr>
        <w:t>10</w:t>
      </w:r>
      <w:r w:rsidR="008D5EC8">
        <w:rPr>
          <w:color w:val="000000" w:themeColor="text1"/>
          <w:shd w:val="clear" w:color="auto" w:fill="FFFFFF"/>
          <w:lang w:val="en-GB"/>
        </w:rPr>
        <w:t xml:space="preserve">(2), pp.286-300. </w:t>
      </w:r>
      <w:hyperlink r:id="rId25" w:history="1">
        <w:r w:rsidRPr="001B7D3A">
          <w:rPr>
            <w:rStyle w:val="Hyperlink"/>
            <w:color w:val="000000" w:themeColor="text1"/>
            <w:u w:val="none"/>
            <w:shd w:val="clear" w:color="auto" w:fill="FFFFFF"/>
            <w:lang w:val="en-GB"/>
          </w:rPr>
          <w:t>https://www.researchgate.net/profile/Deske-W-Mandagi/publication/366705455_Work-Life_Balance_Job_Satisfaction_and_Performance_Among_Millennial_and_Gen_Z_Employe</w:t>
        </w:r>
        <w:r w:rsidRPr="001B7D3A">
          <w:rPr>
            <w:rStyle w:val="Hyperlink"/>
            <w:color w:val="000000" w:themeColor="text1"/>
            <w:u w:val="none"/>
            <w:shd w:val="clear" w:color="auto" w:fill="FFFFFF"/>
            <w:lang w:val="en-GB"/>
          </w:rPr>
          <w:lastRenderedPageBreak/>
          <w:t>es_A_Systematic_Review/links/63b02e89a03100368a416e89/Work-Life-Balance-Job-Satisfaction-and-Performance-Among-Millennial-and-Gen-Z-Employees-A-Systematic-Review.pdf?_sg%5B0%5D=started_experiment_milestone&amp;origin=journalDetail&amp;_rtd=e30%3D</w:t>
        </w:r>
      </w:hyperlink>
      <w:r w:rsidRPr="001B7D3A">
        <w:rPr>
          <w:color w:val="000000" w:themeColor="text1"/>
          <w:shd w:val="clear" w:color="auto" w:fill="FFFFFF"/>
          <w:lang w:val="en-GB"/>
        </w:rPr>
        <w:t xml:space="preserve"> </w:t>
      </w:r>
    </w:p>
    <w:p w14:paraId="29E4A0D6" w14:textId="77777777" w:rsidR="004C74AA" w:rsidRPr="001B7D3A" w:rsidRDefault="004C74AA" w:rsidP="008D5EC8">
      <w:pPr>
        <w:rPr>
          <w:color w:val="000000" w:themeColor="text1"/>
          <w:shd w:val="clear" w:color="auto" w:fill="FFFFFF"/>
          <w:lang w:val="en-GB"/>
        </w:rPr>
      </w:pPr>
      <w:r w:rsidRPr="001B7D3A">
        <w:rPr>
          <w:color w:val="000000" w:themeColor="text1"/>
          <w:shd w:val="clear" w:color="auto" w:fill="FFFFFF"/>
          <w:lang w:val="en-GB"/>
        </w:rPr>
        <w:t>Zhao, W., 2020. The implementation of Atkinson’s flexible firm model on Starbucks operational flexibility in the open talent economy context. </w:t>
      </w:r>
      <w:r w:rsidRPr="001B7D3A">
        <w:rPr>
          <w:i/>
          <w:iCs/>
          <w:color w:val="000000" w:themeColor="text1"/>
          <w:shd w:val="clear" w:color="auto" w:fill="FFFFFF"/>
          <w:lang w:val="en-GB"/>
        </w:rPr>
        <w:t>Innovation and Management</w:t>
      </w:r>
      <w:r w:rsidRPr="001B7D3A">
        <w:rPr>
          <w:color w:val="000000" w:themeColor="text1"/>
          <w:shd w:val="clear" w:color="auto" w:fill="FFFFFF"/>
          <w:lang w:val="en-GB"/>
        </w:rPr>
        <w:t>, </w:t>
      </w:r>
      <w:r w:rsidRPr="001B7D3A">
        <w:rPr>
          <w:i/>
          <w:iCs/>
          <w:color w:val="000000" w:themeColor="text1"/>
          <w:shd w:val="clear" w:color="auto" w:fill="FFFFFF"/>
          <w:lang w:val="en-GB"/>
        </w:rPr>
        <w:t>294</w:t>
      </w:r>
      <w:r w:rsidRPr="001B7D3A">
        <w:rPr>
          <w:color w:val="000000" w:themeColor="text1"/>
          <w:shd w:val="clear" w:color="auto" w:fill="FFFFFF"/>
          <w:lang w:val="en-GB"/>
        </w:rPr>
        <w:t xml:space="preserve">. </w:t>
      </w:r>
      <w:hyperlink r:id="rId26" w:anchor="page=310" w:history="1">
        <w:r w:rsidR="008D5EC8" w:rsidRPr="001B7D3A">
          <w:rPr>
            <w:rStyle w:val="Hyperlink"/>
            <w:color w:val="000000" w:themeColor="text1"/>
            <w:u w:val="none"/>
            <w:shd w:val="clear" w:color="auto" w:fill="FFFFFF"/>
            <w:lang w:val="en-GB"/>
          </w:rPr>
          <w:t>HTTPS://wWW.rESEARCHGATE.nET/pROFILE/fRANCISCO-cASSANO-2/pUBLICATION/353247037_the_entrepreneurial_action_of_incubators_in_the_internationalization_process_of_brazilian_companies_-_dECEMBER_2020/lINKS/60EF2D440859317DBDE2C257/the-entrepreneurial-action-of-incubators-in-the-internationalization-process-of-brazilian-companies</w:t>
        </w:r>
        <w:r w:rsidRPr="001B7D3A">
          <w:rPr>
            <w:rStyle w:val="Hyperlink"/>
            <w:color w:val="000000" w:themeColor="text1"/>
            <w:u w:val="none"/>
            <w:shd w:val="clear" w:color="auto" w:fill="FFFFFF"/>
            <w:lang w:val="en-GB"/>
          </w:rPr>
          <w:t>-december-2020.pdf#page=310</w:t>
        </w:r>
      </w:hyperlink>
      <w:r w:rsidRPr="001B7D3A">
        <w:rPr>
          <w:color w:val="000000" w:themeColor="text1"/>
          <w:shd w:val="clear" w:color="auto" w:fill="FFFFFF"/>
          <w:lang w:val="en-GB"/>
        </w:rPr>
        <w:t xml:space="preserve"> </w:t>
      </w:r>
    </w:p>
    <w:p w14:paraId="42FB0D28" w14:textId="77777777" w:rsidR="004C74AA" w:rsidRPr="001B7D3A" w:rsidRDefault="004C74AA" w:rsidP="008D5EC8">
      <w:pPr>
        <w:pStyle w:val="Normal1"/>
        <w:rPr>
          <w:lang w:val="en-GB"/>
        </w:rPr>
      </w:pPr>
    </w:p>
    <w:sectPr w:rsidR="004C74AA" w:rsidRPr="001B7D3A" w:rsidSect="00CA1D40">
      <w:footerReference w:type="default" r:id="rId27"/>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642685" w14:textId="77777777" w:rsidR="00B41725" w:rsidRDefault="00B41725" w:rsidP="00CA1D40">
      <w:pPr>
        <w:spacing w:line="240" w:lineRule="auto"/>
      </w:pPr>
      <w:r>
        <w:separator/>
      </w:r>
    </w:p>
  </w:endnote>
  <w:endnote w:type="continuationSeparator" w:id="0">
    <w:p w14:paraId="552AF2EE" w14:textId="77777777" w:rsidR="00B41725" w:rsidRDefault="00B41725" w:rsidP="00CA1D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849550"/>
      <w:docPartObj>
        <w:docPartGallery w:val="Page Numbers (Bottom of Page)"/>
        <w:docPartUnique/>
      </w:docPartObj>
    </w:sdtPr>
    <w:sdtEndPr>
      <w:rPr>
        <w:noProof/>
      </w:rPr>
    </w:sdtEndPr>
    <w:sdtContent>
      <w:p w14:paraId="0E48D0F0" w14:textId="77777777" w:rsidR="00CA1D40" w:rsidRDefault="00CA1D40">
        <w:pPr>
          <w:pStyle w:val="Footer"/>
          <w:jc w:val="right"/>
        </w:pPr>
        <w:r>
          <w:fldChar w:fldCharType="begin"/>
        </w:r>
        <w:r>
          <w:instrText xml:space="preserve"> PAGE   \* MERGEFORMAT </w:instrText>
        </w:r>
        <w:r>
          <w:fldChar w:fldCharType="separate"/>
        </w:r>
        <w:r w:rsidR="007D102B">
          <w:rPr>
            <w:noProof/>
          </w:rPr>
          <w:t>3</w:t>
        </w:r>
        <w:r>
          <w:rPr>
            <w:noProof/>
          </w:rPr>
          <w:fldChar w:fldCharType="end"/>
        </w:r>
      </w:p>
    </w:sdtContent>
  </w:sdt>
  <w:p w14:paraId="1A844262" w14:textId="77777777" w:rsidR="00CA1D40" w:rsidRDefault="00CA1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159D00" w14:textId="77777777" w:rsidR="00B41725" w:rsidRDefault="00B41725" w:rsidP="00CA1D40">
      <w:pPr>
        <w:spacing w:line="240" w:lineRule="auto"/>
      </w:pPr>
      <w:r>
        <w:separator/>
      </w:r>
    </w:p>
  </w:footnote>
  <w:footnote w:type="continuationSeparator" w:id="0">
    <w:p w14:paraId="3F1B7268" w14:textId="77777777" w:rsidR="00B41725" w:rsidRDefault="00B41725" w:rsidP="00CA1D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C4F"/>
    <w:rsid w:val="000C6DA7"/>
    <w:rsid w:val="000F1A98"/>
    <w:rsid w:val="001572D0"/>
    <w:rsid w:val="001B7D3A"/>
    <w:rsid w:val="00207E58"/>
    <w:rsid w:val="002A1456"/>
    <w:rsid w:val="002A2441"/>
    <w:rsid w:val="002A6BE3"/>
    <w:rsid w:val="00366DB6"/>
    <w:rsid w:val="00372399"/>
    <w:rsid w:val="00373995"/>
    <w:rsid w:val="003A555A"/>
    <w:rsid w:val="003A60AB"/>
    <w:rsid w:val="003D3A9F"/>
    <w:rsid w:val="004C74AA"/>
    <w:rsid w:val="004F4F93"/>
    <w:rsid w:val="00503B42"/>
    <w:rsid w:val="005453FD"/>
    <w:rsid w:val="005668A1"/>
    <w:rsid w:val="005973B3"/>
    <w:rsid w:val="005C671E"/>
    <w:rsid w:val="005E6432"/>
    <w:rsid w:val="00612798"/>
    <w:rsid w:val="00662C45"/>
    <w:rsid w:val="006A588C"/>
    <w:rsid w:val="007522E4"/>
    <w:rsid w:val="007852AF"/>
    <w:rsid w:val="007B6A5B"/>
    <w:rsid w:val="007D102B"/>
    <w:rsid w:val="00817747"/>
    <w:rsid w:val="008C733C"/>
    <w:rsid w:val="008D5EC8"/>
    <w:rsid w:val="009244D1"/>
    <w:rsid w:val="00954A34"/>
    <w:rsid w:val="009A7EA6"/>
    <w:rsid w:val="009C2DF4"/>
    <w:rsid w:val="009C4058"/>
    <w:rsid w:val="00A21F00"/>
    <w:rsid w:val="00A55C2E"/>
    <w:rsid w:val="00B2150E"/>
    <w:rsid w:val="00B41725"/>
    <w:rsid w:val="00BD6866"/>
    <w:rsid w:val="00BF7F63"/>
    <w:rsid w:val="00C108DF"/>
    <w:rsid w:val="00C74CD7"/>
    <w:rsid w:val="00C90C4F"/>
    <w:rsid w:val="00CA1D40"/>
    <w:rsid w:val="00CA4951"/>
    <w:rsid w:val="00D14D54"/>
    <w:rsid w:val="00D25092"/>
    <w:rsid w:val="00D719AC"/>
    <w:rsid w:val="00E27963"/>
    <w:rsid w:val="00E74726"/>
    <w:rsid w:val="00F05B33"/>
    <w:rsid w:val="00FF69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9407E"/>
  <w15:docId w15:val="{32A082E0-378C-480F-A06B-86DD8E795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A1D40"/>
    <w:pPr>
      <w:tabs>
        <w:tab w:val="center" w:pos="4513"/>
        <w:tab w:val="right" w:pos="9026"/>
      </w:tabs>
      <w:spacing w:line="240" w:lineRule="auto"/>
    </w:pPr>
  </w:style>
  <w:style w:type="character" w:customStyle="1" w:styleId="HeaderChar">
    <w:name w:val="Header Char"/>
    <w:basedOn w:val="DefaultParagraphFont"/>
    <w:link w:val="Header"/>
    <w:uiPriority w:val="99"/>
    <w:rsid w:val="00CA1D40"/>
  </w:style>
  <w:style w:type="paragraph" w:styleId="Footer">
    <w:name w:val="footer"/>
    <w:basedOn w:val="Normal"/>
    <w:link w:val="FooterChar"/>
    <w:uiPriority w:val="99"/>
    <w:unhideWhenUsed/>
    <w:rsid w:val="00CA1D40"/>
    <w:pPr>
      <w:tabs>
        <w:tab w:val="center" w:pos="4513"/>
        <w:tab w:val="right" w:pos="9026"/>
      </w:tabs>
      <w:spacing w:line="240" w:lineRule="auto"/>
    </w:pPr>
  </w:style>
  <w:style w:type="character" w:customStyle="1" w:styleId="FooterChar">
    <w:name w:val="Footer Char"/>
    <w:basedOn w:val="DefaultParagraphFont"/>
    <w:link w:val="Footer"/>
    <w:uiPriority w:val="99"/>
    <w:rsid w:val="00CA1D40"/>
  </w:style>
  <w:style w:type="character" w:styleId="Hyperlink">
    <w:name w:val="Hyperlink"/>
    <w:basedOn w:val="DefaultParagraphFont"/>
    <w:uiPriority w:val="99"/>
    <w:unhideWhenUsed/>
    <w:rsid w:val="004C74AA"/>
    <w:rPr>
      <w:color w:val="0000FF" w:themeColor="hyperlink"/>
      <w:u w:val="single"/>
    </w:rPr>
  </w:style>
  <w:style w:type="paragraph" w:styleId="TOCHeading">
    <w:name w:val="TOC Heading"/>
    <w:basedOn w:val="Heading1"/>
    <w:next w:val="Normal"/>
    <w:uiPriority w:val="39"/>
    <w:unhideWhenUsed/>
    <w:qFormat/>
    <w:rsid w:val="00C108D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108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2071-1050/12/15/6086" TargetMode="External"/><Relationship Id="rId18" Type="http://schemas.openxmlformats.org/officeDocument/2006/relationships/hyperlink" Target="https://link.springer.com/article/10.1007/s11423-020-09920-z" TargetMode="External"/><Relationship Id="rId26" Type="http://schemas.openxmlformats.org/officeDocument/2006/relationships/hyperlink" Target="https://www.researchgate.net/profile/Francisco-Cassano-2/publication/353247037_THE_ENTREPRENEURIAL_ACTION_OF_INCUBATORS_IN_THE_INTERNATIONALIZATION_PROCESS_OF_BRAZILIAN_COMPANIES_-_december_2020/links/60ef2d440859317dbde2c257/THE-ENTREPRENEURIAL-ACTION-OF-INCUBATORS-IN-THE-INTERNATIONALIZATION-PROCESS-OF-BRAZILIAN-COMPANIES-december-2020.pdf" TargetMode="External"/><Relationship Id="rId3" Type="http://schemas.openxmlformats.org/officeDocument/2006/relationships/settings" Target="settings.xml"/><Relationship Id="rId21" Type="http://schemas.openxmlformats.org/officeDocument/2006/relationships/hyperlink" Target="https://www.thelancet.com/journals/eclinm/article/PIIS2589-5370(21)00364-3/fulltext" TargetMode="External"/><Relationship Id="rId7" Type="http://schemas.openxmlformats.org/officeDocument/2006/relationships/image" Target="media/image1.png"/><Relationship Id="rId12" Type="http://schemas.openxmlformats.org/officeDocument/2006/relationships/hyperlink" Target="https://www.bls.gov/ooh/healthcare/clinical-laboratory-technologists-and-technicians.htm" TargetMode="External"/><Relationship Id="rId17" Type="http://schemas.openxmlformats.org/officeDocument/2006/relationships/hyperlink" Target="https://onlinelibrary.wiley.com/doi/pdf/10.1155/2020/6253013" TargetMode="External"/><Relationship Id="rId25" Type="http://schemas.openxmlformats.org/officeDocument/2006/relationships/hyperlink" Target="https://www.researchgate.net/profile/Deske-W-Mandagi/publication/366705455_Work-Life_Balance_Job_Satisfaction_and_Performance_Among_Millennial_and_Gen_Z_Employees_A_Systematic_Review/links/63b02e89a03100368a416e89/Work-Life-Balance-Job-Satisfaction-and-Performance-Among-Millennial-and-Gen-Z-Employees-A-Systematic-Review.pdf?_sg%5B0%5D=started_experiment_milestone&amp;origin=journalDetail&amp;_rtd=e30%3D" TargetMode="External"/><Relationship Id="rId2" Type="http://schemas.openxmlformats.org/officeDocument/2006/relationships/styles" Target="styles.xml"/><Relationship Id="rId16" Type="http://schemas.openxmlformats.org/officeDocument/2006/relationships/hyperlink" Target="https://www.cambridge.org/core/journals/journal-of-management-and-organization/article/forced-flexibility-and-remote-working-opportunities-and-challenges-in-the-new-normal/FD62EA8030B8CCCD933977F0C838A33F" TargetMode="External"/><Relationship Id="rId20" Type="http://schemas.openxmlformats.org/officeDocument/2006/relationships/hyperlink" Target="https://www.sciencedirect.com/science/article/pii/S027273582030093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1660-4601/19/7/3879" TargetMode="External"/><Relationship Id="rId24" Type="http://schemas.openxmlformats.org/officeDocument/2006/relationships/hyperlink" Target="https://goldncloudpublications.com/index.php/irjaem/article/download/143/181" TargetMode="External"/><Relationship Id="rId5" Type="http://schemas.openxmlformats.org/officeDocument/2006/relationships/footnotes" Target="footnotes.xml"/><Relationship Id="rId15" Type="http://schemas.openxmlformats.org/officeDocument/2006/relationships/hyperlink" Target="https://www.sciencedirect.com/science/article/pii/S2199853122008393" TargetMode="External"/><Relationship Id="rId23" Type="http://schemas.openxmlformats.org/officeDocument/2006/relationships/hyperlink" Target="https://www.tandfonline.com/doi/abs/10.1080/02678373.2021.1936287" TargetMode="External"/><Relationship Id="rId28" Type="http://schemas.openxmlformats.org/officeDocument/2006/relationships/fontTable" Target="fontTable.xml"/><Relationship Id="rId10" Type="http://schemas.openxmlformats.org/officeDocument/2006/relationships/hyperlink" Target="https://journals.sagepub.com/doi/pdf/10.1177/0008125620948265" TargetMode="External"/><Relationship Id="rId19" Type="http://schemas.openxmlformats.org/officeDocument/2006/relationships/hyperlink" Target="https://www.mdpi.com/1660-4601/17/14/5080" TargetMode="External"/><Relationship Id="rId4" Type="http://schemas.openxmlformats.org/officeDocument/2006/relationships/webSettings" Target="webSettings.xml"/><Relationship Id="rId9" Type="http://schemas.openxmlformats.org/officeDocument/2006/relationships/hyperlink" Target="https://ijsra.net/sites/default/files/IJSRA-2024-0560.pdf" TargetMode="External"/><Relationship Id="rId14" Type="http://schemas.openxmlformats.org/officeDocument/2006/relationships/hyperlink" Target="https://ieeexplore.ieee.org/iel7/32/4359463/09387593.pdf" TargetMode="External"/><Relationship Id="rId22" Type="http://schemas.openxmlformats.org/officeDocument/2006/relationships/hyperlink" Target="https://journals.sagepub.com/doi/full/10.1177/026638212095308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C7CFF-D4C8-46AB-BCC8-9C65DB74A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3419</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Mirela Oprea (2107120)</cp:lastModifiedBy>
  <cp:revision>2</cp:revision>
  <dcterms:created xsi:type="dcterms:W3CDTF">2024-07-17T17:48:00Z</dcterms:created>
  <dcterms:modified xsi:type="dcterms:W3CDTF">2024-07-17T17:48:00Z</dcterms:modified>
</cp:coreProperties>
</file>