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F6E0C" w14:textId="77777777" w:rsidR="00435F60" w:rsidRDefault="00435F60" w:rsidP="00826146">
      <w:pPr>
        <w:jc w:val="both"/>
        <w:rPr>
          <w:rFonts w:cs="Arial"/>
          <w:b/>
          <w:sz w:val="36"/>
          <w:szCs w:val="36"/>
        </w:rPr>
      </w:pPr>
    </w:p>
    <w:p w14:paraId="557BBF7A" w14:textId="257E7C33" w:rsidR="009D1123" w:rsidRDefault="00610C72" w:rsidP="00826146">
      <w:pPr>
        <w:jc w:val="both"/>
        <w:rPr>
          <w:rFonts w:cs="Arial"/>
          <w:b/>
          <w:sz w:val="36"/>
          <w:szCs w:val="36"/>
        </w:rPr>
      </w:pPr>
      <w:r>
        <w:rPr>
          <w:rFonts w:cs="Arial"/>
          <w:noProof/>
        </w:rPr>
        <w:drawing>
          <wp:inline distT="0" distB="0" distL="0" distR="0" wp14:anchorId="6247D657" wp14:editId="4FC84C36">
            <wp:extent cx="2811145" cy="1655945"/>
            <wp:effectExtent l="0" t="0" r="8255" b="1905"/>
            <wp:docPr id="2103047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047787" name="Picture 2103047787"/>
                    <pic:cNvPicPr/>
                  </pic:nvPicPr>
                  <pic:blipFill>
                    <a:blip r:embed="rId8">
                      <a:extLst>
                        <a:ext uri="{28A0092B-C50C-407E-A947-70E740481C1C}">
                          <a14:useLocalDpi xmlns:a14="http://schemas.microsoft.com/office/drawing/2010/main" val="0"/>
                        </a:ext>
                      </a:extLst>
                    </a:blip>
                    <a:stretch>
                      <a:fillRect/>
                    </a:stretch>
                  </pic:blipFill>
                  <pic:spPr>
                    <a:xfrm>
                      <a:off x="0" y="0"/>
                      <a:ext cx="2904431" cy="1710897"/>
                    </a:xfrm>
                    <a:prstGeom prst="rect">
                      <a:avLst/>
                    </a:prstGeom>
                  </pic:spPr>
                </pic:pic>
              </a:graphicData>
            </a:graphic>
          </wp:inline>
        </w:drawing>
      </w:r>
    </w:p>
    <w:p w14:paraId="239D70ED" w14:textId="77777777" w:rsidR="001B19C0" w:rsidRDefault="001B19C0" w:rsidP="00826146">
      <w:pPr>
        <w:jc w:val="both"/>
        <w:rPr>
          <w:rFonts w:cs="Arial"/>
          <w:b/>
          <w:sz w:val="36"/>
          <w:szCs w:val="36"/>
        </w:rPr>
      </w:pPr>
    </w:p>
    <w:p w14:paraId="783AFB50" w14:textId="2D515A79" w:rsidR="00EF246A" w:rsidRPr="006D6EDA" w:rsidRDefault="00770C8A" w:rsidP="00826146">
      <w:pPr>
        <w:jc w:val="both"/>
        <w:rPr>
          <w:rFonts w:cs="Arial"/>
          <w:b/>
          <w:sz w:val="40"/>
          <w:szCs w:val="40"/>
        </w:rPr>
      </w:pPr>
      <w:r w:rsidRPr="006D6EDA">
        <w:rPr>
          <w:rFonts w:cs="Arial"/>
          <w:b/>
          <w:sz w:val="40"/>
          <w:szCs w:val="40"/>
        </w:rPr>
        <w:t>University of Wales Trinity Saint David</w:t>
      </w:r>
    </w:p>
    <w:p w14:paraId="60C6EDE5" w14:textId="77777777" w:rsidR="00EF246A" w:rsidRPr="00806C03" w:rsidRDefault="00EF246A" w:rsidP="00826146">
      <w:pPr>
        <w:jc w:val="both"/>
        <w:rPr>
          <w:rFonts w:cs="Arial"/>
          <w:b/>
          <w:sz w:val="36"/>
          <w:szCs w:val="36"/>
        </w:rPr>
      </w:pPr>
    </w:p>
    <w:p w14:paraId="67E3384F" w14:textId="77777777" w:rsidR="00B24C20" w:rsidRDefault="00B24C20" w:rsidP="00826146">
      <w:pPr>
        <w:jc w:val="both"/>
        <w:rPr>
          <w:rFonts w:cs="Arial"/>
        </w:rPr>
      </w:pPr>
    </w:p>
    <w:p w14:paraId="3C030DBD" w14:textId="77777777" w:rsidR="00B24C20" w:rsidRDefault="00B24C20" w:rsidP="00826146">
      <w:pPr>
        <w:jc w:val="both"/>
        <w:rPr>
          <w:rFonts w:cs="Arial"/>
        </w:rPr>
      </w:pPr>
    </w:p>
    <w:p w14:paraId="33844068" w14:textId="56872DFD" w:rsidR="00826146" w:rsidRPr="00B24C20" w:rsidRDefault="00826146" w:rsidP="00826146">
      <w:pPr>
        <w:jc w:val="both"/>
        <w:rPr>
          <w:rFonts w:cs="Arial"/>
          <w:sz w:val="32"/>
          <w:szCs w:val="32"/>
        </w:rPr>
      </w:pPr>
      <w:r w:rsidRPr="00B24C20">
        <w:rPr>
          <w:rFonts w:cs="Arial"/>
          <w:b/>
          <w:bCs/>
          <w:sz w:val="32"/>
          <w:szCs w:val="32"/>
        </w:rPr>
        <w:t>Module Title</w:t>
      </w:r>
      <w:r w:rsidRPr="00B24C20">
        <w:rPr>
          <w:rFonts w:cs="Arial"/>
          <w:sz w:val="32"/>
          <w:szCs w:val="32"/>
        </w:rPr>
        <w:t xml:space="preserve">: </w:t>
      </w:r>
      <w:r w:rsidR="002B4894">
        <w:rPr>
          <w:rFonts w:cs="Arial"/>
          <w:sz w:val="32"/>
          <w:szCs w:val="32"/>
        </w:rPr>
        <w:t>Stakeholder</w:t>
      </w:r>
      <w:r w:rsidR="008F5DA0">
        <w:rPr>
          <w:rFonts w:cs="Arial"/>
          <w:sz w:val="32"/>
          <w:szCs w:val="32"/>
        </w:rPr>
        <w:t xml:space="preserve"> Engagement </w:t>
      </w:r>
    </w:p>
    <w:p w14:paraId="73A7A966" w14:textId="59602897" w:rsidR="00826146" w:rsidRPr="00B24C20" w:rsidRDefault="00826146" w:rsidP="00826146">
      <w:pPr>
        <w:jc w:val="both"/>
        <w:rPr>
          <w:rFonts w:cs="Arial"/>
          <w:sz w:val="32"/>
          <w:szCs w:val="32"/>
        </w:rPr>
      </w:pPr>
      <w:r w:rsidRPr="00B24C20">
        <w:rPr>
          <w:rFonts w:cs="Arial"/>
          <w:b/>
          <w:bCs/>
          <w:sz w:val="32"/>
          <w:szCs w:val="32"/>
        </w:rPr>
        <w:t>Module code</w:t>
      </w:r>
      <w:r w:rsidRPr="00B24C20">
        <w:rPr>
          <w:rFonts w:cs="Arial"/>
          <w:sz w:val="32"/>
          <w:szCs w:val="32"/>
        </w:rPr>
        <w:t>: LCBB401</w:t>
      </w:r>
      <w:r w:rsidR="000656D6">
        <w:rPr>
          <w:rFonts w:cs="Arial"/>
          <w:sz w:val="32"/>
          <w:szCs w:val="32"/>
        </w:rPr>
        <w:t>3</w:t>
      </w:r>
    </w:p>
    <w:p w14:paraId="021AA32C" w14:textId="20D29E5D" w:rsidR="00826146" w:rsidRPr="006D6EDA" w:rsidRDefault="00826146" w:rsidP="00826146">
      <w:pPr>
        <w:jc w:val="both"/>
        <w:rPr>
          <w:rFonts w:cs="Arial"/>
          <w:i/>
          <w:iCs/>
          <w:sz w:val="32"/>
          <w:szCs w:val="32"/>
        </w:rPr>
      </w:pPr>
      <w:r w:rsidRPr="00B24C20">
        <w:rPr>
          <w:rFonts w:cs="Arial"/>
          <w:b/>
          <w:bCs/>
          <w:sz w:val="32"/>
          <w:szCs w:val="32"/>
        </w:rPr>
        <w:t>Assessment Title</w:t>
      </w:r>
      <w:r w:rsidRPr="00B24C20">
        <w:rPr>
          <w:rFonts w:cs="Arial"/>
          <w:sz w:val="32"/>
          <w:szCs w:val="32"/>
        </w:rPr>
        <w:t xml:space="preserve">: </w:t>
      </w:r>
      <w:r w:rsidR="00DD677D" w:rsidRPr="00DD677D">
        <w:rPr>
          <w:rFonts w:cs="Arial"/>
          <w:sz w:val="32"/>
          <w:szCs w:val="32"/>
        </w:rPr>
        <w:t>Proposed Public Park in Walthamstow</w:t>
      </w:r>
    </w:p>
    <w:p w14:paraId="52F27EDD" w14:textId="5BA0ADB1" w:rsidR="00826146" w:rsidRPr="00B24C20" w:rsidRDefault="00826146" w:rsidP="00826146">
      <w:pPr>
        <w:jc w:val="both"/>
        <w:rPr>
          <w:rFonts w:cs="Arial"/>
          <w:sz w:val="32"/>
          <w:szCs w:val="32"/>
        </w:rPr>
      </w:pPr>
      <w:r w:rsidRPr="00B24C20">
        <w:rPr>
          <w:rFonts w:cs="Arial"/>
          <w:b/>
          <w:bCs/>
          <w:sz w:val="32"/>
          <w:szCs w:val="32"/>
        </w:rPr>
        <w:t>Lecturer:</w:t>
      </w:r>
      <w:r w:rsidRPr="00B24C20">
        <w:rPr>
          <w:rFonts w:cs="Arial"/>
          <w:sz w:val="32"/>
          <w:szCs w:val="32"/>
        </w:rPr>
        <w:t xml:space="preserve"> </w:t>
      </w:r>
      <w:r w:rsidR="006404AB">
        <w:rPr>
          <w:rFonts w:cs="Arial"/>
          <w:sz w:val="32"/>
          <w:szCs w:val="32"/>
        </w:rPr>
        <w:t>Zainab Atta</w:t>
      </w:r>
    </w:p>
    <w:p w14:paraId="3BF9C0C0" w14:textId="77777777" w:rsidR="00826146" w:rsidRPr="00B24C20" w:rsidRDefault="00826146" w:rsidP="00826146">
      <w:pPr>
        <w:jc w:val="both"/>
        <w:rPr>
          <w:rFonts w:cs="Arial"/>
          <w:sz w:val="32"/>
          <w:szCs w:val="32"/>
        </w:rPr>
      </w:pPr>
      <w:r w:rsidRPr="00B24C20">
        <w:rPr>
          <w:rFonts w:cs="Arial"/>
          <w:b/>
          <w:bCs/>
          <w:sz w:val="32"/>
          <w:szCs w:val="32"/>
        </w:rPr>
        <w:t>Student Name:</w:t>
      </w:r>
      <w:r w:rsidRPr="00B24C20">
        <w:rPr>
          <w:rFonts w:cs="Arial"/>
          <w:sz w:val="32"/>
          <w:szCs w:val="32"/>
        </w:rPr>
        <w:t xml:space="preserve"> Marzena Beczek</w:t>
      </w:r>
    </w:p>
    <w:p w14:paraId="776455C5" w14:textId="77777777" w:rsidR="00826146" w:rsidRPr="00B24C20" w:rsidRDefault="00826146" w:rsidP="00826146">
      <w:pPr>
        <w:jc w:val="both"/>
        <w:rPr>
          <w:rFonts w:cs="Arial"/>
          <w:sz w:val="32"/>
          <w:szCs w:val="32"/>
        </w:rPr>
      </w:pPr>
      <w:r w:rsidRPr="00B24C20">
        <w:rPr>
          <w:rFonts w:cs="Arial"/>
          <w:b/>
          <w:bCs/>
          <w:sz w:val="32"/>
          <w:szCs w:val="32"/>
        </w:rPr>
        <w:t>Student Number</w:t>
      </w:r>
      <w:r w:rsidRPr="00B24C20">
        <w:rPr>
          <w:rFonts w:cs="Arial"/>
          <w:sz w:val="32"/>
          <w:szCs w:val="32"/>
        </w:rPr>
        <w:t>: 2413128</w:t>
      </w:r>
    </w:p>
    <w:p w14:paraId="394F9EE7" w14:textId="3B696726" w:rsidR="001B19C0" w:rsidRDefault="00826146" w:rsidP="001B19C0">
      <w:pPr>
        <w:jc w:val="both"/>
        <w:rPr>
          <w:rFonts w:cs="Arial"/>
          <w:sz w:val="32"/>
          <w:szCs w:val="32"/>
        </w:rPr>
      </w:pPr>
      <w:r w:rsidRPr="00B24C20">
        <w:rPr>
          <w:rFonts w:cs="Arial"/>
          <w:b/>
          <w:bCs/>
          <w:sz w:val="32"/>
          <w:szCs w:val="32"/>
        </w:rPr>
        <w:t>Date:</w:t>
      </w:r>
      <w:r w:rsidRPr="00B24C20">
        <w:rPr>
          <w:rFonts w:cs="Arial"/>
          <w:sz w:val="32"/>
          <w:szCs w:val="32"/>
        </w:rPr>
        <w:t xml:space="preserve"> </w:t>
      </w:r>
      <w:r w:rsidR="001711EB">
        <w:rPr>
          <w:rFonts w:cs="Arial"/>
          <w:sz w:val="32"/>
          <w:szCs w:val="32"/>
        </w:rPr>
        <w:t>21.08.2026</w:t>
      </w:r>
    </w:p>
    <w:p w14:paraId="55A6DE11" w14:textId="77777777" w:rsidR="001B19C0" w:rsidRDefault="001B19C0">
      <w:pPr>
        <w:rPr>
          <w:rFonts w:cs="Arial"/>
          <w:sz w:val="32"/>
          <w:szCs w:val="32"/>
        </w:rPr>
      </w:pPr>
      <w:r>
        <w:rPr>
          <w:rFonts w:cs="Arial"/>
          <w:sz w:val="32"/>
          <w:szCs w:val="32"/>
        </w:rPr>
        <w:br w:type="page"/>
      </w:r>
    </w:p>
    <w:p w14:paraId="75F4623B" w14:textId="77777777" w:rsidR="00B71B2A" w:rsidRPr="001B19C0" w:rsidRDefault="00B71B2A" w:rsidP="001B19C0">
      <w:pPr>
        <w:jc w:val="both"/>
        <w:rPr>
          <w:rFonts w:cs="Arial"/>
          <w:sz w:val="32"/>
          <w:szCs w:val="32"/>
        </w:rPr>
      </w:pPr>
    </w:p>
    <w:p w14:paraId="1C19E15F" w14:textId="26D1EC44" w:rsidR="00B530AC" w:rsidRPr="00406BFF" w:rsidRDefault="00B530AC" w:rsidP="00666B95">
      <w:pPr>
        <w:rPr>
          <w:rFonts w:cs="Arial"/>
          <w:b/>
          <w:bCs/>
          <w:sz w:val="32"/>
          <w:szCs w:val="32"/>
        </w:rPr>
      </w:pPr>
      <w:r>
        <w:rPr>
          <w:rFonts w:cs="Arial"/>
          <w:b/>
          <w:bCs/>
        </w:rPr>
        <w:tab/>
      </w:r>
      <w:r>
        <w:rPr>
          <w:rFonts w:cs="Arial"/>
          <w:b/>
          <w:bCs/>
        </w:rPr>
        <w:tab/>
      </w:r>
      <w:r>
        <w:rPr>
          <w:rFonts w:cs="Arial"/>
          <w:b/>
          <w:bCs/>
        </w:rPr>
        <w:tab/>
      </w:r>
      <w:r>
        <w:rPr>
          <w:rFonts w:cs="Arial"/>
          <w:b/>
          <w:bCs/>
        </w:rPr>
        <w:tab/>
      </w:r>
      <w:r>
        <w:rPr>
          <w:rFonts w:cs="Arial"/>
          <w:b/>
          <w:bCs/>
        </w:rPr>
        <w:tab/>
      </w:r>
      <w:r w:rsidR="00406BFF" w:rsidRPr="00406BFF">
        <w:rPr>
          <w:rFonts w:cs="Arial"/>
          <w:b/>
          <w:bCs/>
          <w:sz w:val="32"/>
          <w:szCs w:val="32"/>
        </w:rPr>
        <w:t>Table o</w:t>
      </w:r>
      <w:r w:rsidR="00406BFF">
        <w:rPr>
          <w:rFonts w:cs="Arial"/>
          <w:b/>
          <w:bCs/>
          <w:sz w:val="32"/>
          <w:szCs w:val="32"/>
        </w:rPr>
        <w:t>f</w:t>
      </w:r>
      <w:r w:rsidR="00406BFF" w:rsidRPr="00406BFF">
        <w:rPr>
          <w:rFonts w:cs="Arial"/>
          <w:b/>
          <w:bCs/>
          <w:sz w:val="32"/>
          <w:szCs w:val="32"/>
        </w:rPr>
        <w:t xml:space="preserve"> Con</w:t>
      </w:r>
      <w:r w:rsidR="00AC6718">
        <w:rPr>
          <w:rFonts w:cs="Arial"/>
          <w:b/>
          <w:bCs/>
          <w:sz w:val="32"/>
          <w:szCs w:val="32"/>
        </w:rPr>
        <w:t>tents</w:t>
      </w:r>
    </w:p>
    <w:p w14:paraId="01FD6862" w14:textId="77777777" w:rsidR="00B530AC" w:rsidRDefault="00B530AC" w:rsidP="00666B95">
      <w:pPr>
        <w:rPr>
          <w:rFonts w:cs="Arial"/>
          <w:b/>
          <w:bCs/>
        </w:rPr>
      </w:pPr>
    </w:p>
    <w:p w14:paraId="73ADFCC3" w14:textId="2DD323A7" w:rsidR="00666B95" w:rsidRPr="00666B95" w:rsidRDefault="00666B95" w:rsidP="00666B95">
      <w:pPr>
        <w:rPr>
          <w:rFonts w:cs="Arial"/>
          <w:b/>
          <w:bCs/>
        </w:rPr>
      </w:pPr>
      <w:r w:rsidRPr="00666B95">
        <w:rPr>
          <w:rFonts w:cs="Arial"/>
          <w:b/>
          <w:bCs/>
        </w:rPr>
        <w:t>1. Introduction</w:t>
      </w:r>
      <w:r w:rsidR="00846BFC">
        <w:rPr>
          <w:rFonts w:cs="Arial"/>
          <w:b/>
          <w:bCs/>
        </w:rPr>
        <w:t xml:space="preserve"> </w:t>
      </w:r>
      <w:r w:rsidR="00A932AE">
        <w:rPr>
          <w:rFonts w:cs="Arial"/>
          <w:b/>
          <w:bCs/>
        </w:rPr>
        <w:t>…………………………………………………</w:t>
      </w:r>
      <w:r w:rsidR="00846BFC">
        <w:rPr>
          <w:rFonts w:cs="Arial"/>
          <w:b/>
          <w:bCs/>
        </w:rPr>
        <w:t>……….</w:t>
      </w:r>
      <w:r w:rsidR="008741A7">
        <w:rPr>
          <w:rFonts w:cs="Arial"/>
          <w:b/>
          <w:bCs/>
        </w:rPr>
        <w:t>.</w:t>
      </w:r>
      <w:r w:rsidR="00846BFC">
        <w:rPr>
          <w:rFonts w:cs="Arial"/>
          <w:b/>
          <w:bCs/>
        </w:rPr>
        <w:t xml:space="preserve"> </w:t>
      </w:r>
      <w:r w:rsidR="00506A16">
        <w:rPr>
          <w:rFonts w:cs="Arial"/>
          <w:b/>
          <w:bCs/>
        </w:rPr>
        <w:t>2</w:t>
      </w:r>
    </w:p>
    <w:p w14:paraId="74C6C989" w14:textId="77777777" w:rsidR="00666B95" w:rsidRPr="00666B95" w:rsidRDefault="00666B95" w:rsidP="00666B95">
      <w:pPr>
        <w:rPr>
          <w:rFonts w:cs="Arial"/>
          <w:b/>
          <w:bCs/>
        </w:rPr>
      </w:pPr>
    </w:p>
    <w:p w14:paraId="092E80FD" w14:textId="2731D68B" w:rsidR="00666B95" w:rsidRPr="00666B95" w:rsidRDefault="00666B95" w:rsidP="00666B95">
      <w:pPr>
        <w:rPr>
          <w:rFonts w:cs="Arial"/>
          <w:b/>
          <w:bCs/>
        </w:rPr>
      </w:pPr>
      <w:r w:rsidRPr="00666B95">
        <w:rPr>
          <w:rFonts w:cs="Arial"/>
          <w:b/>
          <w:bCs/>
        </w:rPr>
        <w:t>2. Stakeholder Engagement Strategies</w:t>
      </w:r>
      <w:r w:rsidR="008741A7">
        <w:rPr>
          <w:rFonts w:cs="Arial"/>
          <w:b/>
          <w:bCs/>
        </w:rPr>
        <w:t xml:space="preserve"> ……………………………. 2</w:t>
      </w:r>
    </w:p>
    <w:p w14:paraId="581712E5" w14:textId="77777777" w:rsidR="00666B95" w:rsidRPr="00666B95" w:rsidRDefault="00666B95" w:rsidP="00666B95">
      <w:pPr>
        <w:rPr>
          <w:rFonts w:cs="Arial"/>
          <w:b/>
          <w:bCs/>
        </w:rPr>
      </w:pPr>
    </w:p>
    <w:p w14:paraId="083CC2BF" w14:textId="35F4195E" w:rsidR="00666B95" w:rsidRPr="00666B95" w:rsidRDefault="00666B95" w:rsidP="00666B95">
      <w:pPr>
        <w:rPr>
          <w:rFonts w:cs="Arial"/>
          <w:b/>
          <w:bCs/>
        </w:rPr>
      </w:pPr>
      <w:r w:rsidRPr="00666B95">
        <w:rPr>
          <w:rFonts w:cs="Arial"/>
          <w:b/>
          <w:bCs/>
        </w:rPr>
        <w:t>2.1 Power, Influence and Interest Analysis</w:t>
      </w:r>
      <w:r w:rsidR="008741A7">
        <w:rPr>
          <w:rFonts w:cs="Arial"/>
          <w:b/>
          <w:bCs/>
        </w:rPr>
        <w:t xml:space="preserve"> ………………………</w:t>
      </w:r>
      <w:r w:rsidR="000C4CB9">
        <w:rPr>
          <w:rFonts w:cs="Arial"/>
          <w:b/>
          <w:bCs/>
        </w:rPr>
        <w:t>..</w:t>
      </w:r>
      <w:r w:rsidR="008741A7">
        <w:rPr>
          <w:rFonts w:cs="Arial"/>
          <w:b/>
          <w:bCs/>
        </w:rPr>
        <w:t xml:space="preserve"> 3</w:t>
      </w:r>
    </w:p>
    <w:p w14:paraId="1E07CDEA" w14:textId="77777777" w:rsidR="00666B95" w:rsidRPr="00666B95" w:rsidRDefault="00666B95" w:rsidP="00666B95">
      <w:pPr>
        <w:rPr>
          <w:rFonts w:cs="Arial"/>
          <w:b/>
          <w:bCs/>
        </w:rPr>
      </w:pPr>
    </w:p>
    <w:p w14:paraId="2C734A26" w14:textId="28F84022" w:rsidR="00666B95" w:rsidRPr="00666B95" w:rsidRDefault="00666B95" w:rsidP="00666B95">
      <w:pPr>
        <w:rPr>
          <w:rFonts w:cs="Arial"/>
          <w:b/>
          <w:bCs/>
        </w:rPr>
      </w:pPr>
      <w:r w:rsidRPr="00666B95">
        <w:rPr>
          <w:rFonts w:cs="Arial"/>
          <w:b/>
          <w:bCs/>
        </w:rPr>
        <w:t>2.2 Stakeholder Map</w:t>
      </w:r>
      <w:r w:rsidR="00CD4EED">
        <w:rPr>
          <w:rFonts w:cs="Arial"/>
          <w:b/>
          <w:bCs/>
        </w:rPr>
        <w:t xml:space="preserve"> …………………………………………………</w:t>
      </w:r>
      <w:r w:rsidR="00121952">
        <w:rPr>
          <w:rFonts w:cs="Arial"/>
          <w:b/>
          <w:bCs/>
        </w:rPr>
        <w:t>... 6</w:t>
      </w:r>
    </w:p>
    <w:p w14:paraId="5DF059DC" w14:textId="77777777" w:rsidR="00666B95" w:rsidRPr="00666B95" w:rsidRDefault="00666B95" w:rsidP="00666B95">
      <w:pPr>
        <w:rPr>
          <w:rFonts w:cs="Arial"/>
          <w:b/>
          <w:bCs/>
        </w:rPr>
      </w:pPr>
    </w:p>
    <w:p w14:paraId="68B446C1" w14:textId="19066DD6" w:rsidR="00666B95" w:rsidRDefault="00666B95" w:rsidP="00666B95">
      <w:pPr>
        <w:rPr>
          <w:rFonts w:cs="Arial"/>
          <w:b/>
          <w:bCs/>
        </w:rPr>
      </w:pPr>
      <w:r w:rsidRPr="00666B95">
        <w:rPr>
          <w:rFonts w:cs="Arial"/>
          <w:b/>
          <w:bCs/>
        </w:rPr>
        <w:t>2.3 Communication and Consultation Strategy</w:t>
      </w:r>
      <w:r w:rsidR="00C11A8A">
        <w:rPr>
          <w:rFonts w:cs="Arial"/>
          <w:b/>
          <w:bCs/>
        </w:rPr>
        <w:t xml:space="preserve"> …………………..</w:t>
      </w:r>
      <w:r w:rsidR="007204F3">
        <w:rPr>
          <w:rFonts w:cs="Arial"/>
          <w:b/>
          <w:bCs/>
        </w:rPr>
        <w:t xml:space="preserve"> 9</w:t>
      </w:r>
    </w:p>
    <w:p w14:paraId="26564562" w14:textId="77777777" w:rsidR="00AE26C5" w:rsidRPr="00666B95" w:rsidRDefault="00AE26C5" w:rsidP="00666B95">
      <w:pPr>
        <w:rPr>
          <w:rFonts w:cs="Arial"/>
          <w:b/>
          <w:bCs/>
        </w:rPr>
      </w:pPr>
    </w:p>
    <w:p w14:paraId="670B414A" w14:textId="5E9ED5ED" w:rsidR="00666B95" w:rsidRDefault="00AE26C5" w:rsidP="00666B95">
      <w:pPr>
        <w:rPr>
          <w:rFonts w:cs="Arial"/>
          <w:b/>
          <w:bCs/>
        </w:rPr>
      </w:pPr>
      <w:r w:rsidRPr="00AE26C5">
        <w:rPr>
          <w:rFonts w:cs="Arial"/>
          <w:b/>
          <w:bCs/>
        </w:rPr>
        <w:t>3. Consultation and Feedback</w:t>
      </w:r>
      <w:r w:rsidR="00904553">
        <w:rPr>
          <w:rFonts w:cs="Arial"/>
          <w:b/>
          <w:bCs/>
        </w:rPr>
        <w:t xml:space="preserve"> ………………………………………</w:t>
      </w:r>
      <w:r w:rsidR="003D03A5">
        <w:rPr>
          <w:rFonts w:cs="Arial"/>
          <w:b/>
          <w:bCs/>
        </w:rPr>
        <w:t xml:space="preserve"> 12</w:t>
      </w:r>
    </w:p>
    <w:p w14:paraId="6D7312DE" w14:textId="77777777" w:rsidR="00AE26C5" w:rsidRPr="00666B95" w:rsidRDefault="00AE26C5" w:rsidP="00666B95">
      <w:pPr>
        <w:rPr>
          <w:rFonts w:cs="Arial"/>
          <w:b/>
          <w:bCs/>
        </w:rPr>
      </w:pPr>
    </w:p>
    <w:p w14:paraId="35D4924B" w14:textId="0E81D2C2" w:rsidR="00666B95" w:rsidRPr="00666B95" w:rsidRDefault="00666B95" w:rsidP="00666B95">
      <w:pPr>
        <w:rPr>
          <w:rFonts w:cs="Arial"/>
          <w:b/>
          <w:bCs/>
        </w:rPr>
      </w:pPr>
      <w:r w:rsidRPr="00666B95">
        <w:rPr>
          <w:rFonts w:cs="Arial"/>
          <w:b/>
          <w:bCs/>
        </w:rPr>
        <w:t>3.1 Ethical Considerations</w:t>
      </w:r>
      <w:r w:rsidR="00C92402">
        <w:rPr>
          <w:rFonts w:cs="Arial"/>
          <w:b/>
          <w:bCs/>
        </w:rPr>
        <w:t xml:space="preserve"> …………………………………………</w:t>
      </w:r>
      <w:r w:rsidR="002E57E6">
        <w:rPr>
          <w:rFonts w:cs="Arial"/>
          <w:b/>
          <w:bCs/>
        </w:rPr>
        <w:t xml:space="preserve">.. </w:t>
      </w:r>
      <w:r w:rsidR="00C92402">
        <w:rPr>
          <w:rFonts w:cs="Arial"/>
          <w:b/>
          <w:bCs/>
        </w:rPr>
        <w:t>12</w:t>
      </w:r>
    </w:p>
    <w:p w14:paraId="36FD1BFE" w14:textId="77777777" w:rsidR="00666B95" w:rsidRPr="00666B95" w:rsidRDefault="00666B95" w:rsidP="00666B95">
      <w:pPr>
        <w:rPr>
          <w:rFonts w:cs="Arial"/>
          <w:b/>
          <w:bCs/>
        </w:rPr>
      </w:pPr>
    </w:p>
    <w:p w14:paraId="2727A376" w14:textId="3AABB193" w:rsidR="00666B95" w:rsidRPr="00666B95" w:rsidRDefault="00666B95" w:rsidP="00666B95">
      <w:pPr>
        <w:rPr>
          <w:rFonts w:cs="Arial"/>
          <w:b/>
          <w:bCs/>
        </w:rPr>
      </w:pPr>
      <w:r w:rsidRPr="00666B95">
        <w:rPr>
          <w:rFonts w:cs="Arial"/>
          <w:b/>
          <w:bCs/>
        </w:rPr>
        <w:t>3.2 Diversity, Equity and Inclusion (DEI)</w:t>
      </w:r>
      <w:r w:rsidR="00D23E12">
        <w:rPr>
          <w:rFonts w:cs="Arial"/>
          <w:b/>
          <w:bCs/>
        </w:rPr>
        <w:t xml:space="preserve"> …………………………</w:t>
      </w:r>
      <w:r w:rsidR="00000AB3">
        <w:rPr>
          <w:rFonts w:cs="Arial"/>
          <w:b/>
          <w:bCs/>
        </w:rPr>
        <w:t>.</w:t>
      </w:r>
      <w:r w:rsidR="006F36B5">
        <w:rPr>
          <w:rFonts w:cs="Arial"/>
          <w:b/>
          <w:bCs/>
        </w:rPr>
        <w:t xml:space="preserve"> </w:t>
      </w:r>
      <w:r w:rsidR="00000AB3">
        <w:rPr>
          <w:rFonts w:cs="Arial"/>
          <w:b/>
          <w:bCs/>
        </w:rPr>
        <w:t>13</w:t>
      </w:r>
    </w:p>
    <w:p w14:paraId="36B6A495" w14:textId="77777777" w:rsidR="00666B95" w:rsidRPr="00666B95" w:rsidRDefault="00666B95" w:rsidP="00666B95">
      <w:pPr>
        <w:rPr>
          <w:rFonts w:cs="Arial"/>
          <w:b/>
          <w:bCs/>
        </w:rPr>
      </w:pPr>
    </w:p>
    <w:p w14:paraId="17D4C33F" w14:textId="2B60A1C4" w:rsidR="00666B95" w:rsidRPr="00666B95" w:rsidRDefault="00666B95" w:rsidP="00666B95">
      <w:pPr>
        <w:rPr>
          <w:rFonts w:cs="Arial"/>
          <w:b/>
          <w:bCs/>
        </w:rPr>
      </w:pPr>
      <w:r w:rsidRPr="00666B95">
        <w:rPr>
          <w:rFonts w:cs="Arial"/>
          <w:b/>
          <w:bCs/>
        </w:rPr>
        <w:t>3.3 Collecting and Reviewing Stakeholder Feedback</w:t>
      </w:r>
      <w:r w:rsidR="00000AB3">
        <w:rPr>
          <w:rFonts w:cs="Arial"/>
          <w:b/>
          <w:bCs/>
        </w:rPr>
        <w:t xml:space="preserve"> ………….. 13</w:t>
      </w:r>
    </w:p>
    <w:p w14:paraId="5852F691" w14:textId="77777777" w:rsidR="00666B95" w:rsidRPr="00666B95" w:rsidRDefault="00666B95" w:rsidP="00666B95">
      <w:pPr>
        <w:rPr>
          <w:rFonts w:cs="Arial"/>
          <w:b/>
          <w:bCs/>
        </w:rPr>
      </w:pPr>
    </w:p>
    <w:p w14:paraId="01C9F8BD" w14:textId="0B4C6E6E" w:rsidR="00666B95" w:rsidRPr="00666B95" w:rsidRDefault="00666B95" w:rsidP="00666B95">
      <w:pPr>
        <w:rPr>
          <w:rFonts w:cs="Arial"/>
          <w:b/>
          <w:bCs/>
        </w:rPr>
      </w:pPr>
      <w:r w:rsidRPr="00666B95">
        <w:rPr>
          <w:rFonts w:cs="Arial"/>
          <w:b/>
          <w:bCs/>
        </w:rPr>
        <w:t>4. Conclusion</w:t>
      </w:r>
      <w:r w:rsidR="00691AAF">
        <w:rPr>
          <w:rFonts w:cs="Arial"/>
          <w:b/>
          <w:bCs/>
        </w:rPr>
        <w:t xml:space="preserve"> …………………………………………………………</w:t>
      </w:r>
      <w:r w:rsidR="007F25E5">
        <w:rPr>
          <w:rFonts w:cs="Arial"/>
          <w:b/>
          <w:bCs/>
        </w:rPr>
        <w:t>.. 14</w:t>
      </w:r>
    </w:p>
    <w:p w14:paraId="3C5818E4" w14:textId="77777777" w:rsidR="00666B95" w:rsidRPr="00666B95" w:rsidRDefault="00666B95" w:rsidP="00666B95">
      <w:pPr>
        <w:rPr>
          <w:rFonts w:cs="Arial"/>
          <w:b/>
          <w:bCs/>
        </w:rPr>
      </w:pPr>
    </w:p>
    <w:p w14:paraId="1ABFBF72" w14:textId="45828165" w:rsidR="00666B95" w:rsidRPr="00666B95" w:rsidRDefault="00F07A58" w:rsidP="00666B95">
      <w:pPr>
        <w:rPr>
          <w:rFonts w:cs="Arial"/>
          <w:b/>
          <w:bCs/>
        </w:rPr>
      </w:pPr>
      <w:r>
        <w:rPr>
          <w:rFonts w:cs="Arial"/>
          <w:b/>
          <w:bCs/>
        </w:rPr>
        <w:t xml:space="preserve">5. </w:t>
      </w:r>
      <w:r w:rsidR="00666B95" w:rsidRPr="00666B95">
        <w:rPr>
          <w:rFonts w:cs="Arial"/>
          <w:b/>
          <w:bCs/>
        </w:rPr>
        <w:t>Reflection</w:t>
      </w:r>
      <w:r w:rsidR="007F25E5">
        <w:rPr>
          <w:rFonts w:cs="Arial"/>
          <w:b/>
          <w:bCs/>
        </w:rPr>
        <w:t xml:space="preserve"> ……………………………………………………………. 15</w:t>
      </w:r>
    </w:p>
    <w:p w14:paraId="49203003" w14:textId="77777777" w:rsidR="00666B95" w:rsidRPr="00666B95" w:rsidRDefault="00666B95" w:rsidP="00666B95">
      <w:pPr>
        <w:rPr>
          <w:rFonts w:cs="Arial"/>
          <w:b/>
          <w:bCs/>
        </w:rPr>
      </w:pPr>
    </w:p>
    <w:p w14:paraId="1421E3A5" w14:textId="7F382722" w:rsidR="00666B95" w:rsidRDefault="00A81FFC" w:rsidP="00A919C8">
      <w:pPr>
        <w:rPr>
          <w:rFonts w:cs="Arial"/>
          <w:b/>
          <w:bCs/>
        </w:rPr>
      </w:pPr>
      <w:r>
        <w:rPr>
          <w:rFonts w:cs="Arial"/>
          <w:b/>
          <w:bCs/>
        </w:rPr>
        <w:t xml:space="preserve">6. </w:t>
      </w:r>
      <w:r w:rsidR="00666B95" w:rsidRPr="00666B95">
        <w:rPr>
          <w:rFonts w:cs="Arial"/>
          <w:b/>
          <w:bCs/>
        </w:rPr>
        <w:t>References</w:t>
      </w:r>
      <w:r>
        <w:rPr>
          <w:rFonts w:cs="Arial"/>
          <w:b/>
          <w:bCs/>
        </w:rPr>
        <w:t xml:space="preserve"> …………………………………………………………</w:t>
      </w:r>
      <w:r w:rsidR="007368B6">
        <w:rPr>
          <w:rFonts w:cs="Arial"/>
          <w:b/>
          <w:bCs/>
        </w:rPr>
        <w:t xml:space="preserve">.. </w:t>
      </w:r>
      <w:r w:rsidR="00AC5ACE">
        <w:rPr>
          <w:rFonts w:cs="Arial"/>
          <w:b/>
          <w:bCs/>
        </w:rPr>
        <w:t>16</w:t>
      </w:r>
    </w:p>
    <w:p w14:paraId="3D5DE865" w14:textId="65C2F341" w:rsidR="00180566" w:rsidRPr="00180566" w:rsidRDefault="00E8312C" w:rsidP="00180566">
      <w:pPr>
        <w:rPr>
          <w:rFonts w:cs="Arial"/>
          <w:b/>
          <w:bCs/>
        </w:rPr>
      </w:pPr>
      <w:r>
        <w:rPr>
          <w:rFonts w:cs="Arial"/>
          <w:b/>
          <w:bCs/>
        </w:rPr>
        <w:br w:type="page"/>
      </w:r>
      <w:r w:rsidR="00180566" w:rsidRPr="00180566">
        <w:rPr>
          <w:rFonts w:cs="Arial"/>
          <w:b/>
          <w:bCs/>
        </w:rPr>
        <w:lastRenderedPageBreak/>
        <w:t>1. Introduction</w:t>
      </w:r>
    </w:p>
    <w:p w14:paraId="56A93D43" w14:textId="77777777" w:rsidR="00180566" w:rsidRPr="00180566" w:rsidRDefault="00180566" w:rsidP="00180566">
      <w:pPr>
        <w:rPr>
          <w:rFonts w:cs="Arial"/>
        </w:rPr>
      </w:pPr>
    </w:p>
    <w:p w14:paraId="35A013A0" w14:textId="77777777" w:rsidR="00180566" w:rsidRPr="00180566" w:rsidRDefault="00180566" w:rsidP="00180566">
      <w:pPr>
        <w:rPr>
          <w:rFonts w:cs="Arial"/>
        </w:rPr>
      </w:pPr>
      <w:r w:rsidRPr="00180566">
        <w:rPr>
          <w:rFonts w:cs="Arial"/>
        </w:rPr>
        <w:t>The project is the development of a new public park in Walthamstow, East London. The park will include a children’s playground, walking paths, open green spaces, a small sports area, community gardens and a wildlife pond. Its aim is to provide a safe outdoor space for recreation, exercise, outdoor learning and community activities. It will improve access to green space, encourage healthier lifestyles and create habitats that support local biodiversity. The proposal supports the Greater London Authority’s vision to expand high-quality green spaces and protect biodiversity (Greater London Authority, 2024). It also aligns with Waltham Forest Council’s plans to improve accessible green areas for local communities (Waltham Forest Council, 2024a).</w:t>
      </w:r>
    </w:p>
    <w:p w14:paraId="591DA442" w14:textId="77777777" w:rsidR="00180566" w:rsidRPr="00180566" w:rsidRDefault="00180566" w:rsidP="00180566">
      <w:pPr>
        <w:rPr>
          <w:rFonts w:cs="Arial"/>
        </w:rPr>
      </w:pPr>
    </w:p>
    <w:p w14:paraId="61336E96" w14:textId="77777777" w:rsidR="00180566" w:rsidRPr="00180566" w:rsidRDefault="00180566" w:rsidP="00180566">
      <w:pPr>
        <w:rPr>
          <w:rFonts w:cs="Arial"/>
        </w:rPr>
      </w:pPr>
      <w:r w:rsidRPr="00180566">
        <w:rPr>
          <w:rFonts w:cs="Arial"/>
        </w:rPr>
        <w:t>Freeman (1984) defines stakeholders as individuals or groups who can affect or be affected by an organisation’s objectives. This definition applies to the proposed park because many groups will benefit from it and have an interest in how it is developed and managed.</w:t>
      </w:r>
    </w:p>
    <w:p w14:paraId="0D265EF1" w14:textId="77777777" w:rsidR="00180566" w:rsidRPr="00180566" w:rsidRDefault="00180566" w:rsidP="00180566">
      <w:pPr>
        <w:rPr>
          <w:rFonts w:cs="Arial"/>
        </w:rPr>
      </w:pPr>
    </w:p>
    <w:p w14:paraId="1414ECFD" w14:textId="77777777" w:rsidR="00180566" w:rsidRPr="00180566" w:rsidRDefault="00180566" w:rsidP="00180566">
      <w:pPr>
        <w:rPr>
          <w:rFonts w:cs="Arial"/>
        </w:rPr>
      </w:pPr>
      <w:r w:rsidRPr="00180566">
        <w:rPr>
          <w:rFonts w:cs="Arial"/>
        </w:rPr>
        <w:t>Key stakeholders include local residents, parents and caregivers, children, schools and nurseries, sports clubs, older residents, environmental organisations, Waltham Forest Council, local businesses and healthcare and well-being organisations. Residents will gain a space for recreation, while families will benefit from secure play areas. Schools may use the park for outdoor learning, sports clubs for training and older residents for walking and relaxation. Environmental organisations may support biodiversity features, while the Council will oversee planning and maintenance. Local businesses may benefit from increased visitor numbers, and healthcare organisations may support the project because it encourages physical activity and reduces social isolation.</w:t>
      </w:r>
    </w:p>
    <w:p w14:paraId="01D46A8C" w14:textId="77777777" w:rsidR="00180566" w:rsidRPr="00180566" w:rsidRDefault="00180566" w:rsidP="00180566">
      <w:pPr>
        <w:rPr>
          <w:rFonts w:cs="Arial"/>
        </w:rPr>
      </w:pPr>
    </w:p>
    <w:p w14:paraId="3A4587DA" w14:textId="77777777" w:rsidR="005C250E" w:rsidRDefault="005C250E" w:rsidP="005C250E">
      <w:pPr>
        <w:rPr>
          <w:rFonts w:cs="Arial"/>
          <w:b/>
          <w:bCs/>
        </w:rPr>
      </w:pPr>
      <w:r w:rsidRPr="005C250E">
        <w:rPr>
          <w:rFonts w:cs="Arial"/>
          <w:b/>
          <w:bCs/>
        </w:rPr>
        <w:t>2. Stakeholder Engagement Strategies</w:t>
      </w:r>
    </w:p>
    <w:p w14:paraId="374DAD90" w14:textId="77777777" w:rsidR="00D500F7" w:rsidRDefault="00D500F7" w:rsidP="005C250E">
      <w:pPr>
        <w:rPr>
          <w:rFonts w:cs="Arial"/>
          <w:b/>
          <w:bCs/>
        </w:rPr>
      </w:pPr>
    </w:p>
    <w:p w14:paraId="40504CA2" w14:textId="57298E9F" w:rsidR="003B5CB0" w:rsidRPr="005C250E" w:rsidRDefault="00D500F7" w:rsidP="005C250E">
      <w:pPr>
        <w:rPr>
          <w:rFonts w:cs="Arial"/>
        </w:rPr>
      </w:pPr>
      <w:r w:rsidRPr="00D500F7">
        <w:rPr>
          <w:rFonts w:cs="Arial"/>
        </w:rPr>
        <w:t xml:space="preserve">Effective stakeholder engagement is important for the successful delivery of the proposed public park in Walthamstow. Stakeholders have different levels of power, </w:t>
      </w:r>
      <w:r w:rsidRPr="00D500F7">
        <w:rPr>
          <w:rFonts w:cs="Arial"/>
        </w:rPr>
        <w:lastRenderedPageBreak/>
        <w:t>influence and interest, so they require different communication and engagement approaches.This section analyses the key stakeholders and presents a stakeholder map, followed by a communication and consultation strategy for each stakeholder group.</w:t>
      </w:r>
    </w:p>
    <w:p w14:paraId="48021774" w14:textId="77777777" w:rsidR="0012424E" w:rsidRDefault="0012424E" w:rsidP="009A61B1">
      <w:pPr>
        <w:rPr>
          <w:rFonts w:cs="Arial"/>
        </w:rPr>
      </w:pPr>
    </w:p>
    <w:p w14:paraId="72A2BB4A" w14:textId="77777777" w:rsidR="009A61B1" w:rsidRDefault="009A61B1" w:rsidP="009A61B1">
      <w:pPr>
        <w:rPr>
          <w:rFonts w:cs="Arial"/>
          <w:b/>
          <w:bCs/>
        </w:rPr>
      </w:pPr>
      <w:r w:rsidRPr="009A61B1">
        <w:rPr>
          <w:rFonts w:cs="Arial"/>
          <w:b/>
          <w:bCs/>
        </w:rPr>
        <w:t>2.1 Power, Influence and Interest Analysis</w:t>
      </w:r>
    </w:p>
    <w:p w14:paraId="3A187B58" w14:textId="77777777" w:rsidR="005B0956" w:rsidRDefault="005B0956" w:rsidP="009A61B1">
      <w:pPr>
        <w:rPr>
          <w:rFonts w:cs="Arial"/>
          <w:b/>
          <w:bCs/>
        </w:rPr>
      </w:pPr>
    </w:p>
    <w:p w14:paraId="1843F226" w14:textId="03B41032" w:rsidR="00C84E22" w:rsidRDefault="005B0956" w:rsidP="007D3D4F">
      <w:pPr>
        <w:rPr>
          <w:rFonts w:cs="Arial"/>
        </w:rPr>
      </w:pPr>
      <w:r w:rsidRPr="005B0956">
        <w:rPr>
          <w:rFonts w:cs="Arial"/>
        </w:rPr>
        <w:t>The proposed public park in Walthamstow involves stakeholders with different roles, responsibilities and expectations. It is important to identify their level of power, influence and interest because this helps the project team choose appropriate engagement methods. Stakeholders with high power can influence project decisions, while those with high interest are more likely to be directly affected by the project. The following analysis identifies the main stakeholders before suitable engagement strategies are developed.</w:t>
      </w:r>
    </w:p>
    <w:p w14:paraId="5BC5781D" w14:textId="77777777" w:rsidR="00906D45" w:rsidRDefault="00906D45" w:rsidP="007D3D4F">
      <w:pPr>
        <w:rPr>
          <w:rFonts w:cs="Arial"/>
        </w:rPr>
      </w:pPr>
    </w:p>
    <w:p w14:paraId="6E844E9B" w14:textId="77777777" w:rsidR="00906D45" w:rsidRPr="00906D45" w:rsidRDefault="00906D45" w:rsidP="00906D45">
      <w:pPr>
        <w:rPr>
          <w:rFonts w:cs="Arial"/>
        </w:rPr>
      </w:pPr>
      <w:r w:rsidRPr="000C244C">
        <w:rPr>
          <w:rFonts w:cs="Arial"/>
          <w:b/>
          <w:bCs/>
          <w:color w:val="262626" w:themeColor="text1" w:themeTint="D9"/>
        </w:rPr>
        <w:t>Table 1. Power, Influence and Interest Analysis of Key Stakeholders</w:t>
      </w:r>
    </w:p>
    <w:p w14:paraId="54FA4C25" w14:textId="77777777" w:rsidR="00906D45" w:rsidRPr="00A86179" w:rsidRDefault="00906D45" w:rsidP="0082013B">
      <w:pPr>
        <w:rPr>
          <w:rFonts w:cs="Arial"/>
        </w:rPr>
      </w:pPr>
    </w:p>
    <w:tbl>
      <w:tblPr>
        <w:tblW w:w="8161"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0FAEC"/>
        <w:tblCellMar>
          <w:top w:w="15" w:type="dxa"/>
          <w:left w:w="15" w:type="dxa"/>
          <w:bottom w:w="15" w:type="dxa"/>
          <w:right w:w="15" w:type="dxa"/>
        </w:tblCellMar>
        <w:tblLook w:val="04A0" w:firstRow="1" w:lastRow="0" w:firstColumn="1" w:lastColumn="0" w:noHBand="0" w:noVBand="1"/>
      </w:tblPr>
      <w:tblGrid>
        <w:gridCol w:w="3964"/>
        <w:gridCol w:w="1135"/>
        <w:gridCol w:w="1559"/>
        <w:gridCol w:w="1503"/>
      </w:tblGrid>
      <w:tr w:rsidR="0082013B" w:rsidRPr="001C2B01" w14:paraId="6C041CAF" w14:textId="77777777" w:rsidTr="004406B3">
        <w:trPr>
          <w:trHeight w:val="480"/>
          <w:tblHeader/>
          <w:tblCellSpacing w:w="15" w:type="dxa"/>
          <w:jc w:val="center"/>
        </w:trPr>
        <w:tc>
          <w:tcPr>
            <w:tcW w:w="3919" w:type="dxa"/>
            <w:shd w:val="clear" w:color="auto" w:fill="F0FAEC"/>
            <w:vAlign w:val="center"/>
            <w:hideMark/>
          </w:tcPr>
          <w:p w14:paraId="18CDD8DF" w14:textId="77777777" w:rsidR="0082013B" w:rsidRPr="001C2B01" w:rsidRDefault="0082013B" w:rsidP="005E446C">
            <w:pPr>
              <w:jc w:val="center"/>
              <w:rPr>
                <w:rFonts w:cs="Arial"/>
                <w:b/>
                <w:bCs/>
                <w:color w:val="262626" w:themeColor="text1" w:themeTint="D9"/>
              </w:rPr>
            </w:pPr>
            <w:r w:rsidRPr="001C2B01">
              <w:rPr>
                <w:rFonts w:cs="Arial"/>
                <w:b/>
                <w:bCs/>
                <w:color w:val="262626" w:themeColor="text1" w:themeTint="D9"/>
              </w:rPr>
              <w:t>Stakeholder</w:t>
            </w:r>
          </w:p>
          <w:p w14:paraId="24E49F65" w14:textId="77777777" w:rsidR="00256C9F" w:rsidRPr="001C2B01" w:rsidRDefault="00256C9F" w:rsidP="005E446C">
            <w:pPr>
              <w:jc w:val="center"/>
              <w:rPr>
                <w:rFonts w:cs="Arial"/>
                <w:b/>
                <w:bCs/>
                <w:color w:val="262626" w:themeColor="text1" w:themeTint="D9"/>
              </w:rPr>
            </w:pPr>
          </w:p>
        </w:tc>
        <w:tc>
          <w:tcPr>
            <w:tcW w:w="1105" w:type="dxa"/>
            <w:shd w:val="clear" w:color="auto" w:fill="F0FAEC"/>
            <w:vAlign w:val="center"/>
            <w:hideMark/>
          </w:tcPr>
          <w:p w14:paraId="71C3B50A" w14:textId="77777777" w:rsidR="0082013B" w:rsidRPr="001C2B01" w:rsidRDefault="0082013B" w:rsidP="005E446C">
            <w:pPr>
              <w:jc w:val="center"/>
              <w:rPr>
                <w:rFonts w:cs="Arial"/>
                <w:b/>
                <w:bCs/>
                <w:color w:val="262626" w:themeColor="text1" w:themeTint="D9"/>
              </w:rPr>
            </w:pPr>
            <w:r w:rsidRPr="001C2B01">
              <w:rPr>
                <w:rFonts w:cs="Arial"/>
                <w:b/>
                <w:bCs/>
                <w:color w:val="262626" w:themeColor="text1" w:themeTint="D9"/>
              </w:rPr>
              <w:t>Power</w:t>
            </w:r>
          </w:p>
        </w:tc>
        <w:tc>
          <w:tcPr>
            <w:tcW w:w="1529" w:type="dxa"/>
            <w:shd w:val="clear" w:color="auto" w:fill="F0FAEC"/>
            <w:vAlign w:val="center"/>
            <w:hideMark/>
          </w:tcPr>
          <w:p w14:paraId="7C05282E" w14:textId="77777777" w:rsidR="0082013B" w:rsidRPr="001C2B01" w:rsidRDefault="0082013B" w:rsidP="005E446C">
            <w:pPr>
              <w:jc w:val="center"/>
              <w:rPr>
                <w:rFonts w:cs="Arial"/>
                <w:b/>
                <w:bCs/>
                <w:color w:val="262626" w:themeColor="text1" w:themeTint="D9"/>
              </w:rPr>
            </w:pPr>
            <w:r w:rsidRPr="001C2B01">
              <w:rPr>
                <w:rFonts w:cs="Arial"/>
                <w:b/>
                <w:bCs/>
                <w:color w:val="262626" w:themeColor="text1" w:themeTint="D9"/>
              </w:rPr>
              <w:t>Influence</w:t>
            </w:r>
          </w:p>
        </w:tc>
        <w:tc>
          <w:tcPr>
            <w:tcW w:w="1458" w:type="dxa"/>
            <w:shd w:val="clear" w:color="auto" w:fill="F0FAEC"/>
            <w:vAlign w:val="center"/>
            <w:hideMark/>
          </w:tcPr>
          <w:p w14:paraId="6CE36E1C" w14:textId="77777777" w:rsidR="0082013B" w:rsidRPr="001C2B01" w:rsidRDefault="0082013B" w:rsidP="005E446C">
            <w:pPr>
              <w:jc w:val="center"/>
              <w:rPr>
                <w:rFonts w:cs="Arial"/>
                <w:b/>
                <w:bCs/>
                <w:color w:val="262626" w:themeColor="text1" w:themeTint="D9"/>
              </w:rPr>
            </w:pPr>
            <w:r w:rsidRPr="001C2B01">
              <w:rPr>
                <w:rFonts w:cs="Arial"/>
                <w:b/>
                <w:bCs/>
                <w:color w:val="262626" w:themeColor="text1" w:themeTint="D9"/>
              </w:rPr>
              <w:t>Interest</w:t>
            </w:r>
          </w:p>
        </w:tc>
      </w:tr>
      <w:tr w:rsidR="0082013B" w:rsidRPr="001C2B01" w14:paraId="15FEA1F1" w14:textId="77777777" w:rsidTr="004406B3">
        <w:trPr>
          <w:trHeight w:val="480"/>
          <w:tblCellSpacing w:w="15" w:type="dxa"/>
          <w:jc w:val="center"/>
        </w:trPr>
        <w:tc>
          <w:tcPr>
            <w:tcW w:w="3919" w:type="dxa"/>
            <w:shd w:val="clear" w:color="auto" w:fill="F0FAEC"/>
            <w:vAlign w:val="center"/>
            <w:hideMark/>
          </w:tcPr>
          <w:p w14:paraId="74CD50CB"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Waltham Forest Council</w:t>
            </w:r>
          </w:p>
        </w:tc>
        <w:tc>
          <w:tcPr>
            <w:tcW w:w="1105" w:type="dxa"/>
            <w:shd w:val="clear" w:color="auto" w:fill="F0FAEC"/>
            <w:vAlign w:val="center"/>
            <w:hideMark/>
          </w:tcPr>
          <w:p w14:paraId="03A17941"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c>
          <w:tcPr>
            <w:tcW w:w="1529" w:type="dxa"/>
            <w:shd w:val="clear" w:color="auto" w:fill="F0FAEC"/>
            <w:vAlign w:val="center"/>
            <w:hideMark/>
          </w:tcPr>
          <w:p w14:paraId="64B56FAE"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c>
          <w:tcPr>
            <w:tcW w:w="1458" w:type="dxa"/>
            <w:shd w:val="clear" w:color="auto" w:fill="F0FAEC"/>
            <w:vAlign w:val="center"/>
            <w:hideMark/>
          </w:tcPr>
          <w:p w14:paraId="1F8A417A"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59A91C73" w14:textId="77777777" w:rsidTr="004406B3">
        <w:trPr>
          <w:trHeight w:val="480"/>
          <w:tblCellSpacing w:w="15" w:type="dxa"/>
          <w:jc w:val="center"/>
        </w:trPr>
        <w:tc>
          <w:tcPr>
            <w:tcW w:w="3919" w:type="dxa"/>
            <w:shd w:val="clear" w:color="auto" w:fill="F0FAEC"/>
            <w:vAlign w:val="center"/>
            <w:hideMark/>
          </w:tcPr>
          <w:p w14:paraId="64974C00"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Local Residents</w:t>
            </w:r>
          </w:p>
        </w:tc>
        <w:tc>
          <w:tcPr>
            <w:tcW w:w="1105" w:type="dxa"/>
            <w:shd w:val="clear" w:color="auto" w:fill="F0FAEC"/>
            <w:vAlign w:val="center"/>
            <w:hideMark/>
          </w:tcPr>
          <w:p w14:paraId="1B4B97B6" w14:textId="69CE22AF" w:rsidR="0082013B" w:rsidRPr="001C2B01" w:rsidRDefault="00B701E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3E07D053"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c>
          <w:tcPr>
            <w:tcW w:w="1458" w:type="dxa"/>
            <w:shd w:val="clear" w:color="auto" w:fill="F0FAEC"/>
            <w:vAlign w:val="center"/>
            <w:hideMark/>
          </w:tcPr>
          <w:p w14:paraId="4CCFC443"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48B20543" w14:textId="77777777" w:rsidTr="004406B3">
        <w:trPr>
          <w:trHeight w:val="480"/>
          <w:tblCellSpacing w:w="15" w:type="dxa"/>
          <w:jc w:val="center"/>
        </w:trPr>
        <w:tc>
          <w:tcPr>
            <w:tcW w:w="3919" w:type="dxa"/>
            <w:shd w:val="clear" w:color="auto" w:fill="F0FAEC"/>
            <w:vAlign w:val="center"/>
            <w:hideMark/>
          </w:tcPr>
          <w:p w14:paraId="47B54703"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Parents and Caregivers</w:t>
            </w:r>
          </w:p>
        </w:tc>
        <w:tc>
          <w:tcPr>
            <w:tcW w:w="1105" w:type="dxa"/>
            <w:shd w:val="clear" w:color="auto" w:fill="F0FAEC"/>
            <w:vAlign w:val="center"/>
            <w:hideMark/>
          </w:tcPr>
          <w:p w14:paraId="107212C3"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0346800F"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Medium</w:t>
            </w:r>
          </w:p>
        </w:tc>
        <w:tc>
          <w:tcPr>
            <w:tcW w:w="1458" w:type="dxa"/>
            <w:shd w:val="clear" w:color="auto" w:fill="F0FAEC"/>
            <w:vAlign w:val="center"/>
            <w:hideMark/>
          </w:tcPr>
          <w:p w14:paraId="42AB8249"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0F92F757" w14:textId="77777777" w:rsidTr="004406B3">
        <w:trPr>
          <w:trHeight w:val="480"/>
          <w:tblCellSpacing w:w="15" w:type="dxa"/>
          <w:jc w:val="center"/>
        </w:trPr>
        <w:tc>
          <w:tcPr>
            <w:tcW w:w="3919" w:type="dxa"/>
            <w:shd w:val="clear" w:color="auto" w:fill="F0FAEC"/>
            <w:vAlign w:val="center"/>
            <w:hideMark/>
          </w:tcPr>
          <w:p w14:paraId="7080A48B"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Children</w:t>
            </w:r>
          </w:p>
        </w:tc>
        <w:tc>
          <w:tcPr>
            <w:tcW w:w="1105" w:type="dxa"/>
            <w:shd w:val="clear" w:color="auto" w:fill="F0FAEC"/>
            <w:vAlign w:val="center"/>
            <w:hideMark/>
          </w:tcPr>
          <w:p w14:paraId="12355419"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22E7F044"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458" w:type="dxa"/>
            <w:shd w:val="clear" w:color="auto" w:fill="F0FAEC"/>
            <w:vAlign w:val="center"/>
            <w:hideMark/>
          </w:tcPr>
          <w:p w14:paraId="36F9287C"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5968CA98" w14:textId="77777777" w:rsidTr="004406B3">
        <w:trPr>
          <w:trHeight w:val="465"/>
          <w:tblCellSpacing w:w="15" w:type="dxa"/>
          <w:jc w:val="center"/>
        </w:trPr>
        <w:tc>
          <w:tcPr>
            <w:tcW w:w="3919" w:type="dxa"/>
            <w:shd w:val="clear" w:color="auto" w:fill="F0FAEC"/>
            <w:vAlign w:val="center"/>
            <w:hideMark/>
          </w:tcPr>
          <w:p w14:paraId="1427735D"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Schools and Nurseries</w:t>
            </w:r>
          </w:p>
        </w:tc>
        <w:tc>
          <w:tcPr>
            <w:tcW w:w="1105" w:type="dxa"/>
            <w:shd w:val="clear" w:color="auto" w:fill="F0FAEC"/>
            <w:vAlign w:val="center"/>
            <w:hideMark/>
          </w:tcPr>
          <w:p w14:paraId="48817773"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29D04741"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Medium</w:t>
            </w:r>
          </w:p>
        </w:tc>
        <w:tc>
          <w:tcPr>
            <w:tcW w:w="1458" w:type="dxa"/>
            <w:shd w:val="clear" w:color="auto" w:fill="F0FAEC"/>
            <w:vAlign w:val="center"/>
            <w:hideMark/>
          </w:tcPr>
          <w:p w14:paraId="364A3F3D"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07401CFC" w14:textId="77777777" w:rsidTr="004406B3">
        <w:trPr>
          <w:trHeight w:val="480"/>
          <w:tblCellSpacing w:w="15" w:type="dxa"/>
          <w:jc w:val="center"/>
        </w:trPr>
        <w:tc>
          <w:tcPr>
            <w:tcW w:w="3919" w:type="dxa"/>
            <w:shd w:val="clear" w:color="auto" w:fill="F0FAEC"/>
            <w:vAlign w:val="center"/>
            <w:hideMark/>
          </w:tcPr>
          <w:p w14:paraId="24311558"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Sports Clubs</w:t>
            </w:r>
          </w:p>
        </w:tc>
        <w:tc>
          <w:tcPr>
            <w:tcW w:w="1105" w:type="dxa"/>
            <w:shd w:val="clear" w:color="auto" w:fill="F0FAEC"/>
            <w:vAlign w:val="center"/>
            <w:hideMark/>
          </w:tcPr>
          <w:p w14:paraId="0A0C8892"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1DDFF3FA"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Medium</w:t>
            </w:r>
          </w:p>
        </w:tc>
        <w:tc>
          <w:tcPr>
            <w:tcW w:w="1458" w:type="dxa"/>
            <w:shd w:val="clear" w:color="auto" w:fill="F0FAEC"/>
            <w:vAlign w:val="center"/>
            <w:hideMark/>
          </w:tcPr>
          <w:p w14:paraId="339F745F"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65419F13" w14:textId="77777777" w:rsidTr="004406B3">
        <w:trPr>
          <w:trHeight w:val="480"/>
          <w:tblCellSpacing w:w="15" w:type="dxa"/>
          <w:jc w:val="center"/>
        </w:trPr>
        <w:tc>
          <w:tcPr>
            <w:tcW w:w="3919" w:type="dxa"/>
            <w:shd w:val="clear" w:color="auto" w:fill="F0FAEC"/>
            <w:vAlign w:val="center"/>
            <w:hideMark/>
          </w:tcPr>
          <w:p w14:paraId="41A49310"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Older Residents</w:t>
            </w:r>
          </w:p>
        </w:tc>
        <w:tc>
          <w:tcPr>
            <w:tcW w:w="1105" w:type="dxa"/>
            <w:shd w:val="clear" w:color="auto" w:fill="F0FAEC"/>
            <w:vAlign w:val="center"/>
            <w:hideMark/>
          </w:tcPr>
          <w:p w14:paraId="61AAAA65"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6B57DFDF"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Medium</w:t>
            </w:r>
          </w:p>
        </w:tc>
        <w:tc>
          <w:tcPr>
            <w:tcW w:w="1458" w:type="dxa"/>
            <w:shd w:val="clear" w:color="auto" w:fill="F0FAEC"/>
            <w:vAlign w:val="center"/>
            <w:hideMark/>
          </w:tcPr>
          <w:p w14:paraId="25345F88"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0A94A041" w14:textId="77777777" w:rsidTr="004406B3">
        <w:trPr>
          <w:trHeight w:val="480"/>
          <w:tblCellSpacing w:w="15" w:type="dxa"/>
          <w:jc w:val="center"/>
        </w:trPr>
        <w:tc>
          <w:tcPr>
            <w:tcW w:w="3919" w:type="dxa"/>
            <w:shd w:val="clear" w:color="auto" w:fill="F0FAEC"/>
            <w:vAlign w:val="center"/>
            <w:hideMark/>
          </w:tcPr>
          <w:p w14:paraId="21807E5C"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Environmental Organisations</w:t>
            </w:r>
          </w:p>
        </w:tc>
        <w:tc>
          <w:tcPr>
            <w:tcW w:w="1105" w:type="dxa"/>
            <w:shd w:val="clear" w:color="auto" w:fill="F0FAEC"/>
            <w:vAlign w:val="center"/>
            <w:hideMark/>
          </w:tcPr>
          <w:p w14:paraId="597C5CD2"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1301D67C"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c>
          <w:tcPr>
            <w:tcW w:w="1458" w:type="dxa"/>
            <w:shd w:val="clear" w:color="auto" w:fill="F0FAEC"/>
            <w:vAlign w:val="center"/>
            <w:hideMark/>
          </w:tcPr>
          <w:p w14:paraId="488DFFA1"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r w:rsidR="0082013B" w:rsidRPr="001C2B01" w14:paraId="1A99F56C" w14:textId="77777777" w:rsidTr="004406B3">
        <w:trPr>
          <w:trHeight w:val="480"/>
          <w:tblCellSpacing w:w="15" w:type="dxa"/>
          <w:jc w:val="center"/>
        </w:trPr>
        <w:tc>
          <w:tcPr>
            <w:tcW w:w="3919" w:type="dxa"/>
            <w:shd w:val="clear" w:color="auto" w:fill="F0FAEC"/>
            <w:vAlign w:val="center"/>
            <w:hideMark/>
          </w:tcPr>
          <w:p w14:paraId="02D48C26"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Local Businesses</w:t>
            </w:r>
          </w:p>
        </w:tc>
        <w:tc>
          <w:tcPr>
            <w:tcW w:w="1105" w:type="dxa"/>
            <w:shd w:val="clear" w:color="auto" w:fill="F0FAEC"/>
            <w:vAlign w:val="center"/>
            <w:hideMark/>
          </w:tcPr>
          <w:p w14:paraId="2F113990"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42DA2627"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Medium</w:t>
            </w:r>
          </w:p>
        </w:tc>
        <w:tc>
          <w:tcPr>
            <w:tcW w:w="1458" w:type="dxa"/>
            <w:shd w:val="clear" w:color="auto" w:fill="F0FAEC"/>
            <w:vAlign w:val="center"/>
            <w:hideMark/>
          </w:tcPr>
          <w:p w14:paraId="45F672AB" w14:textId="15C0497A" w:rsidR="0082013B" w:rsidRPr="001C2B01" w:rsidRDefault="000A4AC5" w:rsidP="005E446C">
            <w:pPr>
              <w:jc w:val="center"/>
              <w:rPr>
                <w:rFonts w:cs="Arial"/>
                <w:color w:val="262626" w:themeColor="text1" w:themeTint="D9"/>
              </w:rPr>
            </w:pPr>
            <w:r w:rsidRPr="001C2B01">
              <w:rPr>
                <w:rFonts w:cs="Arial"/>
                <w:color w:val="262626" w:themeColor="text1" w:themeTint="D9"/>
              </w:rPr>
              <w:t>Low</w:t>
            </w:r>
          </w:p>
        </w:tc>
      </w:tr>
      <w:tr w:rsidR="0082013B" w:rsidRPr="001C2B01" w14:paraId="4D838CF3" w14:textId="77777777" w:rsidTr="004406B3">
        <w:trPr>
          <w:trHeight w:val="480"/>
          <w:tblCellSpacing w:w="15" w:type="dxa"/>
          <w:jc w:val="center"/>
        </w:trPr>
        <w:tc>
          <w:tcPr>
            <w:tcW w:w="3919" w:type="dxa"/>
            <w:shd w:val="clear" w:color="auto" w:fill="F0FAEC"/>
            <w:vAlign w:val="center"/>
            <w:hideMark/>
          </w:tcPr>
          <w:p w14:paraId="1F68E7E9"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lastRenderedPageBreak/>
              <w:t>Healthcare and Well-being Organisations</w:t>
            </w:r>
          </w:p>
        </w:tc>
        <w:tc>
          <w:tcPr>
            <w:tcW w:w="1105" w:type="dxa"/>
            <w:shd w:val="clear" w:color="auto" w:fill="F0FAEC"/>
            <w:vAlign w:val="center"/>
            <w:hideMark/>
          </w:tcPr>
          <w:p w14:paraId="1695878D"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Low</w:t>
            </w:r>
          </w:p>
        </w:tc>
        <w:tc>
          <w:tcPr>
            <w:tcW w:w="1529" w:type="dxa"/>
            <w:shd w:val="clear" w:color="auto" w:fill="F0FAEC"/>
            <w:vAlign w:val="center"/>
            <w:hideMark/>
          </w:tcPr>
          <w:p w14:paraId="017DDEA7"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Medium</w:t>
            </w:r>
          </w:p>
        </w:tc>
        <w:tc>
          <w:tcPr>
            <w:tcW w:w="1458" w:type="dxa"/>
            <w:shd w:val="clear" w:color="auto" w:fill="F0FAEC"/>
            <w:vAlign w:val="center"/>
            <w:hideMark/>
          </w:tcPr>
          <w:p w14:paraId="54D36982" w14:textId="77777777" w:rsidR="0082013B" w:rsidRPr="001C2B01" w:rsidRDefault="0082013B" w:rsidP="005E446C">
            <w:pPr>
              <w:jc w:val="center"/>
              <w:rPr>
                <w:rFonts w:cs="Arial"/>
                <w:color w:val="262626" w:themeColor="text1" w:themeTint="D9"/>
              </w:rPr>
            </w:pPr>
            <w:r w:rsidRPr="001C2B01">
              <w:rPr>
                <w:rFonts w:cs="Arial"/>
                <w:color w:val="262626" w:themeColor="text1" w:themeTint="D9"/>
              </w:rPr>
              <w:t>High</w:t>
            </w:r>
          </w:p>
        </w:tc>
      </w:tr>
    </w:tbl>
    <w:p w14:paraId="3575EEB6" w14:textId="77777777" w:rsidR="009C45AA" w:rsidRDefault="009C45AA" w:rsidP="003636D5">
      <w:pPr>
        <w:rPr>
          <w:rFonts w:cs="Arial"/>
          <w:b/>
          <w:bCs/>
        </w:rPr>
      </w:pPr>
    </w:p>
    <w:p w14:paraId="7800BC05" w14:textId="77777777" w:rsidR="00CD4EED" w:rsidRDefault="00CD4EED" w:rsidP="003636D5">
      <w:pPr>
        <w:rPr>
          <w:rFonts w:cs="Arial"/>
          <w:b/>
          <w:bCs/>
        </w:rPr>
      </w:pPr>
    </w:p>
    <w:p w14:paraId="4F33644F" w14:textId="1E7B372F" w:rsidR="003636D5" w:rsidRDefault="003636D5" w:rsidP="003636D5">
      <w:pPr>
        <w:rPr>
          <w:rFonts w:cs="Arial"/>
          <w:b/>
          <w:bCs/>
        </w:rPr>
      </w:pPr>
      <w:r w:rsidRPr="003636D5">
        <w:rPr>
          <w:rFonts w:cs="Arial"/>
          <w:b/>
          <w:bCs/>
        </w:rPr>
        <w:t>Decision-Makers and the Local Community</w:t>
      </w:r>
    </w:p>
    <w:p w14:paraId="7BE22502" w14:textId="77777777" w:rsidR="00FD066A" w:rsidRDefault="00FD066A" w:rsidP="003636D5">
      <w:pPr>
        <w:rPr>
          <w:rFonts w:cs="Arial"/>
          <w:b/>
          <w:bCs/>
        </w:rPr>
      </w:pPr>
    </w:p>
    <w:p w14:paraId="0F8EBF2B" w14:textId="77777777" w:rsidR="00FD066A" w:rsidRPr="00FD066A" w:rsidRDefault="00FD066A" w:rsidP="00FD066A">
      <w:pPr>
        <w:rPr>
          <w:rFonts w:cs="Arial"/>
        </w:rPr>
      </w:pPr>
      <w:r w:rsidRPr="00FD066A">
        <w:rPr>
          <w:rFonts w:cs="Arial"/>
        </w:rPr>
        <w:t>Waltham Forest Council has the highest level of power, influence and interest because it is responsible for approving, funding and managing the proposed public park project in Walthamstow. The Council also oversees its long-term maintenance and must ensure that the park is safe, well maintained and complies with local planning and environmental policies. The project supports the Council’s aim of improving green spaces, protecting biodiversity and creating healthier communities across the borough (Waltham Forest Council, 2024a).</w:t>
      </w:r>
    </w:p>
    <w:p w14:paraId="72488EFD" w14:textId="77777777" w:rsidR="00FD066A" w:rsidRPr="00FD066A" w:rsidRDefault="00FD066A" w:rsidP="00FD066A">
      <w:pPr>
        <w:rPr>
          <w:rFonts w:cs="Arial"/>
        </w:rPr>
      </w:pPr>
      <w:r w:rsidRPr="00FD066A">
        <w:rPr>
          <w:rFonts w:cs="Arial"/>
        </w:rPr>
        <w:t>Although the Council has the highest level of authority, the project’s success also depends on the involvement of local residents. They have low formal power but high influence and interest because they will be the main users of the park. They can influence decisions through public consultations, community meetings, surveys and feedback. Their views may shape the final design, including walking paths, children’s play areas, community gardens and seating areas. Involving residents from the beginning will help build trust, gain community support and reduce the risk of future objections. This approach is consistent with Waltham Forest Council’s commitment to involving local communities in improving public green spaces (Waltham Forest Council, 2024a).</w:t>
      </w:r>
    </w:p>
    <w:p w14:paraId="6656FB35" w14:textId="77777777" w:rsidR="003636D5" w:rsidRPr="003636D5" w:rsidRDefault="003636D5" w:rsidP="003636D5">
      <w:pPr>
        <w:rPr>
          <w:rFonts w:cs="Arial"/>
          <w:b/>
          <w:bCs/>
        </w:rPr>
      </w:pPr>
    </w:p>
    <w:p w14:paraId="411D8B05" w14:textId="77777777" w:rsidR="00FF0BCB" w:rsidRDefault="00FF0BCB" w:rsidP="00FF0BCB">
      <w:pPr>
        <w:rPr>
          <w:rFonts w:cs="Arial"/>
          <w:b/>
          <w:bCs/>
        </w:rPr>
      </w:pPr>
      <w:r w:rsidRPr="00FF0BCB">
        <w:rPr>
          <w:rFonts w:cs="Arial"/>
          <w:b/>
          <w:bCs/>
        </w:rPr>
        <w:t>Main Users of the Park</w:t>
      </w:r>
    </w:p>
    <w:p w14:paraId="61891E7C" w14:textId="77777777" w:rsidR="00177633" w:rsidRPr="00FF0BCB" w:rsidRDefault="00177633" w:rsidP="00FF0BCB">
      <w:pPr>
        <w:rPr>
          <w:rFonts w:cs="Arial"/>
          <w:b/>
          <w:bCs/>
        </w:rPr>
      </w:pPr>
    </w:p>
    <w:p w14:paraId="5AB40DC0" w14:textId="77777777" w:rsidR="00177633" w:rsidRPr="00177633" w:rsidRDefault="00177633" w:rsidP="00177633">
      <w:pPr>
        <w:rPr>
          <w:rFonts w:cs="Arial"/>
        </w:rPr>
      </w:pPr>
      <w:r w:rsidRPr="00177633">
        <w:rPr>
          <w:rFonts w:cs="Arial"/>
        </w:rPr>
        <w:t xml:space="preserve">Parents and caregivers, children and older residents are the main users of the proposed public park and have a high level of interest because they will benefit directly from its facilities. However, they have less power and influence than Waltham Forest Council </w:t>
      </w:r>
      <w:r w:rsidRPr="00177633">
        <w:rPr>
          <w:rFonts w:cs="Arial"/>
        </w:rPr>
        <w:lastRenderedPageBreak/>
        <w:t>and local residents because they are not responsible for project decisions. Their needs should be considered during the planning stage because they will use the park regularly and can provide valuable feedback through community consultation.</w:t>
      </w:r>
    </w:p>
    <w:p w14:paraId="48805837" w14:textId="77777777" w:rsidR="00177633" w:rsidRPr="00177633" w:rsidRDefault="00177633" w:rsidP="00177633">
      <w:pPr>
        <w:rPr>
          <w:rFonts w:cs="Arial"/>
        </w:rPr>
      </w:pPr>
      <w:r w:rsidRPr="00177633">
        <w:rPr>
          <w:rFonts w:cs="Arial"/>
        </w:rPr>
        <w:t>Parents and caregivers are likely to focus on safety, accessible play areas and well-maintained facilities. Children have the lowest level of power and influence because they cannot take part in formal decision-making. Their needs should be represented through parents, schools and community consultation to ensure suitable spaces for play and outdoor activities. Older residents may place greater importance on accessible walking paths, seating areas and quiet spaces for relaxation. Meeting these needs will help create an inclusive park for people of all ages and support Waltham Forest Council’s aim of improving access to high-quality green spaces and creating healthier communities (Waltham Forest Council, 2024a).</w:t>
      </w:r>
    </w:p>
    <w:p w14:paraId="256B05C7" w14:textId="77777777" w:rsidR="00FF0BCB" w:rsidRPr="00FF0BCB" w:rsidRDefault="00FF0BCB" w:rsidP="00FF0BCB">
      <w:pPr>
        <w:rPr>
          <w:rFonts w:cs="Arial"/>
          <w:b/>
          <w:bCs/>
        </w:rPr>
      </w:pPr>
    </w:p>
    <w:p w14:paraId="57DD254A" w14:textId="05BF69D2" w:rsidR="008C50E7" w:rsidRDefault="008C50E7" w:rsidP="00D32057">
      <w:pPr>
        <w:rPr>
          <w:rFonts w:cs="Arial"/>
          <w:b/>
          <w:bCs/>
        </w:rPr>
      </w:pPr>
      <w:r w:rsidRPr="008C50E7">
        <w:rPr>
          <w:rFonts w:cs="Arial"/>
          <w:b/>
          <w:bCs/>
        </w:rPr>
        <w:t>Community Partners</w:t>
      </w:r>
    </w:p>
    <w:p w14:paraId="314CB23F" w14:textId="77777777" w:rsidR="003872CF" w:rsidRDefault="003872CF" w:rsidP="00D32057">
      <w:pPr>
        <w:rPr>
          <w:rFonts w:cs="Arial"/>
          <w:b/>
          <w:bCs/>
        </w:rPr>
      </w:pPr>
    </w:p>
    <w:p w14:paraId="0FACAC89" w14:textId="77777777" w:rsidR="003872CF" w:rsidRPr="003872CF" w:rsidRDefault="003872CF" w:rsidP="003872CF">
      <w:pPr>
        <w:rPr>
          <w:rFonts w:cs="Arial"/>
        </w:rPr>
      </w:pPr>
      <w:r w:rsidRPr="003872CF">
        <w:rPr>
          <w:rFonts w:cs="Arial"/>
        </w:rPr>
        <w:t>Schools and nurseries, sports clubs and healthcare and well-being organisations are important community partners in the proposed public park project. Although they have limited decision-making power, they can contribute valuable knowledge, experience and support during the planning and future use of the park. Their involvement will help ensure that the park meets the needs of different community groups.</w:t>
      </w:r>
    </w:p>
    <w:p w14:paraId="6E63AAF4" w14:textId="5B9F98C2" w:rsidR="005F54F8" w:rsidRDefault="003872CF" w:rsidP="003872CF">
      <w:pPr>
        <w:rPr>
          <w:rFonts w:cs="Arial"/>
        </w:rPr>
      </w:pPr>
      <w:r w:rsidRPr="003872CF">
        <w:rPr>
          <w:rFonts w:cs="Arial"/>
        </w:rPr>
        <w:t>Schools and nurseries may use the park for outdoor learning, environmental education and physical activities. Their feedback can help identify safe and suitable spaces for educational visits and children’s activities. Sports clubs can advise on the design and use of the sports area to encourage regular physical activity for different age groups. Healthcare and well-being organisations have a high level of interest because access to quality green spaces is linked to better physical health, improved mental well-being and increased community activity (NHS Forest, 2022). Working closely with these organisations will help ensure that the park supports healthier lifestyles and provides long-term benefits for the community. Joint workshops and consultation meetings will support collaboration between these community partners.</w:t>
      </w:r>
    </w:p>
    <w:p w14:paraId="14B42E95" w14:textId="77777777" w:rsidR="005F54F8" w:rsidRDefault="005F54F8">
      <w:pPr>
        <w:rPr>
          <w:rFonts w:cs="Arial"/>
        </w:rPr>
      </w:pPr>
      <w:r>
        <w:rPr>
          <w:rFonts w:cs="Arial"/>
        </w:rPr>
        <w:br w:type="page"/>
      </w:r>
    </w:p>
    <w:p w14:paraId="1CC0BDA0" w14:textId="77777777" w:rsidR="000A25D9" w:rsidRDefault="000A25D9" w:rsidP="000A25D9">
      <w:pPr>
        <w:rPr>
          <w:rFonts w:cs="Arial"/>
          <w:b/>
          <w:bCs/>
        </w:rPr>
      </w:pPr>
      <w:r w:rsidRPr="004C1E7B">
        <w:rPr>
          <w:rFonts w:cs="Arial"/>
          <w:b/>
          <w:bCs/>
        </w:rPr>
        <w:lastRenderedPageBreak/>
        <w:t>Summary of the Stakeholder Analysis</w:t>
      </w:r>
    </w:p>
    <w:p w14:paraId="1C0E8537" w14:textId="77777777" w:rsidR="00536D5D" w:rsidRDefault="00536D5D" w:rsidP="000A25D9">
      <w:pPr>
        <w:rPr>
          <w:rFonts w:cs="Arial"/>
          <w:b/>
          <w:bCs/>
        </w:rPr>
      </w:pPr>
    </w:p>
    <w:p w14:paraId="06FC4F20" w14:textId="389EE34E" w:rsidR="00852325" w:rsidRPr="00536D5D" w:rsidRDefault="00536D5D" w:rsidP="000A25D9">
      <w:pPr>
        <w:rPr>
          <w:rFonts w:cs="Arial"/>
        </w:rPr>
      </w:pPr>
      <w:r w:rsidRPr="00536D5D">
        <w:rPr>
          <w:rFonts w:cs="Arial"/>
        </w:rPr>
        <w:t>The stakeholder analysis shows that stakeholders have different levels of power, influence and interest. Waltham Forest Council has the main decision-making role, while local residents and community groups contribute through consultation and feedback. These differences provide the basis for the stakeholder map and engagement approaches presented in the next section.</w:t>
      </w:r>
    </w:p>
    <w:p w14:paraId="3CD83F70" w14:textId="77777777" w:rsidR="00852325" w:rsidRPr="00852325" w:rsidRDefault="00852325" w:rsidP="000A25D9">
      <w:pPr>
        <w:rPr>
          <w:rFonts w:cs="Arial"/>
        </w:rPr>
      </w:pPr>
    </w:p>
    <w:p w14:paraId="0F3CFF9C" w14:textId="77777777" w:rsidR="00A20A0B" w:rsidRDefault="00E64AD9" w:rsidP="00E64AD9">
      <w:pPr>
        <w:rPr>
          <w:rFonts w:cs="Arial"/>
          <w:b/>
          <w:bCs/>
        </w:rPr>
      </w:pPr>
      <w:r w:rsidRPr="004A019B">
        <w:rPr>
          <w:rFonts w:cs="Arial"/>
          <w:b/>
          <w:bCs/>
        </w:rPr>
        <w:t>2.2 Stakeholder Map</w:t>
      </w:r>
      <w:r w:rsidR="008B5B55">
        <w:rPr>
          <w:rFonts w:cs="Arial"/>
          <w:b/>
          <w:bCs/>
        </w:rPr>
        <w:t xml:space="preserve"> </w:t>
      </w:r>
    </w:p>
    <w:p w14:paraId="046CFCD7" w14:textId="77777777" w:rsidR="00A20A0B" w:rsidRDefault="00A20A0B" w:rsidP="00E64AD9">
      <w:pPr>
        <w:rPr>
          <w:rFonts w:cs="Arial"/>
          <w:b/>
          <w:bCs/>
        </w:rPr>
      </w:pPr>
    </w:p>
    <w:p w14:paraId="54FBE19A" w14:textId="118A5F0C" w:rsidR="00E64AD9" w:rsidRDefault="00A20A0B" w:rsidP="00E64AD9">
      <w:pPr>
        <w:rPr>
          <w:rFonts w:cs="Arial"/>
        </w:rPr>
      </w:pPr>
      <w:r w:rsidRPr="00A20A0B">
        <w:rPr>
          <w:rFonts w:cs="Arial"/>
        </w:rPr>
        <w:t>The stakeholder map below presents the position of each stakeholder according to their level of power and interest during the planning stage. It helps identify the appropriate level of engagement for each group and supports the effective use of project resources (Government Analysis Function, 2024). As stakeholder roles and influence may change over time, the map should be reviewed regularly to ensure that engagement remains appropriate throughout the project.</w:t>
      </w:r>
    </w:p>
    <w:p w14:paraId="034EE9CC" w14:textId="77777777" w:rsidR="00395796" w:rsidRDefault="00395796" w:rsidP="00E64AD9">
      <w:pPr>
        <w:rPr>
          <w:rFonts w:cs="Arial"/>
        </w:rPr>
      </w:pPr>
    </w:p>
    <w:p w14:paraId="4945C545" w14:textId="72B3A750" w:rsidR="00BB19E5" w:rsidRDefault="0096599C" w:rsidP="00E64AD9">
      <w:pPr>
        <w:rPr>
          <w:rFonts w:cs="Arial"/>
        </w:rPr>
      </w:pPr>
      <w:r>
        <w:rPr>
          <w:rFonts w:cs="Arial"/>
          <w:noProof/>
        </w:rPr>
        <w:drawing>
          <wp:inline distT="0" distB="0" distL="0" distR="0" wp14:anchorId="71D942E9" wp14:editId="1EA7B3B3">
            <wp:extent cx="6457950" cy="3756660"/>
            <wp:effectExtent l="0" t="0" r="0" b="0"/>
            <wp:docPr id="1375874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16752" cy="3790866"/>
                    </a:xfrm>
                    <a:prstGeom prst="rect">
                      <a:avLst/>
                    </a:prstGeom>
                    <a:noFill/>
                  </pic:spPr>
                </pic:pic>
              </a:graphicData>
            </a:graphic>
          </wp:inline>
        </w:drawing>
      </w:r>
    </w:p>
    <w:p w14:paraId="7C97534A" w14:textId="77777777" w:rsidR="002B720F" w:rsidRPr="002B720F" w:rsidRDefault="002B720F" w:rsidP="002B720F">
      <w:pPr>
        <w:rPr>
          <w:rFonts w:cs="Arial"/>
          <w:sz w:val="22"/>
          <w:szCs w:val="22"/>
        </w:rPr>
      </w:pPr>
      <w:r w:rsidRPr="002B720F">
        <w:rPr>
          <w:rFonts w:cs="Arial"/>
          <w:sz w:val="22"/>
          <w:szCs w:val="22"/>
        </w:rPr>
        <w:lastRenderedPageBreak/>
        <w:t>Figure 1. Stakeholder Power-Interest Map for the Proposed Public Park Project in Walthamstow</w:t>
      </w:r>
    </w:p>
    <w:p w14:paraId="2AF1A49A" w14:textId="546333F8" w:rsidR="003F7945" w:rsidRDefault="002B720F" w:rsidP="002B720F">
      <w:pPr>
        <w:rPr>
          <w:rFonts w:cs="Arial"/>
          <w:sz w:val="22"/>
          <w:szCs w:val="22"/>
        </w:rPr>
      </w:pPr>
      <w:r w:rsidRPr="002B720F">
        <w:rPr>
          <w:rFonts w:cs="Arial"/>
          <w:sz w:val="22"/>
          <w:szCs w:val="22"/>
        </w:rPr>
        <w:t>Source: Author’s own work, based on Government Analysis Function (2024).</w:t>
      </w:r>
    </w:p>
    <w:p w14:paraId="524905A9" w14:textId="77777777" w:rsidR="002B720F" w:rsidRDefault="002B720F" w:rsidP="002B720F">
      <w:pPr>
        <w:rPr>
          <w:rFonts w:cs="Arial"/>
          <w:sz w:val="22"/>
          <w:szCs w:val="22"/>
        </w:rPr>
      </w:pPr>
    </w:p>
    <w:p w14:paraId="1FBC69CE" w14:textId="10D56B48" w:rsidR="00780212" w:rsidRPr="001D48A6" w:rsidRDefault="00780212" w:rsidP="00780212">
      <w:pPr>
        <w:rPr>
          <w:rFonts w:cs="Arial"/>
          <w:sz w:val="22"/>
          <w:szCs w:val="22"/>
        </w:rPr>
      </w:pPr>
      <w:r w:rsidRPr="00780212">
        <w:rPr>
          <w:rFonts w:cs="Arial"/>
          <w:b/>
          <w:bCs/>
        </w:rPr>
        <w:t>Analysis of the Stakeholder Map</w:t>
      </w:r>
    </w:p>
    <w:p w14:paraId="7A430C8D" w14:textId="77777777" w:rsidR="009704D4" w:rsidRDefault="009704D4" w:rsidP="00780212">
      <w:pPr>
        <w:rPr>
          <w:rFonts w:cs="Arial"/>
          <w:b/>
          <w:bCs/>
        </w:rPr>
      </w:pPr>
    </w:p>
    <w:p w14:paraId="504D9BA7" w14:textId="44C64B59" w:rsidR="00FA663D" w:rsidRPr="009704D4" w:rsidRDefault="009704D4" w:rsidP="00780212">
      <w:pPr>
        <w:rPr>
          <w:rFonts w:cs="Arial"/>
        </w:rPr>
      </w:pPr>
      <w:r w:rsidRPr="009704D4">
        <w:rPr>
          <w:rFonts w:cs="Arial"/>
        </w:rPr>
        <w:t>The stakeholder map supports the selection of appropriate communication and engagement methods based on each stakeholder group’s power and interest. It helps the project team focus its time and resources on stakeholders who have the greatest impact on the proposed park. The map also provides a clear basis for managing stakeholder relationships throughout the project (Government Analysis Function, 2024).</w:t>
      </w:r>
    </w:p>
    <w:p w14:paraId="02DAE93C" w14:textId="77777777" w:rsidR="00C963CA" w:rsidRDefault="00C963CA" w:rsidP="00C963CA">
      <w:pPr>
        <w:rPr>
          <w:rFonts w:cs="Arial"/>
          <w:b/>
          <w:bCs/>
        </w:rPr>
      </w:pPr>
    </w:p>
    <w:p w14:paraId="7AA6207A" w14:textId="77777777" w:rsidR="00B4587B" w:rsidRDefault="00D65E20" w:rsidP="00C963CA">
      <w:pPr>
        <w:rPr>
          <w:rFonts w:cs="Arial"/>
          <w:b/>
          <w:bCs/>
        </w:rPr>
      </w:pPr>
      <w:r>
        <w:rPr>
          <w:rFonts w:cs="Arial"/>
          <w:b/>
          <w:bCs/>
        </w:rPr>
        <w:t>H</w:t>
      </w:r>
      <w:r w:rsidR="00C963CA" w:rsidRPr="00C963CA">
        <w:rPr>
          <w:rFonts w:cs="Arial"/>
          <w:b/>
          <w:bCs/>
        </w:rPr>
        <w:t xml:space="preserve">igh Power </w:t>
      </w:r>
      <w:r w:rsidR="0007323A">
        <w:rPr>
          <w:rFonts w:cs="Arial"/>
          <w:b/>
          <w:bCs/>
        </w:rPr>
        <w:t>-</w:t>
      </w:r>
      <w:r w:rsidR="00C963CA" w:rsidRPr="00C963CA">
        <w:rPr>
          <w:rFonts w:cs="Arial"/>
          <w:b/>
          <w:bCs/>
        </w:rPr>
        <w:t xml:space="preserve"> High Interest (Manage Closely)</w:t>
      </w:r>
    </w:p>
    <w:p w14:paraId="5176EC35" w14:textId="77777777" w:rsidR="009637F0" w:rsidRDefault="009637F0" w:rsidP="00C963CA">
      <w:pPr>
        <w:rPr>
          <w:rFonts w:cs="Arial"/>
          <w:b/>
          <w:bCs/>
        </w:rPr>
      </w:pPr>
    </w:p>
    <w:p w14:paraId="74063389" w14:textId="77777777" w:rsidR="009637F0" w:rsidRPr="009637F0" w:rsidRDefault="009637F0" w:rsidP="009637F0">
      <w:pPr>
        <w:rPr>
          <w:rFonts w:cs="Arial"/>
        </w:rPr>
      </w:pPr>
      <w:r w:rsidRPr="009637F0">
        <w:rPr>
          <w:rFonts w:cs="Arial"/>
        </w:rPr>
        <w:t>Waltham Forest Council is the only stakeholder placed in the High Power–High Interest quadrant because it is responsible for approving, funding and managing the proposed public park. It also makes decisions about planning, the budget, environmental compliance and the long-term management of the park. As a result, the Council has the greatest influence over the project’s success and should be closely involved throughout its development.</w:t>
      </w:r>
    </w:p>
    <w:p w14:paraId="2CF41006" w14:textId="77777777" w:rsidR="009637F0" w:rsidRPr="009637F0" w:rsidRDefault="009637F0" w:rsidP="009637F0">
      <w:pPr>
        <w:rPr>
          <w:rFonts w:cs="Arial"/>
        </w:rPr>
      </w:pPr>
    </w:p>
    <w:p w14:paraId="69E18995" w14:textId="2A177665" w:rsidR="00B4587B" w:rsidRPr="009637F0" w:rsidRDefault="009637F0" w:rsidP="009637F0">
      <w:pPr>
        <w:rPr>
          <w:rFonts w:cs="Arial"/>
        </w:rPr>
      </w:pPr>
      <w:r w:rsidRPr="009637F0">
        <w:rPr>
          <w:rFonts w:cs="Arial"/>
        </w:rPr>
        <w:t>Regular meetings, progress reports and continuous communication between Council departments, including planning, parks, environmental and community engagement teams, will help coordinate project activities and ensure that issues are identified early. Communication with key external stakeholders will also support timely decisions and help the Council deliver a high-quality public green space that meets community needs (Government Analysis Function, 2024; Waltham Forest Council, 2020).</w:t>
      </w:r>
    </w:p>
    <w:p w14:paraId="777C9D51" w14:textId="77777777" w:rsidR="00FD1FAD" w:rsidRDefault="00FD1FAD" w:rsidP="00C963CA">
      <w:pPr>
        <w:rPr>
          <w:rFonts w:cs="Arial"/>
          <w:b/>
          <w:bCs/>
        </w:rPr>
      </w:pPr>
    </w:p>
    <w:p w14:paraId="58E8A6FD" w14:textId="763099F7" w:rsidR="00F91A86" w:rsidRDefault="00F91A86" w:rsidP="00F91A86">
      <w:pPr>
        <w:rPr>
          <w:rFonts w:cs="Arial"/>
          <w:b/>
          <w:bCs/>
        </w:rPr>
      </w:pPr>
      <w:r w:rsidRPr="00F91A86">
        <w:rPr>
          <w:rFonts w:cs="Arial"/>
          <w:b/>
          <w:bCs/>
        </w:rPr>
        <w:t>Low Power</w:t>
      </w:r>
      <w:r w:rsidR="00BD6589">
        <w:rPr>
          <w:rFonts w:cs="Arial"/>
          <w:b/>
          <w:bCs/>
        </w:rPr>
        <w:t xml:space="preserve"> </w:t>
      </w:r>
      <w:r w:rsidR="00D9423E">
        <w:rPr>
          <w:rFonts w:cs="Arial"/>
          <w:b/>
          <w:bCs/>
        </w:rPr>
        <w:t>-</w:t>
      </w:r>
      <w:r w:rsidR="003203C4">
        <w:rPr>
          <w:rFonts w:cs="Arial"/>
          <w:b/>
          <w:bCs/>
        </w:rPr>
        <w:t xml:space="preserve"> </w:t>
      </w:r>
      <w:r w:rsidRPr="00F91A86">
        <w:rPr>
          <w:rFonts w:cs="Arial"/>
          <w:b/>
          <w:bCs/>
        </w:rPr>
        <w:t>High Interest (Keep Informed)</w:t>
      </w:r>
    </w:p>
    <w:p w14:paraId="7D3257CC" w14:textId="77777777" w:rsidR="00C7379E" w:rsidRDefault="00C7379E" w:rsidP="00F91A86">
      <w:pPr>
        <w:rPr>
          <w:rFonts w:cs="Arial"/>
          <w:b/>
          <w:bCs/>
        </w:rPr>
      </w:pPr>
    </w:p>
    <w:p w14:paraId="1F2BA870" w14:textId="77777777" w:rsidR="00C7379E" w:rsidRPr="00C7379E" w:rsidRDefault="00C7379E" w:rsidP="00C7379E">
      <w:pPr>
        <w:rPr>
          <w:rFonts w:cs="Arial"/>
        </w:rPr>
      </w:pPr>
      <w:r w:rsidRPr="00C7379E">
        <w:rPr>
          <w:rFonts w:cs="Arial"/>
        </w:rPr>
        <w:t xml:space="preserve">This quadrant includes stakeholders with limited formal decision-making power who are directly affected by the proposed public park. Although they cannot approve or manage </w:t>
      </w:r>
      <w:r w:rsidRPr="00C7379E">
        <w:rPr>
          <w:rFonts w:cs="Arial"/>
        </w:rPr>
        <w:lastRenderedPageBreak/>
        <w:t>the project, their local knowledge and experience can improve its design and long-term success. Their participation will help ensure that the park reflects community needs and expectations (Government Analysis Function, 2024).</w:t>
      </w:r>
    </w:p>
    <w:p w14:paraId="68E9A548" w14:textId="77777777" w:rsidR="00C7379E" w:rsidRPr="00C7379E" w:rsidRDefault="00C7379E" w:rsidP="00C7379E">
      <w:pPr>
        <w:rPr>
          <w:rFonts w:cs="Arial"/>
        </w:rPr>
      </w:pPr>
    </w:p>
    <w:p w14:paraId="667697C4" w14:textId="77777777" w:rsidR="00C7379E" w:rsidRPr="00C7379E" w:rsidRDefault="00C7379E" w:rsidP="00C7379E">
      <w:pPr>
        <w:rPr>
          <w:rFonts w:cs="Arial"/>
        </w:rPr>
      </w:pPr>
      <w:r w:rsidRPr="00C7379E">
        <w:rPr>
          <w:rFonts w:cs="Arial"/>
        </w:rPr>
        <w:t>Local residents, families, schools, healthcare organisations and environmental groups understand how green spaces are used and which facilities are needed. Their feedback can shape children’s play areas, walking routes, outdoor learning spaces, accessible facilities and biodiversity features. This supports Waltham Forest Council’s commitment to involving local communities in the planning and improvement of parks and green spaces (Waltham Forest Council, 2026).</w:t>
      </w:r>
    </w:p>
    <w:p w14:paraId="6EA92785" w14:textId="77777777" w:rsidR="00C7379E" w:rsidRPr="00C7379E" w:rsidRDefault="00C7379E" w:rsidP="00C7379E">
      <w:pPr>
        <w:rPr>
          <w:rFonts w:cs="Arial"/>
        </w:rPr>
      </w:pPr>
    </w:p>
    <w:p w14:paraId="6A5E1A0A" w14:textId="77777777" w:rsidR="00C7379E" w:rsidRPr="00C7379E" w:rsidRDefault="00C7379E" w:rsidP="00C7379E">
      <w:pPr>
        <w:rPr>
          <w:rFonts w:cs="Arial"/>
        </w:rPr>
      </w:pPr>
      <w:r w:rsidRPr="00C7379E">
        <w:rPr>
          <w:rFonts w:cs="Arial"/>
        </w:rPr>
        <w:t>Environmental organisations can also make an important contribution. Friends of Lloyd Park, Friends of Higham Hill Park and other Friends of Parks groups work with Waltham Forest Council to support biodiversity, conservation and community volunteering. The Conservation Volunteers (TCV) also helps communities participate in the management and improvement of green spaces. Their experience could support the design and long-term management of the wildlife pond, community gardens and other biodiversity features (The Conservation Volunteers, 2024).</w:t>
      </w:r>
    </w:p>
    <w:p w14:paraId="3719F43C" w14:textId="77777777" w:rsidR="00C7379E" w:rsidRPr="00C7379E" w:rsidRDefault="00C7379E" w:rsidP="00C7379E">
      <w:pPr>
        <w:rPr>
          <w:rFonts w:cs="Arial"/>
        </w:rPr>
      </w:pPr>
    </w:p>
    <w:p w14:paraId="682DF335" w14:textId="79BB6C46" w:rsidR="00DC7600" w:rsidRPr="00C7379E" w:rsidRDefault="00C7379E" w:rsidP="00C7379E">
      <w:pPr>
        <w:rPr>
          <w:rFonts w:cs="Arial"/>
        </w:rPr>
      </w:pPr>
      <w:r w:rsidRPr="00C7379E">
        <w:rPr>
          <w:rFonts w:cs="Arial"/>
        </w:rPr>
        <w:t>These stakeholders should be kept informed and consulted throughout the project. Although they have limited formal power, their participation will help maintain community support and ensure that the park continues to meet local needs.</w:t>
      </w:r>
    </w:p>
    <w:p w14:paraId="1BF394F0" w14:textId="3B0BE32C" w:rsidR="0068137A" w:rsidRPr="0068137A" w:rsidRDefault="0068137A" w:rsidP="0068137A">
      <w:pPr>
        <w:rPr>
          <w:rFonts w:cs="Arial"/>
          <w:b/>
          <w:bCs/>
        </w:rPr>
      </w:pPr>
    </w:p>
    <w:p w14:paraId="02329783" w14:textId="77777777" w:rsidR="00724227" w:rsidRDefault="0068137A" w:rsidP="00724227">
      <w:r w:rsidRPr="0068137A">
        <w:rPr>
          <w:rFonts w:cs="Arial"/>
          <w:b/>
          <w:bCs/>
        </w:rPr>
        <w:t xml:space="preserve">Low Power </w:t>
      </w:r>
      <w:r w:rsidR="00EE71D3">
        <w:rPr>
          <w:rFonts w:cs="Arial"/>
          <w:b/>
          <w:bCs/>
        </w:rPr>
        <w:t>-</w:t>
      </w:r>
      <w:r w:rsidRPr="0068137A">
        <w:rPr>
          <w:rFonts w:cs="Arial"/>
          <w:b/>
          <w:bCs/>
        </w:rPr>
        <w:t xml:space="preserve"> Low Interest (Monitor)</w:t>
      </w:r>
      <w:r w:rsidR="00724227" w:rsidRPr="00724227">
        <w:t xml:space="preserve"> </w:t>
      </w:r>
    </w:p>
    <w:p w14:paraId="7BD6EDEB" w14:textId="77777777" w:rsidR="00724227" w:rsidRDefault="00724227" w:rsidP="00724227"/>
    <w:p w14:paraId="1EABF482" w14:textId="49C2667C" w:rsidR="00724227" w:rsidRPr="001A3E14" w:rsidRDefault="00724227" w:rsidP="00724227">
      <w:pPr>
        <w:rPr>
          <w:rFonts w:cs="Arial"/>
        </w:rPr>
      </w:pPr>
      <w:r w:rsidRPr="00FE2468">
        <w:rPr>
          <w:rFonts w:cs="Arial"/>
        </w:rPr>
        <w:t>Local businesses are placed in the Low Power–Low Interest quadrant because they are not directly involved in planning or managing the proposed public park. However, the completed park may increase visitor numbers and create opportunities for nearby cafés, shops and other businesses. Waltham Forest Council includes businesses in consultations on planning and regeneration projects, recognising their contribution to the local economy (Waltham Forest Council, 2024b).</w:t>
      </w:r>
    </w:p>
    <w:p w14:paraId="6AA58B35" w14:textId="45CFE356" w:rsidR="0068137A" w:rsidRDefault="00724227" w:rsidP="00724227">
      <w:pPr>
        <w:rPr>
          <w:rFonts w:cs="Arial"/>
        </w:rPr>
      </w:pPr>
      <w:r w:rsidRPr="00FE2468">
        <w:rPr>
          <w:rFonts w:cs="Arial"/>
        </w:rPr>
        <w:lastRenderedPageBreak/>
        <w:t>Local businesses should therefore be monitored and informed about decisions that may affect access, community events or their operations. Although they require less engagement than other stakeholder groups, suitable communication will help identify concerns and maintain positive relationships (Government Analysis Function, 2024).</w:t>
      </w:r>
    </w:p>
    <w:p w14:paraId="4B47C940" w14:textId="77777777" w:rsidR="004B6950" w:rsidRDefault="004B6950" w:rsidP="00724227">
      <w:pPr>
        <w:rPr>
          <w:rFonts w:cs="Arial"/>
        </w:rPr>
      </w:pPr>
    </w:p>
    <w:p w14:paraId="4F379C96" w14:textId="751DBE1F" w:rsidR="00441A3B" w:rsidRDefault="001F52E7" w:rsidP="00724227">
      <w:pPr>
        <w:rPr>
          <w:rFonts w:cs="Arial"/>
          <w:b/>
          <w:bCs/>
        </w:rPr>
      </w:pPr>
      <w:r w:rsidRPr="001F52E7">
        <w:rPr>
          <w:rFonts w:cs="Arial"/>
          <w:b/>
          <w:bCs/>
        </w:rPr>
        <w:t>Conflicting Priorities and Changes in Stakeholder Positions</w:t>
      </w:r>
    </w:p>
    <w:p w14:paraId="3AFEE20B" w14:textId="77777777" w:rsidR="001F52E7" w:rsidRPr="001F52E7" w:rsidRDefault="001F52E7" w:rsidP="00724227">
      <w:pPr>
        <w:rPr>
          <w:rFonts w:cs="Arial"/>
          <w:b/>
          <w:bCs/>
        </w:rPr>
      </w:pPr>
    </w:p>
    <w:p w14:paraId="327B0FAB" w14:textId="08AC25ED" w:rsidR="00C17772" w:rsidRPr="00FE2468" w:rsidRDefault="00576A2B" w:rsidP="00724227">
      <w:pPr>
        <w:rPr>
          <w:rFonts w:cs="Arial"/>
        </w:rPr>
      </w:pPr>
      <w:r w:rsidRPr="00576A2B">
        <w:rPr>
          <w:rFonts w:cs="Arial"/>
        </w:rPr>
        <w:t>Consultation may reveal conflicting priorities between stakeholder groups. For example, parents may prefer a larger playground, while environmental organisations may want more space for the wildlife pond and biodiversity. Older residents may also prefer quiet areas away from sports facilities. Waltham Forest Council may not be able to accept every proposal because the park has a limited budget and available space. Stakeholder positions may also change if construction affects business access or creates environmental concerns. Therefore, the Council should review the stakeholder map at each project stage and explain how decisions balance community feedback, safety, planning requirements and available resources (Eskerod and Jepsen, 2016).</w:t>
      </w:r>
    </w:p>
    <w:p w14:paraId="7CAFB31E" w14:textId="77777777" w:rsidR="00B74191" w:rsidRDefault="00B74191" w:rsidP="007C0C31">
      <w:pPr>
        <w:rPr>
          <w:rFonts w:cs="Arial"/>
          <w:b/>
          <w:bCs/>
        </w:rPr>
      </w:pPr>
    </w:p>
    <w:p w14:paraId="1FF77BA5" w14:textId="498B988B" w:rsidR="007C0C31" w:rsidRDefault="007C0C31" w:rsidP="007C0C31">
      <w:pPr>
        <w:rPr>
          <w:rFonts w:cs="Arial"/>
          <w:b/>
          <w:bCs/>
        </w:rPr>
      </w:pPr>
      <w:r w:rsidRPr="007C0C31">
        <w:rPr>
          <w:rFonts w:cs="Arial"/>
          <w:b/>
          <w:bCs/>
        </w:rPr>
        <w:t>2.3</w:t>
      </w:r>
      <w:r w:rsidR="00FD4236">
        <w:rPr>
          <w:rFonts w:cs="Arial"/>
          <w:b/>
          <w:bCs/>
        </w:rPr>
        <w:t xml:space="preserve"> </w:t>
      </w:r>
      <w:r w:rsidRPr="007C0C31">
        <w:rPr>
          <w:rFonts w:cs="Arial"/>
          <w:b/>
          <w:bCs/>
        </w:rPr>
        <w:t>Communication and Consultation Strategy</w:t>
      </w:r>
      <w:r w:rsidR="00960FD8">
        <w:rPr>
          <w:rFonts w:cs="Arial"/>
          <w:b/>
          <w:bCs/>
        </w:rPr>
        <w:t xml:space="preserve"> </w:t>
      </w:r>
    </w:p>
    <w:p w14:paraId="6E73B40E" w14:textId="77777777" w:rsidR="008C14D1" w:rsidRDefault="008C14D1" w:rsidP="007C0C31">
      <w:pPr>
        <w:rPr>
          <w:rFonts w:cs="Arial"/>
          <w:b/>
          <w:bCs/>
        </w:rPr>
      </w:pPr>
    </w:p>
    <w:p w14:paraId="655581A1" w14:textId="71710378" w:rsidR="00DC7600" w:rsidRDefault="008C14D1" w:rsidP="007C0C31">
      <w:pPr>
        <w:rPr>
          <w:rFonts w:cs="Arial"/>
        </w:rPr>
      </w:pPr>
      <w:r w:rsidRPr="00734D01">
        <w:rPr>
          <w:rFonts w:cs="Arial"/>
        </w:rPr>
        <w:t>Effective communication is important for the successful planning of the proposed public park. Different stakeholder groups require different methods because their roles, responsibilities and levels of involvement vary. Waltham Forest Council will receive formal communication through meetings, progress reports and email to support project decisions. Local residents, parents, schools, environmental organisations and other community groups will receive project updates and provide feedback through meetings, workshops, online surveys, the Council website and social media. Using suitable methods for each group will improve transparency and encourage participation.</w:t>
      </w:r>
      <w:r w:rsidR="004341BB">
        <w:rPr>
          <w:rFonts w:cs="Arial"/>
        </w:rPr>
        <w:t xml:space="preserve"> </w:t>
      </w:r>
      <w:r w:rsidR="00344B89" w:rsidRPr="00344B89">
        <w:rPr>
          <w:rFonts w:cs="Arial"/>
        </w:rPr>
        <w:t>The communication plan below outlines the selected methods for each stakeholder group (Bourne, 2015).</w:t>
      </w:r>
    </w:p>
    <w:p w14:paraId="3EC0291A" w14:textId="77777777" w:rsidR="00FE649B" w:rsidRPr="00734D01" w:rsidRDefault="00FE649B" w:rsidP="007C0C31">
      <w:pPr>
        <w:rPr>
          <w:rFonts w:cs="Arial"/>
        </w:rPr>
      </w:pPr>
    </w:p>
    <w:p w14:paraId="5F601677" w14:textId="5F47289E" w:rsidR="00964B7B" w:rsidRPr="00B15EE5" w:rsidRDefault="00B15EE5" w:rsidP="000203DA">
      <w:pPr>
        <w:rPr>
          <w:rFonts w:cs="Arial"/>
          <w:b/>
          <w:bCs/>
        </w:rPr>
      </w:pPr>
      <w:r w:rsidRPr="00B15EE5">
        <w:rPr>
          <w:rFonts w:cs="Arial"/>
          <w:b/>
          <w:bCs/>
        </w:rPr>
        <w:t>Table 2. Communication Plan for Key Stakeholders</w:t>
      </w:r>
    </w:p>
    <w:p w14:paraId="2FB22690" w14:textId="77777777" w:rsidR="00CF5FE7" w:rsidRPr="00D35AD6" w:rsidRDefault="00CF5FE7" w:rsidP="00D35AD6">
      <w:pPr>
        <w:rPr>
          <w:rFonts w:cs="Arial"/>
          <w:b/>
          <w:bCs/>
        </w:rPr>
      </w:pPr>
    </w:p>
    <w:tbl>
      <w:tblPr>
        <w:tblW w:w="0" w:type="auto"/>
        <w:jc w:val="center"/>
        <w:tblCellSpacing w:w="15" w:type="dxa"/>
        <w:tblBorders>
          <w:insideH w:val="single" w:sz="4" w:space="0" w:color="auto"/>
          <w:insideV w:val="single" w:sz="4" w:space="0" w:color="auto"/>
        </w:tblBorders>
        <w:shd w:val="clear" w:color="auto" w:fill="F0FAEC"/>
        <w:tblLayout w:type="fixed"/>
        <w:tblCellMar>
          <w:top w:w="15" w:type="dxa"/>
          <w:left w:w="15" w:type="dxa"/>
          <w:bottom w:w="15" w:type="dxa"/>
          <w:right w:w="15" w:type="dxa"/>
        </w:tblCellMar>
        <w:tblLook w:val="04A0" w:firstRow="1" w:lastRow="0" w:firstColumn="1" w:lastColumn="0" w:noHBand="0" w:noVBand="1"/>
      </w:tblPr>
      <w:tblGrid>
        <w:gridCol w:w="1696"/>
        <w:gridCol w:w="1560"/>
        <w:gridCol w:w="1842"/>
        <w:gridCol w:w="1701"/>
        <w:gridCol w:w="2551"/>
      </w:tblGrid>
      <w:tr w:rsidR="00D35AD6" w:rsidRPr="007C76C5" w14:paraId="29E4AF1B" w14:textId="77777777" w:rsidTr="00211B92">
        <w:trPr>
          <w:tblHeader/>
          <w:tblCellSpacing w:w="15" w:type="dxa"/>
          <w:jc w:val="center"/>
        </w:trPr>
        <w:tc>
          <w:tcPr>
            <w:tcW w:w="1651" w:type="dxa"/>
            <w:shd w:val="clear" w:color="auto" w:fill="F0FAEC"/>
            <w:vAlign w:val="center"/>
            <w:hideMark/>
          </w:tcPr>
          <w:p w14:paraId="241A1485" w14:textId="77777777" w:rsidR="00D35AD6" w:rsidRPr="007C76C5" w:rsidRDefault="00D35AD6" w:rsidP="007F0001">
            <w:pPr>
              <w:jc w:val="center"/>
              <w:rPr>
                <w:rFonts w:cs="Arial"/>
                <w:b/>
                <w:bCs/>
                <w:sz w:val="22"/>
                <w:szCs w:val="22"/>
              </w:rPr>
            </w:pPr>
            <w:r w:rsidRPr="007C76C5">
              <w:rPr>
                <w:rFonts w:cs="Arial"/>
                <w:b/>
                <w:bCs/>
                <w:sz w:val="22"/>
                <w:szCs w:val="22"/>
              </w:rPr>
              <w:t>Stakeholder Group</w:t>
            </w:r>
          </w:p>
        </w:tc>
        <w:tc>
          <w:tcPr>
            <w:tcW w:w="1530" w:type="dxa"/>
            <w:shd w:val="clear" w:color="auto" w:fill="F0FAEC"/>
            <w:vAlign w:val="center"/>
            <w:hideMark/>
          </w:tcPr>
          <w:p w14:paraId="1791EB6A" w14:textId="77777777" w:rsidR="00D35AD6" w:rsidRPr="007C76C5" w:rsidRDefault="00D35AD6" w:rsidP="007F0001">
            <w:pPr>
              <w:jc w:val="center"/>
              <w:rPr>
                <w:rFonts w:cs="Arial"/>
                <w:b/>
                <w:bCs/>
                <w:sz w:val="22"/>
                <w:szCs w:val="22"/>
              </w:rPr>
            </w:pPr>
            <w:r w:rsidRPr="007C76C5">
              <w:rPr>
                <w:rFonts w:cs="Arial"/>
                <w:b/>
                <w:bCs/>
                <w:sz w:val="22"/>
                <w:szCs w:val="22"/>
              </w:rPr>
              <w:t>Information to be Shared</w:t>
            </w:r>
          </w:p>
        </w:tc>
        <w:tc>
          <w:tcPr>
            <w:tcW w:w="1812" w:type="dxa"/>
            <w:shd w:val="clear" w:color="auto" w:fill="F0FAEC"/>
            <w:vAlign w:val="center"/>
            <w:hideMark/>
          </w:tcPr>
          <w:p w14:paraId="540104B8" w14:textId="77777777" w:rsidR="00D35AD6" w:rsidRPr="007C76C5" w:rsidRDefault="00D35AD6" w:rsidP="007F0001">
            <w:pPr>
              <w:jc w:val="center"/>
              <w:rPr>
                <w:rFonts w:cs="Arial"/>
                <w:b/>
                <w:bCs/>
                <w:sz w:val="22"/>
                <w:szCs w:val="22"/>
              </w:rPr>
            </w:pPr>
            <w:r w:rsidRPr="007C76C5">
              <w:rPr>
                <w:rFonts w:cs="Arial"/>
                <w:b/>
                <w:bCs/>
                <w:sz w:val="22"/>
                <w:szCs w:val="22"/>
              </w:rPr>
              <w:t>Communication Method</w:t>
            </w:r>
          </w:p>
        </w:tc>
        <w:tc>
          <w:tcPr>
            <w:tcW w:w="1671" w:type="dxa"/>
            <w:shd w:val="clear" w:color="auto" w:fill="F0FAEC"/>
            <w:vAlign w:val="center"/>
            <w:hideMark/>
          </w:tcPr>
          <w:p w14:paraId="461EDE0F" w14:textId="77777777" w:rsidR="00D35AD6" w:rsidRPr="007C76C5" w:rsidRDefault="00D35AD6" w:rsidP="007F0001">
            <w:pPr>
              <w:jc w:val="center"/>
              <w:rPr>
                <w:rFonts w:cs="Arial"/>
                <w:b/>
                <w:bCs/>
                <w:sz w:val="22"/>
                <w:szCs w:val="22"/>
              </w:rPr>
            </w:pPr>
            <w:r w:rsidRPr="007C76C5">
              <w:rPr>
                <w:rFonts w:cs="Arial"/>
                <w:b/>
                <w:bCs/>
                <w:sz w:val="22"/>
                <w:szCs w:val="22"/>
              </w:rPr>
              <w:t>Frequency</w:t>
            </w:r>
          </w:p>
        </w:tc>
        <w:tc>
          <w:tcPr>
            <w:tcW w:w="2506" w:type="dxa"/>
            <w:shd w:val="clear" w:color="auto" w:fill="F0FAEC"/>
            <w:vAlign w:val="center"/>
            <w:hideMark/>
          </w:tcPr>
          <w:p w14:paraId="2939CFC6" w14:textId="77777777" w:rsidR="00D35AD6" w:rsidRPr="007C76C5" w:rsidRDefault="00D35AD6" w:rsidP="007F0001">
            <w:pPr>
              <w:jc w:val="center"/>
              <w:rPr>
                <w:rFonts w:cs="Arial"/>
                <w:b/>
                <w:bCs/>
                <w:sz w:val="22"/>
                <w:szCs w:val="22"/>
              </w:rPr>
            </w:pPr>
            <w:r w:rsidRPr="007C76C5">
              <w:rPr>
                <w:rFonts w:cs="Arial"/>
                <w:b/>
                <w:bCs/>
                <w:sz w:val="22"/>
                <w:szCs w:val="22"/>
              </w:rPr>
              <w:t>Justification</w:t>
            </w:r>
          </w:p>
        </w:tc>
      </w:tr>
      <w:tr w:rsidR="00D35AD6" w:rsidRPr="007C76C5" w14:paraId="0E2D4FA3" w14:textId="77777777" w:rsidTr="00211B92">
        <w:trPr>
          <w:tblCellSpacing w:w="15" w:type="dxa"/>
          <w:jc w:val="center"/>
        </w:trPr>
        <w:tc>
          <w:tcPr>
            <w:tcW w:w="1651" w:type="dxa"/>
            <w:shd w:val="clear" w:color="auto" w:fill="F0FAEC"/>
            <w:vAlign w:val="center"/>
            <w:hideMark/>
          </w:tcPr>
          <w:p w14:paraId="451E5FEC" w14:textId="77777777" w:rsidR="00D35AD6" w:rsidRPr="007C76C5" w:rsidRDefault="00D35AD6" w:rsidP="007F0001">
            <w:pPr>
              <w:jc w:val="center"/>
              <w:rPr>
                <w:rFonts w:cs="Arial"/>
                <w:sz w:val="22"/>
                <w:szCs w:val="22"/>
              </w:rPr>
            </w:pPr>
            <w:r w:rsidRPr="007C76C5">
              <w:rPr>
                <w:rFonts w:cs="Arial"/>
                <w:b/>
                <w:bCs/>
                <w:sz w:val="22"/>
                <w:szCs w:val="22"/>
              </w:rPr>
              <w:t>Waltham Forest Council</w:t>
            </w:r>
          </w:p>
        </w:tc>
        <w:tc>
          <w:tcPr>
            <w:tcW w:w="1530" w:type="dxa"/>
            <w:shd w:val="clear" w:color="auto" w:fill="F0FAEC"/>
            <w:vAlign w:val="center"/>
            <w:hideMark/>
          </w:tcPr>
          <w:p w14:paraId="3952B4A8" w14:textId="77777777" w:rsidR="00D35AD6" w:rsidRPr="007C76C5" w:rsidRDefault="00D35AD6" w:rsidP="007F0001">
            <w:pPr>
              <w:jc w:val="center"/>
              <w:rPr>
                <w:rFonts w:cs="Arial"/>
                <w:sz w:val="22"/>
                <w:szCs w:val="22"/>
              </w:rPr>
            </w:pPr>
            <w:r w:rsidRPr="007C76C5">
              <w:rPr>
                <w:rFonts w:cs="Arial"/>
                <w:sz w:val="22"/>
                <w:szCs w:val="22"/>
              </w:rPr>
              <w:t>Project progress, budget, planning decisions, environmental compliance and project risks</w:t>
            </w:r>
          </w:p>
        </w:tc>
        <w:tc>
          <w:tcPr>
            <w:tcW w:w="1812" w:type="dxa"/>
            <w:shd w:val="clear" w:color="auto" w:fill="F0FAEC"/>
            <w:vAlign w:val="center"/>
            <w:hideMark/>
          </w:tcPr>
          <w:p w14:paraId="34E9554B" w14:textId="519DF892" w:rsidR="00D35AD6" w:rsidRPr="007C76C5" w:rsidRDefault="004F396E" w:rsidP="007F0001">
            <w:pPr>
              <w:jc w:val="center"/>
              <w:rPr>
                <w:rFonts w:cs="Arial"/>
                <w:sz w:val="22"/>
                <w:szCs w:val="22"/>
              </w:rPr>
            </w:pPr>
            <w:r w:rsidRPr="004F396E">
              <w:rPr>
                <w:rFonts w:cs="Arial"/>
                <w:sz w:val="22"/>
                <w:szCs w:val="22"/>
              </w:rPr>
              <w:t>Meetings, progress reports, email and internal project updates</w:t>
            </w:r>
          </w:p>
        </w:tc>
        <w:tc>
          <w:tcPr>
            <w:tcW w:w="1671" w:type="dxa"/>
            <w:shd w:val="clear" w:color="auto" w:fill="F0FAEC"/>
            <w:vAlign w:val="center"/>
            <w:hideMark/>
          </w:tcPr>
          <w:p w14:paraId="7679E3ED" w14:textId="77777777" w:rsidR="00D35AD6" w:rsidRPr="007C76C5" w:rsidRDefault="00D35AD6" w:rsidP="007F0001">
            <w:pPr>
              <w:jc w:val="center"/>
              <w:rPr>
                <w:rFonts w:cs="Arial"/>
                <w:sz w:val="22"/>
                <w:szCs w:val="22"/>
              </w:rPr>
            </w:pPr>
            <w:r w:rsidRPr="007C76C5">
              <w:rPr>
                <w:rFonts w:cs="Arial"/>
                <w:sz w:val="22"/>
                <w:szCs w:val="22"/>
              </w:rPr>
              <w:t>Monthly and at key project milestones</w:t>
            </w:r>
          </w:p>
        </w:tc>
        <w:tc>
          <w:tcPr>
            <w:tcW w:w="2506" w:type="dxa"/>
            <w:shd w:val="clear" w:color="auto" w:fill="F0FAEC"/>
            <w:vAlign w:val="center"/>
            <w:hideMark/>
          </w:tcPr>
          <w:p w14:paraId="3D29F874" w14:textId="77777777" w:rsidR="00D35AD6" w:rsidRPr="007C76C5" w:rsidRDefault="00D35AD6" w:rsidP="007F0001">
            <w:pPr>
              <w:jc w:val="center"/>
              <w:rPr>
                <w:rFonts w:cs="Arial"/>
                <w:sz w:val="22"/>
                <w:szCs w:val="22"/>
              </w:rPr>
            </w:pPr>
            <w:r w:rsidRPr="007C76C5">
              <w:rPr>
                <w:rFonts w:cs="Arial"/>
                <w:sz w:val="22"/>
                <w:szCs w:val="22"/>
              </w:rPr>
              <w:t>The Council is the main decision-maker and requires regular information to support project governance.</w:t>
            </w:r>
          </w:p>
        </w:tc>
      </w:tr>
      <w:tr w:rsidR="00D35AD6" w:rsidRPr="007C76C5" w14:paraId="2BEE6B4D" w14:textId="77777777" w:rsidTr="00211B92">
        <w:trPr>
          <w:tblCellSpacing w:w="15" w:type="dxa"/>
          <w:jc w:val="center"/>
        </w:trPr>
        <w:tc>
          <w:tcPr>
            <w:tcW w:w="1651" w:type="dxa"/>
            <w:shd w:val="clear" w:color="auto" w:fill="F0FAEC"/>
            <w:vAlign w:val="center"/>
            <w:hideMark/>
          </w:tcPr>
          <w:p w14:paraId="7B54DD5A" w14:textId="77777777" w:rsidR="00D35AD6" w:rsidRPr="007C76C5" w:rsidRDefault="00D35AD6" w:rsidP="007F0001">
            <w:pPr>
              <w:jc w:val="center"/>
              <w:rPr>
                <w:rFonts w:cs="Arial"/>
                <w:sz w:val="22"/>
                <w:szCs w:val="22"/>
              </w:rPr>
            </w:pPr>
            <w:r w:rsidRPr="007C76C5">
              <w:rPr>
                <w:rFonts w:cs="Arial"/>
                <w:b/>
                <w:bCs/>
                <w:sz w:val="22"/>
                <w:szCs w:val="22"/>
              </w:rPr>
              <w:t>Local Residents</w:t>
            </w:r>
          </w:p>
        </w:tc>
        <w:tc>
          <w:tcPr>
            <w:tcW w:w="1530" w:type="dxa"/>
            <w:shd w:val="clear" w:color="auto" w:fill="F0FAEC"/>
            <w:vAlign w:val="center"/>
            <w:hideMark/>
          </w:tcPr>
          <w:p w14:paraId="01BCCE4B" w14:textId="77777777" w:rsidR="00D35AD6" w:rsidRPr="007C76C5" w:rsidRDefault="00D35AD6" w:rsidP="007F0001">
            <w:pPr>
              <w:jc w:val="center"/>
              <w:rPr>
                <w:rFonts w:cs="Arial"/>
                <w:sz w:val="22"/>
                <w:szCs w:val="22"/>
              </w:rPr>
            </w:pPr>
            <w:r w:rsidRPr="007C76C5">
              <w:rPr>
                <w:rFonts w:cs="Arial"/>
                <w:sz w:val="22"/>
                <w:szCs w:val="22"/>
              </w:rPr>
              <w:t>Project updates, design proposals, consultation results and construction schedule</w:t>
            </w:r>
          </w:p>
        </w:tc>
        <w:tc>
          <w:tcPr>
            <w:tcW w:w="1812" w:type="dxa"/>
            <w:shd w:val="clear" w:color="auto" w:fill="F0FAEC"/>
            <w:vAlign w:val="center"/>
            <w:hideMark/>
          </w:tcPr>
          <w:p w14:paraId="4342CBD1" w14:textId="0C1168CA" w:rsidR="00D35AD6" w:rsidRPr="007C76C5" w:rsidRDefault="00CE5B03" w:rsidP="007F0001">
            <w:pPr>
              <w:jc w:val="center"/>
              <w:rPr>
                <w:rFonts w:cs="Arial"/>
                <w:sz w:val="22"/>
                <w:szCs w:val="22"/>
              </w:rPr>
            </w:pPr>
            <w:r w:rsidRPr="00CE5B03">
              <w:rPr>
                <w:rFonts w:cs="Arial"/>
                <w:sz w:val="22"/>
                <w:szCs w:val="22"/>
              </w:rPr>
              <w:t>Community meetings at local librar</w:t>
            </w:r>
            <w:r w:rsidR="00B30651">
              <w:rPr>
                <w:rFonts w:cs="Arial"/>
                <w:sz w:val="22"/>
                <w:szCs w:val="22"/>
              </w:rPr>
              <w:t>ies</w:t>
            </w:r>
            <w:r w:rsidRPr="00CE5B03">
              <w:rPr>
                <w:rFonts w:cs="Arial"/>
                <w:sz w:val="22"/>
                <w:szCs w:val="22"/>
              </w:rPr>
              <w:t xml:space="preserve">, community </w:t>
            </w:r>
            <w:r w:rsidR="004833F6">
              <w:rPr>
                <w:rFonts w:cs="Arial"/>
                <w:sz w:val="22"/>
                <w:szCs w:val="22"/>
              </w:rPr>
              <w:t>or leisure</w:t>
            </w:r>
            <w:r w:rsidRPr="00CE5B03">
              <w:rPr>
                <w:rFonts w:cs="Arial"/>
                <w:sz w:val="22"/>
                <w:szCs w:val="22"/>
              </w:rPr>
              <w:t xml:space="preserve">  centres, online surveys, Council website and social media</w:t>
            </w:r>
          </w:p>
        </w:tc>
        <w:tc>
          <w:tcPr>
            <w:tcW w:w="1671" w:type="dxa"/>
            <w:shd w:val="clear" w:color="auto" w:fill="F0FAEC"/>
            <w:vAlign w:val="center"/>
            <w:hideMark/>
          </w:tcPr>
          <w:p w14:paraId="7491F016" w14:textId="77777777" w:rsidR="00D35AD6" w:rsidRPr="007C76C5" w:rsidRDefault="00D35AD6" w:rsidP="007F0001">
            <w:pPr>
              <w:jc w:val="center"/>
              <w:rPr>
                <w:rFonts w:cs="Arial"/>
                <w:sz w:val="22"/>
                <w:szCs w:val="22"/>
              </w:rPr>
            </w:pPr>
            <w:r w:rsidRPr="007C76C5">
              <w:rPr>
                <w:rFonts w:cs="Arial"/>
                <w:sz w:val="22"/>
                <w:szCs w:val="22"/>
              </w:rPr>
              <w:t>At each project stage</w:t>
            </w:r>
          </w:p>
        </w:tc>
        <w:tc>
          <w:tcPr>
            <w:tcW w:w="2506" w:type="dxa"/>
            <w:shd w:val="clear" w:color="auto" w:fill="F0FAEC"/>
            <w:vAlign w:val="center"/>
            <w:hideMark/>
          </w:tcPr>
          <w:p w14:paraId="1DB460B3" w14:textId="77777777" w:rsidR="00D35AD6" w:rsidRPr="007C76C5" w:rsidRDefault="00D35AD6" w:rsidP="007F0001">
            <w:pPr>
              <w:jc w:val="center"/>
              <w:rPr>
                <w:rFonts w:cs="Arial"/>
                <w:sz w:val="22"/>
                <w:szCs w:val="22"/>
              </w:rPr>
            </w:pPr>
            <w:r w:rsidRPr="007C76C5">
              <w:rPr>
                <w:rFonts w:cs="Arial"/>
                <w:sz w:val="22"/>
                <w:szCs w:val="22"/>
              </w:rPr>
              <w:t>Residents are the main users of the park and their feedback may influence project decisions.</w:t>
            </w:r>
          </w:p>
        </w:tc>
      </w:tr>
      <w:tr w:rsidR="00D35AD6" w:rsidRPr="007C76C5" w14:paraId="7EE534ED" w14:textId="77777777" w:rsidTr="00211B92">
        <w:trPr>
          <w:tblCellSpacing w:w="15" w:type="dxa"/>
          <w:jc w:val="center"/>
        </w:trPr>
        <w:tc>
          <w:tcPr>
            <w:tcW w:w="1651" w:type="dxa"/>
            <w:shd w:val="clear" w:color="auto" w:fill="F0FAEC"/>
            <w:vAlign w:val="center"/>
            <w:hideMark/>
          </w:tcPr>
          <w:p w14:paraId="74972C41" w14:textId="77777777" w:rsidR="00D35AD6" w:rsidRPr="007C76C5" w:rsidRDefault="00D35AD6" w:rsidP="007F0001">
            <w:pPr>
              <w:jc w:val="center"/>
              <w:rPr>
                <w:rFonts w:cs="Arial"/>
                <w:sz w:val="22"/>
                <w:szCs w:val="22"/>
              </w:rPr>
            </w:pPr>
            <w:r w:rsidRPr="007C76C5">
              <w:rPr>
                <w:rFonts w:cs="Arial"/>
                <w:b/>
                <w:bCs/>
                <w:sz w:val="22"/>
                <w:szCs w:val="22"/>
              </w:rPr>
              <w:t>Parents, Children, Schools and Nurseries</w:t>
            </w:r>
          </w:p>
        </w:tc>
        <w:tc>
          <w:tcPr>
            <w:tcW w:w="1530" w:type="dxa"/>
            <w:shd w:val="clear" w:color="auto" w:fill="F0FAEC"/>
            <w:vAlign w:val="center"/>
            <w:hideMark/>
          </w:tcPr>
          <w:p w14:paraId="6689BE29" w14:textId="77777777" w:rsidR="00D35AD6" w:rsidRPr="007C76C5" w:rsidRDefault="00D35AD6" w:rsidP="007F0001">
            <w:pPr>
              <w:jc w:val="center"/>
              <w:rPr>
                <w:rFonts w:cs="Arial"/>
                <w:sz w:val="22"/>
                <w:szCs w:val="22"/>
              </w:rPr>
            </w:pPr>
            <w:r w:rsidRPr="007C76C5">
              <w:rPr>
                <w:rFonts w:cs="Arial"/>
                <w:sz w:val="22"/>
                <w:szCs w:val="22"/>
              </w:rPr>
              <w:t>Playground design, safety measures, educational activities and accessibility</w:t>
            </w:r>
          </w:p>
        </w:tc>
        <w:tc>
          <w:tcPr>
            <w:tcW w:w="1812" w:type="dxa"/>
            <w:shd w:val="clear" w:color="auto" w:fill="F0FAEC"/>
            <w:vAlign w:val="center"/>
            <w:hideMark/>
          </w:tcPr>
          <w:p w14:paraId="4D51112C" w14:textId="24168BEC" w:rsidR="00D35AD6" w:rsidRPr="007C76C5" w:rsidRDefault="00EA67CC" w:rsidP="007F0001">
            <w:pPr>
              <w:jc w:val="center"/>
              <w:rPr>
                <w:rFonts w:cs="Arial"/>
                <w:sz w:val="22"/>
                <w:szCs w:val="22"/>
              </w:rPr>
            </w:pPr>
            <w:r w:rsidRPr="00EA67CC">
              <w:rPr>
                <w:rFonts w:cs="Arial"/>
                <w:sz w:val="22"/>
                <w:szCs w:val="22"/>
              </w:rPr>
              <w:t>School meetings, workshops, newsletters, surveys and email</w:t>
            </w:r>
          </w:p>
        </w:tc>
        <w:tc>
          <w:tcPr>
            <w:tcW w:w="1671" w:type="dxa"/>
            <w:shd w:val="clear" w:color="auto" w:fill="F0FAEC"/>
            <w:vAlign w:val="center"/>
            <w:hideMark/>
          </w:tcPr>
          <w:p w14:paraId="3A0C9C80" w14:textId="77777777" w:rsidR="00D35AD6" w:rsidRPr="007C76C5" w:rsidRDefault="00D35AD6" w:rsidP="007F0001">
            <w:pPr>
              <w:jc w:val="center"/>
              <w:rPr>
                <w:rFonts w:cs="Arial"/>
                <w:sz w:val="22"/>
                <w:szCs w:val="22"/>
              </w:rPr>
            </w:pPr>
            <w:r w:rsidRPr="007C76C5">
              <w:rPr>
                <w:rFonts w:cs="Arial"/>
                <w:sz w:val="22"/>
                <w:szCs w:val="22"/>
              </w:rPr>
              <w:t>During planning and before construction</w:t>
            </w:r>
          </w:p>
        </w:tc>
        <w:tc>
          <w:tcPr>
            <w:tcW w:w="2506" w:type="dxa"/>
            <w:shd w:val="clear" w:color="auto" w:fill="F0FAEC"/>
            <w:vAlign w:val="center"/>
            <w:hideMark/>
          </w:tcPr>
          <w:p w14:paraId="10DCBA56" w14:textId="77777777" w:rsidR="00D35AD6" w:rsidRPr="007C76C5" w:rsidRDefault="00D35AD6" w:rsidP="007F0001">
            <w:pPr>
              <w:jc w:val="center"/>
              <w:rPr>
                <w:rFonts w:cs="Arial"/>
                <w:sz w:val="22"/>
                <w:szCs w:val="22"/>
              </w:rPr>
            </w:pPr>
            <w:r w:rsidRPr="007C76C5">
              <w:rPr>
                <w:rFonts w:cs="Arial"/>
                <w:sz w:val="22"/>
                <w:szCs w:val="22"/>
              </w:rPr>
              <w:t>This group will use the park regularly and can provide practical feedback on family and educational needs.</w:t>
            </w:r>
          </w:p>
        </w:tc>
      </w:tr>
      <w:tr w:rsidR="00D35AD6" w:rsidRPr="007C76C5" w14:paraId="6DB8B2C2" w14:textId="77777777" w:rsidTr="00211B92">
        <w:trPr>
          <w:tblCellSpacing w:w="15" w:type="dxa"/>
          <w:jc w:val="center"/>
        </w:trPr>
        <w:tc>
          <w:tcPr>
            <w:tcW w:w="1651" w:type="dxa"/>
            <w:shd w:val="clear" w:color="auto" w:fill="F0FAEC"/>
            <w:vAlign w:val="center"/>
            <w:hideMark/>
          </w:tcPr>
          <w:p w14:paraId="3A2C7770" w14:textId="77777777" w:rsidR="00D35AD6" w:rsidRPr="007C76C5" w:rsidRDefault="00D35AD6" w:rsidP="007F0001">
            <w:pPr>
              <w:jc w:val="center"/>
              <w:rPr>
                <w:rFonts w:cs="Arial"/>
                <w:sz w:val="22"/>
                <w:szCs w:val="22"/>
              </w:rPr>
            </w:pPr>
            <w:r w:rsidRPr="007C76C5">
              <w:rPr>
                <w:rFonts w:cs="Arial"/>
                <w:b/>
                <w:bCs/>
                <w:sz w:val="22"/>
                <w:szCs w:val="22"/>
              </w:rPr>
              <w:t>Environmental Groups (Friends of Parks, TCV)</w:t>
            </w:r>
          </w:p>
        </w:tc>
        <w:tc>
          <w:tcPr>
            <w:tcW w:w="1530" w:type="dxa"/>
            <w:shd w:val="clear" w:color="auto" w:fill="F0FAEC"/>
            <w:vAlign w:val="center"/>
            <w:hideMark/>
          </w:tcPr>
          <w:p w14:paraId="56EEC998" w14:textId="77777777" w:rsidR="00D35AD6" w:rsidRPr="007C76C5" w:rsidRDefault="00D35AD6" w:rsidP="007F0001">
            <w:pPr>
              <w:jc w:val="center"/>
              <w:rPr>
                <w:rFonts w:cs="Arial"/>
                <w:sz w:val="22"/>
                <w:szCs w:val="22"/>
              </w:rPr>
            </w:pPr>
            <w:r w:rsidRPr="007C76C5">
              <w:rPr>
                <w:rFonts w:cs="Arial"/>
                <w:sz w:val="22"/>
                <w:szCs w:val="22"/>
              </w:rPr>
              <w:t xml:space="preserve">Biodiversity proposals, wildlife pond design, community gardens and </w:t>
            </w:r>
            <w:r w:rsidRPr="007C76C5">
              <w:rPr>
                <w:rFonts w:cs="Arial"/>
                <w:sz w:val="22"/>
                <w:szCs w:val="22"/>
              </w:rPr>
              <w:lastRenderedPageBreak/>
              <w:t>volunteering opportunities</w:t>
            </w:r>
          </w:p>
        </w:tc>
        <w:tc>
          <w:tcPr>
            <w:tcW w:w="1812" w:type="dxa"/>
            <w:shd w:val="clear" w:color="auto" w:fill="F0FAEC"/>
            <w:vAlign w:val="center"/>
            <w:hideMark/>
          </w:tcPr>
          <w:p w14:paraId="21B8B81E" w14:textId="0C824A8B" w:rsidR="00D35AD6" w:rsidRPr="007C76C5" w:rsidRDefault="00533BC6" w:rsidP="007F0001">
            <w:pPr>
              <w:jc w:val="center"/>
              <w:rPr>
                <w:rFonts w:cs="Arial"/>
                <w:sz w:val="22"/>
                <w:szCs w:val="22"/>
              </w:rPr>
            </w:pPr>
            <w:r w:rsidRPr="00533BC6">
              <w:rPr>
                <w:rFonts w:cs="Arial"/>
                <w:sz w:val="22"/>
                <w:szCs w:val="22"/>
              </w:rPr>
              <w:lastRenderedPageBreak/>
              <w:t>Workshops, site visits, meetings, email and volunteer events</w:t>
            </w:r>
          </w:p>
        </w:tc>
        <w:tc>
          <w:tcPr>
            <w:tcW w:w="1671" w:type="dxa"/>
            <w:shd w:val="clear" w:color="auto" w:fill="F0FAEC"/>
            <w:vAlign w:val="center"/>
            <w:hideMark/>
          </w:tcPr>
          <w:p w14:paraId="467C1FF4" w14:textId="77777777" w:rsidR="00D35AD6" w:rsidRPr="007C76C5" w:rsidRDefault="00D35AD6" w:rsidP="007F0001">
            <w:pPr>
              <w:jc w:val="center"/>
              <w:rPr>
                <w:rFonts w:cs="Arial"/>
                <w:sz w:val="22"/>
                <w:szCs w:val="22"/>
              </w:rPr>
            </w:pPr>
            <w:r w:rsidRPr="007C76C5">
              <w:rPr>
                <w:rFonts w:cs="Arial"/>
                <w:sz w:val="22"/>
                <w:szCs w:val="22"/>
              </w:rPr>
              <w:t>During planning and implementation</w:t>
            </w:r>
          </w:p>
        </w:tc>
        <w:tc>
          <w:tcPr>
            <w:tcW w:w="2506" w:type="dxa"/>
            <w:shd w:val="clear" w:color="auto" w:fill="F0FAEC"/>
            <w:vAlign w:val="center"/>
            <w:hideMark/>
          </w:tcPr>
          <w:p w14:paraId="22E2B14E" w14:textId="77777777" w:rsidR="00D35AD6" w:rsidRPr="007C76C5" w:rsidRDefault="00D35AD6" w:rsidP="007F0001">
            <w:pPr>
              <w:jc w:val="center"/>
              <w:rPr>
                <w:rFonts w:cs="Arial"/>
                <w:sz w:val="22"/>
                <w:szCs w:val="22"/>
              </w:rPr>
            </w:pPr>
            <w:r w:rsidRPr="007C76C5">
              <w:rPr>
                <w:rFonts w:cs="Arial"/>
                <w:sz w:val="22"/>
                <w:szCs w:val="22"/>
              </w:rPr>
              <w:t>These organisations provide specialist knowledge on biodiversity and community conservation.</w:t>
            </w:r>
          </w:p>
        </w:tc>
      </w:tr>
      <w:tr w:rsidR="00D35AD6" w:rsidRPr="007C76C5" w14:paraId="0EB0D094" w14:textId="77777777" w:rsidTr="00211B92">
        <w:trPr>
          <w:tblCellSpacing w:w="15" w:type="dxa"/>
          <w:jc w:val="center"/>
        </w:trPr>
        <w:tc>
          <w:tcPr>
            <w:tcW w:w="1651" w:type="dxa"/>
            <w:shd w:val="clear" w:color="auto" w:fill="F0FAEC"/>
            <w:vAlign w:val="center"/>
            <w:hideMark/>
          </w:tcPr>
          <w:p w14:paraId="61AEA9DF" w14:textId="77777777" w:rsidR="00D35AD6" w:rsidRPr="007C76C5" w:rsidRDefault="00D35AD6" w:rsidP="007F0001">
            <w:pPr>
              <w:jc w:val="center"/>
              <w:rPr>
                <w:rFonts w:cs="Arial"/>
                <w:sz w:val="22"/>
                <w:szCs w:val="22"/>
              </w:rPr>
            </w:pPr>
            <w:r w:rsidRPr="007C76C5">
              <w:rPr>
                <w:rFonts w:cs="Arial"/>
                <w:b/>
                <w:bCs/>
                <w:sz w:val="22"/>
                <w:szCs w:val="22"/>
              </w:rPr>
              <w:t>Healthcare and Well-being Organisations</w:t>
            </w:r>
          </w:p>
        </w:tc>
        <w:tc>
          <w:tcPr>
            <w:tcW w:w="1530" w:type="dxa"/>
            <w:shd w:val="clear" w:color="auto" w:fill="F0FAEC"/>
            <w:vAlign w:val="center"/>
            <w:hideMark/>
          </w:tcPr>
          <w:p w14:paraId="04B7B159" w14:textId="77777777" w:rsidR="00D35AD6" w:rsidRPr="007C76C5" w:rsidRDefault="00D35AD6" w:rsidP="007F0001">
            <w:pPr>
              <w:jc w:val="center"/>
              <w:rPr>
                <w:rFonts w:cs="Arial"/>
                <w:sz w:val="22"/>
                <w:szCs w:val="22"/>
              </w:rPr>
            </w:pPr>
            <w:r w:rsidRPr="007C76C5">
              <w:rPr>
                <w:rFonts w:cs="Arial"/>
                <w:sz w:val="22"/>
                <w:szCs w:val="22"/>
              </w:rPr>
              <w:t>Health initiatives, walking routes, green social prescribing opportunities and accessibility</w:t>
            </w:r>
          </w:p>
        </w:tc>
        <w:tc>
          <w:tcPr>
            <w:tcW w:w="1812" w:type="dxa"/>
            <w:shd w:val="clear" w:color="auto" w:fill="F0FAEC"/>
            <w:vAlign w:val="center"/>
            <w:hideMark/>
          </w:tcPr>
          <w:p w14:paraId="161B54F0" w14:textId="13291062" w:rsidR="00D35AD6" w:rsidRPr="007C76C5" w:rsidRDefault="00674675" w:rsidP="007F0001">
            <w:pPr>
              <w:jc w:val="center"/>
              <w:rPr>
                <w:rFonts w:cs="Arial"/>
                <w:sz w:val="22"/>
                <w:szCs w:val="22"/>
              </w:rPr>
            </w:pPr>
            <w:r w:rsidRPr="00674675">
              <w:rPr>
                <w:rFonts w:cs="Arial"/>
                <w:sz w:val="22"/>
                <w:szCs w:val="22"/>
              </w:rPr>
              <w:t>Meetings, email, information sharing and health promotion events</w:t>
            </w:r>
          </w:p>
        </w:tc>
        <w:tc>
          <w:tcPr>
            <w:tcW w:w="1671" w:type="dxa"/>
            <w:shd w:val="clear" w:color="auto" w:fill="F0FAEC"/>
            <w:vAlign w:val="center"/>
            <w:hideMark/>
          </w:tcPr>
          <w:p w14:paraId="3196381B" w14:textId="77777777" w:rsidR="00D35AD6" w:rsidRPr="007C76C5" w:rsidRDefault="00D35AD6" w:rsidP="007F0001">
            <w:pPr>
              <w:jc w:val="center"/>
              <w:rPr>
                <w:rFonts w:cs="Arial"/>
                <w:sz w:val="22"/>
                <w:szCs w:val="22"/>
              </w:rPr>
            </w:pPr>
            <w:r w:rsidRPr="007C76C5">
              <w:rPr>
                <w:rFonts w:cs="Arial"/>
                <w:sz w:val="22"/>
                <w:szCs w:val="22"/>
              </w:rPr>
              <w:t>During planning and before opening</w:t>
            </w:r>
          </w:p>
        </w:tc>
        <w:tc>
          <w:tcPr>
            <w:tcW w:w="2506" w:type="dxa"/>
            <w:shd w:val="clear" w:color="auto" w:fill="F0FAEC"/>
            <w:vAlign w:val="center"/>
            <w:hideMark/>
          </w:tcPr>
          <w:p w14:paraId="6AF33122" w14:textId="77777777" w:rsidR="00D35AD6" w:rsidRPr="007C76C5" w:rsidRDefault="00D35AD6" w:rsidP="007F0001">
            <w:pPr>
              <w:jc w:val="center"/>
              <w:rPr>
                <w:rFonts w:cs="Arial"/>
                <w:sz w:val="22"/>
                <w:szCs w:val="22"/>
              </w:rPr>
            </w:pPr>
            <w:r w:rsidRPr="007C76C5">
              <w:rPr>
                <w:rFonts w:cs="Arial"/>
                <w:sz w:val="22"/>
                <w:szCs w:val="22"/>
              </w:rPr>
              <w:t>Their advice helps maximise the health benefits of the proposed park.</w:t>
            </w:r>
          </w:p>
        </w:tc>
      </w:tr>
      <w:tr w:rsidR="00D35AD6" w:rsidRPr="007C76C5" w14:paraId="6A1701C6" w14:textId="77777777" w:rsidTr="00211B92">
        <w:trPr>
          <w:tblCellSpacing w:w="15" w:type="dxa"/>
          <w:jc w:val="center"/>
        </w:trPr>
        <w:tc>
          <w:tcPr>
            <w:tcW w:w="1651" w:type="dxa"/>
            <w:shd w:val="clear" w:color="auto" w:fill="F0FAEC"/>
            <w:vAlign w:val="center"/>
            <w:hideMark/>
          </w:tcPr>
          <w:p w14:paraId="303E6E8C" w14:textId="77777777" w:rsidR="00D35AD6" w:rsidRPr="007C76C5" w:rsidRDefault="00D35AD6" w:rsidP="007F0001">
            <w:pPr>
              <w:jc w:val="center"/>
              <w:rPr>
                <w:rFonts w:cs="Arial"/>
                <w:sz w:val="22"/>
                <w:szCs w:val="22"/>
              </w:rPr>
            </w:pPr>
            <w:r w:rsidRPr="007C76C5">
              <w:rPr>
                <w:rFonts w:cs="Arial"/>
                <w:b/>
                <w:bCs/>
                <w:sz w:val="22"/>
                <w:szCs w:val="22"/>
              </w:rPr>
              <w:t>Local Businesses</w:t>
            </w:r>
          </w:p>
        </w:tc>
        <w:tc>
          <w:tcPr>
            <w:tcW w:w="1530" w:type="dxa"/>
            <w:shd w:val="clear" w:color="auto" w:fill="F0FAEC"/>
            <w:vAlign w:val="center"/>
            <w:hideMark/>
          </w:tcPr>
          <w:p w14:paraId="6623ADD9" w14:textId="77777777" w:rsidR="00D35AD6" w:rsidRPr="007C76C5" w:rsidRDefault="00D35AD6" w:rsidP="007F0001">
            <w:pPr>
              <w:jc w:val="center"/>
              <w:rPr>
                <w:rFonts w:cs="Arial"/>
                <w:sz w:val="22"/>
                <w:szCs w:val="22"/>
              </w:rPr>
            </w:pPr>
            <w:r w:rsidRPr="007C76C5">
              <w:rPr>
                <w:rFonts w:cs="Arial"/>
                <w:sz w:val="22"/>
                <w:szCs w:val="22"/>
              </w:rPr>
              <w:t>Construction timetable, access arrangements and community events</w:t>
            </w:r>
          </w:p>
        </w:tc>
        <w:tc>
          <w:tcPr>
            <w:tcW w:w="1812" w:type="dxa"/>
            <w:shd w:val="clear" w:color="auto" w:fill="F0FAEC"/>
            <w:vAlign w:val="center"/>
            <w:hideMark/>
          </w:tcPr>
          <w:p w14:paraId="01D1587E" w14:textId="7BAA2735" w:rsidR="00D35AD6" w:rsidRPr="007C76C5" w:rsidRDefault="00CA43CF" w:rsidP="007F0001">
            <w:pPr>
              <w:jc w:val="center"/>
              <w:rPr>
                <w:rFonts w:cs="Arial"/>
                <w:sz w:val="22"/>
                <w:szCs w:val="22"/>
              </w:rPr>
            </w:pPr>
            <w:r w:rsidRPr="00CA43CF">
              <w:rPr>
                <w:rFonts w:cs="Arial"/>
                <w:sz w:val="22"/>
                <w:szCs w:val="22"/>
              </w:rPr>
              <w:t>Email, Council website, business forums and local business meetings</w:t>
            </w:r>
          </w:p>
        </w:tc>
        <w:tc>
          <w:tcPr>
            <w:tcW w:w="1671" w:type="dxa"/>
            <w:shd w:val="clear" w:color="auto" w:fill="F0FAEC"/>
            <w:vAlign w:val="center"/>
            <w:hideMark/>
          </w:tcPr>
          <w:p w14:paraId="573C9A83" w14:textId="77777777" w:rsidR="00D35AD6" w:rsidRPr="007C76C5" w:rsidRDefault="00D35AD6" w:rsidP="007F0001">
            <w:pPr>
              <w:jc w:val="center"/>
              <w:rPr>
                <w:rFonts w:cs="Arial"/>
                <w:sz w:val="22"/>
                <w:szCs w:val="22"/>
              </w:rPr>
            </w:pPr>
            <w:r w:rsidRPr="007C76C5">
              <w:rPr>
                <w:rFonts w:cs="Arial"/>
                <w:sz w:val="22"/>
                <w:szCs w:val="22"/>
              </w:rPr>
              <w:t>When significant updates occur</w:t>
            </w:r>
          </w:p>
        </w:tc>
        <w:tc>
          <w:tcPr>
            <w:tcW w:w="2506" w:type="dxa"/>
            <w:shd w:val="clear" w:color="auto" w:fill="F0FAEC"/>
            <w:vAlign w:val="center"/>
            <w:hideMark/>
          </w:tcPr>
          <w:p w14:paraId="4B006B08" w14:textId="77777777" w:rsidR="00D35AD6" w:rsidRPr="007C76C5" w:rsidRDefault="00D35AD6" w:rsidP="007F0001">
            <w:pPr>
              <w:jc w:val="center"/>
              <w:rPr>
                <w:rFonts w:cs="Arial"/>
                <w:sz w:val="22"/>
                <w:szCs w:val="22"/>
              </w:rPr>
            </w:pPr>
            <w:r w:rsidRPr="007C76C5">
              <w:rPr>
                <w:rFonts w:cs="Arial"/>
                <w:sz w:val="22"/>
                <w:szCs w:val="22"/>
              </w:rPr>
              <w:t>Businesses have lower interest but should be informed about issues that may affect their operations.</w:t>
            </w:r>
          </w:p>
        </w:tc>
      </w:tr>
    </w:tbl>
    <w:p w14:paraId="29A8DD9A" w14:textId="77777777" w:rsidR="00E2188A" w:rsidRDefault="00E2188A" w:rsidP="00D35AD6">
      <w:pPr>
        <w:rPr>
          <w:rFonts w:cs="Arial"/>
        </w:rPr>
      </w:pPr>
    </w:p>
    <w:p w14:paraId="0FABEA0A" w14:textId="64D710B5" w:rsidR="00D35AD6" w:rsidRDefault="00E2188A" w:rsidP="00D35AD6">
      <w:pPr>
        <w:rPr>
          <w:rFonts w:cs="Arial"/>
        </w:rPr>
      </w:pPr>
      <w:r w:rsidRPr="00E2188A">
        <w:rPr>
          <w:rFonts w:cs="Arial"/>
        </w:rPr>
        <w:t>The selected methods reflect the roles, responsibilities and levels of influence of each stakeholder group. Stakeholders with greater decision-making responsibility require regular formal communication, while other groups are mainly involved through consultation and project updates. This approach supports timely, inclusive and transparent communication throughout the project (Bourne, 2015).</w:t>
      </w:r>
    </w:p>
    <w:p w14:paraId="1C1F8829" w14:textId="77777777" w:rsidR="00714562" w:rsidRDefault="00714562" w:rsidP="00BC6354">
      <w:pPr>
        <w:rPr>
          <w:rFonts w:cs="Arial"/>
        </w:rPr>
      </w:pPr>
    </w:p>
    <w:p w14:paraId="633A2F7D" w14:textId="77777777" w:rsidR="0061439A" w:rsidRDefault="0061439A" w:rsidP="0061439A">
      <w:pPr>
        <w:rPr>
          <w:rFonts w:cs="Arial"/>
          <w:b/>
          <w:bCs/>
        </w:rPr>
      </w:pPr>
      <w:r w:rsidRPr="0061439A">
        <w:rPr>
          <w:rFonts w:cs="Arial"/>
          <w:b/>
          <w:bCs/>
        </w:rPr>
        <w:t>Consultation Strategy</w:t>
      </w:r>
    </w:p>
    <w:p w14:paraId="7DA1A9A5" w14:textId="77777777" w:rsidR="005F2D57" w:rsidRDefault="005F2D57" w:rsidP="0061439A">
      <w:pPr>
        <w:rPr>
          <w:rFonts w:cs="Arial"/>
          <w:b/>
          <w:bCs/>
        </w:rPr>
      </w:pPr>
    </w:p>
    <w:p w14:paraId="41195988" w14:textId="49E85DA6" w:rsidR="005F2D57" w:rsidRPr="005F2D57" w:rsidRDefault="005F2D57" w:rsidP="005F2D57">
      <w:pPr>
        <w:rPr>
          <w:rFonts w:cs="Arial"/>
        </w:rPr>
      </w:pPr>
      <w:r w:rsidRPr="005F2D57">
        <w:rPr>
          <w:rFonts w:cs="Arial"/>
        </w:rPr>
        <w:t xml:space="preserve">An effective consultation strategy is important to ensure that the proposed public park reflects the needs of the Walthamstow community. Unlike communication, which focuses on providing information, consultation allows stakeholders to contribute to project decisions before they are finalised. Using different methods enables the project </w:t>
      </w:r>
      <w:r w:rsidRPr="005F2D57">
        <w:rPr>
          <w:rFonts w:cs="Arial"/>
        </w:rPr>
        <w:lastRenderedPageBreak/>
        <w:t>team to gather feedback from a wider range of people and reduce the risk of future objections (Bourne, 2015).</w:t>
      </w:r>
    </w:p>
    <w:p w14:paraId="048CA095" w14:textId="77777777" w:rsidR="005F2D57" w:rsidRPr="005F2D57" w:rsidRDefault="005F2D57" w:rsidP="005F2D57">
      <w:pPr>
        <w:rPr>
          <w:rFonts w:cs="Arial"/>
        </w:rPr>
      </w:pPr>
      <w:r w:rsidRPr="005F2D57">
        <w:rPr>
          <w:rFonts w:cs="Arial"/>
        </w:rPr>
        <w:t>Public consultation events and community meetings will gather residents’ views on the proposed design, accessibility and park facilities. Online surveys on the Waltham Forest Council website will allow people who cannot attend meetings to participate. Workshops involving parents, schools and Friends of Parks groups will collect practical suggestions for children’s play areas, outdoor learning spaces, biodiversity features and community gardens. Healthcare and well-being organisations will also be consulted about physical activity, green social prescribing and accessible outdoor spaces (Waltham Forest Council, 2024a).</w:t>
      </w:r>
    </w:p>
    <w:p w14:paraId="21F9365E" w14:textId="77777777" w:rsidR="005F2D57" w:rsidRPr="005F2D57" w:rsidRDefault="005F2D57" w:rsidP="005F2D57">
      <w:pPr>
        <w:rPr>
          <w:rFonts w:cs="Arial"/>
        </w:rPr>
      </w:pPr>
    </w:p>
    <w:p w14:paraId="4B41A991" w14:textId="70A77D80" w:rsidR="0061439A" w:rsidRDefault="005F2D57" w:rsidP="005F2D57">
      <w:pPr>
        <w:rPr>
          <w:rFonts w:cs="Arial"/>
        </w:rPr>
      </w:pPr>
      <w:r w:rsidRPr="005F2D57">
        <w:rPr>
          <w:rFonts w:cs="Arial"/>
        </w:rPr>
        <w:t>Consultation should continue after feedback has been collected. Stakeholders should be informed about how their views influenced project decisions. Reviewing consultation results before final decisions are made will improve transparency and help ensure that the proposed park reflects community priorities while remaining achievable within project requirements (Bourne, 2015).</w:t>
      </w:r>
    </w:p>
    <w:p w14:paraId="03FEE1B5" w14:textId="77777777" w:rsidR="00E622FD" w:rsidRPr="005F2D57" w:rsidRDefault="00E622FD" w:rsidP="005F2D57">
      <w:pPr>
        <w:rPr>
          <w:rFonts w:cs="Arial"/>
        </w:rPr>
      </w:pPr>
    </w:p>
    <w:p w14:paraId="52ACD373" w14:textId="4A0FE235" w:rsidR="00FA35DA" w:rsidRDefault="00E622FD" w:rsidP="0061439A">
      <w:pPr>
        <w:rPr>
          <w:rFonts w:cs="Arial"/>
          <w:b/>
          <w:bCs/>
        </w:rPr>
      </w:pPr>
      <w:r w:rsidRPr="00E622FD">
        <w:rPr>
          <w:rFonts w:cs="Arial"/>
          <w:b/>
          <w:bCs/>
        </w:rPr>
        <w:t>3. Consultation and Feedback</w:t>
      </w:r>
    </w:p>
    <w:p w14:paraId="67B86B5D" w14:textId="77777777" w:rsidR="001C24C6" w:rsidRDefault="001C24C6" w:rsidP="0061439A">
      <w:pPr>
        <w:rPr>
          <w:rFonts w:cs="Arial"/>
          <w:b/>
          <w:bCs/>
        </w:rPr>
      </w:pPr>
    </w:p>
    <w:p w14:paraId="51E9AAC7" w14:textId="590D72F8" w:rsidR="00901B64" w:rsidRPr="001C24C6" w:rsidRDefault="001C24C6" w:rsidP="0061439A">
      <w:pPr>
        <w:rPr>
          <w:rFonts w:cs="Arial"/>
        </w:rPr>
      </w:pPr>
      <w:r w:rsidRPr="001C24C6">
        <w:rPr>
          <w:rFonts w:cs="Arial"/>
        </w:rPr>
        <w:t>Consultation for the proposed public park must be ethical and inclusive, while stakeholder feedback should be reviewed in a clear and fair way. This section explains how Waltham Forest Council will protect participants, include under-represented groups and use feedback when making project decisions.</w:t>
      </w:r>
    </w:p>
    <w:p w14:paraId="2D457459" w14:textId="77777777" w:rsidR="001521E4" w:rsidRDefault="001521E4" w:rsidP="0061439A">
      <w:pPr>
        <w:rPr>
          <w:rFonts w:cs="Arial"/>
        </w:rPr>
      </w:pPr>
    </w:p>
    <w:p w14:paraId="289E312B" w14:textId="77777777" w:rsidR="00FA35DA" w:rsidRDefault="00FA35DA" w:rsidP="00FA35DA">
      <w:pPr>
        <w:rPr>
          <w:rFonts w:cs="Arial"/>
          <w:b/>
          <w:bCs/>
        </w:rPr>
      </w:pPr>
      <w:r w:rsidRPr="00FA35DA">
        <w:rPr>
          <w:rFonts w:cs="Arial"/>
          <w:b/>
          <w:bCs/>
        </w:rPr>
        <w:t>3.1 Ethical Considerations</w:t>
      </w:r>
    </w:p>
    <w:p w14:paraId="7EF6E681" w14:textId="77777777" w:rsidR="00B52C01" w:rsidRDefault="00B52C01" w:rsidP="00FA35DA">
      <w:pPr>
        <w:rPr>
          <w:rFonts w:cs="Arial"/>
          <w:b/>
          <w:bCs/>
        </w:rPr>
      </w:pPr>
    </w:p>
    <w:p w14:paraId="344F06AD" w14:textId="77777777" w:rsidR="004F35E0" w:rsidRPr="004F35E0" w:rsidRDefault="004F35E0" w:rsidP="004F35E0">
      <w:pPr>
        <w:rPr>
          <w:rFonts w:cs="Arial"/>
        </w:rPr>
      </w:pPr>
      <w:r w:rsidRPr="004F35E0">
        <w:rPr>
          <w:rFonts w:cs="Arial"/>
        </w:rPr>
        <w:t xml:space="preserve">Ethical considerations are important in stakeholder consultation because the process should be fair, transparent and respectful. Before taking part in surveys, workshops or community meetings, stakeholders should receive clear information about the purpose of the consultation, how their feedback will be used and how their personal data will be protected. Participation should be voluntary and based on informed consent. When </w:t>
      </w:r>
      <w:r w:rsidRPr="004F35E0">
        <w:rPr>
          <w:rFonts w:cs="Arial"/>
        </w:rPr>
        <w:lastRenderedPageBreak/>
        <w:t>consulting children, Waltham Forest Council should provide age-appropriate information and obtain consent from parents or caregivers. Personal data should be stored securely and accessed only by authorised members of the project team (Saunders, Lewis and Thornhill, 2023).</w:t>
      </w:r>
    </w:p>
    <w:p w14:paraId="56BFDAE9" w14:textId="77777777" w:rsidR="004F35E0" w:rsidRPr="004F35E0" w:rsidRDefault="004F35E0" w:rsidP="004F35E0">
      <w:pPr>
        <w:rPr>
          <w:rFonts w:cs="Arial"/>
        </w:rPr>
      </w:pPr>
    </w:p>
    <w:p w14:paraId="7C9401B5" w14:textId="193E021A" w:rsidR="002D2193" w:rsidRDefault="004F35E0" w:rsidP="004F35E0">
      <w:pPr>
        <w:rPr>
          <w:rFonts w:cs="Arial"/>
        </w:rPr>
      </w:pPr>
      <w:r w:rsidRPr="004F35E0">
        <w:rPr>
          <w:rFonts w:cs="Arial"/>
        </w:rPr>
        <w:t>The Council should also ensure that highly active residents do not dominate the consultation. Using different methods will allow children, older residents and minority groups to contribute in ways that are suitable for them. Consultation results should be published to support transparency, but participants’ names and personal details should remain confidential. This approach will protect participants, reduce bias and help ensure that decisions reflect the needs of the wider Walthamstow community.</w:t>
      </w:r>
    </w:p>
    <w:p w14:paraId="5376BBF6" w14:textId="77777777" w:rsidR="00B52C01" w:rsidRPr="00FA35DA" w:rsidRDefault="00B52C01" w:rsidP="00B52C01">
      <w:pPr>
        <w:rPr>
          <w:rFonts w:cs="Arial"/>
        </w:rPr>
      </w:pPr>
    </w:p>
    <w:p w14:paraId="1902BC27" w14:textId="1058EC1A" w:rsidR="005B33BC" w:rsidRDefault="005344AD" w:rsidP="005344AD">
      <w:pPr>
        <w:rPr>
          <w:rFonts w:cs="Arial"/>
          <w:b/>
          <w:bCs/>
        </w:rPr>
      </w:pPr>
      <w:r w:rsidRPr="005344AD">
        <w:rPr>
          <w:rFonts w:cs="Arial"/>
          <w:b/>
          <w:bCs/>
        </w:rPr>
        <w:t>3.2 Diversity, Equity and Inclusion (DEI)</w:t>
      </w:r>
    </w:p>
    <w:p w14:paraId="66E2C906" w14:textId="77777777" w:rsidR="009A533C" w:rsidRDefault="009A533C" w:rsidP="005344AD">
      <w:pPr>
        <w:rPr>
          <w:rFonts w:cs="Arial"/>
          <w:b/>
          <w:bCs/>
        </w:rPr>
      </w:pPr>
    </w:p>
    <w:p w14:paraId="54452661" w14:textId="33EDAC9E" w:rsidR="00197176" w:rsidRPr="00197176" w:rsidRDefault="00197176" w:rsidP="00197176">
      <w:pPr>
        <w:rPr>
          <w:rFonts w:cs="Arial"/>
        </w:rPr>
      </w:pPr>
      <w:r w:rsidRPr="00197176">
        <w:rPr>
          <w:rFonts w:cs="Arial"/>
        </w:rPr>
        <w:t>Diversity, Equity and Inclusion (DEI) should guide consultation for the proposed park because Walthamstow residents have different ages, cultural backgrounds, languages and abilities. Older residents or people with limited digital skills may be excluded by online surveys, while people with disabilities may be unable to attend inaccessible venues. Children may also find formal meetings unsuitable. Waltham Forest Council should therefore provide accessible venues, paper and online surveys, clear information, translations where needed and child-friendly workshops through local schools (Equality and Human Rights Commission, 20</w:t>
      </w:r>
      <w:r w:rsidR="006D02D7">
        <w:rPr>
          <w:rFonts w:cs="Arial"/>
        </w:rPr>
        <w:t>18</w:t>
      </w:r>
      <w:r w:rsidRPr="00197176">
        <w:rPr>
          <w:rFonts w:cs="Arial"/>
        </w:rPr>
        <w:t>).</w:t>
      </w:r>
    </w:p>
    <w:p w14:paraId="7BDE2EFA" w14:textId="77777777" w:rsidR="00197176" w:rsidRPr="00197176" w:rsidRDefault="00197176" w:rsidP="00197176">
      <w:pPr>
        <w:rPr>
          <w:rFonts w:cs="Arial"/>
        </w:rPr>
      </w:pPr>
    </w:p>
    <w:p w14:paraId="467F481A" w14:textId="15BD2D07" w:rsidR="00197176" w:rsidRDefault="00197176" w:rsidP="00197176">
      <w:pPr>
        <w:rPr>
          <w:rFonts w:cs="Arial"/>
        </w:rPr>
      </w:pPr>
      <w:r w:rsidRPr="00197176">
        <w:rPr>
          <w:rFonts w:cs="Arial"/>
        </w:rPr>
        <w:t>Providing different methods is not enough if some groups still do not participate. The Council should review who has responded and work with schools and community organisations to reach under-represented residents. This will reduce the risk of decisions being shaped mainly by the most active groups and help create a park that meets the needs of the wider community (Saunders, Lewis and Thornhill, 2023).</w:t>
      </w:r>
    </w:p>
    <w:p w14:paraId="57EC1037" w14:textId="60FB8DFB" w:rsidR="005344AD" w:rsidRPr="005344AD" w:rsidRDefault="005344AD" w:rsidP="005344AD">
      <w:pPr>
        <w:rPr>
          <w:rFonts w:cs="Arial"/>
        </w:rPr>
      </w:pPr>
    </w:p>
    <w:p w14:paraId="2FE2621F" w14:textId="33E175AD" w:rsidR="00CF08BE" w:rsidRDefault="00CF08BE" w:rsidP="00CF08BE">
      <w:pPr>
        <w:rPr>
          <w:rFonts w:cs="Arial"/>
          <w:b/>
          <w:bCs/>
        </w:rPr>
      </w:pPr>
      <w:r w:rsidRPr="00CF08BE">
        <w:rPr>
          <w:rFonts w:cs="Arial"/>
          <w:b/>
          <w:bCs/>
        </w:rPr>
        <w:t>3.3 Collecting and Reviewing Stakeholder Feedback</w:t>
      </w:r>
    </w:p>
    <w:p w14:paraId="6497722D" w14:textId="77777777" w:rsidR="00BE7632" w:rsidRDefault="00BE7632" w:rsidP="00CF08BE">
      <w:pPr>
        <w:rPr>
          <w:rFonts w:cs="Arial"/>
          <w:b/>
          <w:bCs/>
        </w:rPr>
      </w:pPr>
    </w:p>
    <w:p w14:paraId="11908254" w14:textId="77777777" w:rsidR="00467350" w:rsidRPr="00467350" w:rsidRDefault="00467350" w:rsidP="00467350">
      <w:pPr>
        <w:rPr>
          <w:rFonts w:cs="Arial"/>
        </w:rPr>
      </w:pPr>
      <w:r w:rsidRPr="00467350">
        <w:rPr>
          <w:rFonts w:cs="Arial"/>
        </w:rPr>
        <w:lastRenderedPageBreak/>
        <w:t>Stakeholder feedback should be collected through community meetings, workshops, online and paper surveys, and written comments on the Waltham Forest Council website (Bourne, 2015).</w:t>
      </w:r>
    </w:p>
    <w:p w14:paraId="6FE490BA" w14:textId="77777777" w:rsidR="00467350" w:rsidRPr="00467350" w:rsidRDefault="00467350" w:rsidP="00467350">
      <w:pPr>
        <w:rPr>
          <w:rFonts w:cs="Arial"/>
        </w:rPr>
      </w:pPr>
    </w:p>
    <w:p w14:paraId="2E9122F6" w14:textId="3A71F9FA" w:rsidR="00467350" w:rsidRPr="00467350" w:rsidRDefault="00467350" w:rsidP="00467350">
      <w:pPr>
        <w:rPr>
          <w:rFonts w:cs="Arial"/>
        </w:rPr>
      </w:pPr>
      <w:r w:rsidRPr="00467350">
        <w:rPr>
          <w:rFonts w:cs="Arial"/>
        </w:rPr>
        <w:t xml:space="preserve">The Council should group responses by theme and stakeholder group rather than simply choose the most popular suggestion. For example, families may request a larger playground, environmental organisations may </w:t>
      </w:r>
      <w:r w:rsidR="00967614">
        <w:rPr>
          <w:rFonts w:cs="Arial"/>
        </w:rPr>
        <w:t>request more</w:t>
      </w:r>
      <w:r w:rsidRPr="00467350">
        <w:rPr>
          <w:rFonts w:cs="Arial"/>
        </w:rPr>
        <w:t xml:space="preserve"> space for wildlife, and older residents may prefer quiet areas. Each option should be assessed against safety, accessibility, cost, planning requirements and environmental impact. The views of smaller or under-represented groups should not be ignored because fewer people responded. Clear evaluation criteria improve the quality and fairness of public participation (Rowe and Frewer, 2000).</w:t>
      </w:r>
    </w:p>
    <w:p w14:paraId="10F706B8" w14:textId="77777777" w:rsidR="00467350" w:rsidRPr="00467350" w:rsidRDefault="00467350" w:rsidP="00467350">
      <w:pPr>
        <w:rPr>
          <w:rFonts w:cs="Arial"/>
        </w:rPr>
      </w:pPr>
    </w:p>
    <w:p w14:paraId="7CDF3571" w14:textId="6FC98207" w:rsidR="00447512" w:rsidRPr="00467350" w:rsidRDefault="00467350" w:rsidP="00467350">
      <w:pPr>
        <w:rPr>
          <w:rFonts w:cs="Arial"/>
        </w:rPr>
      </w:pPr>
      <w:r w:rsidRPr="00467350">
        <w:rPr>
          <w:rFonts w:cs="Arial"/>
        </w:rPr>
        <w:t>After decisions are made, the Council should publish a short summary explaining which proposals were accepted or rejected and why. This will show how feedback influenced the final park design and help maintain trust.</w:t>
      </w:r>
    </w:p>
    <w:p w14:paraId="480E3122" w14:textId="77777777" w:rsidR="00447512" w:rsidRDefault="00447512" w:rsidP="009533BE">
      <w:pPr>
        <w:rPr>
          <w:rFonts w:cs="Arial"/>
          <w:b/>
          <w:bCs/>
        </w:rPr>
      </w:pPr>
    </w:p>
    <w:p w14:paraId="4F70502D" w14:textId="1A12387F" w:rsidR="009533BE" w:rsidRDefault="009533BE" w:rsidP="009533BE">
      <w:pPr>
        <w:rPr>
          <w:rFonts w:cs="Arial"/>
          <w:b/>
          <w:bCs/>
        </w:rPr>
      </w:pPr>
      <w:r w:rsidRPr="009533BE">
        <w:rPr>
          <w:rFonts w:cs="Arial"/>
          <w:b/>
          <w:bCs/>
        </w:rPr>
        <w:t>4. Conclusion</w:t>
      </w:r>
    </w:p>
    <w:p w14:paraId="2FDB13C7" w14:textId="77777777" w:rsidR="009533BE" w:rsidRPr="009533BE" w:rsidRDefault="009533BE" w:rsidP="009533BE">
      <w:pPr>
        <w:rPr>
          <w:rFonts w:cs="Arial"/>
          <w:b/>
          <w:bCs/>
        </w:rPr>
      </w:pPr>
    </w:p>
    <w:p w14:paraId="21565A0C" w14:textId="77777777" w:rsidR="00447512" w:rsidRPr="00447512" w:rsidRDefault="00447512" w:rsidP="00447512">
      <w:pPr>
        <w:rPr>
          <w:rFonts w:cs="Arial"/>
        </w:rPr>
      </w:pPr>
      <w:r w:rsidRPr="00447512">
        <w:rPr>
          <w:rFonts w:cs="Arial"/>
        </w:rPr>
        <w:t>The proposed public park project in Walthamstow demonstrates that effective stakeholder engagement is essential for successful project delivery. The stakeholder analysis and stakeholder map showed that Waltham Forest Council, local residents, families, community organisations and local businesses have different levels of power, influence and interest. Therefore, each group requires an appropriate communication and consultation approach. Engaging these stakeholders throughout the project will support better decisions, reduce the risk of conflict and help ensure that the park reflects local needs.</w:t>
      </w:r>
    </w:p>
    <w:p w14:paraId="08C93A28" w14:textId="77777777" w:rsidR="00447512" w:rsidRPr="00447512" w:rsidRDefault="00447512" w:rsidP="00447512">
      <w:pPr>
        <w:rPr>
          <w:rFonts w:cs="Arial"/>
        </w:rPr>
      </w:pPr>
    </w:p>
    <w:p w14:paraId="5F8F8F67" w14:textId="2AC8C20F" w:rsidR="00604277" w:rsidRDefault="00447512" w:rsidP="00447512">
      <w:pPr>
        <w:rPr>
          <w:rFonts w:cs="Arial"/>
        </w:rPr>
      </w:pPr>
      <w:r w:rsidRPr="00447512">
        <w:rPr>
          <w:rFonts w:cs="Arial"/>
        </w:rPr>
        <w:t xml:space="preserve">Council meetings and progress reports will support project management, while community meetings, workshops and surveys will allow residents and other groups to provide feedback. Ethical consultation, accessible participation and systematic review of </w:t>
      </w:r>
      <w:r w:rsidRPr="00447512">
        <w:rPr>
          <w:rFonts w:cs="Arial"/>
        </w:rPr>
        <w:lastRenderedPageBreak/>
        <w:t>feedback will strengthen transparency, trust and community support. These approaches will contribute to the delivery of an inclusive public park that provides long-term environmental, social and health benefits for the Walthamstow community.</w:t>
      </w:r>
    </w:p>
    <w:p w14:paraId="75D34A3C" w14:textId="77777777" w:rsidR="0028052A" w:rsidRDefault="0028052A" w:rsidP="00447512">
      <w:pPr>
        <w:rPr>
          <w:rFonts w:cs="Arial"/>
        </w:rPr>
      </w:pPr>
    </w:p>
    <w:p w14:paraId="47E2AD9F" w14:textId="77777777" w:rsidR="009F35C9" w:rsidRPr="009F35C9" w:rsidRDefault="009F35C9" w:rsidP="009F35C9">
      <w:pPr>
        <w:rPr>
          <w:rFonts w:cs="Arial"/>
          <w:b/>
          <w:bCs/>
        </w:rPr>
      </w:pPr>
      <w:r w:rsidRPr="009F35C9">
        <w:rPr>
          <w:rFonts w:cs="Arial"/>
          <w:b/>
          <w:bCs/>
        </w:rPr>
        <w:t>5. Reflection</w:t>
      </w:r>
    </w:p>
    <w:p w14:paraId="5E2B8972" w14:textId="77777777" w:rsidR="009F35C9" w:rsidRPr="009F35C9" w:rsidRDefault="009F35C9" w:rsidP="009F35C9">
      <w:pPr>
        <w:rPr>
          <w:rFonts w:cs="Arial"/>
        </w:rPr>
      </w:pPr>
    </w:p>
    <w:p w14:paraId="4744CEB4" w14:textId="77777777" w:rsidR="009F35C9" w:rsidRPr="009F35C9" w:rsidRDefault="009F35C9" w:rsidP="009F35C9">
      <w:pPr>
        <w:rPr>
          <w:rFonts w:cs="Arial"/>
        </w:rPr>
      </w:pPr>
      <w:r w:rsidRPr="009F35C9">
        <w:rPr>
          <w:rFonts w:cs="Arial"/>
        </w:rPr>
        <w:t>Developing the stakeholder management plan changed how I understand stakeholder engagement. At first, I saw it mainly as informing people and collecting opinions. I now understand that it also requires balancing conflicting interests when not every request can be accepted.</w:t>
      </w:r>
    </w:p>
    <w:p w14:paraId="35BAA5A2" w14:textId="77777777" w:rsidR="009F35C9" w:rsidRPr="009F35C9" w:rsidRDefault="009F35C9" w:rsidP="009F35C9">
      <w:pPr>
        <w:rPr>
          <w:rFonts w:cs="Arial"/>
        </w:rPr>
      </w:pPr>
    </w:p>
    <w:p w14:paraId="54711450" w14:textId="516CD3BC" w:rsidR="009F35C9" w:rsidRPr="009F35C9" w:rsidRDefault="009F35C9" w:rsidP="009F35C9">
      <w:pPr>
        <w:rPr>
          <w:rFonts w:cs="Arial"/>
        </w:rPr>
      </w:pPr>
      <w:r w:rsidRPr="009F35C9">
        <w:rPr>
          <w:rFonts w:cs="Arial"/>
        </w:rPr>
        <w:t>The Power</w:t>
      </w:r>
      <w:r>
        <w:rPr>
          <w:rFonts w:cs="Arial"/>
        </w:rPr>
        <w:t>-</w:t>
      </w:r>
      <w:r w:rsidRPr="009F35C9">
        <w:rPr>
          <w:rFonts w:cs="Arial"/>
        </w:rPr>
        <w:t>Interest Map showed me that formal power does not always reflect stakeholder importance. Waltham Forest Council has high power, while local residents have low formal power but high influence and interest. Their local knowledge may identify problems that decision-makers overlook. I also realised that positions can change. Local businesses currently have low interest, but this could increase if construction affected access.</w:t>
      </w:r>
    </w:p>
    <w:p w14:paraId="11252073" w14:textId="77777777" w:rsidR="009F35C9" w:rsidRPr="009F35C9" w:rsidRDefault="009F35C9" w:rsidP="009F35C9">
      <w:pPr>
        <w:rPr>
          <w:rFonts w:cs="Arial"/>
        </w:rPr>
      </w:pPr>
    </w:p>
    <w:p w14:paraId="585A9805" w14:textId="77777777" w:rsidR="009F35C9" w:rsidRPr="009F35C9" w:rsidRDefault="009F35C9" w:rsidP="009F35C9">
      <w:pPr>
        <w:rPr>
          <w:rFonts w:cs="Arial"/>
        </w:rPr>
      </w:pPr>
      <w:r w:rsidRPr="009F35C9">
        <w:rPr>
          <w:rFonts w:cs="Arial"/>
        </w:rPr>
        <w:t>The most challenging part was balancing stakeholder needs. A larger playground may benefit families, while environmental organisations may prefer more space for wildlife. I learned that consultation is not simply a vote. Popular requests still need to be assessed against safety, accessibility, cost and environmental impact.</w:t>
      </w:r>
    </w:p>
    <w:p w14:paraId="2686D328" w14:textId="77777777" w:rsidR="009F35C9" w:rsidRPr="009F35C9" w:rsidRDefault="009F35C9" w:rsidP="009F35C9">
      <w:pPr>
        <w:rPr>
          <w:rFonts w:cs="Arial"/>
        </w:rPr>
      </w:pPr>
    </w:p>
    <w:p w14:paraId="319ED7D8" w14:textId="7EDE485E" w:rsidR="009D682E" w:rsidRDefault="009F35C9" w:rsidP="002F0A57">
      <w:pPr>
        <w:rPr>
          <w:rFonts w:cs="Arial"/>
        </w:rPr>
      </w:pPr>
      <w:r w:rsidRPr="009F35C9">
        <w:rPr>
          <w:rFonts w:cs="Arial"/>
        </w:rPr>
        <w:t>I also learned that engagement methods can create barriers. Online surveys may exclude some residents. In future, I would check which groups are under-represented, review the stakeholder map at each stage and record how feedback influenced decisions. This would support an inclusive and environmentally sustainable park.</w:t>
      </w:r>
    </w:p>
    <w:p w14:paraId="308B3BE1" w14:textId="77777777" w:rsidR="009D682E" w:rsidRDefault="009D682E">
      <w:pPr>
        <w:rPr>
          <w:rFonts w:cs="Arial"/>
        </w:rPr>
      </w:pPr>
      <w:r>
        <w:rPr>
          <w:rFonts w:cs="Arial"/>
        </w:rPr>
        <w:br w:type="page"/>
      </w:r>
    </w:p>
    <w:p w14:paraId="5689C884" w14:textId="77777777" w:rsidR="009F35C9" w:rsidRPr="00A30B1F" w:rsidRDefault="009F35C9" w:rsidP="002F0A57">
      <w:pPr>
        <w:rPr>
          <w:rFonts w:cs="Arial"/>
        </w:rPr>
      </w:pPr>
    </w:p>
    <w:p w14:paraId="2A76C824" w14:textId="63F7B9C6" w:rsidR="00BF6824" w:rsidRPr="00BF6824" w:rsidRDefault="00BF6824" w:rsidP="002F0A57">
      <w:pPr>
        <w:rPr>
          <w:rFonts w:cs="Arial"/>
          <w:b/>
          <w:bCs/>
        </w:rPr>
      </w:pPr>
      <w:r w:rsidRPr="00BF6824">
        <w:rPr>
          <w:rFonts w:cs="Arial"/>
          <w:b/>
          <w:bCs/>
        </w:rPr>
        <w:t>References</w:t>
      </w:r>
    </w:p>
    <w:p w14:paraId="6748B308" w14:textId="77777777" w:rsidR="00BF6824" w:rsidRDefault="00BF6824" w:rsidP="002F0A57">
      <w:pPr>
        <w:rPr>
          <w:rFonts w:cs="Arial"/>
        </w:rPr>
      </w:pPr>
    </w:p>
    <w:p w14:paraId="25785E64" w14:textId="5AD36A74" w:rsidR="006C593B" w:rsidRPr="002F0A57" w:rsidRDefault="002F0A57" w:rsidP="00E76953">
      <w:pPr>
        <w:spacing w:after="120"/>
        <w:rPr>
          <w:rFonts w:cs="Arial"/>
        </w:rPr>
      </w:pPr>
      <w:r w:rsidRPr="002F0A57">
        <w:rPr>
          <w:rFonts w:cs="Arial"/>
        </w:rPr>
        <w:t xml:space="preserve">Bourne, L. (2015) </w:t>
      </w:r>
      <w:r w:rsidRPr="002F0A57">
        <w:rPr>
          <w:rFonts w:cs="Arial"/>
          <w:i/>
          <w:iCs/>
        </w:rPr>
        <w:t>Making Projects Work: Effective Stakeholder and Communication Management</w:t>
      </w:r>
      <w:r w:rsidRPr="002F0A57">
        <w:rPr>
          <w:rFonts w:cs="Arial"/>
        </w:rPr>
        <w:t>. Boca Raton, FL: CRC Press.</w:t>
      </w:r>
    </w:p>
    <w:p w14:paraId="02F8EFD5" w14:textId="307BDEDF" w:rsidR="002F0A57" w:rsidRPr="002F0A57" w:rsidRDefault="002F0A57" w:rsidP="00E76953">
      <w:pPr>
        <w:spacing w:after="120"/>
        <w:rPr>
          <w:rFonts w:cs="Arial"/>
        </w:rPr>
      </w:pPr>
      <w:r w:rsidRPr="002F0A57">
        <w:rPr>
          <w:rFonts w:cs="Arial"/>
        </w:rPr>
        <w:t>Equality and Human Rights Commission (20</w:t>
      </w:r>
      <w:r w:rsidR="00773F1E">
        <w:rPr>
          <w:rFonts w:cs="Arial"/>
        </w:rPr>
        <w:t>18</w:t>
      </w:r>
      <w:r w:rsidRPr="002F0A57">
        <w:rPr>
          <w:rFonts w:cs="Arial"/>
        </w:rPr>
        <w:t xml:space="preserve">) </w:t>
      </w:r>
      <w:r w:rsidRPr="002F0A57">
        <w:rPr>
          <w:rFonts w:cs="Arial"/>
          <w:i/>
          <w:iCs/>
        </w:rPr>
        <w:t>Equality Act 2010</w:t>
      </w:r>
      <w:r w:rsidRPr="002F0A57">
        <w:rPr>
          <w:rFonts w:cs="Arial"/>
        </w:rPr>
        <w:t xml:space="preserve">. Available at: </w:t>
      </w:r>
      <w:hyperlink r:id="rId10" w:history="1">
        <w:r w:rsidRPr="002F0A57">
          <w:rPr>
            <w:rStyle w:val="Hyperlink"/>
            <w:rFonts w:cs="Arial"/>
          </w:rPr>
          <w:t>https://www.equalityhumanrights.com/equality/equality-act-2010</w:t>
        </w:r>
      </w:hyperlink>
      <w:r w:rsidRPr="002F0A57">
        <w:rPr>
          <w:rFonts w:cs="Arial"/>
        </w:rPr>
        <w:t xml:space="preserve"> (Accessed: 6 July 2026).</w:t>
      </w:r>
    </w:p>
    <w:p w14:paraId="2315626C" w14:textId="77777777" w:rsidR="002F0A57" w:rsidRPr="002F0A57" w:rsidRDefault="002F0A57" w:rsidP="00E76953">
      <w:pPr>
        <w:spacing w:after="120"/>
        <w:rPr>
          <w:rFonts w:cs="Arial"/>
        </w:rPr>
      </w:pPr>
      <w:r w:rsidRPr="002F0A57">
        <w:rPr>
          <w:rFonts w:cs="Arial"/>
        </w:rPr>
        <w:t xml:space="preserve">Eskerod, P. and Jepsen, A.L. (2016) </w:t>
      </w:r>
      <w:r w:rsidRPr="002F0A57">
        <w:rPr>
          <w:rFonts w:cs="Arial"/>
          <w:i/>
          <w:iCs/>
        </w:rPr>
        <w:t>Project Stakeholder Management</w:t>
      </w:r>
      <w:r w:rsidRPr="002F0A57">
        <w:rPr>
          <w:rFonts w:cs="Arial"/>
        </w:rPr>
        <w:t>. 2nd edn. London: Routledge.</w:t>
      </w:r>
    </w:p>
    <w:p w14:paraId="066D8AE1" w14:textId="77777777" w:rsidR="002F0A57" w:rsidRPr="002F0A57" w:rsidRDefault="002F0A57" w:rsidP="00E76953">
      <w:pPr>
        <w:spacing w:after="120"/>
        <w:rPr>
          <w:rFonts w:cs="Arial"/>
        </w:rPr>
      </w:pPr>
      <w:r w:rsidRPr="002F0A57">
        <w:rPr>
          <w:rFonts w:cs="Arial"/>
        </w:rPr>
        <w:t xml:space="preserve">Freeman, R.E. (1984) </w:t>
      </w:r>
      <w:r w:rsidRPr="002F0A57">
        <w:rPr>
          <w:rFonts w:cs="Arial"/>
          <w:i/>
          <w:iCs/>
        </w:rPr>
        <w:t>Strategic Management: A Stakeholder Approach</w:t>
      </w:r>
      <w:r w:rsidRPr="002F0A57">
        <w:rPr>
          <w:rFonts w:cs="Arial"/>
        </w:rPr>
        <w:t>. Boston, MA: Pitman Publishing.</w:t>
      </w:r>
    </w:p>
    <w:p w14:paraId="3375825A" w14:textId="77777777" w:rsidR="002F0A57" w:rsidRPr="002F0A57" w:rsidRDefault="002F0A57" w:rsidP="00E76953">
      <w:pPr>
        <w:spacing w:after="120"/>
        <w:rPr>
          <w:rFonts w:cs="Arial"/>
        </w:rPr>
      </w:pPr>
      <w:r w:rsidRPr="002F0A57">
        <w:rPr>
          <w:rFonts w:cs="Arial"/>
        </w:rPr>
        <w:t xml:space="preserve">Government Analysis Function (2024) </w:t>
      </w:r>
      <w:r w:rsidRPr="002F0A57">
        <w:rPr>
          <w:rFonts w:cs="Arial"/>
          <w:i/>
          <w:iCs/>
        </w:rPr>
        <w:t>Stakeholder mapping</w:t>
      </w:r>
      <w:r w:rsidRPr="002F0A57">
        <w:rPr>
          <w:rFonts w:cs="Arial"/>
        </w:rPr>
        <w:t xml:space="preserve">. Available at: </w:t>
      </w:r>
      <w:hyperlink r:id="rId11" w:history="1">
        <w:r w:rsidRPr="002F0A57">
          <w:rPr>
            <w:rStyle w:val="Hyperlink"/>
            <w:rFonts w:cs="Arial"/>
          </w:rPr>
          <w:t>https://analysisfunction.civilservice.gov.uk/policy-store/stakeholder-mapping/</w:t>
        </w:r>
      </w:hyperlink>
      <w:r w:rsidRPr="002F0A57">
        <w:rPr>
          <w:rFonts w:cs="Arial"/>
        </w:rPr>
        <w:t xml:space="preserve"> (Accessed: 5 July 2026).</w:t>
      </w:r>
    </w:p>
    <w:p w14:paraId="3E167B68" w14:textId="77777777" w:rsidR="002F0A57" w:rsidRPr="002F0A57" w:rsidRDefault="002F0A57" w:rsidP="00E76953">
      <w:pPr>
        <w:spacing w:after="120"/>
        <w:rPr>
          <w:rFonts w:cs="Arial"/>
        </w:rPr>
      </w:pPr>
      <w:r w:rsidRPr="002F0A57">
        <w:rPr>
          <w:rFonts w:cs="Arial"/>
        </w:rPr>
        <w:t xml:space="preserve">Greater London Authority (2024) </w:t>
      </w:r>
      <w:r w:rsidRPr="002F0A57">
        <w:rPr>
          <w:rFonts w:cs="Arial"/>
          <w:i/>
          <w:iCs/>
        </w:rPr>
        <w:t>Green Infrastructure</w:t>
      </w:r>
      <w:r w:rsidRPr="002F0A57">
        <w:rPr>
          <w:rFonts w:cs="Arial"/>
        </w:rPr>
        <w:t xml:space="preserve">. Available at: </w:t>
      </w:r>
      <w:hyperlink r:id="rId12" w:history="1">
        <w:r w:rsidRPr="002F0A57">
          <w:rPr>
            <w:rStyle w:val="Hyperlink"/>
            <w:rFonts w:cs="Arial"/>
          </w:rPr>
          <w:t>https://www.london.gov.uk/programmes-strategies/environment-and-climate-change/parks-green-spaces-and-biodiversity/green-infrastructure</w:t>
        </w:r>
      </w:hyperlink>
      <w:r w:rsidRPr="002F0A57">
        <w:rPr>
          <w:rFonts w:cs="Arial"/>
        </w:rPr>
        <w:t xml:space="preserve"> (Accessed: 6 July 2026).</w:t>
      </w:r>
    </w:p>
    <w:p w14:paraId="7F890DE8" w14:textId="77777777" w:rsidR="002F0A57" w:rsidRDefault="002F0A57" w:rsidP="00E76953">
      <w:pPr>
        <w:spacing w:after="120"/>
        <w:rPr>
          <w:rFonts w:cs="Arial"/>
        </w:rPr>
      </w:pPr>
      <w:r w:rsidRPr="002F0A57">
        <w:rPr>
          <w:rFonts w:cs="Arial"/>
        </w:rPr>
        <w:t xml:space="preserve">NHS Forest (2022) </w:t>
      </w:r>
      <w:r w:rsidRPr="002F0A57">
        <w:rPr>
          <w:rFonts w:cs="Arial"/>
          <w:i/>
          <w:iCs/>
        </w:rPr>
        <w:t>Green spaces: Can we ensure equal access for all?</w:t>
      </w:r>
      <w:r w:rsidRPr="002F0A57">
        <w:rPr>
          <w:rFonts w:cs="Arial"/>
        </w:rPr>
        <w:t xml:space="preserve"> Available at: </w:t>
      </w:r>
      <w:hyperlink r:id="rId13" w:history="1">
        <w:r w:rsidRPr="002F0A57">
          <w:rPr>
            <w:rStyle w:val="Hyperlink"/>
            <w:rFonts w:cs="Arial"/>
          </w:rPr>
          <w:t>https://nhsforest.org/blog/green-spaces-can-we-ensure-equal-access-for-all/</w:t>
        </w:r>
      </w:hyperlink>
      <w:r w:rsidRPr="002F0A57">
        <w:rPr>
          <w:rFonts w:cs="Arial"/>
        </w:rPr>
        <w:t xml:space="preserve"> (Accessed: 4 July 2026).</w:t>
      </w:r>
    </w:p>
    <w:p w14:paraId="54B51F43" w14:textId="77777777" w:rsidR="00B10114" w:rsidRDefault="008F37AA" w:rsidP="00E76953">
      <w:pPr>
        <w:spacing w:after="120"/>
        <w:rPr>
          <w:rFonts w:cs="Arial"/>
        </w:rPr>
      </w:pPr>
      <w:r w:rsidRPr="008F37AA">
        <w:rPr>
          <w:rFonts w:cs="Arial"/>
        </w:rPr>
        <w:t xml:space="preserve">Rowe, G. and Frewer, L.J. (2000) ‘Public participation methods: A framework for evaluation’, </w:t>
      </w:r>
      <w:r w:rsidRPr="008F37AA">
        <w:rPr>
          <w:rFonts w:cs="Arial"/>
          <w:i/>
          <w:iCs/>
        </w:rPr>
        <w:t>Science, Technology, &amp; Human Values</w:t>
      </w:r>
      <w:r w:rsidRPr="008F37AA">
        <w:rPr>
          <w:rFonts w:cs="Arial"/>
        </w:rPr>
        <w:t xml:space="preserve">, 25(1), pp. 3–29. Available at: </w:t>
      </w:r>
    </w:p>
    <w:p w14:paraId="3F25BD8F" w14:textId="316AA952" w:rsidR="008F37AA" w:rsidRDefault="000E089D" w:rsidP="00E76953">
      <w:pPr>
        <w:spacing w:after="120"/>
        <w:rPr>
          <w:rFonts w:cs="Arial"/>
        </w:rPr>
      </w:pPr>
      <w:hyperlink r:id="rId14" w:history="1">
        <w:r w:rsidRPr="00927AE6">
          <w:rPr>
            <w:rStyle w:val="Hyperlink"/>
            <w:rFonts w:cs="Arial"/>
          </w:rPr>
          <w:t>https://doi.org/10.1177/016224390002500101</w:t>
        </w:r>
      </w:hyperlink>
      <w:r>
        <w:rPr>
          <w:rFonts w:cs="Arial"/>
        </w:rPr>
        <w:t xml:space="preserve"> </w:t>
      </w:r>
      <w:r w:rsidR="008F37AA" w:rsidRPr="008F37AA">
        <w:rPr>
          <w:rFonts w:cs="Arial"/>
        </w:rPr>
        <w:t xml:space="preserve"> (Accessed: 18 July 2026).</w:t>
      </w:r>
    </w:p>
    <w:p w14:paraId="47E78846" w14:textId="77777777" w:rsidR="002F0A57" w:rsidRPr="002F0A57" w:rsidRDefault="002F0A57" w:rsidP="00E76953">
      <w:pPr>
        <w:spacing w:after="120"/>
        <w:rPr>
          <w:rFonts w:cs="Arial"/>
        </w:rPr>
      </w:pPr>
      <w:r w:rsidRPr="002F0A57">
        <w:rPr>
          <w:rFonts w:cs="Arial"/>
        </w:rPr>
        <w:t xml:space="preserve">Saunders, M., Lewis, P. and Thornhill, A. (2023) </w:t>
      </w:r>
      <w:r w:rsidRPr="002F0A57">
        <w:rPr>
          <w:rFonts w:cs="Arial"/>
          <w:i/>
          <w:iCs/>
        </w:rPr>
        <w:t>Research Methods for Business Students</w:t>
      </w:r>
      <w:r w:rsidRPr="002F0A57">
        <w:rPr>
          <w:rFonts w:cs="Arial"/>
        </w:rPr>
        <w:t>. 9th edn. Harlow: Pearson.</w:t>
      </w:r>
    </w:p>
    <w:p w14:paraId="1863BD2C" w14:textId="77777777" w:rsidR="002F0A57" w:rsidRPr="002F0A57" w:rsidRDefault="002F0A57" w:rsidP="00E76953">
      <w:pPr>
        <w:spacing w:after="120"/>
        <w:rPr>
          <w:rFonts w:cs="Arial"/>
        </w:rPr>
      </w:pPr>
      <w:r w:rsidRPr="002F0A57">
        <w:rPr>
          <w:rFonts w:cs="Arial"/>
        </w:rPr>
        <w:lastRenderedPageBreak/>
        <w:t xml:space="preserve">The Conservation Volunteers (2024) </w:t>
      </w:r>
      <w:r w:rsidRPr="002F0A57">
        <w:rPr>
          <w:rFonts w:cs="Arial"/>
          <w:i/>
          <w:iCs/>
        </w:rPr>
        <w:t>Friends of Parks in Waltham Forest</w:t>
      </w:r>
      <w:r w:rsidRPr="002F0A57">
        <w:rPr>
          <w:rFonts w:cs="Arial"/>
        </w:rPr>
        <w:t xml:space="preserve">. Available at: </w:t>
      </w:r>
      <w:hyperlink r:id="rId15" w:history="1">
        <w:r w:rsidRPr="002F0A57">
          <w:rPr>
            <w:rStyle w:val="Hyperlink"/>
            <w:rFonts w:cs="Arial"/>
          </w:rPr>
          <w:t>https://www.tcv.org.uk/london/waltham-forest/friends-of-parks/</w:t>
        </w:r>
      </w:hyperlink>
      <w:r w:rsidRPr="002F0A57">
        <w:rPr>
          <w:rFonts w:cs="Arial"/>
        </w:rPr>
        <w:t xml:space="preserve"> (Accessed: 5 July 2026).</w:t>
      </w:r>
    </w:p>
    <w:p w14:paraId="455D0F5C" w14:textId="77777777" w:rsidR="002F0A57" w:rsidRPr="002F0A57" w:rsidRDefault="002F0A57" w:rsidP="00E76953">
      <w:pPr>
        <w:spacing w:after="120"/>
        <w:rPr>
          <w:rFonts w:cs="Arial"/>
        </w:rPr>
      </w:pPr>
      <w:r w:rsidRPr="002F0A57">
        <w:rPr>
          <w:rFonts w:cs="Arial"/>
        </w:rPr>
        <w:t xml:space="preserve">Waltham Forest Council (2020) </w:t>
      </w:r>
      <w:r w:rsidRPr="002F0A57">
        <w:rPr>
          <w:rFonts w:cs="Arial"/>
          <w:i/>
          <w:iCs/>
        </w:rPr>
        <w:t>Green and Blue Infrastructure Strategy</w:t>
      </w:r>
      <w:r w:rsidRPr="002F0A57">
        <w:rPr>
          <w:rFonts w:cs="Arial"/>
        </w:rPr>
        <w:t xml:space="preserve">. Available at: </w:t>
      </w:r>
      <w:hyperlink r:id="rId16" w:history="1">
        <w:r w:rsidRPr="002F0A57">
          <w:rPr>
            <w:rStyle w:val="Hyperlink"/>
            <w:rFonts w:cs="Arial"/>
          </w:rPr>
          <w:t>https://www.walthamforest.gov.uk/sites/default/files/2022-03/Waltham%20Forest%20Green%20and%20Blue%20Infrastructure%20Strategy%20Nov%202020.pdf</w:t>
        </w:r>
      </w:hyperlink>
      <w:r w:rsidRPr="002F0A57">
        <w:rPr>
          <w:rFonts w:cs="Arial"/>
        </w:rPr>
        <w:t xml:space="preserve"> (Accessed: 4 July 2026).</w:t>
      </w:r>
    </w:p>
    <w:p w14:paraId="1E23161D" w14:textId="77777777" w:rsidR="002F0A57" w:rsidRPr="002F0A57" w:rsidRDefault="002F0A57" w:rsidP="00E76953">
      <w:pPr>
        <w:spacing w:after="120"/>
        <w:rPr>
          <w:rFonts w:cs="Arial"/>
        </w:rPr>
      </w:pPr>
      <w:r w:rsidRPr="002F0A57">
        <w:rPr>
          <w:rFonts w:cs="Arial"/>
        </w:rPr>
        <w:t xml:space="preserve">Waltham Forest Council (2024a) </w:t>
      </w:r>
      <w:r w:rsidRPr="002F0A57">
        <w:rPr>
          <w:rFonts w:cs="Arial"/>
          <w:i/>
          <w:iCs/>
        </w:rPr>
        <w:t>Transforming our Green Spaces</w:t>
      </w:r>
      <w:r w:rsidRPr="002F0A57">
        <w:rPr>
          <w:rFonts w:cs="Arial"/>
        </w:rPr>
        <w:t xml:space="preserve">. Available at: </w:t>
      </w:r>
      <w:hyperlink r:id="rId17" w:history="1">
        <w:r w:rsidRPr="002F0A57">
          <w:rPr>
            <w:rStyle w:val="Hyperlink"/>
            <w:rFonts w:cs="Arial"/>
          </w:rPr>
          <w:t>https://talk.walthamforest.gov.uk/improving-green-spaces</w:t>
        </w:r>
      </w:hyperlink>
      <w:r w:rsidRPr="002F0A57">
        <w:rPr>
          <w:rFonts w:cs="Arial"/>
        </w:rPr>
        <w:t xml:space="preserve"> (Accessed: 5 July 2026).</w:t>
      </w:r>
    </w:p>
    <w:p w14:paraId="43141A45" w14:textId="77777777" w:rsidR="002F0A57" w:rsidRPr="002F0A57" w:rsidRDefault="002F0A57" w:rsidP="00E76953">
      <w:pPr>
        <w:spacing w:after="120"/>
        <w:rPr>
          <w:rFonts w:cs="Arial"/>
        </w:rPr>
      </w:pPr>
      <w:r w:rsidRPr="002F0A57">
        <w:rPr>
          <w:rFonts w:cs="Arial"/>
        </w:rPr>
        <w:t xml:space="preserve">Waltham Forest Council (2024b) </w:t>
      </w:r>
      <w:r w:rsidRPr="002F0A57">
        <w:rPr>
          <w:rFonts w:cs="Arial"/>
          <w:i/>
          <w:iCs/>
        </w:rPr>
        <w:t>SPD Summer 2023 Consultation Report</w:t>
      </w:r>
      <w:r w:rsidRPr="002F0A57">
        <w:rPr>
          <w:rFonts w:cs="Arial"/>
        </w:rPr>
        <w:t xml:space="preserve">. Available at: </w:t>
      </w:r>
      <w:hyperlink r:id="rId18" w:history="1">
        <w:r w:rsidRPr="002F0A57">
          <w:rPr>
            <w:rStyle w:val="Hyperlink"/>
            <w:rFonts w:cs="Arial"/>
          </w:rPr>
          <w:t>https://www.walthamforest.gov.uk/sites/default/files/2024-03/SPD%20Summer%202023%20Consultation%20Report%20-%20low%20res.pdf</w:t>
        </w:r>
      </w:hyperlink>
      <w:r w:rsidRPr="002F0A57">
        <w:rPr>
          <w:rFonts w:cs="Arial"/>
        </w:rPr>
        <w:t xml:space="preserve"> (Accessed: 5 July 2026).</w:t>
      </w:r>
    </w:p>
    <w:p w14:paraId="128F0563" w14:textId="4646A4A8" w:rsidR="00D66476" w:rsidRPr="003A38AF" w:rsidRDefault="002F0A57" w:rsidP="006F59F0">
      <w:pPr>
        <w:spacing w:after="120"/>
        <w:rPr>
          <w:rFonts w:cs="Arial"/>
        </w:rPr>
      </w:pPr>
      <w:r w:rsidRPr="002F0A57">
        <w:rPr>
          <w:rFonts w:cs="Arial"/>
        </w:rPr>
        <w:t xml:space="preserve">Waltham Forest Council (2026) </w:t>
      </w:r>
      <w:r w:rsidRPr="002F0A57">
        <w:rPr>
          <w:rFonts w:cs="Arial"/>
          <w:i/>
          <w:iCs/>
        </w:rPr>
        <w:t>Resident Groups</w:t>
      </w:r>
      <w:r w:rsidRPr="002F0A57">
        <w:rPr>
          <w:rFonts w:cs="Arial"/>
        </w:rPr>
        <w:t xml:space="preserve">. Available at: </w:t>
      </w:r>
      <w:hyperlink r:id="rId19" w:history="1">
        <w:r w:rsidRPr="002F0A57">
          <w:rPr>
            <w:rStyle w:val="Hyperlink"/>
            <w:rFonts w:cs="Arial"/>
          </w:rPr>
          <w:t>https://www.walthamforest.gov.uk/libraries-arts-parks-and-leisure/parks-and-open-spaces/resident-groups</w:t>
        </w:r>
      </w:hyperlink>
      <w:r w:rsidRPr="002F0A57">
        <w:rPr>
          <w:rFonts w:cs="Arial"/>
        </w:rPr>
        <w:t xml:space="preserve"> (Accessed: 5 July 2026).</w:t>
      </w:r>
    </w:p>
    <w:sectPr w:rsidR="00D66476" w:rsidRPr="003A38AF" w:rsidSect="00BA172F">
      <w:footerReference w:type="default" r:id="rId2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715BB" w14:textId="77777777" w:rsidR="00673623" w:rsidRDefault="00673623" w:rsidP="00820CB6">
      <w:pPr>
        <w:spacing w:line="240" w:lineRule="auto"/>
      </w:pPr>
      <w:r>
        <w:separator/>
      </w:r>
    </w:p>
  </w:endnote>
  <w:endnote w:type="continuationSeparator" w:id="0">
    <w:p w14:paraId="6EA3DCB3" w14:textId="77777777" w:rsidR="00673623" w:rsidRDefault="00673623" w:rsidP="00820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0195632"/>
      <w:docPartObj>
        <w:docPartGallery w:val="Page Numbers (Bottom of Page)"/>
        <w:docPartUnique/>
      </w:docPartObj>
    </w:sdtPr>
    <w:sdtEndPr>
      <w:rPr>
        <w:noProof/>
      </w:rPr>
    </w:sdtEndPr>
    <w:sdtContent>
      <w:p w14:paraId="7D25AE42" w14:textId="3D1D35E8" w:rsidR="00BA172F" w:rsidRDefault="00BA172F" w:rsidP="006559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19D557" w14:textId="77777777" w:rsidR="00BA172F" w:rsidRDefault="00BA1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615A2" w14:textId="77777777" w:rsidR="00673623" w:rsidRDefault="00673623" w:rsidP="00820CB6">
      <w:pPr>
        <w:spacing w:line="240" w:lineRule="auto"/>
      </w:pPr>
      <w:r>
        <w:separator/>
      </w:r>
    </w:p>
  </w:footnote>
  <w:footnote w:type="continuationSeparator" w:id="0">
    <w:p w14:paraId="55FC2D6A" w14:textId="77777777" w:rsidR="00673623" w:rsidRDefault="00673623" w:rsidP="00820C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45A0A"/>
    <w:multiLevelType w:val="hybridMultilevel"/>
    <w:tmpl w:val="E5162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867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CB6"/>
    <w:rsid w:val="00000AB3"/>
    <w:rsid w:val="0000420C"/>
    <w:rsid w:val="00016043"/>
    <w:rsid w:val="0001771B"/>
    <w:rsid w:val="000203DA"/>
    <w:rsid w:val="00020847"/>
    <w:rsid w:val="00020E4B"/>
    <w:rsid w:val="0002259F"/>
    <w:rsid w:val="0002431E"/>
    <w:rsid w:val="00024E28"/>
    <w:rsid w:val="0002598F"/>
    <w:rsid w:val="00026608"/>
    <w:rsid w:val="00027D42"/>
    <w:rsid w:val="00033DEF"/>
    <w:rsid w:val="0003412D"/>
    <w:rsid w:val="00034522"/>
    <w:rsid w:val="00034F25"/>
    <w:rsid w:val="0003783A"/>
    <w:rsid w:val="0004563D"/>
    <w:rsid w:val="00045688"/>
    <w:rsid w:val="00045B8A"/>
    <w:rsid w:val="0004697A"/>
    <w:rsid w:val="000540FE"/>
    <w:rsid w:val="00057419"/>
    <w:rsid w:val="00060116"/>
    <w:rsid w:val="00060209"/>
    <w:rsid w:val="00060B34"/>
    <w:rsid w:val="00060F90"/>
    <w:rsid w:val="00060FD6"/>
    <w:rsid w:val="00061AA0"/>
    <w:rsid w:val="00061DD0"/>
    <w:rsid w:val="00062C69"/>
    <w:rsid w:val="00063BF3"/>
    <w:rsid w:val="000656D6"/>
    <w:rsid w:val="000666BD"/>
    <w:rsid w:val="00067CB6"/>
    <w:rsid w:val="00067DC5"/>
    <w:rsid w:val="000710FC"/>
    <w:rsid w:val="000724C3"/>
    <w:rsid w:val="0007323A"/>
    <w:rsid w:val="00074422"/>
    <w:rsid w:val="00077EE0"/>
    <w:rsid w:val="00080425"/>
    <w:rsid w:val="000840F4"/>
    <w:rsid w:val="0008426A"/>
    <w:rsid w:val="0008742C"/>
    <w:rsid w:val="00090C3E"/>
    <w:rsid w:val="000924A3"/>
    <w:rsid w:val="00092DF1"/>
    <w:rsid w:val="00093C23"/>
    <w:rsid w:val="0009622E"/>
    <w:rsid w:val="00097B89"/>
    <w:rsid w:val="000A0509"/>
    <w:rsid w:val="000A210E"/>
    <w:rsid w:val="000A25D9"/>
    <w:rsid w:val="000A38E3"/>
    <w:rsid w:val="000A4AC5"/>
    <w:rsid w:val="000A6025"/>
    <w:rsid w:val="000B01DA"/>
    <w:rsid w:val="000B0821"/>
    <w:rsid w:val="000B1205"/>
    <w:rsid w:val="000B493C"/>
    <w:rsid w:val="000B5EB6"/>
    <w:rsid w:val="000B72BD"/>
    <w:rsid w:val="000C2118"/>
    <w:rsid w:val="000C244C"/>
    <w:rsid w:val="000C4CB9"/>
    <w:rsid w:val="000C5E61"/>
    <w:rsid w:val="000C6ACB"/>
    <w:rsid w:val="000D15E3"/>
    <w:rsid w:val="000D1E34"/>
    <w:rsid w:val="000D26C7"/>
    <w:rsid w:val="000D3EA2"/>
    <w:rsid w:val="000D4CF9"/>
    <w:rsid w:val="000D60D8"/>
    <w:rsid w:val="000E089D"/>
    <w:rsid w:val="000E3976"/>
    <w:rsid w:val="000E3D54"/>
    <w:rsid w:val="000E4CAB"/>
    <w:rsid w:val="000F11D3"/>
    <w:rsid w:val="000F2363"/>
    <w:rsid w:val="000F256B"/>
    <w:rsid w:val="000F3665"/>
    <w:rsid w:val="000F5325"/>
    <w:rsid w:val="000F57F3"/>
    <w:rsid w:val="000F73C4"/>
    <w:rsid w:val="000F7620"/>
    <w:rsid w:val="001019D6"/>
    <w:rsid w:val="00101C45"/>
    <w:rsid w:val="00103578"/>
    <w:rsid w:val="00105B30"/>
    <w:rsid w:val="00106B6C"/>
    <w:rsid w:val="00106BC1"/>
    <w:rsid w:val="0011126F"/>
    <w:rsid w:val="00111C5A"/>
    <w:rsid w:val="001137EA"/>
    <w:rsid w:val="00113E52"/>
    <w:rsid w:val="00115EFA"/>
    <w:rsid w:val="00120ADC"/>
    <w:rsid w:val="00121952"/>
    <w:rsid w:val="00122AE7"/>
    <w:rsid w:val="0012424E"/>
    <w:rsid w:val="00124480"/>
    <w:rsid w:val="0013038F"/>
    <w:rsid w:val="00130C35"/>
    <w:rsid w:val="001310B0"/>
    <w:rsid w:val="00137048"/>
    <w:rsid w:val="001379E9"/>
    <w:rsid w:val="0014008D"/>
    <w:rsid w:val="001402AD"/>
    <w:rsid w:val="00140AB9"/>
    <w:rsid w:val="00141A39"/>
    <w:rsid w:val="00141E18"/>
    <w:rsid w:val="00143083"/>
    <w:rsid w:val="001439EF"/>
    <w:rsid w:val="001521E4"/>
    <w:rsid w:val="00152944"/>
    <w:rsid w:val="00153347"/>
    <w:rsid w:val="0015404E"/>
    <w:rsid w:val="00154238"/>
    <w:rsid w:val="00161D47"/>
    <w:rsid w:val="00162920"/>
    <w:rsid w:val="00165DE5"/>
    <w:rsid w:val="0017027E"/>
    <w:rsid w:val="001705D7"/>
    <w:rsid w:val="00170EF0"/>
    <w:rsid w:val="001711EB"/>
    <w:rsid w:val="00173FA8"/>
    <w:rsid w:val="001757FB"/>
    <w:rsid w:val="0017636F"/>
    <w:rsid w:val="00177633"/>
    <w:rsid w:val="00177ACD"/>
    <w:rsid w:val="00180566"/>
    <w:rsid w:val="001815FC"/>
    <w:rsid w:val="001827A8"/>
    <w:rsid w:val="001827E6"/>
    <w:rsid w:val="0018293F"/>
    <w:rsid w:val="00182A37"/>
    <w:rsid w:val="00183D3F"/>
    <w:rsid w:val="00185653"/>
    <w:rsid w:val="00185716"/>
    <w:rsid w:val="00193264"/>
    <w:rsid w:val="001940D6"/>
    <w:rsid w:val="00194D17"/>
    <w:rsid w:val="00195211"/>
    <w:rsid w:val="00197176"/>
    <w:rsid w:val="0019794A"/>
    <w:rsid w:val="00197DEC"/>
    <w:rsid w:val="001A19D2"/>
    <w:rsid w:val="001A3E14"/>
    <w:rsid w:val="001A40E4"/>
    <w:rsid w:val="001A4686"/>
    <w:rsid w:val="001A49AE"/>
    <w:rsid w:val="001A4B3C"/>
    <w:rsid w:val="001A59B3"/>
    <w:rsid w:val="001B18B5"/>
    <w:rsid w:val="001B19C0"/>
    <w:rsid w:val="001B3E3C"/>
    <w:rsid w:val="001B462F"/>
    <w:rsid w:val="001B4B44"/>
    <w:rsid w:val="001B56BC"/>
    <w:rsid w:val="001C0065"/>
    <w:rsid w:val="001C10AA"/>
    <w:rsid w:val="001C2111"/>
    <w:rsid w:val="001C24C6"/>
    <w:rsid w:val="001C2A4D"/>
    <w:rsid w:val="001C2B01"/>
    <w:rsid w:val="001C2BD7"/>
    <w:rsid w:val="001C7B71"/>
    <w:rsid w:val="001D0AC7"/>
    <w:rsid w:val="001D47CF"/>
    <w:rsid w:val="001D48A6"/>
    <w:rsid w:val="001D77B8"/>
    <w:rsid w:val="001E02E6"/>
    <w:rsid w:val="001E1748"/>
    <w:rsid w:val="001E6675"/>
    <w:rsid w:val="001E6934"/>
    <w:rsid w:val="001F227B"/>
    <w:rsid w:val="001F52E7"/>
    <w:rsid w:val="00203225"/>
    <w:rsid w:val="002033B2"/>
    <w:rsid w:val="002054D3"/>
    <w:rsid w:val="002078D6"/>
    <w:rsid w:val="00211731"/>
    <w:rsid w:val="00211B92"/>
    <w:rsid w:val="002123F7"/>
    <w:rsid w:val="00213136"/>
    <w:rsid w:val="00216B8A"/>
    <w:rsid w:val="00220AF9"/>
    <w:rsid w:val="00221F26"/>
    <w:rsid w:val="002227DB"/>
    <w:rsid w:val="00222DA4"/>
    <w:rsid w:val="00223B22"/>
    <w:rsid w:val="0022469F"/>
    <w:rsid w:val="00225B00"/>
    <w:rsid w:val="00227ABB"/>
    <w:rsid w:val="00230D41"/>
    <w:rsid w:val="00230E21"/>
    <w:rsid w:val="00231F54"/>
    <w:rsid w:val="0023237C"/>
    <w:rsid w:val="00232393"/>
    <w:rsid w:val="002379B4"/>
    <w:rsid w:val="00237AAF"/>
    <w:rsid w:val="00240630"/>
    <w:rsid w:val="00240993"/>
    <w:rsid w:val="002455F8"/>
    <w:rsid w:val="002506B3"/>
    <w:rsid w:val="00250741"/>
    <w:rsid w:val="0025262D"/>
    <w:rsid w:val="002546E1"/>
    <w:rsid w:val="002557ED"/>
    <w:rsid w:val="00256C9F"/>
    <w:rsid w:val="00262143"/>
    <w:rsid w:val="00263552"/>
    <w:rsid w:val="00263E37"/>
    <w:rsid w:val="00264D37"/>
    <w:rsid w:val="00266D6B"/>
    <w:rsid w:val="00267896"/>
    <w:rsid w:val="00267C56"/>
    <w:rsid w:val="00270CFA"/>
    <w:rsid w:val="00270FFE"/>
    <w:rsid w:val="002715CF"/>
    <w:rsid w:val="00272818"/>
    <w:rsid w:val="00273D86"/>
    <w:rsid w:val="00274B8D"/>
    <w:rsid w:val="0027742D"/>
    <w:rsid w:val="0027749D"/>
    <w:rsid w:val="0027776D"/>
    <w:rsid w:val="002800D3"/>
    <w:rsid w:val="0028052A"/>
    <w:rsid w:val="00280DD6"/>
    <w:rsid w:val="002819B6"/>
    <w:rsid w:val="0028257B"/>
    <w:rsid w:val="0028439C"/>
    <w:rsid w:val="00285D87"/>
    <w:rsid w:val="00286981"/>
    <w:rsid w:val="00287812"/>
    <w:rsid w:val="002925C6"/>
    <w:rsid w:val="00292CB9"/>
    <w:rsid w:val="0029392D"/>
    <w:rsid w:val="002939D4"/>
    <w:rsid w:val="00293CCE"/>
    <w:rsid w:val="00295893"/>
    <w:rsid w:val="002973ED"/>
    <w:rsid w:val="00297E34"/>
    <w:rsid w:val="002A0352"/>
    <w:rsid w:val="002A1B65"/>
    <w:rsid w:val="002A40C6"/>
    <w:rsid w:val="002A7BBA"/>
    <w:rsid w:val="002B0F72"/>
    <w:rsid w:val="002B1E4F"/>
    <w:rsid w:val="002B2049"/>
    <w:rsid w:val="002B4894"/>
    <w:rsid w:val="002B720F"/>
    <w:rsid w:val="002B7F55"/>
    <w:rsid w:val="002C028D"/>
    <w:rsid w:val="002C0A15"/>
    <w:rsid w:val="002D2193"/>
    <w:rsid w:val="002D3A56"/>
    <w:rsid w:val="002D57B9"/>
    <w:rsid w:val="002D5918"/>
    <w:rsid w:val="002E14C0"/>
    <w:rsid w:val="002E1522"/>
    <w:rsid w:val="002E1964"/>
    <w:rsid w:val="002E51DC"/>
    <w:rsid w:val="002E57E6"/>
    <w:rsid w:val="002E7254"/>
    <w:rsid w:val="002E76DD"/>
    <w:rsid w:val="002F0A57"/>
    <w:rsid w:val="002F0E96"/>
    <w:rsid w:val="002F1605"/>
    <w:rsid w:val="002F1697"/>
    <w:rsid w:val="002F427B"/>
    <w:rsid w:val="00304691"/>
    <w:rsid w:val="00305FFA"/>
    <w:rsid w:val="00306791"/>
    <w:rsid w:val="0030784A"/>
    <w:rsid w:val="00310CCA"/>
    <w:rsid w:val="00312C56"/>
    <w:rsid w:val="00313337"/>
    <w:rsid w:val="0031422D"/>
    <w:rsid w:val="00315005"/>
    <w:rsid w:val="0031748F"/>
    <w:rsid w:val="00317B39"/>
    <w:rsid w:val="0032023E"/>
    <w:rsid w:val="003203C4"/>
    <w:rsid w:val="0032266D"/>
    <w:rsid w:val="0032271C"/>
    <w:rsid w:val="00323352"/>
    <w:rsid w:val="003256FA"/>
    <w:rsid w:val="00330040"/>
    <w:rsid w:val="00332AB8"/>
    <w:rsid w:val="00332FD9"/>
    <w:rsid w:val="00334B97"/>
    <w:rsid w:val="00336CF2"/>
    <w:rsid w:val="00342D34"/>
    <w:rsid w:val="00343A3E"/>
    <w:rsid w:val="00344376"/>
    <w:rsid w:val="00344B89"/>
    <w:rsid w:val="00345641"/>
    <w:rsid w:val="00350ADD"/>
    <w:rsid w:val="0035128E"/>
    <w:rsid w:val="00353383"/>
    <w:rsid w:val="003534A2"/>
    <w:rsid w:val="003550F2"/>
    <w:rsid w:val="003602AF"/>
    <w:rsid w:val="00360FA0"/>
    <w:rsid w:val="003633C8"/>
    <w:rsid w:val="003636D5"/>
    <w:rsid w:val="00363DAC"/>
    <w:rsid w:val="00364D82"/>
    <w:rsid w:val="00365B57"/>
    <w:rsid w:val="00371EAB"/>
    <w:rsid w:val="0037297B"/>
    <w:rsid w:val="00372FF9"/>
    <w:rsid w:val="00373872"/>
    <w:rsid w:val="0037435D"/>
    <w:rsid w:val="00374547"/>
    <w:rsid w:val="003772A6"/>
    <w:rsid w:val="00377361"/>
    <w:rsid w:val="0038044D"/>
    <w:rsid w:val="00381719"/>
    <w:rsid w:val="00381FFD"/>
    <w:rsid w:val="00383A3F"/>
    <w:rsid w:val="00384901"/>
    <w:rsid w:val="0038554B"/>
    <w:rsid w:val="003872CF"/>
    <w:rsid w:val="00387C6C"/>
    <w:rsid w:val="003906BB"/>
    <w:rsid w:val="00391FA4"/>
    <w:rsid w:val="00394395"/>
    <w:rsid w:val="00395796"/>
    <w:rsid w:val="00397A4F"/>
    <w:rsid w:val="003A0120"/>
    <w:rsid w:val="003A1830"/>
    <w:rsid w:val="003A38AF"/>
    <w:rsid w:val="003A6B72"/>
    <w:rsid w:val="003A6E0D"/>
    <w:rsid w:val="003B096C"/>
    <w:rsid w:val="003B11A3"/>
    <w:rsid w:val="003B1414"/>
    <w:rsid w:val="003B3DC9"/>
    <w:rsid w:val="003B5CB0"/>
    <w:rsid w:val="003B5E13"/>
    <w:rsid w:val="003B7FF5"/>
    <w:rsid w:val="003C1A4E"/>
    <w:rsid w:val="003C2845"/>
    <w:rsid w:val="003C3F76"/>
    <w:rsid w:val="003C6166"/>
    <w:rsid w:val="003C6BA0"/>
    <w:rsid w:val="003C6F63"/>
    <w:rsid w:val="003D03A5"/>
    <w:rsid w:val="003D25F4"/>
    <w:rsid w:val="003D6390"/>
    <w:rsid w:val="003D7647"/>
    <w:rsid w:val="003E0229"/>
    <w:rsid w:val="003E20C7"/>
    <w:rsid w:val="003E2457"/>
    <w:rsid w:val="003E5EF1"/>
    <w:rsid w:val="003E670A"/>
    <w:rsid w:val="003F092A"/>
    <w:rsid w:val="003F124C"/>
    <w:rsid w:val="003F1C1C"/>
    <w:rsid w:val="003F3774"/>
    <w:rsid w:val="003F514D"/>
    <w:rsid w:val="003F531E"/>
    <w:rsid w:val="003F7945"/>
    <w:rsid w:val="00402453"/>
    <w:rsid w:val="0040327D"/>
    <w:rsid w:val="00403302"/>
    <w:rsid w:val="00403581"/>
    <w:rsid w:val="00406BFF"/>
    <w:rsid w:val="00412D3B"/>
    <w:rsid w:val="00417556"/>
    <w:rsid w:val="00420B65"/>
    <w:rsid w:val="00421FB3"/>
    <w:rsid w:val="004263DA"/>
    <w:rsid w:val="00427912"/>
    <w:rsid w:val="00430F85"/>
    <w:rsid w:val="004311CF"/>
    <w:rsid w:val="004316B4"/>
    <w:rsid w:val="004323F1"/>
    <w:rsid w:val="00434143"/>
    <w:rsid w:val="004341BB"/>
    <w:rsid w:val="00435E1F"/>
    <w:rsid w:val="00435F60"/>
    <w:rsid w:val="00436C1E"/>
    <w:rsid w:val="00436FA9"/>
    <w:rsid w:val="004406B3"/>
    <w:rsid w:val="00441A3B"/>
    <w:rsid w:val="004426EE"/>
    <w:rsid w:val="004431C9"/>
    <w:rsid w:val="0044453C"/>
    <w:rsid w:val="00446EA8"/>
    <w:rsid w:val="00447512"/>
    <w:rsid w:val="004500CB"/>
    <w:rsid w:val="0045024B"/>
    <w:rsid w:val="00451D10"/>
    <w:rsid w:val="00452F91"/>
    <w:rsid w:val="004532EF"/>
    <w:rsid w:val="00455294"/>
    <w:rsid w:val="00455EB2"/>
    <w:rsid w:val="004603FC"/>
    <w:rsid w:val="00462E56"/>
    <w:rsid w:val="00465B6D"/>
    <w:rsid w:val="00467350"/>
    <w:rsid w:val="00470804"/>
    <w:rsid w:val="004732F0"/>
    <w:rsid w:val="004769C5"/>
    <w:rsid w:val="004833F6"/>
    <w:rsid w:val="0048394B"/>
    <w:rsid w:val="00486EA5"/>
    <w:rsid w:val="0049080B"/>
    <w:rsid w:val="00493695"/>
    <w:rsid w:val="00495E22"/>
    <w:rsid w:val="00497E5E"/>
    <w:rsid w:val="004A019B"/>
    <w:rsid w:val="004A2F62"/>
    <w:rsid w:val="004A3A69"/>
    <w:rsid w:val="004A4BD1"/>
    <w:rsid w:val="004A63DF"/>
    <w:rsid w:val="004B1D42"/>
    <w:rsid w:val="004B3F6A"/>
    <w:rsid w:val="004B5BAB"/>
    <w:rsid w:val="004B60DD"/>
    <w:rsid w:val="004B6950"/>
    <w:rsid w:val="004C14F1"/>
    <w:rsid w:val="004C1E7B"/>
    <w:rsid w:val="004C49D7"/>
    <w:rsid w:val="004C5F6D"/>
    <w:rsid w:val="004C688B"/>
    <w:rsid w:val="004C6B44"/>
    <w:rsid w:val="004D5B80"/>
    <w:rsid w:val="004D7F59"/>
    <w:rsid w:val="004E6150"/>
    <w:rsid w:val="004E6BD9"/>
    <w:rsid w:val="004E716C"/>
    <w:rsid w:val="004F065F"/>
    <w:rsid w:val="004F25EC"/>
    <w:rsid w:val="004F260E"/>
    <w:rsid w:val="004F35E0"/>
    <w:rsid w:val="004F396E"/>
    <w:rsid w:val="004F3DF9"/>
    <w:rsid w:val="004F41D6"/>
    <w:rsid w:val="004F44DC"/>
    <w:rsid w:val="004F4DDA"/>
    <w:rsid w:val="004F4EB8"/>
    <w:rsid w:val="004F573D"/>
    <w:rsid w:val="004F64A7"/>
    <w:rsid w:val="004F670D"/>
    <w:rsid w:val="004F78FA"/>
    <w:rsid w:val="004F7F63"/>
    <w:rsid w:val="00500978"/>
    <w:rsid w:val="00500C44"/>
    <w:rsid w:val="005018D8"/>
    <w:rsid w:val="00504DD0"/>
    <w:rsid w:val="005063EC"/>
    <w:rsid w:val="00506630"/>
    <w:rsid w:val="00506A16"/>
    <w:rsid w:val="00512C35"/>
    <w:rsid w:val="00513338"/>
    <w:rsid w:val="00514EAC"/>
    <w:rsid w:val="00515B73"/>
    <w:rsid w:val="00516040"/>
    <w:rsid w:val="00516A92"/>
    <w:rsid w:val="0051756E"/>
    <w:rsid w:val="0052572C"/>
    <w:rsid w:val="00527353"/>
    <w:rsid w:val="00530D63"/>
    <w:rsid w:val="005334F9"/>
    <w:rsid w:val="00533BC6"/>
    <w:rsid w:val="005344AD"/>
    <w:rsid w:val="00536C5A"/>
    <w:rsid w:val="00536D5D"/>
    <w:rsid w:val="00541205"/>
    <w:rsid w:val="005423B7"/>
    <w:rsid w:val="00542B8F"/>
    <w:rsid w:val="0054450F"/>
    <w:rsid w:val="005447E7"/>
    <w:rsid w:val="00546D32"/>
    <w:rsid w:val="005511D6"/>
    <w:rsid w:val="00552479"/>
    <w:rsid w:val="0055575E"/>
    <w:rsid w:val="0056016D"/>
    <w:rsid w:val="005611AF"/>
    <w:rsid w:val="0056511F"/>
    <w:rsid w:val="00570150"/>
    <w:rsid w:val="00573463"/>
    <w:rsid w:val="005736E7"/>
    <w:rsid w:val="0057453C"/>
    <w:rsid w:val="00574792"/>
    <w:rsid w:val="00574FBB"/>
    <w:rsid w:val="00576A2B"/>
    <w:rsid w:val="00580661"/>
    <w:rsid w:val="005810EF"/>
    <w:rsid w:val="0058506E"/>
    <w:rsid w:val="00585375"/>
    <w:rsid w:val="00585CCF"/>
    <w:rsid w:val="00586618"/>
    <w:rsid w:val="00587987"/>
    <w:rsid w:val="00597512"/>
    <w:rsid w:val="005A1875"/>
    <w:rsid w:val="005A3BA4"/>
    <w:rsid w:val="005B0956"/>
    <w:rsid w:val="005B33BC"/>
    <w:rsid w:val="005B543A"/>
    <w:rsid w:val="005B5AAF"/>
    <w:rsid w:val="005C2184"/>
    <w:rsid w:val="005C250E"/>
    <w:rsid w:val="005C2ACF"/>
    <w:rsid w:val="005C5D01"/>
    <w:rsid w:val="005C6667"/>
    <w:rsid w:val="005C7D27"/>
    <w:rsid w:val="005D6D3F"/>
    <w:rsid w:val="005D7856"/>
    <w:rsid w:val="005E0BC4"/>
    <w:rsid w:val="005E446C"/>
    <w:rsid w:val="005E6A81"/>
    <w:rsid w:val="005E6ACD"/>
    <w:rsid w:val="005E7B70"/>
    <w:rsid w:val="005F0729"/>
    <w:rsid w:val="005F0B95"/>
    <w:rsid w:val="005F145C"/>
    <w:rsid w:val="005F293F"/>
    <w:rsid w:val="005F2D57"/>
    <w:rsid w:val="005F31B0"/>
    <w:rsid w:val="005F3BB2"/>
    <w:rsid w:val="005F54F8"/>
    <w:rsid w:val="005F6DD6"/>
    <w:rsid w:val="005F7C23"/>
    <w:rsid w:val="00601E0C"/>
    <w:rsid w:val="006032FF"/>
    <w:rsid w:val="0060388D"/>
    <w:rsid w:val="00604277"/>
    <w:rsid w:val="006056BF"/>
    <w:rsid w:val="00610C72"/>
    <w:rsid w:val="0061439A"/>
    <w:rsid w:val="00615C22"/>
    <w:rsid w:val="00616B8C"/>
    <w:rsid w:val="0061702E"/>
    <w:rsid w:val="006177D0"/>
    <w:rsid w:val="006235D6"/>
    <w:rsid w:val="00625246"/>
    <w:rsid w:val="00627F56"/>
    <w:rsid w:val="0063116C"/>
    <w:rsid w:val="00633F1A"/>
    <w:rsid w:val="006404AB"/>
    <w:rsid w:val="0064715F"/>
    <w:rsid w:val="00650935"/>
    <w:rsid w:val="00651C4C"/>
    <w:rsid w:val="0065355C"/>
    <w:rsid w:val="00655987"/>
    <w:rsid w:val="00657AAE"/>
    <w:rsid w:val="0066544D"/>
    <w:rsid w:val="00666B95"/>
    <w:rsid w:val="00666DCC"/>
    <w:rsid w:val="0066712F"/>
    <w:rsid w:val="006673F9"/>
    <w:rsid w:val="00670DAC"/>
    <w:rsid w:val="00673623"/>
    <w:rsid w:val="00673E91"/>
    <w:rsid w:val="00674675"/>
    <w:rsid w:val="006766CF"/>
    <w:rsid w:val="00676882"/>
    <w:rsid w:val="006800B2"/>
    <w:rsid w:val="0068082A"/>
    <w:rsid w:val="0068137A"/>
    <w:rsid w:val="00683542"/>
    <w:rsid w:val="00687E9F"/>
    <w:rsid w:val="0069104F"/>
    <w:rsid w:val="00691AAF"/>
    <w:rsid w:val="0069354C"/>
    <w:rsid w:val="006950CD"/>
    <w:rsid w:val="00695A16"/>
    <w:rsid w:val="00696D83"/>
    <w:rsid w:val="00697055"/>
    <w:rsid w:val="006B396E"/>
    <w:rsid w:val="006B3D67"/>
    <w:rsid w:val="006B3EB2"/>
    <w:rsid w:val="006B469A"/>
    <w:rsid w:val="006B6311"/>
    <w:rsid w:val="006B7174"/>
    <w:rsid w:val="006C25D9"/>
    <w:rsid w:val="006C44B1"/>
    <w:rsid w:val="006C593B"/>
    <w:rsid w:val="006C7FEC"/>
    <w:rsid w:val="006D02D7"/>
    <w:rsid w:val="006D206D"/>
    <w:rsid w:val="006D287A"/>
    <w:rsid w:val="006D3BC3"/>
    <w:rsid w:val="006D58FE"/>
    <w:rsid w:val="006D6EDA"/>
    <w:rsid w:val="006E1119"/>
    <w:rsid w:val="006E33E3"/>
    <w:rsid w:val="006E3C39"/>
    <w:rsid w:val="006E51DA"/>
    <w:rsid w:val="006E78AD"/>
    <w:rsid w:val="006F03C0"/>
    <w:rsid w:val="006F1238"/>
    <w:rsid w:val="006F36B5"/>
    <w:rsid w:val="006F39BA"/>
    <w:rsid w:val="006F59F0"/>
    <w:rsid w:val="006F6FF0"/>
    <w:rsid w:val="006F7FC0"/>
    <w:rsid w:val="0070009D"/>
    <w:rsid w:val="007008ED"/>
    <w:rsid w:val="0070104C"/>
    <w:rsid w:val="0070125E"/>
    <w:rsid w:val="007062B9"/>
    <w:rsid w:val="00707653"/>
    <w:rsid w:val="00714562"/>
    <w:rsid w:val="0071692A"/>
    <w:rsid w:val="00717962"/>
    <w:rsid w:val="007204F3"/>
    <w:rsid w:val="00724227"/>
    <w:rsid w:val="00725F74"/>
    <w:rsid w:val="0072702C"/>
    <w:rsid w:val="00731CAD"/>
    <w:rsid w:val="0073363C"/>
    <w:rsid w:val="00733709"/>
    <w:rsid w:val="00734D01"/>
    <w:rsid w:val="00734E11"/>
    <w:rsid w:val="00735EA0"/>
    <w:rsid w:val="00736499"/>
    <w:rsid w:val="007368B6"/>
    <w:rsid w:val="0074154B"/>
    <w:rsid w:val="00741DBA"/>
    <w:rsid w:val="007429E3"/>
    <w:rsid w:val="00745A74"/>
    <w:rsid w:val="007467FD"/>
    <w:rsid w:val="00746F5C"/>
    <w:rsid w:val="00752185"/>
    <w:rsid w:val="00754C18"/>
    <w:rsid w:val="007550FA"/>
    <w:rsid w:val="00755329"/>
    <w:rsid w:val="00755DA1"/>
    <w:rsid w:val="007574ED"/>
    <w:rsid w:val="00760419"/>
    <w:rsid w:val="00760EEC"/>
    <w:rsid w:val="00764971"/>
    <w:rsid w:val="00764FBA"/>
    <w:rsid w:val="0076591B"/>
    <w:rsid w:val="00767C66"/>
    <w:rsid w:val="00767E02"/>
    <w:rsid w:val="00770C8A"/>
    <w:rsid w:val="007738F9"/>
    <w:rsid w:val="00773F1E"/>
    <w:rsid w:val="00775273"/>
    <w:rsid w:val="007760B4"/>
    <w:rsid w:val="00777114"/>
    <w:rsid w:val="007779B0"/>
    <w:rsid w:val="00777D0A"/>
    <w:rsid w:val="00780212"/>
    <w:rsid w:val="007820F2"/>
    <w:rsid w:val="00786248"/>
    <w:rsid w:val="007871BC"/>
    <w:rsid w:val="00791DF6"/>
    <w:rsid w:val="007942D1"/>
    <w:rsid w:val="00795D85"/>
    <w:rsid w:val="00796458"/>
    <w:rsid w:val="00796CA6"/>
    <w:rsid w:val="007A3CEF"/>
    <w:rsid w:val="007A5ABD"/>
    <w:rsid w:val="007A710E"/>
    <w:rsid w:val="007B19FF"/>
    <w:rsid w:val="007B245B"/>
    <w:rsid w:val="007B27D7"/>
    <w:rsid w:val="007B32F5"/>
    <w:rsid w:val="007B6995"/>
    <w:rsid w:val="007B6A7E"/>
    <w:rsid w:val="007B6DCF"/>
    <w:rsid w:val="007C03C1"/>
    <w:rsid w:val="007C0C31"/>
    <w:rsid w:val="007C5145"/>
    <w:rsid w:val="007C76C5"/>
    <w:rsid w:val="007D003E"/>
    <w:rsid w:val="007D0BD1"/>
    <w:rsid w:val="007D0D9E"/>
    <w:rsid w:val="007D39D3"/>
    <w:rsid w:val="007D3D4F"/>
    <w:rsid w:val="007D423F"/>
    <w:rsid w:val="007D4B9B"/>
    <w:rsid w:val="007D4D34"/>
    <w:rsid w:val="007D4E10"/>
    <w:rsid w:val="007D61AE"/>
    <w:rsid w:val="007D675C"/>
    <w:rsid w:val="007D6F5B"/>
    <w:rsid w:val="007E03A9"/>
    <w:rsid w:val="007E3FFE"/>
    <w:rsid w:val="007E4626"/>
    <w:rsid w:val="007E5FBD"/>
    <w:rsid w:val="007F0001"/>
    <w:rsid w:val="007F25E5"/>
    <w:rsid w:val="007F405B"/>
    <w:rsid w:val="007F5E57"/>
    <w:rsid w:val="00801B05"/>
    <w:rsid w:val="00802954"/>
    <w:rsid w:val="00805BD2"/>
    <w:rsid w:val="008061D7"/>
    <w:rsid w:val="00806408"/>
    <w:rsid w:val="00806C03"/>
    <w:rsid w:val="00812B1B"/>
    <w:rsid w:val="00813817"/>
    <w:rsid w:val="00816F85"/>
    <w:rsid w:val="00817DE3"/>
    <w:rsid w:val="0082013B"/>
    <w:rsid w:val="00820CB6"/>
    <w:rsid w:val="0082300B"/>
    <w:rsid w:val="0082453C"/>
    <w:rsid w:val="00826146"/>
    <w:rsid w:val="00827B7D"/>
    <w:rsid w:val="008340BD"/>
    <w:rsid w:val="008363F5"/>
    <w:rsid w:val="00840224"/>
    <w:rsid w:val="00840982"/>
    <w:rsid w:val="0084461A"/>
    <w:rsid w:val="00844F4A"/>
    <w:rsid w:val="00845B90"/>
    <w:rsid w:val="00845BE6"/>
    <w:rsid w:val="00846BFC"/>
    <w:rsid w:val="00850176"/>
    <w:rsid w:val="008506AF"/>
    <w:rsid w:val="0085102D"/>
    <w:rsid w:val="00852325"/>
    <w:rsid w:val="0085244E"/>
    <w:rsid w:val="0085313F"/>
    <w:rsid w:val="0085366E"/>
    <w:rsid w:val="00856B50"/>
    <w:rsid w:val="00860232"/>
    <w:rsid w:val="00861564"/>
    <w:rsid w:val="00863436"/>
    <w:rsid w:val="00863631"/>
    <w:rsid w:val="0086369E"/>
    <w:rsid w:val="00864AB9"/>
    <w:rsid w:val="00865AD6"/>
    <w:rsid w:val="00867336"/>
    <w:rsid w:val="00867930"/>
    <w:rsid w:val="00867F8B"/>
    <w:rsid w:val="00870752"/>
    <w:rsid w:val="00871071"/>
    <w:rsid w:val="00871544"/>
    <w:rsid w:val="00872188"/>
    <w:rsid w:val="008741A7"/>
    <w:rsid w:val="008758B6"/>
    <w:rsid w:val="00877FB2"/>
    <w:rsid w:val="0088089E"/>
    <w:rsid w:val="008834E7"/>
    <w:rsid w:val="008840D1"/>
    <w:rsid w:val="0088498F"/>
    <w:rsid w:val="00884EB4"/>
    <w:rsid w:val="00885212"/>
    <w:rsid w:val="008878F6"/>
    <w:rsid w:val="00887CD5"/>
    <w:rsid w:val="00890D62"/>
    <w:rsid w:val="00891E5E"/>
    <w:rsid w:val="008928F4"/>
    <w:rsid w:val="00892979"/>
    <w:rsid w:val="00892F8E"/>
    <w:rsid w:val="00893859"/>
    <w:rsid w:val="00893AD4"/>
    <w:rsid w:val="008A08FA"/>
    <w:rsid w:val="008A1C93"/>
    <w:rsid w:val="008A3379"/>
    <w:rsid w:val="008A42A6"/>
    <w:rsid w:val="008A5A79"/>
    <w:rsid w:val="008A7682"/>
    <w:rsid w:val="008B1216"/>
    <w:rsid w:val="008B1CE1"/>
    <w:rsid w:val="008B5B55"/>
    <w:rsid w:val="008C0748"/>
    <w:rsid w:val="008C14D1"/>
    <w:rsid w:val="008C2918"/>
    <w:rsid w:val="008C35F9"/>
    <w:rsid w:val="008C47D3"/>
    <w:rsid w:val="008C50E7"/>
    <w:rsid w:val="008C63FC"/>
    <w:rsid w:val="008C76BC"/>
    <w:rsid w:val="008D0FDD"/>
    <w:rsid w:val="008D1865"/>
    <w:rsid w:val="008D5760"/>
    <w:rsid w:val="008D5A9E"/>
    <w:rsid w:val="008D5EB0"/>
    <w:rsid w:val="008D69CB"/>
    <w:rsid w:val="008D73AA"/>
    <w:rsid w:val="008E06D8"/>
    <w:rsid w:val="008E16FA"/>
    <w:rsid w:val="008E3697"/>
    <w:rsid w:val="008E51D5"/>
    <w:rsid w:val="008E7545"/>
    <w:rsid w:val="008E77D5"/>
    <w:rsid w:val="008F122A"/>
    <w:rsid w:val="008F2349"/>
    <w:rsid w:val="008F37AA"/>
    <w:rsid w:val="008F5DA0"/>
    <w:rsid w:val="0090054B"/>
    <w:rsid w:val="00901B64"/>
    <w:rsid w:val="00902A87"/>
    <w:rsid w:val="00903625"/>
    <w:rsid w:val="00903FDF"/>
    <w:rsid w:val="00904410"/>
    <w:rsid w:val="00904553"/>
    <w:rsid w:val="00906400"/>
    <w:rsid w:val="00906D45"/>
    <w:rsid w:val="00910552"/>
    <w:rsid w:val="00910CB3"/>
    <w:rsid w:val="00912640"/>
    <w:rsid w:val="00912C26"/>
    <w:rsid w:val="00915B47"/>
    <w:rsid w:val="009209A2"/>
    <w:rsid w:val="00920E66"/>
    <w:rsid w:val="009216D1"/>
    <w:rsid w:val="00927B82"/>
    <w:rsid w:val="009302AB"/>
    <w:rsid w:val="009307AB"/>
    <w:rsid w:val="00933E65"/>
    <w:rsid w:val="00935FE3"/>
    <w:rsid w:val="0093684E"/>
    <w:rsid w:val="00937474"/>
    <w:rsid w:val="00941895"/>
    <w:rsid w:val="009420F6"/>
    <w:rsid w:val="00942EED"/>
    <w:rsid w:val="00943780"/>
    <w:rsid w:val="00944D66"/>
    <w:rsid w:val="009454DB"/>
    <w:rsid w:val="00946375"/>
    <w:rsid w:val="00952DCE"/>
    <w:rsid w:val="009533BE"/>
    <w:rsid w:val="0095432D"/>
    <w:rsid w:val="00960FD8"/>
    <w:rsid w:val="009625B5"/>
    <w:rsid w:val="009637F0"/>
    <w:rsid w:val="0096457E"/>
    <w:rsid w:val="00964B7B"/>
    <w:rsid w:val="00965351"/>
    <w:rsid w:val="0096599C"/>
    <w:rsid w:val="00965BEA"/>
    <w:rsid w:val="0096667D"/>
    <w:rsid w:val="00967614"/>
    <w:rsid w:val="009700B4"/>
    <w:rsid w:val="009704D4"/>
    <w:rsid w:val="00972AB5"/>
    <w:rsid w:val="00972FCC"/>
    <w:rsid w:val="00976070"/>
    <w:rsid w:val="0098025F"/>
    <w:rsid w:val="00980587"/>
    <w:rsid w:val="0098137A"/>
    <w:rsid w:val="00982238"/>
    <w:rsid w:val="009837A4"/>
    <w:rsid w:val="009864BB"/>
    <w:rsid w:val="00987BAD"/>
    <w:rsid w:val="0099363F"/>
    <w:rsid w:val="00994304"/>
    <w:rsid w:val="009A4051"/>
    <w:rsid w:val="009A533C"/>
    <w:rsid w:val="009A61B1"/>
    <w:rsid w:val="009A65FA"/>
    <w:rsid w:val="009A6967"/>
    <w:rsid w:val="009B01F7"/>
    <w:rsid w:val="009B0B60"/>
    <w:rsid w:val="009B1E53"/>
    <w:rsid w:val="009B31F1"/>
    <w:rsid w:val="009B43D0"/>
    <w:rsid w:val="009B459A"/>
    <w:rsid w:val="009B78F3"/>
    <w:rsid w:val="009C0C59"/>
    <w:rsid w:val="009C34E2"/>
    <w:rsid w:val="009C45AA"/>
    <w:rsid w:val="009C52B4"/>
    <w:rsid w:val="009C68C3"/>
    <w:rsid w:val="009D0802"/>
    <w:rsid w:val="009D0AC3"/>
    <w:rsid w:val="009D1123"/>
    <w:rsid w:val="009D1FD5"/>
    <w:rsid w:val="009D306E"/>
    <w:rsid w:val="009D35D4"/>
    <w:rsid w:val="009D468C"/>
    <w:rsid w:val="009D49CC"/>
    <w:rsid w:val="009D55FD"/>
    <w:rsid w:val="009D5A48"/>
    <w:rsid w:val="009D682E"/>
    <w:rsid w:val="009E03AB"/>
    <w:rsid w:val="009E21C5"/>
    <w:rsid w:val="009E3B81"/>
    <w:rsid w:val="009E3EA2"/>
    <w:rsid w:val="009E5BCA"/>
    <w:rsid w:val="009E6157"/>
    <w:rsid w:val="009E7975"/>
    <w:rsid w:val="009F35C9"/>
    <w:rsid w:val="009F585B"/>
    <w:rsid w:val="009F6635"/>
    <w:rsid w:val="00A013FD"/>
    <w:rsid w:val="00A03385"/>
    <w:rsid w:val="00A03C60"/>
    <w:rsid w:val="00A042CD"/>
    <w:rsid w:val="00A0656A"/>
    <w:rsid w:val="00A06878"/>
    <w:rsid w:val="00A06BD3"/>
    <w:rsid w:val="00A07A26"/>
    <w:rsid w:val="00A07A32"/>
    <w:rsid w:val="00A07E94"/>
    <w:rsid w:val="00A10A37"/>
    <w:rsid w:val="00A10D2C"/>
    <w:rsid w:val="00A14606"/>
    <w:rsid w:val="00A20A0B"/>
    <w:rsid w:val="00A30B1F"/>
    <w:rsid w:val="00A30F4A"/>
    <w:rsid w:val="00A32ECD"/>
    <w:rsid w:val="00A33289"/>
    <w:rsid w:val="00A33790"/>
    <w:rsid w:val="00A36688"/>
    <w:rsid w:val="00A43AAD"/>
    <w:rsid w:val="00A44EAF"/>
    <w:rsid w:val="00A50E9C"/>
    <w:rsid w:val="00A5113C"/>
    <w:rsid w:val="00A54732"/>
    <w:rsid w:val="00A54966"/>
    <w:rsid w:val="00A54974"/>
    <w:rsid w:val="00A54A54"/>
    <w:rsid w:val="00A60D73"/>
    <w:rsid w:val="00A61E39"/>
    <w:rsid w:val="00A6281D"/>
    <w:rsid w:val="00A6444D"/>
    <w:rsid w:val="00A6570A"/>
    <w:rsid w:val="00A67475"/>
    <w:rsid w:val="00A7154D"/>
    <w:rsid w:val="00A71F98"/>
    <w:rsid w:val="00A71F9A"/>
    <w:rsid w:val="00A731CB"/>
    <w:rsid w:val="00A7373D"/>
    <w:rsid w:val="00A763E9"/>
    <w:rsid w:val="00A7749B"/>
    <w:rsid w:val="00A81808"/>
    <w:rsid w:val="00A81FFC"/>
    <w:rsid w:val="00A85353"/>
    <w:rsid w:val="00A86179"/>
    <w:rsid w:val="00A86A8F"/>
    <w:rsid w:val="00A9131F"/>
    <w:rsid w:val="00A91451"/>
    <w:rsid w:val="00A919C8"/>
    <w:rsid w:val="00A9211A"/>
    <w:rsid w:val="00A932AE"/>
    <w:rsid w:val="00A95A0B"/>
    <w:rsid w:val="00A96992"/>
    <w:rsid w:val="00A96F9B"/>
    <w:rsid w:val="00AA0E0B"/>
    <w:rsid w:val="00AA4EB1"/>
    <w:rsid w:val="00AA66BA"/>
    <w:rsid w:val="00AA6C50"/>
    <w:rsid w:val="00AA78D3"/>
    <w:rsid w:val="00AB0E5F"/>
    <w:rsid w:val="00AB3882"/>
    <w:rsid w:val="00AB4A3F"/>
    <w:rsid w:val="00AB6189"/>
    <w:rsid w:val="00AB6944"/>
    <w:rsid w:val="00AB6F43"/>
    <w:rsid w:val="00AC1799"/>
    <w:rsid w:val="00AC2D8E"/>
    <w:rsid w:val="00AC386C"/>
    <w:rsid w:val="00AC59BB"/>
    <w:rsid w:val="00AC5ACE"/>
    <w:rsid w:val="00AC6718"/>
    <w:rsid w:val="00AC6CAF"/>
    <w:rsid w:val="00AC7758"/>
    <w:rsid w:val="00AD01B3"/>
    <w:rsid w:val="00AD0376"/>
    <w:rsid w:val="00AD0C2F"/>
    <w:rsid w:val="00AD244F"/>
    <w:rsid w:val="00AD464D"/>
    <w:rsid w:val="00AD6AD7"/>
    <w:rsid w:val="00AD7C93"/>
    <w:rsid w:val="00AE26C5"/>
    <w:rsid w:val="00AE6B5C"/>
    <w:rsid w:val="00AF3486"/>
    <w:rsid w:val="00AF458F"/>
    <w:rsid w:val="00AF4A64"/>
    <w:rsid w:val="00AF554A"/>
    <w:rsid w:val="00AF6F78"/>
    <w:rsid w:val="00AF7554"/>
    <w:rsid w:val="00B005C2"/>
    <w:rsid w:val="00B0164E"/>
    <w:rsid w:val="00B016DD"/>
    <w:rsid w:val="00B02534"/>
    <w:rsid w:val="00B042BC"/>
    <w:rsid w:val="00B05541"/>
    <w:rsid w:val="00B070B5"/>
    <w:rsid w:val="00B10114"/>
    <w:rsid w:val="00B10213"/>
    <w:rsid w:val="00B11254"/>
    <w:rsid w:val="00B1187A"/>
    <w:rsid w:val="00B14794"/>
    <w:rsid w:val="00B15EE5"/>
    <w:rsid w:val="00B22FC4"/>
    <w:rsid w:val="00B24732"/>
    <w:rsid w:val="00B24C13"/>
    <w:rsid w:val="00B24C20"/>
    <w:rsid w:val="00B2626E"/>
    <w:rsid w:val="00B30651"/>
    <w:rsid w:val="00B30C07"/>
    <w:rsid w:val="00B32950"/>
    <w:rsid w:val="00B33EED"/>
    <w:rsid w:val="00B3729D"/>
    <w:rsid w:val="00B4587B"/>
    <w:rsid w:val="00B46D04"/>
    <w:rsid w:val="00B5090D"/>
    <w:rsid w:val="00B52C01"/>
    <w:rsid w:val="00B530AC"/>
    <w:rsid w:val="00B5448A"/>
    <w:rsid w:val="00B55174"/>
    <w:rsid w:val="00B563E2"/>
    <w:rsid w:val="00B574CE"/>
    <w:rsid w:val="00B61548"/>
    <w:rsid w:val="00B65A56"/>
    <w:rsid w:val="00B66267"/>
    <w:rsid w:val="00B701EB"/>
    <w:rsid w:val="00B707B8"/>
    <w:rsid w:val="00B71063"/>
    <w:rsid w:val="00B71B2A"/>
    <w:rsid w:val="00B738BA"/>
    <w:rsid w:val="00B740F8"/>
    <w:rsid w:val="00B74191"/>
    <w:rsid w:val="00B77C23"/>
    <w:rsid w:val="00B80EDE"/>
    <w:rsid w:val="00B81F5C"/>
    <w:rsid w:val="00B84AB1"/>
    <w:rsid w:val="00B85300"/>
    <w:rsid w:val="00B915AD"/>
    <w:rsid w:val="00B93FCE"/>
    <w:rsid w:val="00B94339"/>
    <w:rsid w:val="00B9651C"/>
    <w:rsid w:val="00B96934"/>
    <w:rsid w:val="00B97E2A"/>
    <w:rsid w:val="00BA0669"/>
    <w:rsid w:val="00BA0FE3"/>
    <w:rsid w:val="00BA172F"/>
    <w:rsid w:val="00BA70B5"/>
    <w:rsid w:val="00BB03F6"/>
    <w:rsid w:val="00BB19E5"/>
    <w:rsid w:val="00BB50D0"/>
    <w:rsid w:val="00BC161B"/>
    <w:rsid w:val="00BC23AD"/>
    <w:rsid w:val="00BC6354"/>
    <w:rsid w:val="00BC7478"/>
    <w:rsid w:val="00BC766F"/>
    <w:rsid w:val="00BC78C2"/>
    <w:rsid w:val="00BD0070"/>
    <w:rsid w:val="00BD0C52"/>
    <w:rsid w:val="00BD2134"/>
    <w:rsid w:val="00BD6589"/>
    <w:rsid w:val="00BE0031"/>
    <w:rsid w:val="00BE0AE3"/>
    <w:rsid w:val="00BE15A5"/>
    <w:rsid w:val="00BE5AF2"/>
    <w:rsid w:val="00BE7632"/>
    <w:rsid w:val="00BE7993"/>
    <w:rsid w:val="00BF167D"/>
    <w:rsid w:val="00BF29BE"/>
    <w:rsid w:val="00BF2BDA"/>
    <w:rsid w:val="00BF2EDA"/>
    <w:rsid w:val="00BF37C1"/>
    <w:rsid w:val="00BF6473"/>
    <w:rsid w:val="00BF6824"/>
    <w:rsid w:val="00C033D6"/>
    <w:rsid w:val="00C03B9D"/>
    <w:rsid w:val="00C04C05"/>
    <w:rsid w:val="00C04DE2"/>
    <w:rsid w:val="00C052B2"/>
    <w:rsid w:val="00C07E1C"/>
    <w:rsid w:val="00C11A8A"/>
    <w:rsid w:val="00C12969"/>
    <w:rsid w:val="00C13799"/>
    <w:rsid w:val="00C13C78"/>
    <w:rsid w:val="00C17772"/>
    <w:rsid w:val="00C21257"/>
    <w:rsid w:val="00C217DD"/>
    <w:rsid w:val="00C219A6"/>
    <w:rsid w:val="00C24E4F"/>
    <w:rsid w:val="00C25C35"/>
    <w:rsid w:val="00C25E8E"/>
    <w:rsid w:val="00C26798"/>
    <w:rsid w:val="00C271EF"/>
    <w:rsid w:val="00C27670"/>
    <w:rsid w:val="00C27ED1"/>
    <w:rsid w:val="00C34978"/>
    <w:rsid w:val="00C34A83"/>
    <w:rsid w:val="00C371A4"/>
    <w:rsid w:val="00C4287B"/>
    <w:rsid w:val="00C42DB7"/>
    <w:rsid w:val="00C4428D"/>
    <w:rsid w:val="00C44F1F"/>
    <w:rsid w:val="00C46496"/>
    <w:rsid w:val="00C5137C"/>
    <w:rsid w:val="00C5214A"/>
    <w:rsid w:val="00C52F87"/>
    <w:rsid w:val="00C549C3"/>
    <w:rsid w:val="00C61B85"/>
    <w:rsid w:val="00C63A6D"/>
    <w:rsid w:val="00C648B0"/>
    <w:rsid w:val="00C6559C"/>
    <w:rsid w:val="00C655CB"/>
    <w:rsid w:val="00C65843"/>
    <w:rsid w:val="00C659A8"/>
    <w:rsid w:val="00C701AB"/>
    <w:rsid w:val="00C7104A"/>
    <w:rsid w:val="00C72706"/>
    <w:rsid w:val="00C7379E"/>
    <w:rsid w:val="00C75607"/>
    <w:rsid w:val="00C81586"/>
    <w:rsid w:val="00C8259D"/>
    <w:rsid w:val="00C8275C"/>
    <w:rsid w:val="00C84566"/>
    <w:rsid w:val="00C84E22"/>
    <w:rsid w:val="00C8567C"/>
    <w:rsid w:val="00C87477"/>
    <w:rsid w:val="00C90AF5"/>
    <w:rsid w:val="00C91C37"/>
    <w:rsid w:val="00C92402"/>
    <w:rsid w:val="00C92EAF"/>
    <w:rsid w:val="00C93493"/>
    <w:rsid w:val="00C947A1"/>
    <w:rsid w:val="00C95EF3"/>
    <w:rsid w:val="00C963CA"/>
    <w:rsid w:val="00C96C7B"/>
    <w:rsid w:val="00C97AAC"/>
    <w:rsid w:val="00CA0553"/>
    <w:rsid w:val="00CA08B4"/>
    <w:rsid w:val="00CA13E5"/>
    <w:rsid w:val="00CA3058"/>
    <w:rsid w:val="00CA3348"/>
    <w:rsid w:val="00CA43CF"/>
    <w:rsid w:val="00CA5298"/>
    <w:rsid w:val="00CA5DF3"/>
    <w:rsid w:val="00CA68A4"/>
    <w:rsid w:val="00CB131E"/>
    <w:rsid w:val="00CC0449"/>
    <w:rsid w:val="00CC2D32"/>
    <w:rsid w:val="00CC5AD1"/>
    <w:rsid w:val="00CC5C7E"/>
    <w:rsid w:val="00CD11A3"/>
    <w:rsid w:val="00CD3B6F"/>
    <w:rsid w:val="00CD4EED"/>
    <w:rsid w:val="00CE3A96"/>
    <w:rsid w:val="00CE5B03"/>
    <w:rsid w:val="00CE6A73"/>
    <w:rsid w:val="00CF01C8"/>
    <w:rsid w:val="00CF08BE"/>
    <w:rsid w:val="00CF099B"/>
    <w:rsid w:val="00CF0D7C"/>
    <w:rsid w:val="00CF151E"/>
    <w:rsid w:val="00CF3AD8"/>
    <w:rsid w:val="00CF5184"/>
    <w:rsid w:val="00CF5FE7"/>
    <w:rsid w:val="00CF6D57"/>
    <w:rsid w:val="00D02C13"/>
    <w:rsid w:val="00D0364B"/>
    <w:rsid w:val="00D05F36"/>
    <w:rsid w:val="00D1071B"/>
    <w:rsid w:val="00D10A14"/>
    <w:rsid w:val="00D11C80"/>
    <w:rsid w:val="00D15AAD"/>
    <w:rsid w:val="00D2341C"/>
    <w:rsid w:val="00D23E12"/>
    <w:rsid w:val="00D24C52"/>
    <w:rsid w:val="00D24E27"/>
    <w:rsid w:val="00D26901"/>
    <w:rsid w:val="00D2790F"/>
    <w:rsid w:val="00D27C4B"/>
    <w:rsid w:val="00D32057"/>
    <w:rsid w:val="00D33190"/>
    <w:rsid w:val="00D3424D"/>
    <w:rsid w:val="00D34913"/>
    <w:rsid w:val="00D358A8"/>
    <w:rsid w:val="00D358C5"/>
    <w:rsid w:val="00D35AD6"/>
    <w:rsid w:val="00D35C8B"/>
    <w:rsid w:val="00D35DED"/>
    <w:rsid w:val="00D369DF"/>
    <w:rsid w:val="00D37E65"/>
    <w:rsid w:val="00D37F35"/>
    <w:rsid w:val="00D40072"/>
    <w:rsid w:val="00D408A3"/>
    <w:rsid w:val="00D43044"/>
    <w:rsid w:val="00D468F9"/>
    <w:rsid w:val="00D46A99"/>
    <w:rsid w:val="00D46CF5"/>
    <w:rsid w:val="00D476B7"/>
    <w:rsid w:val="00D500F7"/>
    <w:rsid w:val="00D5051C"/>
    <w:rsid w:val="00D511F2"/>
    <w:rsid w:val="00D51C63"/>
    <w:rsid w:val="00D529E6"/>
    <w:rsid w:val="00D54843"/>
    <w:rsid w:val="00D55ACF"/>
    <w:rsid w:val="00D6174C"/>
    <w:rsid w:val="00D6443C"/>
    <w:rsid w:val="00D65999"/>
    <w:rsid w:val="00D65E20"/>
    <w:rsid w:val="00D663E8"/>
    <w:rsid w:val="00D66476"/>
    <w:rsid w:val="00D6709E"/>
    <w:rsid w:val="00D7504B"/>
    <w:rsid w:val="00D750A0"/>
    <w:rsid w:val="00D765EF"/>
    <w:rsid w:val="00D80535"/>
    <w:rsid w:val="00D80A44"/>
    <w:rsid w:val="00D8189B"/>
    <w:rsid w:val="00D81D0B"/>
    <w:rsid w:val="00D83591"/>
    <w:rsid w:val="00D8374A"/>
    <w:rsid w:val="00D83BA4"/>
    <w:rsid w:val="00D850B7"/>
    <w:rsid w:val="00D92CEA"/>
    <w:rsid w:val="00D92D06"/>
    <w:rsid w:val="00D9309F"/>
    <w:rsid w:val="00D9423E"/>
    <w:rsid w:val="00D964B9"/>
    <w:rsid w:val="00DA0278"/>
    <w:rsid w:val="00DA0D82"/>
    <w:rsid w:val="00DA3430"/>
    <w:rsid w:val="00DA4513"/>
    <w:rsid w:val="00DA4F18"/>
    <w:rsid w:val="00DB352F"/>
    <w:rsid w:val="00DC1874"/>
    <w:rsid w:val="00DC1CF4"/>
    <w:rsid w:val="00DC27FF"/>
    <w:rsid w:val="00DC3221"/>
    <w:rsid w:val="00DC4CBB"/>
    <w:rsid w:val="00DC5B43"/>
    <w:rsid w:val="00DC66A1"/>
    <w:rsid w:val="00DC6B06"/>
    <w:rsid w:val="00DC6E06"/>
    <w:rsid w:val="00DC706C"/>
    <w:rsid w:val="00DC7600"/>
    <w:rsid w:val="00DC7E9E"/>
    <w:rsid w:val="00DD0001"/>
    <w:rsid w:val="00DD10A0"/>
    <w:rsid w:val="00DD1FC4"/>
    <w:rsid w:val="00DD43B6"/>
    <w:rsid w:val="00DD677D"/>
    <w:rsid w:val="00DD6A96"/>
    <w:rsid w:val="00DD7D02"/>
    <w:rsid w:val="00DE0F8D"/>
    <w:rsid w:val="00DE17DD"/>
    <w:rsid w:val="00DE234E"/>
    <w:rsid w:val="00DE3D9B"/>
    <w:rsid w:val="00DE5CD6"/>
    <w:rsid w:val="00DF32CC"/>
    <w:rsid w:val="00DF3792"/>
    <w:rsid w:val="00DF4099"/>
    <w:rsid w:val="00DF40FA"/>
    <w:rsid w:val="00E00CCF"/>
    <w:rsid w:val="00E01A12"/>
    <w:rsid w:val="00E01D6C"/>
    <w:rsid w:val="00E025D8"/>
    <w:rsid w:val="00E02AA8"/>
    <w:rsid w:val="00E054ED"/>
    <w:rsid w:val="00E06E67"/>
    <w:rsid w:val="00E072D1"/>
    <w:rsid w:val="00E107C6"/>
    <w:rsid w:val="00E1788A"/>
    <w:rsid w:val="00E21360"/>
    <w:rsid w:val="00E2188A"/>
    <w:rsid w:val="00E31EF3"/>
    <w:rsid w:val="00E3492D"/>
    <w:rsid w:val="00E34D70"/>
    <w:rsid w:val="00E3649F"/>
    <w:rsid w:val="00E373CD"/>
    <w:rsid w:val="00E376D9"/>
    <w:rsid w:val="00E400C3"/>
    <w:rsid w:val="00E400CE"/>
    <w:rsid w:val="00E402EF"/>
    <w:rsid w:val="00E42578"/>
    <w:rsid w:val="00E43244"/>
    <w:rsid w:val="00E4390F"/>
    <w:rsid w:val="00E44734"/>
    <w:rsid w:val="00E4597B"/>
    <w:rsid w:val="00E46874"/>
    <w:rsid w:val="00E46B81"/>
    <w:rsid w:val="00E50511"/>
    <w:rsid w:val="00E50CC8"/>
    <w:rsid w:val="00E51704"/>
    <w:rsid w:val="00E5523F"/>
    <w:rsid w:val="00E56BCB"/>
    <w:rsid w:val="00E570C4"/>
    <w:rsid w:val="00E57814"/>
    <w:rsid w:val="00E60ACA"/>
    <w:rsid w:val="00E622FD"/>
    <w:rsid w:val="00E62E07"/>
    <w:rsid w:val="00E64AD9"/>
    <w:rsid w:val="00E67239"/>
    <w:rsid w:val="00E70B6D"/>
    <w:rsid w:val="00E71750"/>
    <w:rsid w:val="00E71925"/>
    <w:rsid w:val="00E7256B"/>
    <w:rsid w:val="00E73D83"/>
    <w:rsid w:val="00E76953"/>
    <w:rsid w:val="00E76F5C"/>
    <w:rsid w:val="00E77086"/>
    <w:rsid w:val="00E80943"/>
    <w:rsid w:val="00E8312C"/>
    <w:rsid w:val="00E84752"/>
    <w:rsid w:val="00E84DF5"/>
    <w:rsid w:val="00E86CDB"/>
    <w:rsid w:val="00E877D1"/>
    <w:rsid w:val="00E92C16"/>
    <w:rsid w:val="00EA041D"/>
    <w:rsid w:val="00EA20E2"/>
    <w:rsid w:val="00EA23AC"/>
    <w:rsid w:val="00EA312D"/>
    <w:rsid w:val="00EA67CC"/>
    <w:rsid w:val="00EA6830"/>
    <w:rsid w:val="00EA7EB3"/>
    <w:rsid w:val="00EB0413"/>
    <w:rsid w:val="00EB0A12"/>
    <w:rsid w:val="00EB60A1"/>
    <w:rsid w:val="00EC0919"/>
    <w:rsid w:val="00EC11A5"/>
    <w:rsid w:val="00EC12A5"/>
    <w:rsid w:val="00EC2B89"/>
    <w:rsid w:val="00EC3E0C"/>
    <w:rsid w:val="00ED0E18"/>
    <w:rsid w:val="00ED2503"/>
    <w:rsid w:val="00ED2EFA"/>
    <w:rsid w:val="00ED489F"/>
    <w:rsid w:val="00ED504D"/>
    <w:rsid w:val="00ED5DD4"/>
    <w:rsid w:val="00ED7C33"/>
    <w:rsid w:val="00EE25B1"/>
    <w:rsid w:val="00EE45B7"/>
    <w:rsid w:val="00EE5B5A"/>
    <w:rsid w:val="00EE71D3"/>
    <w:rsid w:val="00EF246A"/>
    <w:rsid w:val="00EF2C7F"/>
    <w:rsid w:val="00EF3A99"/>
    <w:rsid w:val="00EF5DD3"/>
    <w:rsid w:val="00EF7547"/>
    <w:rsid w:val="00EF79BD"/>
    <w:rsid w:val="00F0020D"/>
    <w:rsid w:val="00F01126"/>
    <w:rsid w:val="00F02AFD"/>
    <w:rsid w:val="00F031DE"/>
    <w:rsid w:val="00F03D9D"/>
    <w:rsid w:val="00F045F8"/>
    <w:rsid w:val="00F05B53"/>
    <w:rsid w:val="00F079B4"/>
    <w:rsid w:val="00F07A58"/>
    <w:rsid w:val="00F12721"/>
    <w:rsid w:val="00F16568"/>
    <w:rsid w:val="00F16D54"/>
    <w:rsid w:val="00F20879"/>
    <w:rsid w:val="00F232B4"/>
    <w:rsid w:val="00F3010E"/>
    <w:rsid w:val="00F3330F"/>
    <w:rsid w:val="00F3361C"/>
    <w:rsid w:val="00F33FA7"/>
    <w:rsid w:val="00F35CB6"/>
    <w:rsid w:val="00F37E07"/>
    <w:rsid w:val="00F404D9"/>
    <w:rsid w:val="00F408EE"/>
    <w:rsid w:val="00F40A88"/>
    <w:rsid w:val="00F42633"/>
    <w:rsid w:val="00F429F6"/>
    <w:rsid w:val="00F453F1"/>
    <w:rsid w:val="00F45B70"/>
    <w:rsid w:val="00F52D91"/>
    <w:rsid w:val="00F60365"/>
    <w:rsid w:val="00F61CD9"/>
    <w:rsid w:val="00F622ED"/>
    <w:rsid w:val="00F62DE2"/>
    <w:rsid w:val="00F7062E"/>
    <w:rsid w:val="00F724B3"/>
    <w:rsid w:val="00F72FE3"/>
    <w:rsid w:val="00F73B9B"/>
    <w:rsid w:val="00F76822"/>
    <w:rsid w:val="00F80E7B"/>
    <w:rsid w:val="00F8312A"/>
    <w:rsid w:val="00F84473"/>
    <w:rsid w:val="00F9086F"/>
    <w:rsid w:val="00F91585"/>
    <w:rsid w:val="00F91A86"/>
    <w:rsid w:val="00F93096"/>
    <w:rsid w:val="00F93D80"/>
    <w:rsid w:val="00F95A78"/>
    <w:rsid w:val="00F95B15"/>
    <w:rsid w:val="00F96CB8"/>
    <w:rsid w:val="00F97363"/>
    <w:rsid w:val="00FA1A34"/>
    <w:rsid w:val="00FA201D"/>
    <w:rsid w:val="00FA35DA"/>
    <w:rsid w:val="00FA4246"/>
    <w:rsid w:val="00FA4AF9"/>
    <w:rsid w:val="00FA5AF8"/>
    <w:rsid w:val="00FA663D"/>
    <w:rsid w:val="00FA6D60"/>
    <w:rsid w:val="00FB0109"/>
    <w:rsid w:val="00FB011A"/>
    <w:rsid w:val="00FB27BE"/>
    <w:rsid w:val="00FB2B6A"/>
    <w:rsid w:val="00FB4691"/>
    <w:rsid w:val="00FC12A6"/>
    <w:rsid w:val="00FC2CD6"/>
    <w:rsid w:val="00FC4EAB"/>
    <w:rsid w:val="00FC5DA7"/>
    <w:rsid w:val="00FC69D2"/>
    <w:rsid w:val="00FC77E1"/>
    <w:rsid w:val="00FD066A"/>
    <w:rsid w:val="00FD1FAD"/>
    <w:rsid w:val="00FD26A2"/>
    <w:rsid w:val="00FD4236"/>
    <w:rsid w:val="00FD4FD8"/>
    <w:rsid w:val="00FD5041"/>
    <w:rsid w:val="00FD795A"/>
    <w:rsid w:val="00FE0F02"/>
    <w:rsid w:val="00FE2468"/>
    <w:rsid w:val="00FE43D3"/>
    <w:rsid w:val="00FE512C"/>
    <w:rsid w:val="00FE649B"/>
    <w:rsid w:val="00FE72C0"/>
    <w:rsid w:val="00FF0BCB"/>
    <w:rsid w:val="00FF1F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85171"/>
  <w15:chartTrackingRefBased/>
  <w15:docId w15:val="{0D389DA7-B940-4DAB-904D-DABAE9033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7DD"/>
  </w:style>
  <w:style w:type="paragraph" w:styleId="Heading1">
    <w:name w:val="heading 1"/>
    <w:basedOn w:val="Normal"/>
    <w:next w:val="Normal"/>
    <w:link w:val="Heading1Char"/>
    <w:uiPriority w:val="9"/>
    <w:qFormat/>
    <w:rsid w:val="00820C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0C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0C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C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C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C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C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C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C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C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C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C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C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C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CB6"/>
    <w:rPr>
      <w:rFonts w:eastAsiaTheme="majorEastAsia" w:cstheme="majorBidi"/>
      <w:color w:val="272727" w:themeColor="text1" w:themeTint="D8"/>
    </w:rPr>
  </w:style>
  <w:style w:type="paragraph" w:styleId="Title">
    <w:name w:val="Title"/>
    <w:basedOn w:val="Normal"/>
    <w:next w:val="Normal"/>
    <w:link w:val="TitleChar"/>
    <w:uiPriority w:val="10"/>
    <w:qFormat/>
    <w:rsid w:val="00820C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C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C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CB6"/>
    <w:pPr>
      <w:spacing w:before="160" w:after="160"/>
    </w:pPr>
    <w:rPr>
      <w:i/>
      <w:iCs/>
      <w:color w:val="404040" w:themeColor="text1" w:themeTint="BF"/>
    </w:rPr>
  </w:style>
  <w:style w:type="character" w:customStyle="1" w:styleId="QuoteChar">
    <w:name w:val="Quote Char"/>
    <w:basedOn w:val="DefaultParagraphFont"/>
    <w:link w:val="Quote"/>
    <w:uiPriority w:val="29"/>
    <w:rsid w:val="00820CB6"/>
    <w:rPr>
      <w:i/>
      <w:iCs/>
      <w:color w:val="404040" w:themeColor="text1" w:themeTint="BF"/>
    </w:rPr>
  </w:style>
  <w:style w:type="paragraph" w:styleId="ListParagraph">
    <w:name w:val="List Paragraph"/>
    <w:basedOn w:val="Normal"/>
    <w:uiPriority w:val="34"/>
    <w:qFormat/>
    <w:rsid w:val="00820CB6"/>
    <w:pPr>
      <w:ind w:left="720"/>
      <w:contextualSpacing/>
    </w:pPr>
  </w:style>
  <w:style w:type="character" w:styleId="IntenseEmphasis">
    <w:name w:val="Intense Emphasis"/>
    <w:basedOn w:val="DefaultParagraphFont"/>
    <w:uiPriority w:val="21"/>
    <w:qFormat/>
    <w:rsid w:val="00820CB6"/>
    <w:rPr>
      <w:i/>
      <w:iCs/>
      <w:color w:val="0F4761" w:themeColor="accent1" w:themeShade="BF"/>
    </w:rPr>
  </w:style>
  <w:style w:type="paragraph" w:styleId="IntenseQuote">
    <w:name w:val="Intense Quote"/>
    <w:basedOn w:val="Normal"/>
    <w:next w:val="Normal"/>
    <w:link w:val="IntenseQuoteChar"/>
    <w:uiPriority w:val="30"/>
    <w:qFormat/>
    <w:rsid w:val="00820CB6"/>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820CB6"/>
    <w:rPr>
      <w:i/>
      <w:iCs/>
      <w:color w:val="0F4761" w:themeColor="accent1" w:themeShade="BF"/>
    </w:rPr>
  </w:style>
  <w:style w:type="character" w:styleId="IntenseReference">
    <w:name w:val="Intense Reference"/>
    <w:basedOn w:val="DefaultParagraphFont"/>
    <w:uiPriority w:val="32"/>
    <w:qFormat/>
    <w:rsid w:val="00820CB6"/>
    <w:rPr>
      <w:b/>
      <w:bCs/>
      <w:smallCaps/>
      <w:color w:val="0F4761" w:themeColor="accent1" w:themeShade="BF"/>
      <w:spacing w:val="5"/>
    </w:rPr>
  </w:style>
  <w:style w:type="paragraph" w:styleId="Header">
    <w:name w:val="header"/>
    <w:basedOn w:val="Normal"/>
    <w:link w:val="HeaderChar"/>
    <w:uiPriority w:val="99"/>
    <w:unhideWhenUsed/>
    <w:rsid w:val="00820CB6"/>
    <w:pPr>
      <w:tabs>
        <w:tab w:val="center" w:pos="4680"/>
        <w:tab w:val="right" w:pos="9360"/>
      </w:tabs>
      <w:spacing w:line="240" w:lineRule="auto"/>
    </w:pPr>
  </w:style>
  <w:style w:type="character" w:customStyle="1" w:styleId="HeaderChar">
    <w:name w:val="Header Char"/>
    <w:basedOn w:val="DefaultParagraphFont"/>
    <w:link w:val="Header"/>
    <w:uiPriority w:val="99"/>
    <w:rsid w:val="00820CB6"/>
  </w:style>
  <w:style w:type="paragraph" w:styleId="Footer">
    <w:name w:val="footer"/>
    <w:basedOn w:val="Normal"/>
    <w:link w:val="FooterChar"/>
    <w:uiPriority w:val="99"/>
    <w:unhideWhenUsed/>
    <w:rsid w:val="00820CB6"/>
    <w:pPr>
      <w:tabs>
        <w:tab w:val="center" w:pos="4680"/>
        <w:tab w:val="right" w:pos="9360"/>
      </w:tabs>
      <w:spacing w:line="240" w:lineRule="auto"/>
    </w:pPr>
  </w:style>
  <w:style w:type="character" w:customStyle="1" w:styleId="FooterChar">
    <w:name w:val="Footer Char"/>
    <w:basedOn w:val="DefaultParagraphFont"/>
    <w:link w:val="Footer"/>
    <w:uiPriority w:val="99"/>
    <w:rsid w:val="00820CB6"/>
  </w:style>
  <w:style w:type="paragraph" w:styleId="NoSpacing">
    <w:name w:val="No Spacing"/>
    <w:uiPriority w:val="1"/>
    <w:qFormat/>
    <w:rsid w:val="00C6559C"/>
    <w:pPr>
      <w:spacing w:line="240" w:lineRule="auto"/>
    </w:pPr>
    <w:rPr>
      <w:rFonts w:asciiTheme="minorHAnsi" w:hAnsiTheme="minorHAnsi"/>
    </w:rPr>
  </w:style>
  <w:style w:type="paragraph" w:styleId="NormalWeb">
    <w:name w:val="Normal (Web)"/>
    <w:basedOn w:val="Normal"/>
    <w:uiPriority w:val="99"/>
    <w:semiHidden/>
    <w:unhideWhenUsed/>
    <w:rsid w:val="00A33790"/>
    <w:rPr>
      <w:rFonts w:ascii="Times New Roman" w:hAnsi="Times New Roman" w:cs="Times New Roman"/>
    </w:rPr>
  </w:style>
  <w:style w:type="character" w:styleId="Hyperlink">
    <w:name w:val="Hyperlink"/>
    <w:basedOn w:val="DefaultParagraphFont"/>
    <w:uiPriority w:val="99"/>
    <w:unhideWhenUsed/>
    <w:rsid w:val="00A33790"/>
    <w:rPr>
      <w:color w:val="467886" w:themeColor="hyperlink"/>
      <w:u w:val="single"/>
    </w:rPr>
  </w:style>
  <w:style w:type="paragraph" w:styleId="TOCHeading">
    <w:name w:val="TOC Heading"/>
    <w:basedOn w:val="Heading1"/>
    <w:next w:val="Normal"/>
    <w:uiPriority w:val="39"/>
    <w:unhideWhenUsed/>
    <w:qFormat/>
    <w:rsid w:val="00546D32"/>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546D32"/>
    <w:pPr>
      <w:spacing w:after="100" w:line="259" w:lineRule="auto"/>
      <w:ind w:left="220"/>
    </w:pPr>
    <w:rPr>
      <w:rFonts w:asciiTheme="minorHAnsi" w:eastAsiaTheme="minorEastAsia" w:hAnsiTheme="minorHAnsi" w:cs="Times New Roman"/>
      <w:kern w:val="0"/>
      <w:sz w:val="22"/>
      <w:szCs w:val="22"/>
      <w14:ligatures w14:val="none"/>
    </w:rPr>
  </w:style>
  <w:style w:type="paragraph" w:styleId="TOC1">
    <w:name w:val="toc 1"/>
    <w:basedOn w:val="Normal"/>
    <w:next w:val="Normal"/>
    <w:autoRedefine/>
    <w:uiPriority w:val="39"/>
    <w:unhideWhenUsed/>
    <w:rsid w:val="00546D32"/>
    <w:pPr>
      <w:spacing w:after="100" w:line="259" w:lineRule="auto"/>
    </w:pPr>
    <w:rPr>
      <w:rFonts w:asciiTheme="minorHAnsi" w:eastAsiaTheme="minorEastAsia" w:hAnsiTheme="minorHAnsi" w:cs="Times New Roman"/>
      <w:kern w:val="0"/>
      <w:sz w:val="22"/>
      <w:szCs w:val="22"/>
      <w14:ligatures w14:val="none"/>
    </w:rPr>
  </w:style>
  <w:style w:type="paragraph" w:styleId="TOC3">
    <w:name w:val="toc 3"/>
    <w:basedOn w:val="Normal"/>
    <w:next w:val="Normal"/>
    <w:autoRedefine/>
    <w:uiPriority w:val="39"/>
    <w:unhideWhenUsed/>
    <w:rsid w:val="00546D32"/>
    <w:pPr>
      <w:spacing w:after="100" w:line="259" w:lineRule="auto"/>
      <w:ind w:left="440"/>
    </w:pPr>
    <w:rPr>
      <w:rFonts w:asciiTheme="minorHAnsi" w:eastAsiaTheme="minorEastAsia" w:hAnsiTheme="minorHAnsi" w:cs="Times New Roman"/>
      <w:kern w:val="0"/>
      <w:sz w:val="22"/>
      <w:szCs w:val="22"/>
      <w14:ligatures w14:val="none"/>
    </w:rPr>
  </w:style>
  <w:style w:type="character" w:styleId="UnresolvedMention">
    <w:name w:val="Unresolved Mention"/>
    <w:basedOn w:val="DefaultParagraphFont"/>
    <w:uiPriority w:val="99"/>
    <w:semiHidden/>
    <w:unhideWhenUsed/>
    <w:rsid w:val="00AD0376"/>
    <w:rPr>
      <w:color w:val="605E5C"/>
      <w:shd w:val="clear" w:color="auto" w:fill="E1DFDD"/>
    </w:rPr>
  </w:style>
  <w:style w:type="character" w:styleId="FollowedHyperlink">
    <w:name w:val="FollowedHyperlink"/>
    <w:basedOn w:val="DefaultParagraphFont"/>
    <w:uiPriority w:val="99"/>
    <w:semiHidden/>
    <w:unhideWhenUsed/>
    <w:rsid w:val="00EC2B89"/>
    <w:rPr>
      <w:color w:val="96607D" w:themeColor="followedHyperlink"/>
      <w:u w:val="single"/>
    </w:rPr>
  </w:style>
  <w:style w:type="character" w:styleId="CommentReference">
    <w:name w:val="annotation reference"/>
    <w:basedOn w:val="DefaultParagraphFont"/>
    <w:uiPriority w:val="99"/>
    <w:semiHidden/>
    <w:unhideWhenUsed/>
    <w:rsid w:val="00462E56"/>
    <w:rPr>
      <w:sz w:val="16"/>
      <w:szCs w:val="16"/>
    </w:rPr>
  </w:style>
  <w:style w:type="paragraph" w:styleId="CommentText">
    <w:name w:val="annotation text"/>
    <w:basedOn w:val="Normal"/>
    <w:link w:val="CommentTextChar"/>
    <w:uiPriority w:val="99"/>
    <w:unhideWhenUsed/>
    <w:rsid w:val="00462E56"/>
    <w:pPr>
      <w:spacing w:line="240" w:lineRule="auto"/>
    </w:pPr>
    <w:rPr>
      <w:sz w:val="20"/>
      <w:szCs w:val="20"/>
    </w:rPr>
  </w:style>
  <w:style w:type="character" w:customStyle="1" w:styleId="CommentTextChar">
    <w:name w:val="Comment Text Char"/>
    <w:basedOn w:val="DefaultParagraphFont"/>
    <w:link w:val="CommentText"/>
    <w:uiPriority w:val="99"/>
    <w:rsid w:val="00462E56"/>
    <w:rPr>
      <w:sz w:val="20"/>
      <w:szCs w:val="20"/>
    </w:rPr>
  </w:style>
  <w:style w:type="paragraph" w:styleId="CommentSubject">
    <w:name w:val="annotation subject"/>
    <w:basedOn w:val="CommentText"/>
    <w:next w:val="CommentText"/>
    <w:link w:val="CommentSubjectChar"/>
    <w:uiPriority w:val="99"/>
    <w:semiHidden/>
    <w:unhideWhenUsed/>
    <w:rsid w:val="00462E56"/>
    <w:rPr>
      <w:b/>
      <w:bCs/>
    </w:rPr>
  </w:style>
  <w:style w:type="character" w:customStyle="1" w:styleId="CommentSubjectChar">
    <w:name w:val="Comment Subject Char"/>
    <w:basedOn w:val="CommentTextChar"/>
    <w:link w:val="CommentSubject"/>
    <w:uiPriority w:val="99"/>
    <w:semiHidden/>
    <w:rsid w:val="00462E5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hsforest.org/blog/green-spaces-can-we-ensure-equal-access-for-all/" TargetMode="External"/><Relationship Id="rId18" Type="http://schemas.openxmlformats.org/officeDocument/2006/relationships/hyperlink" Target="https://www.walthamforest.gov.uk/sites/default/files/2024-03/SPD%20Summer%202023%20Consultation%20Report%20-%20low%20res.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ondon.gov.uk/programmes-strategies/environment-and-climate-change/parks-green-spaces-and-biodiversity/green-infrastructure" TargetMode="External"/><Relationship Id="rId17" Type="http://schemas.openxmlformats.org/officeDocument/2006/relationships/hyperlink" Target="https://talk.walthamforest.gov.uk/improving-green-spaces" TargetMode="External"/><Relationship Id="rId2" Type="http://schemas.openxmlformats.org/officeDocument/2006/relationships/numbering" Target="numbering.xml"/><Relationship Id="rId16" Type="http://schemas.openxmlformats.org/officeDocument/2006/relationships/hyperlink" Target="https://www.walthamforest.gov.uk/sites/default/files/2022-03/Waltham%20Forest%20Green%20and%20Blue%20Infrastructure%20Strategy%20Nov%202020.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alysisfunction.civilservice.gov.uk/policy-store/stakeholder-mapping/" TargetMode="External"/><Relationship Id="rId5" Type="http://schemas.openxmlformats.org/officeDocument/2006/relationships/webSettings" Target="webSettings.xml"/><Relationship Id="rId15" Type="http://schemas.openxmlformats.org/officeDocument/2006/relationships/hyperlink" Target="https://www.tcv.org.uk/london/waltham-forest/friends-of-parks/" TargetMode="External"/><Relationship Id="rId10" Type="http://schemas.openxmlformats.org/officeDocument/2006/relationships/hyperlink" Target="https://www.equalityhumanrights.com/equality/equality-act-2010" TargetMode="External"/><Relationship Id="rId19" Type="http://schemas.openxmlformats.org/officeDocument/2006/relationships/hyperlink" Target="https://www.walthamforest.gov.uk/libraries-arts-parks-and-leisure/parks-and-open-spaces/resident-grou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1622439000250010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32BCF7-4857-4FA0-B22B-F67A2A4E9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7113</TotalTime>
  <Pages>18</Pages>
  <Words>4215</Words>
  <Characters>24029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Marzena Beata Beczek (2413128)</dc:creator>
  <cp:keywords/>
  <dc:description/>
  <cp:lastModifiedBy>Marzena Beczek</cp:lastModifiedBy>
  <cp:revision>215</cp:revision>
  <cp:lastPrinted>2026-07-24T08:47:00Z</cp:lastPrinted>
  <dcterms:created xsi:type="dcterms:W3CDTF">2026-07-10T08:41:00Z</dcterms:created>
  <dcterms:modified xsi:type="dcterms:W3CDTF">2026-08-09T11:00:00Z</dcterms:modified>
</cp:coreProperties>
</file>